
<file path=[Content_Types].xml><?xml version="1.0" encoding="utf-8"?>
<Types xmlns="http://schemas.openxmlformats.org/package/2006/content-types">
  <Default Extension="xml" ContentType="application/xml"/>
  <Default Extension="wmf" ContentType="image/x-wmf"/>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olors1.xml" ContentType="application/vnd.ms-office.chartcolorstyle+xml"/>
  <Override PartName="/word/charts/colors10.xml" ContentType="application/vnd.ms-office.chartcolorstyle+xml"/>
  <Override PartName="/word/charts/colors11.xml" ContentType="application/vnd.ms-office.chartcolorstyle+xml"/>
  <Override PartName="/word/charts/colors12.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colors5.xml" ContentType="application/vnd.ms-office.chartcolorstyle+xml"/>
  <Override PartName="/word/charts/colors6.xml" ContentType="application/vnd.ms-office.chartcolorstyle+xml"/>
  <Override PartName="/word/charts/colors7.xml" ContentType="application/vnd.ms-office.chartcolorstyle+xml"/>
  <Override PartName="/word/charts/colors8.xml" ContentType="application/vnd.ms-office.chartcolorstyle+xml"/>
  <Override PartName="/word/charts/colors9.xml" ContentType="application/vnd.ms-office.chartcolorstyle+xml"/>
  <Override PartName="/word/charts/style1.xml" ContentType="application/vnd.ms-office.chartstyle+xml"/>
  <Override PartName="/word/charts/style10.xml" ContentType="application/vnd.ms-office.chartstyle+xml"/>
  <Override PartName="/word/charts/style11.xml" ContentType="application/vnd.ms-office.chartstyle+xml"/>
  <Override PartName="/word/charts/style12.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charts/style5.xml" ContentType="application/vnd.ms-office.chartstyle+xml"/>
  <Override PartName="/word/charts/style6.xml" ContentType="application/vnd.ms-office.chartstyle+xml"/>
  <Override PartName="/word/charts/style7.xml" ContentType="application/vnd.ms-office.chartstyle+xml"/>
  <Override PartName="/word/charts/style8.xml" ContentType="application/vnd.ms-office.chartstyle+xml"/>
  <Override PartName="/word/charts/style9.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color w:val="FF0000"/>
          <w:sz w:val="32"/>
        </w:rPr>
      </w:pPr>
    </w:p>
    <w:p>
      <w:pPr>
        <w:jc w:val="center"/>
        <w:rPr>
          <w:color w:val="FF0000"/>
          <w:sz w:val="36"/>
        </w:rPr>
      </w:pPr>
    </w:p>
    <w:p>
      <w:pPr>
        <w:jc w:val="center"/>
        <w:rPr>
          <w:color w:val="FF0000"/>
          <w:sz w:val="36"/>
        </w:rPr>
      </w:pPr>
    </w:p>
    <w:p>
      <w:pPr>
        <w:jc w:val="center"/>
        <w:rPr>
          <w:rFonts w:hint="eastAsia" w:eastAsia="宋体"/>
          <w:b/>
          <w:color w:val="auto"/>
          <w:sz w:val="36"/>
          <w:szCs w:val="36"/>
          <w:lang w:eastAsia="zh-CN"/>
        </w:rPr>
      </w:pPr>
      <w:r>
        <w:rPr>
          <w:rFonts w:hint="eastAsia"/>
          <w:b/>
          <w:color w:val="auto"/>
          <w:sz w:val="36"/>
          <w:szCs w:val="36"/>
          <w:lang w:eastAsia="zh-CN"/>
        </w:rPr>
        <w:t>黑龙江省哈尔滨市尚</w:t>
      </w:r>
      <w:r>
        <w:rPr>
          <w:rFonts w:hint="eastAsia"/>
          <w:b/>
          <w:color w:val="auto"/>
          <w:sz w:val="36"/>
          <w:szCs w:val="36"/>
          <w:highlight w:val="none"/>
          <w:lang w:eastAsia="zh-CN"/>
        </w:rPr>
        <w:t>志市黑龙江省龙源工贸集团有限公司黑龙江阿穆屠宰有限公司肉牛</w:t>
      </w:r>
      <w:r>
        <w:rPr>
          <w:rFonts w:hint="eastAsia"/>
          <w:b/>
          <w:color w:val="auto"/>
          <w:sz w:val="36"/>
          <w:szCs w:val="36"/>
          <w:lang w:eastAsia="zh-CN"/>
        </w:rPr>
        <w:t>屠宰厂建设项目</w:t>
      </w:r>
    </w:p>
    <w:p>
      <w:pPr>
        <w:spacing w:line="720" w:lineRule="auto"/>
        <w:jc w:val="center"/>
        <w:rPr>
          <w:b/>
          <w:bCs/>
          <w:color w:val="auto"/>
          <w:spacing w:val="36"/>
          <w:sz w:val="84"/>
        </w:rPr>
      </w:pPr>
      <w:r>
        <w:rPr>
          <w:b/>
          <w:bCs/>
          <w:color w:val="auto"/>
          <w:spacing w:val="36"/>
          <w:sz w:val="84"/>
        </w:rPr>
        <w:t>环境影响报告书</w:t>
      </w:r>
    </w:p>
    <w:p>
      <w:pPr>
        <w:spacing w:line="360" w:lineRule="auto"/>
        <w:jc w:val="center"/>
        <w:rPr>
          <w:b/>
          <w:bCs/>
          <w:color w:val="auto"/>
          <w:sz w:val="30"/>
          <w:szCs w:val="30"/>
        </w:rPr>
      </w:pPr>
    </w:p>
    <w:p>
      <w:pPr>
        <w:jc w:val="center"/>
        <w:rPr>
          <w:b/>
          <w:color w:val="auto"/>
          <w:sz w:val="36"/>
          <w:szCs w:val="36"/>
        </w:rPr>
      </w:pPr>
    </w:p>
    <w:p>
      <w:pPr>
        <w:jc w:val="center"/>
        <w:rPr>
          <w:color w:val="auto"/>
          <w:sz w:val="28"/>
        </w:rPr>
      </w:pPr>
    </w:p>
    <w:p>
      <w:pPr>
        <w:jc w:val="center"/>
        <w:rPr>
          <w:color w:val="auto"/>
          <w:sz w:val="28"/>
        </w:rPr>
      </w:pPr>
    </w:p>
    <w:p>
      <w:pPr>
        <w:jc w:val="center"/>
        <w:rPr>
          <w:color w:val="auto"/>
          <w:sz w:val="28"/>
        </w:rPr>
      </w:pPr>
    </w:p>
    <w:p>
      <w:pPr>
        <w:jc w:val="center"/>
        <w:rPr>
          <w:color w:val="auto"/>
          <w:sz w:val="28"/>
        </w:rPr>
      </w:pPr>
    </w:p>
    <w:p>
      <w:pPr>
        <w:jc w:val="center"/>
        <w:rPr>
          <w:color w:val="auto"/>
          <w:sz w:val="28"/>
        </w:rPr>
      </w:pPr>
    </w:p>
    <w:p>
      <w:pPr>
        <w:jc w:val="center"/>
        <w:rPr>
          <w:rFonts w:hint="eastAsia" w:eastAsia="宋体"/>
          <w:b/>
          <w:color w:val="auto"/>
          <w:sz w:val="28"/>
          <w:lang w:eastAsia="zh-CN"/>
        </w:rPr>
      </w:pPr>
      <w:r>
        <w:rPr>
          <w:b/>
          <w:color w:val="auto"/>
          <w:sz w:val="28"/>
        </w:rPr>
        <w:t>建设单位：</w:t>
      </w:r>
      <w:r>
        <w:rPr>
          <w:rFonts w:hint="eastAsia"/>
          <w:b/>
          <w:color w:val="auto"/>
          <w:sz w:val="28"/>
          <w:lang w:eastAsia="zh-CN"/>
        </w:rPr>
        <w:t>黑龙江阿穆屠宰有限公司</w:t>
      </w:r>
    </w:p>
    <w:p>
      <w:pPr>
        <w:jc w:val="center"/>
        <w:rPr>
          <w:rFonts w:hint="eastAsia" w:eastAsia="宋体"/>
          <w:b/>
          <w:color w:val="auto"/>
          <w:sz w:val="28"/>
          <w:lang w:eastAsia="zh-CN"/>
        </w:rPr>
      </w:pPr>
      <w:r>
        <w:rPr>
          <w:b/>
          <w:color w:val="auto"/>
          <w:sz w:val="28"/>
        </w:rPr>
        <w:t>编制单位：</w:t>
      </w:r>
      <w:r>
        <w:rPr>
          <w:rFonts w:hint="eastAsia"/>
          <w:b/>
          <w:color w:val="auto"/>
          <w:sz w:val="28"/>
          <w:lang w:eastAsia="zh-CN"/>
        </w:rPr>
        <w:t>黑龙江辰瀚环境保护有限公司</w:t>
      </w:r>
    </w:p>
    <w:p>
      <w:pPr>
        <w:jc w:val="center"/>
        <w:rPr>
          <w:b/>
          <w:color w:val="auto"/>
          <w:sz w:val="28"/>
        </w:rPr>
      </w:pPr>
      <w:r>
        <w:rPr>
          <w:b/>
          <w:color w:val="auto"/>
          <w:sz w:val="28"/>
        </w:rPr>
        <w:t>编制日期：202</w:t>
      </w:r>
      <w:r>
        <w:rPr>
          <w:rFonts w:hint="eastAsia"/>
          <w:b/>
          <w:color w:val="auto"/>
          <w:sz w:val="28"/>
          <w:lang w:val="en-US" w:eastAsia="zh-CN"/>
        </w:rPr>
        <w:t>4</w:t>
      </w:r>
      <w:r>
        <w:rPr>
          <w:b/>
          <w:color w:val="auto"/>
          <w:sz w:val="28"/>
        </w:rPr>
        <w:t>年</w:t>
      </w:r>
      <w:r>
        <w:rPr>
          <w:rFonts w:hint="eastAsia"/>
          <w:b/>
          <w:color w:val="auto"/>
          <w:sz w:val="28"/>
          <w:lang w:val="en-US" w:eastAsia="zh-CN"/>
        </w:rPr>
        <w:t>1</w:t>
      </w:r>
      <w:r>
        <w:rPr>
          <w:b/>
          <w:color w:val="auto"/>
          <w:sz w:val="28"/>
        </w:rPr>
        <w:t>月</w:t>
      </w:r>
    </w:p>
    <w:p>
      <w:pPr>
        <w:widowControl/>
        <w:jc w:val="left"/>
        <w:rPr>
          <w:b/>
          <w:bCs/>
          <w:color w:val="FF0000"/>
          <w:sz w:val="28"/>
          <w:szCs w:val="28"/>
        </w:rPr>
      </w:pPr>
    </w:p>
    <w:p>
      <w:pPr>
        <w:widowControl/>
        <w:jc w:val="left"/>
        <w:rPr>
          <w:b/>
          <w:bCs/>
          <w:color w:val="FF0000"/>
          <w:sz w:val="28"/>
          <w:szCs w:val="28"/>
        </w:rPr>
        <w:sectPr>
          <w:headerReference r:id="rId5" w:type="default"/>
          <w:footerReference r:id="rId6" w:type="default"/>
          <w:pgSz w:w="11906" w:h="16838"/>
          <w:pgMar w:top="1440" w:right="1701" w:bottom="1440" w:left="1701"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p>
    <w:p>
      <w:pPr>
        <w:pStyle w:val="34"/>
        <w:rPr>
          <w:color w:val="auto"/>
        </w:rPr>
      </w:pPr>
      <w:bookmarkStart w:id="0" w:name="_Toc479252796"/>
      <w:r>
        <w:rPr>
          <w:color w:val="auto"/>
        </w:rPr>
        <w:t>目录</w:t>
      </w:r>
    </w:p>
    <w:p>
      <w:pPr>
        <w:pStyle w:val="34"/>
        <w:keepNext w:val="0"/>
        <w:keepLines w:val="0"/>
        <w:pageBreakBefore w:val="0"/>
        <w:widowControl w:val="0"/>
        <w:tabs>
          <w:tab w:val="right" w:leader="dot" w:pos="8306"/>
          <w:tab w:val="clear" w:pos="8302"/>
        </w:tabs>
        <w:kinsoku/>
        <w:wordWrap/>
        <w:overflowPunct/>
        <w:topLinePunct w:val="0"/>
        <w:autoSpaceDE/>
        <w:autoSpaceDN/>
        <w:bidi w:val="0"/>
        <w:adjustRightInd/>
        <w:snapToGrid/>
        <w:spacing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color w:val="FF0000"/>
          <w:sz w:val="24"/>
          <w:szCs w:val="24"/>
        </w:rPr>
        <w:instrText xml:space="preserve"> TOC \o "1-2" \h \z \u </w:instrText>
      </w:r>
      <w:r>
        <w:rPr>
          <w:rFonts w:hint="default" w:ascii="Times New Roman" w:hAnsi="Times New Roman" w:eastAsia="宋体" w:cs="Times New Roman"/>
          <w:b w:val="0"/>
          <w:bCs/>
          <w:color w:val="FF0000"/>
          <w:sz w:val="24"/>
          <w:szCs w:val="24"/>
        </w:rPr>
        <w:fldChar w:fldCharType="separate"/>
      </w: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_Toc27093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0"/>
          <w:sz w:val="24"/>
          <w:szCs w:val="24"/>
        </w:rPr>
        <w:t>1概述</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_Toc27093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_Toc24422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1.1项目由来</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_Toc24422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_Toc10134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1.2项目特点</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_Toc10134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_Toc2254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1.3环境影响评价工作过程</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_Toc2254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5</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_Toc23162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1.4分析判定相关情况</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_Toc23162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7</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_Toc23911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1.5关注的主要环境问题及环境影响</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_Toc23911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18</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_Toc9471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1.6环境影响评价主要结论</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_Toc9471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21</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4"/>
        <w:keepNext w:val="0"/>
        <w:keepLines w:val="0"/>
        <w:pageBreakBefore w:val="0"/>
        <w:widowControl w:val="0"/>
        <w:tabs>
          <w:tab w:val="right" w:leader="dot" w:pos="8306"/>
          <w:tab w:val="clear" w:pos="8302"/>
        </w:tabs>
        <w:kinsoku/>
        <w:wordWrap/>
        <w:overflowPunct/>
        <w:topLinePunct w:val="0"/>
        <w:autoSpaceDE/>
        <w:autoSpaceDN/>
        <w:bidi w:val="0"/>
        <w:adjustRightInd/>
        <w:snapToGrid/>
        <w:spacing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_Toc29833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0"/>
          <w:sz w:val="24"/>
          <w:szCs w:val="24"/>
        </w:rPr>
        <w:t>2总则</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_Toc29833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23</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_Toc3236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2.1编制依据</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_Toc3236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23</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_Toc797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2.2环境影响因素识别与评价因子筛选</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_Toc797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25</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_Toc10888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2.3评价标准</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_Toc10888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26</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_Toc32304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2.4评价工作等级</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_Toc32304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30</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_Toc9774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2.5评价范围及</w:t>
      </w:r>
      <w:r>
        <w:rPr>
          <w:rFonts w:hint="default" w:ascii="Times New Roman" w:hAnsi="Times New Roman" w:eastAsia="宋体" w:cs="Times New Roman"/>
          <w:b w:val="0"/>
          <w:bCs/>
          <w:kern w:val="44"/>
          <w:sz w:val="24"/>
          <w:szCs w:val="24"/>
          <w:lang w:eastAsia="zh-CN"/>
        </w:rPr>
        <w:t>评价重点</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_Toc9774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38</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_Toc833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2.6污染控制与环境保护目标</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_Toc833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39</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4"/>
        <w:keepNext w:val="0"/>
        <w:keepLines w:val="0"/>
        <w:pageBreakBefore w:val="0"/>
        <w:widowControl w:val="0"/>
        <w:tabs>
          <w:tab w:val="right" w:leader="dot" w:pos="8306"/>
          <w:tab w:val="clear" w:pos="8302"/>
        </w:tabs>
        <w:kinsoku/>
        <w:wordWrap/>
        <w:overflowPunct/>
        <w:topLinePunct w:val="0"/>
        <w:autoSpaceDE/>
        <w:autoSpaceDN/>
        <w:bidi w:val="0"/>
        <w:adjustRightInd/>
        <w:snapToGrid/>
        <w:spacing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_Toc29459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0"/>
          <w:sz w:val="24"/>
          <w:szCs w:val="24"/>
        </w:rPr>
        <w:t>3建设项目工程分析</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_Toc29459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41</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_Toc15337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3.1项目概况</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_Toc15337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41</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_Toc20536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3.2影响因素分析</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_Toc20536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51</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_Toc24519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3.2.1施工期影响因素分析</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_Toc24519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51</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_Toc16600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3.3污染源源强核算</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_Toc16600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55</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4"/>
        <w:keepNext w:val="0"/>
        <w:keepLines w:val="0"/>
        <w:pageBreakBefore w:val="0"/>
        <w:widowControl w:val="0"/>
        <w:tabs>
          <w:tab w:val="right" w:leader="dot" w:pos="8306"/>
          <w:tab w:val="clear" w:pos="8302"/>
        </w:tabs>
        <w:kinsoku/>
        <w:wordWrap/>
        <w:overflowPunct/>
        <w:topLinePunct w:val="0"/>
        <w:autoSpaceDE/>
        <w:autoSpaceDN/>
        <w:bidi w:val="0"/>
        <w:adjustRightInd/>
        <w:snapToGrid/>
        <w:spacing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_Toc20188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0"/>
          <w:sz w:val="24"/>
          <w:szCs w:val="24"/>
        </w:rPr>
        <w:t>4环境现状调查与评价</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_Toc20188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89</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_Toc12247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4.1自然环境概况</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_Toc12247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89</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_Toc20413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4.2环境质量现状调查</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_Toc20413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96</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_Toc29927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4.3区域污染源调查</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_Toc29927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111</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_Toc16153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4.4环境保护目标调查</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_Toc16153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111</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4"/>
        <w:keepNext w:val="0"/>
        <w:keepLines w:val="0"/>
        <w:pageBreakBefore w:val="0"/>
        <w:widowControl w:val="0"/>
        <w:tabs>
          <w:tab w:val="right" w:leader="dot" w:pos="8306"/>
          <w:tab w:val="clear" w:pos="8302"/>
        </w:tabs>
        <w:kinsoku/>
        <w:wordWrap/>
        <w:overflowPunct/>
        <w:topLinePunct w:val="0"/>
        <w:autoSpaceDE/>
        <w:autoSpaceDN/>
        <w:bidi w:val="0"/>
        <w:adjustRightInd/>
        <w:snapToGrid/>
        <w:spacing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_Toc22387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0"/>
          <w:sz w:val="24"/>
          <w:szCs w:val="24"/>
        </w:rPr>
        <w:t>5环境影响预测与评价</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_Toc22387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114</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_Toc22341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5.1施工期环境影响分析</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_Toc22341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114</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_Toc13341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5.2运行期环境影响预测与评价</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_Toc13341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117</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4"/>
        <w:keepNext w:val="0"/>
        <w:keepLines w:val="0"/>
        <w:pageBreakBefore w:val="0"/>
        <w:widowControl w:val="0"/>
        <w:tabs>
          <w:tab w:val="right" w:leader="dot" w:pos="8306"/>
          <w:tab w:val="clear" w:pos="8302"/>
        </w:tabs>
        <w:kinsoku/>
        <w:wordWrap/>
        <w:overflowPunct/>
        <w:topLinePunct w:val="0"/>
        <w:autoSpaceDE/>
        <w:autoSpaceDN/>
        <w:bidi w:val="0"/>
        <w:adjustRightInd/>
        <w:snapToGrid/>
        <w:spacing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_Toc9182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0"/>
          <w:sz w:val="24"/>
          <w:szCs w:val="24"/>
        </w:rPr>
        <w:t>6环境保护措施及其可行性论证</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_Toc9182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146</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_Toc12336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6.1施工期环境保护措施及其可行性论证</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_Toc12336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146</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_Toc27946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6.2营运期环境保护措施及其可行性论证</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_Toc27946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148</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_Toc29276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6.3风险防范措施</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_Toc29276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165</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_Toc18579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6.4环境保护投资估算</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_Toc18579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165</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4"/>
        <w:keepNext w:val="0"/>
        <w:keepLines w:val="0"/>
        <w:pageBreakBefore w:val="0"/>
        <w:widowControl w:val="0"/>
        <w:tabs>
          <w:tab w:val="right" w:leader="dot" w:pos="8306"/>
          <w:tab w:val="clear" w:pos="8302"/>
        </w:tabs>
        <w:kinsoku/>
        <w:wordWrap/>
        <w:overflowPunct/>
        <w:topLinePunct w:val="0"/>
        <w:autoSpaceDE/>
        <w:autoSpaceDN/>
        <w:bidi w:val="0"/>
        <w:adjustRightInd/>
        <w:snapToGrid/>
        <w:spacing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_Toc1527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0"/>
          <w:sz w:val="24"/>
          <w:szCs w:val="24"/>
        </w:rPr>
        <w:t>7环境影响经济损益分析</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_Toc1527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169</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_Toc31075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7.1社会经济效益分析</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_Toc31075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169</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_Toc6464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7.2经济效益分析</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_Toc6464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169</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_Toc5241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7.3环境效益分析</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_Toc5241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169</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_Toc30418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7.4环境经济损益简要分析</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_Toc30418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171</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_Toc26218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44"/>
          <w:sz w:val="24"/>
          <w:szCs w:val="24"/>
        </w:rPr>
        <w:t>7.5结论</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_Toc26218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172</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4"/>
        <w:keepNext w:val="0"/>
        <w:keepLines w:val="0"/>
        <w:pageBreakBefore w:val="0"/>
        <w:widowControl w:val="0"/>
        <w:tabs>
          <w:tab w:val="right" w:leader="dot" w:pos="8306"/>
          <w:tab w:val="clear" w:pos="8302"/>
        </w:tabs>
        <w:kinsoku/>
        <w:wordWrap/>
        <w:overflowPunct/>
        <w:topLinePunct w:val="0"/>
        <w:autoSpaceDE/>
        <w:autoSpaceDN/>
        <w:bidi w:val="0"/>
        <w:adjustRightInd/>
        <w:snapToGrid/>
        <w:spacing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_Toc23470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0"/>
          <w:sz w:val="24"/>
          <w:szCs w:val="24"/>
        </w:rPr>
        <w:t>8环境管理与监测计划</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_Toc23470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173</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_Toc22509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napToGrid w:val="0"/>
          <w:kern w:val="0"/>
          <w:sz w:val="24"/>
          <w:szCs w:val="24"/>
        </w:rPr>
        <w:t>8.1环境管理</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_Toc22509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173</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_Toc5758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napToGrid w:val="0"/>
          <w:kern w:val="0"/>
          <w:sz w:val="24"/>
          <w:szCs w:val="24"/>
        </w:rPr>
        <w:t>8.2环境监测</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_Toc5758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181</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_Toc10895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napToGrid w:val="0"/>
          <w:kern w:val="0"/>
          <w:sz w:val="24"/>
          <w:szCs w:val="24"/>
        </w:rPr>
        <w:t>8.3环境保护竣工验收</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_Toc10895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189</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_Toc511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napToGrid w:val="0"/>
          <w:kern w:val="0"/>
          <w:sz w:val="24"/>
          <w:szCs w:val="24"/>
        </w:rPr>
        <w:t>8.4总量控制</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_Toc511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193</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_Toc30709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napToGrid w:val="0"/>
          <w:kern w:val="0"/>
          <w:sz w:val="24"/>
          <w:szCs w:val="24"/>
        </w:rPr>
        <w:t>8.5与排污许可证制度衔接</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_Toc30709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194</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4"/>
        <w:keepNext w:val="0"/>
        <w:keepLines w:val="0"/>
        <w:pageBreakBefore w:val="0"/>
        <w:widowControl w:val="0"/>
        <w:tabs>
          <w:tab w:val="right" w:leader="dot" w:pos="8306"/>
          <w:tab w:val="clear" w:pos="8302"/>
        </w:tabs>
        <w:kinsoku/>
        <w:wordWrap/>
        <w:overflowPunct/>
        <w:topLinePunct w:val="0"/>
        <w:autoSpaceDE/>
        <w:autoSpaceDN/>
        <w:bidi w:val="0"/>
        <w:adjustRightInd/>
        <w:snapToGrid/>
        <w:spacing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_Toc15286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kern w:val="0"/>
          <w:sz w:val="24"/>
          <w:szCs w:val="24"/>
        </w:rPr>
        <w:t>9环境影响评价结论</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_Toc15286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195</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_Toc28725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napToGrid w:val="0"/>
          <w:kern w:val="0"/>
          <w:sz w:val="24"/>
          <w:szCs w:val="24"/>
        </w:rPr>
        <w:t>9.1评价结论</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_Toc28725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195</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_Toc16736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napToGrid w:val="0"/>
          <w:kern w:val="0"/>
          <w:sz w:val="24"/>
          <w:szCs w:val="24"/>
        </w:rPr>
        <w:t>9.2建议</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_Toc16736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200</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_Toc30745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lang w:val="en-US" w:eastAsia="zh-CN"/>
        </w:rPr>
        <w:t>附图1项目地理位置图</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_Toc30745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211</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_Toc12981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lang w:val="en-US" w:eastAsia="zh-CN"/>
        </w:rPr>
        <w:t>附图2 项目平面布置图</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_Toc12981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212</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_Toc3646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lang w:val="en-US" w:eastAsia="zh-CN"/>
        </w:rPr>
        <w:t>附图3评价范围图</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_Toc3646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213</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_Toc8824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lang w:val="en-US" w:eastAsia="zh-CN"/>
        </w:rPr>
        <w:t>附图4哈尔滨市环境管控单元图</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_Toc8824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214</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_Toc22132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highlight w:val="none"/>
          <w:lang w:val="en-US" w:eastAsia="zh-CN"/>
        </w:rPr>
        <w:t>附图5周围环境关系图</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_Toc22132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215</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_Toc30966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lang w:val="en-US" w:eastAsia="zh-CN"/>
        </w:rPr>
        <w:t>附件1营业执照</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_Toc30966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216</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_Toc25796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lang w:val="en-US" w:eastAsia="zh-CN"/>
        </w:rPr>
        <w:t>附件2土地证</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_Toc25796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217</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_Toc15180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lang w:val="en-US" w:eastAsia="zh-CN"/>
        </w:rPr>
        <w:t>附件3合作协议书</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_Toc15180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218</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_Toc28170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lang w:val="en-US" w:eastAsia="zh-CN"/>
        </w:rPr>
        <w:t>附件4投资备案承诺书</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_Toc28170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221</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_Toc26174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lang w:val="en-US" w:eastAsia="zh-CN"/>
        </w:rPr>
        <w:t>附件5燃料分析报告</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_Toc26174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222</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pStyle w:val="38"/>
        <w:keepNext w:val="0"/>
        <w:keepLines w:val="0"/>
        <w:pageBreakBefore w:val="0"/>
        <w:widowControl w:val="0"/>
        <w:tabs>
          <w:tab w:val="right" w:leader="dot" w:pos="8306"/>
        </w:tabs>
        <w:kinsoku/>
        <w:wordWrap/>
        <w:overflowPunct/>
        <w:topLinePunct w:val="0"/>
        <w:autoSpaceDE/>
        <w:autoSpaceDN/>
        <w:bidi w:val="0"/>
        <w:adjustRightInd/>
        <w:snapToGrid/>
        <w:spacing w:before="0" w:line="348" w:lineRule="auto"/>
        <w:ind w:left="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color w:val="FF0000"/>
          <w:sz w:val="24"/>
          <w:szCs w:val="24"/>
        </w:rPr>
        <w:fldChar w:fldCharType="begin"/>
      </w:r>
      <w:r>
        <w:rPr>
          <w:rFonts w:hint="default" w:ascii="Times New Roman" w:hAnsi="Times New Roman" w:eastAsia="宋体" w:cs="Times New Roman"/>
          <w:b w:val="0"/>
          <w:bCs/>
          <w:sz w:val="24"/>
          <w:szCs w:val="24"/>
        </w:rPr>
        <w:instrText xml:space="preserve"> HYPERLINK \l _Toc29194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highlight w:val="none"/>
          <w:lang w:val="en-US" w:eastAsia="zh-CN"/>
        </w:rPr>
        <w:t>附件6检测报告</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z w:val="24"/>
          <w:szCs w:val="24"/>
        </w:rPr>
        <w:fldChar w:fldCharType="begin"/>
      </w:r>
      <w:r>
        <w:rPr>
          <w:rFonts w:hint="default" w:ascii="Times New Roman" w:hAnsi="Times New Roman" w:eastAsia="宋体" w:cs="Times New Roman"/>
          <w:b w:val="0"/>
          <w:bCs/>
          <w:sz w:val="24"/>
          <w:szCs w:val="24"/>
        </w:rPr>
        <w:instrText xml:space="preserve"> PAGEREF _Toc29194 \h </w:instrText>
      </w:r>
      <w:r>
        <w:rPr>
          <w:rFonts w:hint="default" w:ascii="Times New Roman" w:hAnsi="Times New Roman" w:eastAsia="宋体" w:cs="Times New Roman"/>
          <w:b w:val="0"/>
          <w:bCs/>
          <w:sz w:val="24"/>
          <w:szCs w:val="24"/>
        </w:rPr>
        <w:fldChar w:fldCharType="separate"/>
      </w:r>
      <w:r>
        <w:rPr>
          <w:rFonts w:hint="default" w:ascii="Times New Roman" w:hAnsi="Times New Roman" w:eastAsia="宋体" w:cs="Times New Roman"/>
          <w:b w:val="0"/>
          <w:bCs/>
          <w:sz w:val="24"/>
          <w:szCs w:val="24"/>
        </w:rPr>
        <w:t>223</w:t>
      </w:r>
      <w:r>
        <w:rPr>
          <w:rFonts w:hint="default" w:ascii="Times New Roman" w:hAnsi="Times New Roman" w:eastAsia="宋体" w:cs="Times New Roman"/>
          <w:b w:val="0"/>
          <w:bCs/>
          <w:sz w:val="24"/>
          <w:szCs w:val="24"/>
        </w:rPr>
        <w:fldChar w:fldCharType="end"/>
      </w:r>
      <w:r>
        <w:rPr>
          <w:rFonts w:hint="default" w:ascii="Times New Roman" w:hAnsi="Times New Roman" w:eastAsia="宋体" w:cs="Times New Roman"/>
          <w:b w:val="0"/>
          <w:bCs/>
          <w:color w:val="FF0000"/>
          <w:sz w:val="24"/>
          <w:szCs w:val="24"/>
        </w:rPr>
        <w:fldChar w:fldCharType="end"/>
      </w:r>
    </w:p>
    <w:p>
      <w:pPr>
        <w:keepNext w:val="0"/>
        <w:keepLines w:val="0"/>
        <w:pageBreakBefore w:val="0"/>
        <w:widowControl w:val="0"/>
        <w:kinsoku/>
        <w:wordWrap/>
        <w:overflowPunct/>
        <w:topLinePunct w:val="0"/>
        <w:autoSpaceDE/>
        <w:autoSpaceDN/>
        <w:bidi w:val="0"/>
        <w:adjustRightInd/>
        <w:snapToGrid/>
        <w:spacing w:line="348" w:lineRule="auto"/>
        <w:ind w:left="0" w:firstLine="425"/>
        <w:textAlignment w:val="auto"/>
        <w:rPr>
          <w:color w:val="FF0000"/>
          <w:sz w:val="28"/>
          <w:szCs w:val="28"/>
        </w:rPr>
        <w:sectPr>
          <w:headerReference r:id="rId7" w:type="default"/>
          <w:footerReference r:id="rId8"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r>
        <w:rPr>
          <w:rFonts w:hint="default" w:ascii="Times New Roman" w:hAnsi="Times New Roman" w:eastAsia="宋体" w:cs="Times New Roman"/>
          <w:b w:val="0"/>
          <w:bCs/>
          <w:color w:val="FF0000"/>
          <w:sz w:val="24"/>
          <w:szCs w:val="24"/>
        </w:rPr>
        <w:fldChar w:fldCharType="end"/>
      </w:r>
      <w:bookmarkStart w:id="307" w:name="_GoBack"/>
      <w:bookmarkEnd w:id="307"/>
    </w:p>
    <w:p>
      <w:pPr>
        <w:widowControl/>
        <w:tabs>
          <w:tab w:val="left" w:leader="middleDot" w:pos="7371"/>
        </w:tabs>
        <w:spacing w:line="360" w:lineRule="auto"/>
        <w:contextualSpacing/>
        <w:jc w:val="left"/>
        <w:outlineLvl w:val="0"/>
        <w:rPr>
          <w:b/>
          <w:color w:val="auto"/>
          <w:kern w:val="0"/>
          <w:sz w:val="32"/>
          <w:szCs w:val="32"/>
        </w:rPr>
      </w:pPr>
      <w:bookmarkStart w:id="1" w:name="_Toc27093"/>
      <w:r>
        <w:rPr>
          <w:b/>
          <w:color w:val="auto"/>
          <w:kern w:val="0"/>
          <w:sz w:val="32"/>
          <w:szCs w:val="32"/>
        </w:rPr>
        <w:t>1概述</w:t>
      </w:r>
      <w:bookmarkEnd w:id="0"/>
      <w:bookmarkEnd w:id="1"/>
    </w:p>
    <w:p>
      <w:pPr>
        <w:spacing w:line="360" w:lineRule="auto"/>
        <w:contextualSpacing/>
        <w:jc w:val="left"/>
        <w:outlineLvl w:val="1"/>
        <w:rPr>
          <w:b/>
          <w:bCs/>
          <w:color w:val="auto"/>
          <w:kern w:val="44"/>
          <w:sz w:val="30"/>
          <w:szCs w:val="30"/>
        </w:rPr>
      </w:pPr>
      <w:bookmarkStart w:id="2" w:name="_Toc24422"/>
      <w:r>
        <w:rPr>
          <w:b/>
          <w:bCs/>
          <w:color w:val="auto"/>
          <w:kern w:val="44"/>
          <w:sz w:val="30"/>
          <w:szCs w:val="30"/>
        </w:rPr>
        <w:t>1.1项目由来</w:t>
      </w:r>
      <w:bookmarkEnd w:id="2"/>
    </w:p>
    <w:p>
      <w:pPr>
        <w:spacing w:line="360" w:lineRule="auto"/>
        <w:ind w:firstLine="480" w:firstLineChars="200"/>
        <w:rPr>
          <w:snapToGrid w:val="0"/>
          <w:color w:val="auto"/>
          <w:kern w:val="0"/>
          <w:sz w:val="24"/>
        </w:rPr>
      </w:pPr>
      <w:bookmarkStart w:id="3" w:name="_Toc479252798"/>
      <w:r>
        <w:rPr>
          <w:rFonts w:hint="eastAsia"/>
          <w:snapToGrid w:val="0"/>
          <w:color w:val="auto"/>
          <w:kern w:val="0"/>
          <w:sz w:val="24"/>
        </w:rPr>
        <w:t>随着我国经济的快速发展和居民生活水平的不断提高，国内肉类产品消费观念、消费水平和消费结构发生了显著变化，肉的需求量大幅度增加，市场前景较为广阔。因此，根据市场发展需要，本项目计划建设一条肉牛屠宰</w:t>
      </w:r>
      <w:r>
        <w:rPr>
          <w:rFonts w:hint="eastAsia"/>
          <w:snapToGrid w:val="0"/>
          <w:color w:val="auto"/>
          <w:kern w:val="0"/>
          <w:sz w:val="24"/>
          <w:lang w:val="en-US" w:eastAsia="zh-CN"/>
        </w:rPr>
        <w:t>加工</w:t>
      </w:r>
      <w:r>
        <w:rPr>
          <w:rFonts w:hint="eastAsia"/>
          <w:snapToGrid w:val="0"/>
          <w:color w:val="auto"/>
          <w:kern w:val="0"/>
          <w:sz w:val="24"/>
        </w:rPr>
        <w:t>生产线。</w:t>
      </w:r>
    </w:p>
    <w:p>
      <w:pPr>
        <w:spacing w:line="360" w:lineRule="auto"/>
        <w:ind w:firstLine="480" w:firstLineChars="200"/>
        <w:rPr>
          <w:snapToGrid w:val="0"/>
          <w:color w:val="auto"/>
          <w:kern w:val="0"/>
          <w:sz w:val="24"/>
        </w:rPr>
      </w:pPr>
      <w:r>
        <w:rPr>
          <w:rFonts w:hint="eastAsia"/>
          <w:snapToGrid w:val="0"/>
          <w:color w:val="auto"/>
          <w:kern w:val="0"/>
          <w:sz w:val="24"/>
          <w:highlight w:val="none"/>
          <w:lang w:eastAsia="zh-CN"/>
        </w:rPr>
        <w:t>黑龙江省哈尔滨市尚志市黑龙江省龙源工贸集团有限公司黑龙江阿穆屠宰有限公司肉牛屠宰厂建设项目</w:t>
      </w:r>
      <w:r>
        <w:rPr>
          <w:snapToGrid w:val="0"/>
          <w:color w:val="auto"/>
          <w:kern w:val="0"/>
          <w:sz w:val="24"/>
        </w:rPr>
        <w:t>位于黑龙江省</w:t>
      </w:r>
      <w:r>
        <w:rPr>
          <w:rFonts w:hint="eastAsia"/>
          <w:snapToGrid w:val="0"/>
          <w:color w:val="auto"/>
          <w:kern w:val="0"/>
          <w:sz w:val="24"/>
          <w:lang w:eastAsia="zh-CN"/>
        </w:rPr>
        <w:t>哈尔滨市尚志市长寿乡一曼村</w:t>
      </w:r>
      <w:r>
        <w:rPr>
          <w:snapToGrid w:val="0"/>
          <w:color w:val="auto"/>
          <w:kern w:val="0"/>
          <w:sz w:val="24"/>
        </w:rPr>
        <w:t>，为新建项目，总投资</w:t>
      </w:r>
      <w:r>
        <w:rPr>
          <w:rFonts w:hint="eastAsia"/>
          <w:snapToGrid w:val="0"/>
          <w:color w:val="auto"/>
          <w:kern w:val="0"/>
          <w:sz w:val="24"/>
          <w:lang w:eastAsia="zh-CN"/>
        </w:rPr>
        <w:t>5000万</w:t>
      </w:r>
      <w:r>
        <w:rPr>
          <w:snapToGrid w:val="0"/>
          <w:color w:val="auto"/>
          <w:kern w:val="0"/>
          <w:sz w:val="24"/>
        </w:rPr>
        <w:t>元，本项目</w:t>
      </w:r>
      <w:r>
        <w:rPr>
          <w:rFonts w:hint="eastAsia"/>
          <w:snapToGrid w:val="0"/>
          <w:color w:val="auto"/>
          <w:kern w:val="0"/>
          <w:sz w:val="24"/>
        </w:rPr>
        <w:t>投产</w:t>
      </w:r>
      <w:r>
        <w:rPr>
          <w:snapToGrid w:val="0"/>
          <w:color w:val="auto"/>
          <w:kern w:val="0"/>
          <w:sz w:val="24"/>
        </w:rPr>
        <w:t>后年</w:t>
      </w:r>
      <w:r>
        <w:rPr>
          <w:rFonts w:hint="eastAsia"/>
          <w:snapToGrid w:val="0"/>
          <w:color w:val="auto"/>
          <w:kern w:val="0"/>
          <w:sz w:val="24"/>
        </w:rPr>
        <w:t>屠宰肉牛</w:t>
      </w:r>
      <w:r>
        <w:rPr>
          <w:rFonts w:hint="eastAsia"/>
          <w:snapToGrid w:val="0"/>
          <w:color w:val="auto"/>
          <w:kern w:val="0"/>
          <w:sz w:val="24"/>
          <w:lang w:eastAsia="zh-CN"/>
        </w:rPr>
        <w:t>2万</w:t>
      </w:r>
      <w:r>
        <w:rPr>
          <w:snapToGrid w:val="0"/>
          <w:color w:val="auto"/>
          <w:kern w:val="0"/>
          <w:sz w:val="24"/>
        </w:rPr>
        <w:t>头。</w:t>
      </w:r>
    </w:p>
    <w:p>
      <w:pPr>
        <w:pStyle w:val="74"/>
        <w:adjustRightInd/>
        <w:snapToGrid/>
        <w:contextualSpacing/>
        <w:rPr>
          <w:rFonts w:ascii="Times New Roman" w:hAnsi="Times New Roman" w:eastAsia="宋体" w:cs="Times New Roman"/>
          <w:color w:val="auto"/>
        </w:rPr>
      </w:pPr>
      <w:r>
        <w:rPr>
          <w:rFonts w:ascii="Times New Roman" w:hAnsi="Times New Roman" w:eastAsia="宋体" w:cs="Times New Roman"/>
          <w:color w:val="auto"/>
        </w:rPr>
        <w:t>按照《中华人民共和国环境影响评价法》和《建设项目环境保护管理条例》等环保法规和条例中的有关规定，需对该项目进行环境影响评价，受</w:t>
      </w:r>
      <w:r>
        <w:rPr>
          <w:rFonts w:hint="eastAsia" w:ascii="Times New Roman" w:hAnsi="Times New Roman" w:eastAsia="宋体" w:cs="Times New Roman"/>
          <w:color w:val="auto"/>
          <w:lang w:eastAsia="zh-CN"/>
        </w:rPr>
        <w:t>黑龙江阿穆屠宰有限公司</w:t>
      </w:r>
      <w:r>
        <w:rPr>
          <w:rFonts w:ascii="Times New Roman" w:hAnsi="Times New Roman" w:eastAsia="宋体" w:cs="Times New Roman"/>
          <w:color w:val="auto"/>
        </w:rPr>
        <w:t>委托，</w:t>
      </w:r>
      <w:r>
        <w:rPr>
          <w:rFonts w:hint="eastAsia" w:ascii="Times New Roman" w:hAnsi="Times New Roman" w:eastAsia="宋体" w:cs="Times New Roman"/>
          <w:color w:val="auto"/>
          <w:lang w:eastAsia="zh-CN"/>
        </w:rPr>
        <w:t>黑龙江辰瀚环境保护有限公司</w:t>
      </w:r>
      <w:r>
        <w:rPr>
          <w:rFonts w:ascii="Times New Roman" w:hAnsi="Times New Roman" w:eastAsia="宋体" w:cs="Times New Roman"/>
          <w:color w:val="auto"/>
        </w:rPr>
        <w:t>承担了本项目的环境影响评价工作，对</w:t>
      </w:r>
      <w:r>
        <w:rPr>
          <w:rFonts w:hint="eastAsia" w:ascii="Times New Roman" w:hAnsi="Times New Roman" w:eastAsia="宋体" w:cs="Times New Roman"/>
          <w:color w:val="auto"/>
          <w:lang w:eastAsia="zh-CN"/>
        </w:rPr>
        <w:t>黑龙江省哈尔滨市尚志市黑龙江省龙源工贸集团有限公司黑龙江阿穆屠宰有限公司肉牛屠宰厂建设项目</w:t>
      </w:r>
      <w:r>
        <w:rPr>
          <w:rFonts w:ascii="Times New Roman" w:hAnsi="Times New Roman" w:eastAsia="宋体" w:cs="Times New Roman"/>
          <w:color w:val="auto"/>
        </w:rPr>
        <w:t>的建设与运营可能产生的环境影响进行分析、预测与评估，提出减缓不利环境影响的对策与措施，从环境保护角度论证项目建设的可行性，给出明确的环境影响评价结论。</w:t>
      </w:r>
    </w:p>
    <w:bookmarkEnd w:id="3"/>
    <w:p>
      <w:pPr>
        <w:spacing w:line="360" w:lineRule="auto"/>
        <w:contextualSpacing/>
        <w:jc w:val="left"/>
        <w:outlineLvl w:val="1"/>
        <w:rPr>
          <w:b/>
          <w:bCs/>
          <w:color w:val="auto"/>
          <w:kern w:val="44"/>
          <w:sz w:val="30"/>
          <w:szCs w:val="30"/>
        </w:rPr>
      </w:pPr>
      <w:bookmarkStart w:id="4" w:name="_Toc524431260"/>
      <w:bookmarkStart w:id="5" w:name="_Toc15991611"/>
      <w:bookmarkStart w:id="6" w:name="_Toc10134"/>
      <w:r>
        <w:rPr>
          <w:b/>
          <w:bCs/>
          <w:color w:val="auto"/>
          <w:kern w:val="44"/>
          <w:sz w:val="30"/>
          <w:szCs w:val="30"/>
        </w:rPr>
        <w:t>1.2项目特点</w:t>
      </w:r>
      <w:bookmarkEnd w:id="4"/>
      <w:bookmarkEnd w:id="5"/>
      <w:bookmarkEnd w:id="6"/>
    </w:p>
    <w:p>
      <w:pPr>
        <w:pStyle w:val="5"/>
        <w:spacing w:before="0" w:after="0" w:line="360" w:lineRule="auto"/>
        <w:ind w:firstLine="0" w:firstLineChars="0"/>
        <w:contextualSpacing/>
        <w:rPr>
          <w:rFonts w:ascii="Times New Roman" w:hAnsi="Times New Roman" w:cs="Times New Roman"/>
          <w:b/>
          <w:bCs/>
          <w:color w:val="auto"/>
          <w:sz w:val="28"/>
          <w:szCs w:val="28"/>
        </w:rPr>
      </w:pPr>
      <w:bookmarkStart w:id="7" w:name="_Toc524431261"/>
      <w:bookmarkStart w:id="8" w:name="_Toc15991612"/>
      <w:r>
        <w:rPr>
          <w:rFonts w:ascii="Times New Roman" w:hAnsi="Times New Roman" w:cs="Times New Roman"/>
          <w:b/>
          <w:color w:val="auto"/>
          <w:sz w:val="28"/>
          <w:szCs w:val="28"/>
        </w:rPr>
        <w:t>1.2.1项目概况</w:t>
      </w:r>
      <w:bookmarkEnd w:id="7"/>
      <w:bookmarkEnd w:id="8"/>
    </w:p>
    <w:p>
      <w:pPr>
        <w:spacing w:line="360" w:lineRule="auto"/>
        <w:ind w:firstLine="480" w:firstLineChars="200"/>
        <w:contextualSpacing/>
        <w:rPr>
          <w:color w:val="auto"/>
          <w:sz w:val="24"/>
        </w:rPr>
      </w:pPr>
      <w:r>
        <w:rPr>
          <w:color w:val="auto"/>
          <w:sz w:val="24"/>
        </w:rPr>
        <w:t>本项目为</w:t>
      </w:r>
      <w:r>
        <w:rPr>
          <w:rFonts w:hint="eastAsia"/>
          <w:color w:val="auto"/>
          <w:sz w:val="24"/>
          <w:lang w:eastAsia="zh-CN"/>
        </w:rPr>
        <w:t>黑龙江省哈尔滨市尚志市黑龙江省龙源工贸集团有限公司黑龙江阿穆屠宰有限公司肉牛屠宰厂建设项目</w:t>
      </w:r>
      <w:r>
        <w:rPr>
          <w:color w:val="auto"/>
          <w:sz w:val="24"/>
        </w:rPr>
        <w:t>，位于黑龙江省</w:t>
      </w:r>
      <w:r>
        <w:rPr>
          <w:rFonts w:hint="eastAsia"/>
          <w:color w:val="auto"/>
          <w:sz w:val="24"/>
          <w:lang w:eastAsia="zh-CN"/>
        </w:rPr>
        <w:t>哈尔滨市尚志市长寿乡一曼村</w:t>
      </w:r>
      <w:r>
        <w:rPr>
          <w:color w:val="auto"/>
          <w:sz w:val="24"/>
        </w:rPr>
        <w:t>，</w:t>
      </w:r>
      <w:r>
        <w:rPr>
          <w:color w:val="auto"/>
          <w:sz w:val="24"/>
          <w:highlight w:val="none"/>
        </w:rPr>
        <w:t>占地面积</w:t>
      </w:r>
      <w:r>
        <w:rPr>
          <w:rFonts w:hint="eastAsia"/>
          <w:color w:val="auto"/>
          <w:sz w:val="24"/>
          <w:highlight w:val="none"/>
          <w:lang w:eastAsia="zh-CN"/>
        </w:rPr>
        <w:t>29672</w:t>
      </w:r>
      <w:r>
        <w:rPr>
          <w:color w:val="auto"/>
          <w:sz w:val="24"/>
          <w:highlight w:val="none"/>
        </w:rPr>
        <w:t>m</w:t>
      </w:r>
      <w:r>
        <w:rPr>
          <w:color w:val="auto"/>
          <w:sz w:val="24"/>
          <w:highlight w:val="none"/>
          <w:vertAlign w:val="superscript"/>
        </w:rPr>
        <w:t>2</w:t>
      </w:r>
      <w:r>
        <w:rPr>
          <w:color w:val="auto"/>
          <w:sz w:val="24"/>
          <w:highlight w:val="none"/>
        </w:rPr>
        <w:t>，占地类型为</w:t>
      </w:r>
      <w:r>
        <w:rPr>
          <w:rFonts w:hint="eastAsia"/>
          <w:color w:val="auto"/>
          <w:sz w:val="24"/>
          <w:highlight w:val="none"/>
        </w:rPr>
        <w:t>工业</w:t>
      </w:r>
      <w:r>
        <w:rPr>
          <w:color w:val="auto"/>
          <w:sz w:val="24"/>
          <w:highlight w:val="none"/>
        </w:rPr>
        <w:t>用地。本项目</w:t>
      </w:r>
      <w:r>
        <w:rPr>
          <w:rFonts w:hint="eastAsia"/>
          <w:color w:val="auto"/>
          <w:sz w:val="24"/>
          <w:highlight w:val="none"/>
          <w:lang w:val="en-US" w:eastAsia="zh-CN"/>
        </w:rPr>
        <w:t>购买</w:t>
      </w:r>
      <w:r>
        <w:rPr>
          <w:rFonts w:hint="eastAsia"/>
          <w:color w:val="auto"/>
          <w:sz w:val="24"/>
          <w:highlight w:val="none"/>
          <w:lang w:eastAsia="zh-CN"/>
        </w:rPr>
        <w:t>黑龙江省龙源工贸集团有限公司</w:t>
      </w:r>
      <w:r>
        <w:rPr>
          <w:rFonts w:hint="eastAsia"/>
          <w:color w:val="auto"/>
          <w:sz w:val="24"/>
          <w:highlight w:val="none"/>
          <w:lang w:val="en-US" w:eastAsia="zh-CN"/>
        </w:rPr>
        <w:t>土地，利用原有办公楼、锅炉房、储氨房、库房及冷库，另</w:t>
      </w:r>
      <w:r>
        <w:rPr>
          <w:rFonts w:hint="default"/>
          <w:color w:val="auto"/>
          <w:sz w:val="24"/>
          <w:highlight w:val="none"/>
        </w:rPr>
        <w:t>新建</w:t>
      </w:r>
      <w:r>
        <w:rPr>
          <w:rFonts w:hint="eastAsia"/>
          <w:color w:val="auto"/>
          <w:sz w:val="24"/>
          <w:highlight w:val="none"/>
          <w:lang w:val="en-US" w:eastAsia="zh-CN"/>
        </w:rPr>
        <w:t>屠宰</w:t>
      </w:r>
      <w:r>
        <w:rPr>
          <w:rFonts w:hint="default"/>
          <w:color w:val="auto"/>
          <w:sz w:val="24"/>
          <w:highlight w:val="none"/>
        </w:rPr>
        <w:t>加工车间</w:t>
      </w:r>
      <w:r>
        <w:rPr>
          <w:rFonts w:hint="eastAsia"/>
          <w:color w:val="auto"/>
          <w:sz w:val="24"/>
          <w:highlight w:val="none"/>
          <w:lang w:eastAsia="zh-CN"/>
        </w:rPr>
        <w:t>、</w:t>
      </w:r>
      <w:r>
        <w:rPr>
          <w:rFonts w:hint="default"/>
          <w:color w:val="auto"/>
          <w:sz w:val="24"/>
          <w:highlight w:val="none"/>
        </w:rPr>
        <w:t>待宰间</w:t>
      </w:r>
      <w:r>
        <w:rPr>
          <w:rFonts w:hint="eastAsia"/>
          <w:color w:val="auto"/>
          <w:sz w:val="24"/>
          <w:highlight w:val="none"/>
          <w:lang w:eastAsia="zh-CN"/>
        </w:rPr>
        <w:t>、</w:t>
      </w:r>
      <w:r>
        <w:rPr>
          <w:rFonts w:hint="eastAsia"/>
          <w:color w:val="auto"/>
          <w:sz w:val="24"/>
          <w:highlight w:val="none"/>
          <w:lang w:val="en-US" w:eastAsia="zh-CN"/>
        </w:rPr>
        <w:t>急宰间</w:t>
      </w:r>
      <w:r>
        <w:rPr>
          <w:rFonts w:hint="default"/>
          <w:color w:val="auto"/>
          <w:sz w:val="24"/>
          <w:highlight w:val="none"/>
        </w:rPr>
        <w:t>。</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1.2.2</w:t>
      </w:r>
      <w:r>
        <w:rPr>
          <w:rFonts w:hint="eastAsia" w:ascii="Times New Roman" w:hAnsi="Times New Roman" w:cs="Times New Roman"/>
          <w:b/>
          <w:color w:val="auto"/>
          <w:sz w:val="28"/>
          <w:szCs w:val="28"/>
        </w:rPr>
        <w:t>生产</w:t>
      </w:r>
      <w:r>
        <w:rPr>
          <w:rFonts w:ascii="Times New Roman" w:hAnsi="Times New Roman" w:cs="Times New Roman"/>
          <w:b/>
          <w:color w:val="auto"/>
          <w:sz w:val="28"/>
          <w:szCs w:val="28"/>
        </w:rPr>
        <w:t>工艺</w:t>
      </w:r>
    </w:p>
    <w:p>
      <w:pPr>
        <w:spacing w:line="360" w:lineRule="auto"/>
        <w:ind w:firstLine="480" w:firstLineChars="200"/>
        <w:contextualSpacing/>
        <w:rPr>
          <w:color w:val="auto"/>
          <w:sz w:val="24"/>
        </w:rPr>
      </w:pPr>
      <w:r>
        <w:rPr>
          <w:color w:val="auto"/>
          <w:sz w:val="24"/>
        </w:rPr>
        <w:t>本项目工艺为宰前检疫、待宰、电麻击晕、刺杀沥血、预剥皮、割头蹄、扯皮、开膛去内脏、修整、冲淋、</w:t>
      </w:r>
      <w:r>
        <w:rPr>
          <w:rFonts w:hint="eastAsia"/>
          <w:color w:val="auto"/>
          <w:sz w:val="24"/>
          <w:lang w:val="en-US" w:eastAsia="zh-CN"/>
        </w:rPr>
        <w:t>冷却排酸、</w:t>
      </w:r>
      <w:r>
        <w:rPr>
          <w:color w:val="auto"/>
          <w:sz w:val="24"/>
        </w:rPr>
        <w:t>分割、包装速冻、冷库储存、产品出售</w:t>
      </w:r>
      <w:r>
        <w:rPr>
          <w:rFonts w:hint="eastAsia"/>
          <w:color w:val="auto"/>
          <w:sz w:val="24"/>
        </w:rPr>
        <w:t>。</w:t>
      </w:r>
      <w:r>
        <w:rPr>
          <w:color w:val="auto"/>
          <w:sz w:val="24"/>
        </w:rPr>
        <w:t>项目对环境的影响主要是废水及废气，</w:t>
      </w:r>
      <w:r>
        <w:rPr>
          <w:rFonts w:hint="eastAsia"/>
          <w:color w:val="auto"/>
          <w:sz w:val="24"/>
          <w:highlight w:val="none"/>
          <w:lang w:val="en-US" w:eastAsia="zh-CN"/>
        </w:rPr>
        <w:t>废水为锅炉排污水、软水制备排污水</w:t>
      </w:r>
      <w:r>
        <w:rPr>
          <w:rFonts w:hint="eastAsia"/>
          <w:color w:val="auto"/>
          <w:sz w:val="24"/>
          <w:lang w:val="en-US" w:eastAsia="zh-CN"/>
        </w:rPr>
        <w:t>及屠宰废水，</w:t>
      </w:r>
      <w:r>
        <w:rPr>
          <w:color w:val="auto"/>
          <w:sz w:val="24"/>
        </w:rPr>
        <w:t>屠宰废水来自于</w:t>
      </w:r>
      <w:r>
        <w:rPr>
          <w:rFonts w:hint="eastAsia"/>
          <w:color w:val="auto"/>
          <w:sz w:val="24"/>
        </w:rPr>
        <w:t>待宰间废水、屠宰车间</w:t>
      </w:r>
      <w:r>
        <w:rPr>
          <w:rFonts w:hint="eastAsia"/>
          <w:color w:val="auto"/>
          <w:sz w:val="24"/>
          <w:lang w:val="en-US" w:eastAsia="zh-CN"/>
        </w:rPr>
        <w:t>及急宰间废水</w:t>
      </w:r>
      <w:r>
        <w:rPr>
          <w:rFonts w:hint="eastAsia"/>
          <w:color w:val="auto"/>
          <w:sz w:val="24"/>
        </w:rPr>
        <w:t>等，污染因子主要为pH、</w:t>
      </w:r>
      <w:r>
        <w:rPr>
          <w:color w:val="auto"/>
          <w:sz w:val="24"/>
        </w:rPr>
        <w:t>COD、</w:t>
      </w:r>
      <w:r>
        <w:rPr>
          <w:rFonts w:hint="eastAsia"/>
          <w:color w:val="auto"/>
          <w:sz w:val="24"/>
        </w:rPr>
        <w:t>BOD</w:t>
      </w:r>
      <w:r>
        <w:rPr>
          <w:rFonts w:hint="eastAsia"/>
          <w:color w:val="auto"/>
          <w:sz w:val="24"/>
          <w:vertAlign w:val="subscript"/>
        </w:rPr>
        <w:t>5</w:t>
      </w:r>
      <w:r>
        <w:rPr>
          <w:rFonts w:hint="eastAsia"/>
          <w:color w:val="auto"/>
          <w:sz w:val="24"/>
        </w:rPr>
        <w:t>、SS、动植物油、</w:t>
      </w:r>
      <w:r>
        <w:rPr>
          <w:color w:val="auto"/>
          <w:sz w:val="24"/>
        </w:rPr>
        <w:t>NH</w:t>
      </w:r>
      <w:r>
        <w:rPr>
          <w:color w:val="auto"/>
          <w:sz w:val="24"/>
          <w:vertAlign w:val="subscript"/>
        </w:rPr>
        <w:t>3</w:t>
      </w:r>
      <w:r>
        <w:rPr>
          <w:color w:val="auto"/>
          <w:sz w:val="24"/>
        </w:rPr>
        <w:t>-N</w:t>
      </w:r>
      <w:r>
        <w:rPr>
          <w:rFonts w:hint="eastAsia"/>
          <w:color w:val="auto"/>
          <w:sz w:val="24"/>
        </w:rPr>
        <w:t>、</w:t>
      </w:r>
      <w:r>
        <w:rPr>
          <w:rFonts w:hint="eastAsia"/>
          <w:bCs/>
          <w:color w:val="auto"/>
          <w:sz w:val="24"/>
        </w:rPr>
        <w:t>大肠菌群数。废气主要是待宰间、屠宰车间、污水处理站</w:t>
      </w:r>
      <w:r>
        <w:rPr>
          <w:bCs/>
          <w:color w:val="auto"/>
          <w:sz w:val="24"/>
        </w:rPr>
        <w:t>等产生的</w:t>
      </w:r>
      <w:r>
        <w:rPr>
          <w:rFonts w:hint="eastAsia"/>
          <w:bCs/>
          <w:color w:val="auto"/>
          <w:sz w:val="24"/>
          <w:lang w:val="en-US" w:eastAsia="zh-CN"/>
        </w:rPr>
        <w:t>恶臭</w:t>
      </w:r>
      <w:r>
        <w:rPr>
          <w:bCs/>
          <w:color w:val="auto"/>
          <w:sz w:val="24"/>
        </w:rPr>
        <w:t>气</w:t>
      </w:r>
      <w:r>
        <w:rPr>
          <w:rFonts w:hint="eastAsia"/>
          <w:bCs/>
          <w:color w:val="auto"/>
          <w:sz w:val="24"/>
          <w:lang w:val="en-US" w:eastAsia="zh-CN"/>
        </w:rPr>
        <w:t>体及锅炉房烟气</w:t>
      </w:r>
      <w:r>
        <w:rPr>
          <w:bCs/>
          <w:color w:val="auto"/>
          <w:sz w:val="24"/>
        </w:rPr>
        <w:t>，主要以硫化氢</w:t>
      </w:r>
      <w:r>
        <w:rPr>
          <w:rFonts w:hint="eastAsia"/>
          <w:bCs/>
          <w:color w:val="auto"/>
          <w:sz w:val="24"/>
        </w:rPr>
        <w:t>、</w:t>
      </w:r>
      <w:r>
        <w:rPr>
          <w:bCs/>
          <w:color w:val="auto"/>
          <w:sz w:val="24"/>
        </w:rPr>
        <w:t>氨</w:t>
      </w:r>
      <w:r>
        <w:rPr>
          <w:rFonts w:hint="eastAsia"/>
          <w:bCs/>
          <w:color w:val="auto"/>
          <w:sz w:val="24"/>
        </w:rPr>
        <w:t>、臭气浓度</w:t>
      </w:r>
      <w:r>
        <w:rPr>
          <w:rFonts w:hint="eastAsia"/>
          <w:bCs/>
          <w:color w:val="auto"/>
          <w:sz w:val="24"/>
          <w:lang w:eastAsia="zh-CN"/>
        </w:rPr>
        <w:t>、</w:t>
      </w:r>
      <w:r>
        <w:rPr>
          <w:rFonts w:hint="eastAsia" w:ascii="Times New Roman" w:hAnsi="Times New Roman" w:eastAsia="宋体" w:cs="Times New Roman"/>
          <w:color w:val="auto"/>
          <w:sz w:val="24"/>
          <w:szCs w:val="24"/>
          <w:lang w:val="en-US" w:eastAsia="zh-CN"/>
        </w:rPr>
        <w:t>颗粒物、二氧化硫、氮氧化物</w:t>
      </w:r>
      <w:r>
        <w:rPr>
          <w:bCs/>
          <w:color w:val="auto"/>
          <w:sz w:val="24"/>
        </w:rPr>
        <w:t>为主。</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1.2.</w:t>
      </w:r>
      <w:r>
        <w:rPr>
          <w:rFonts w:hint="eastAsia" w:ascii="Times New Roman" w:hAnsi="Times New Roman" w:cs="Times New Roman"/>
          <w:b/>
          <w:color w:val="auto"/>
          <w:sz w:val="28"/>
          <w:szCs w:val="28"/>
        </w:rPr>
        <w:t>3</w:t>
      </w:r>
      <w:r>
        <w:rPr>
          <w:rFonts w:ascii="Times New Roman" w:hAnsi="Times New Roman" w:cs="Times New Roman"/>
          <w:b/>
          <w:color w:val="auto"/>
          <w:sz w:val="28"/>
          <w:szCs w:val="28"/>
        </w:rPr>
        <w:t>本项目排污特点</w:t>
      </w:r>
    </w:p>
    <w:p>
      <w:pPr>
        <w:spacing w:line="360" w:lineRule="auto"/>
        <w:rPr>
          <w:b/>
          <w:snapToGrid w:val="0"/>
          <w:color w:val="auto"/>
          <w:kern w:val="0"/>
          <w:sz w:val="24"/>
        </w:rPr>
      </w:pPr>
      <w:r>
        <w:rPr>
          <w:rFonts w:hint="eastAsia"/>
          <w:b/>
          <w:snapToGrid w:val="0"/>
          <w:color w:val="auto"/>
          <w:kern w:val="0"/>
          <w:sz w:val="24"/>
        </w:rPr>
        <w:t>1.2.3.1废气</w:t>
      </w:r>
    </w:p>
    <w:p>
      <w:pPr>
        <w:spacing w:line="360" w:lineRule="auto"/>
        <w:ind w:firstLine="480" w:firstLineChars="200"/>
        <w:rPr>
          <w:bCs/>
          <w:color w:val="FF0000"/>
          <w:sz w:val="24"/>
        </w:rPr>
      </w:pPr>
      <w:r>
        <w:rPr>
          <w:rFonts w:hint="eastAsia"/>
          <w:snapToGrid w:val="0"/>
          <w:color w:val="auto"/>
          <w:kern w:val="0"/>
          <w:sz w:val="24"/>
        </w:rPr>
        <w:t>本项目运营期产生的废气主要为</w:t>
      </w:r>
      <w:r>
        <w:rPr>
          <w:rFonts w:hint="eastAsia"/>
          <w:bCs/>
          <w:color w:val="auto"/>
          <w:sz w:val="24"/>
        </w:rPr>
        <w:t>待宰间、屠宰车间、污水处理站</w:t>
      </w:r>
      <w:r>
        <w:rPr>
          <w:bCs/>
          <w:color w:val="auto"/>
          <w:sz w:val="24"/>
        </w:rPr>
        <w:t>等产生的恶臭气体（氨、</w:t>
      </w:r>
      <w:r>
        <w:rPr>
          <w:rFonts w:hint="eastAsia"/>
          <w:bCs/>
          <w:color w:val="auto"/>
          <w:sz w:val="24"/>
        </w:rPr>
        <w:t>硫化氢、臭气浓度</w:t>
      </w:r>
      <w:r>
        <w:rPr>
          <w:bCs/>
          <w:color w:val="auto"/>
          <w:sz w:val="24"/>
        </w:rPr>
        <w:t>）、食堂油烟</w:t>
      </w:r>
      <w:r>
        <w:rPr>
          <w:rFonts w:hint="eastAsia"/>
          <w:bCs/>
          <w:color w:val="auto"/>
          <w:sz w:val="24"/>
          <w:lang w:eastAsia="zh-CN"/>
        </w:rPr>
        <w:t>、</w:t>
      </w:r>
      <w:r>
        <w:rPr>
          <w:rFonts w:hint="default" w:ascii="Times New Roman" w:hAnsi="Times New Roman" w:eastAsia="宋体" w:cs="Times New Roman"/>
          <w:color w:val="auto"/>
          <w:sz w:val="24"/>
          <w:szCs w:val="24"/>
          <w:lang w:val="en-US" w:eastAsia="zh-CN"/>
        </w:rPr>
        <w:t>锅炉烟气</w:t>
      </w:r>
      <w:r>
        <w:rPr>
          <w:rFonts w:hint="eastAsia" w:ascii="Times New Roman" w:hAnsi="Times New Roman" w:eastAsia="宋体" w:cs="Times New Roman"/>
          <w:color w:val="auto"/>
          <w:sz w:val="24"/>
          <w:szCs w:val="24"/>
          <w:lang w:val="en-US" w:eastAsia="zh-CN"/>
        </w:rPr>
        <w:t>（颗粒物、二氧化硫、氮氧化物）</w:t>
      </w:r>
      <w:r>
        <w:rPr>
          <w:bCs/>
          <w:color w:val="auto"/>
          <w:sz w:val="24"/>
        </w:rPr>
        <w:t>。</w:t>
      </w:r>
    </w:p>
    <w:p>
      <w:pPr>
        <w:spacing w:line="360" w:lineRule="auto"/>
        <w:ind w:firstLine="480" w:firstLineChars="200"/>
        <w:rPr>
          <w:bCs/>
          <w:color w:val="auto"/>
          <w:sz w:val="24"/>
        </w:rPr>
      </w:pPr>
      <w:r>
        <w:rPr>
          <w:rFonts w:hint="eastAsia"/>
          <w:bCs/>
          <w:color w:val="auto"/>
          <w:sz w:val="24"/>
        </w:rPr>
        <w:t>（1）待宰间的恶臭</w:t>
      </w:r>
      <w:r>
        <w:rPr>
          <w:bCs/>
          <w:color w:val="auto"/>
          <w:sz w:val="24"/>
        </w:rPr>
        <w:t>主要来自</w:t>
      </w:r>
      <w:r>
        <w:rPr>
          <w:rFonts w:hint="eastAsia"/>
          <w:bCs/>
          <w:color w:val="auto"/>
          <w:sz w:val="24"/>
        </w:rPr>
        <w:t>牛粪</w:t>
      </w:r>
      <w:r>
        <w:rPr>
          <w:bCs/>
          <w:color w:val="auto"/>
          <w:sz w:val="24"/>
        </w:rPr>
        <w:t>、尿，这些粪便会产生氨、H</w:t>
      </w:r>
      <w:r>
        <w:rPr>
          <w:bCs/>
          <w:color w:val="auto"/>
          <w:sz w:val="24"/>
          <w:vertAlign w:val="subscript"/>
        </w:rPr>
        <w:t>2</w:t>
      </w:r>
      <w:r>
        <w:rPr>
          <w:bCs/>
          <w:color w:val="auto"/>
          <w:sz w:val="24"/>
        </w:rPr>
        <w:t>S</w:t>
      </w:r>
      <w:r>
        <w:rPr>
          <w:rFonts w:hint="eastAsia"/>
          <w:bCs/>
          <w:color w:val="auto"/>
          <w:sz w:val="24"/>
        </w:rPr>
        <w:t>、臭气浓度</w:t>
      </w:r>
      <w:r>
        <w:rPr>
          <w:bCs/>
          <w:color w:val="auto"/>
          <w:sz w:val="24"/>
        </w:rPr>
        <w:t>等恶臭气体。</w:t>
      </w:r>
    </w:p>
    <w:p>
      <w:pPr>
        <w:spacing w:line="360" w:lineRule="auto"/>
        <w:ind w:firstLine="480" w:firstLineChars="200"/>
        <w:rPr>
          <w:rFonts w:hint="eastAsia" w:eastAsia="宋体"/>
          <w:bCs/>
          <w:color w:val="auto"/>
          <w:sz w:val="24"/>
          <w:lang w:eastAsia="zh-CN"/>
        </w:rPr>
      </w:pPr>
      <w:r>
        <w:rPr>
          <w:rFonts w:hint="eastAsia"/>
          <w:bCs/>
          <w:color w:val="auto"/>
          <w:sz w:val="24"/>
        </w:rPr>
        <w:t>（2）屠宰车间肉牛的湿皮、血、胃内容物等，会产生</w:t>
      </w:r>
      <w:r>
        <w:rPr>
          <w:bCs/>
          <w:color w:val="auto"/>
          <w:sz w:val="24"/>
        </w:rPr>
        <w:t>氨、H</w:t>
      </w:r>
      <w:r>
        <w:rPr>
          <w:bCs/>
          <w:color w:val="auto"/>
          <w:sz w:val="24"/>
          <w:vertAlign w:val="subscript"/>
        </w:rPr>
        <w:t>2</w:t>
      </w:r>
      <w:r>
        <w:rPr>
          <w:bCs/>
          <w:color w:val="auto"/>
          <w:sz w:val="24"/>
        </w:rPr>
        <w:t>S</w:t>
      </w:r>
      <w:r>
        <w:rPr>
          <w:rFonts w:hint="eastAsia"/>
          <w:bCs/>
          <w:color w:val="auto"/>
          <w:sz w:val="24"/>
        </w:rPr>
        <w:t>、臭气浓度</w:t>
      </w:r>
      <w:r>
        <w:rPr>
          <w:bCs/>
          <w:color w:val="auto"/>
          <w:sz w:val="24"/>
        </w:rPr>
        <w:t>等恶臭气体</w:t>
      </w:r>
      <w:r>
        <w:rPr>
          <w:rFonts w:hint="eastAsia"/>
          <w:bCs/>
          <w:color w:val="auto"/>
          <w:sz w:val="24"/>
          <w:lang w:eastAsia="zh-CN"/>
        </w:rPr>
        <w:t>。</w:t>
      </w:r>
    </w:p>
    <w:p>
      <w:pPr>
        <w:spacing w:line="360" w:lineRule="auto"/>
        <w:ind w:firstLine="480" w:firstLineChars="200"/>
        <w:rPr>
          <w:snapToGrid w:val="0"/>
          <w:color w:val="auto"/>
          <w:kern w:val="0"/>
          <w:sz w:val="24"/>
        </w:rPr>
      </w:pPr>
      <w:r>
        <w:rPr>
          <w:rFonts w:hint="eastAsia"/>
          <w:snapToGrid w:val="0"/>
          <w:color w:val="auto"/>
          <w:kern w:val="0"/>
          <w:sz w:val="24"/>
        </w:rPr>
        <w:t>（3）</w:t>
      </w:r>
      <w:r>
        <w:rPr>
          <w:snapToGrid w:val="0"/>
          <w:color w:val="auto"/>
          <w:kern w:val="0"/>
          <w:sz w:val="24"/>
        </w:rPr>
        <w:t>本项目污水处理站恶臭气体主要来自格栅池、水解酸化池、生化池</w:t>
      </w:r>
      <w:r>
        <w:rPr>
          <w:rFonts w:hint="eastAsia"/>
          <w:snapToGrid w:val="0"/>
          <w:color w:val="auto"/>
          <w:kern w:val="0"/>
          <w:sz w:val="24"/>
          <w:lang w:eastAsia="zh-CN"/>
        </w:rPr>
        <w:t>、</w:t>
      </w:r>
      <w:r>
        <w:rPr>
          <w:rFonts w:hint="eastAsia"/>
          <w:snapToGrid w:val="0"/>
          <w:color w:val="auto"/>
          <w:kern w:val="0"/>
          <w:sz w:val="24"/>
          <w:lang w:val="en-US" w:eastAsia="zh-CN"/>
        </w:rPr>
        <w:t>沉淀池</w:t>
      </w:r>
      <w:r>
        <w:rPr>
          <w:snapToGrid w:val="0"/>
          <w:color w:val="auto"/>
          <w:kern w:val="0"/>
          <w:sz w:val="24"/>
        </w:rPr>
        <w:t>和污泥</w:t>
      </w:r>
      <w:r>
        <w:rPr>
          <w:rFonts w:hint="eastAsia"/>
          <w:snapToGrid w:val="0"/>
          <w:color w:val="auto"/>
          <w:kern w:val="0"/>
          <w:sz w:val="24"/>
        </w:rPr>
        <w:t>压滤</w:t>
      </w:r>
      <w:r>
        <w:rPr>
          <w:snapToGrid w:val="0"/>
          <w:color w:val="auto"/>
          <w:kern w:val="0"/>
          <w:sz w:val="24"/>
        </w:rPr>
        <w:t>等工序产生氨、H</w:t>
      </w:r>
      <w:r>
        <w:rPr>
          <w:snapToGrid w:val="0"/>
          <w:color w:val="auto"/>
          <w:kern w:val="0"/>
          <w:sz w:val="24"/>
          <w:vertAlign w:val="subscript"/>
        </w:rPr>
        <w:t>2</w:t>
      </w:r>
      <w:r>
        <w:rPr>
          <w:snapToGrid w:val="0"/>
          <w:color w:val="auto"/>
          <w:kern w:val="0"/>
          <w:sz w:val="24"/>
        </w:rPr>
        <w:t>S</w:t>
      </w:r>
      <w:r>
        <w:rPr>
          <w:rFonts w:hint="eastAsia"/>
          <w:snapToGrid w:val="0"/>
          <w:color w:val="auto"/>
          <w:kern w:val="0"/>
          <w:sz w:val="24"/>
        </w:rPr>
        <w:t>、臭气浓度</w:t>
      </w:r>
      <w:r>
        <w:rPr>
          <w:snapToGrid w:val="0"/>
          <w:color w:val="auto"/>
          <w:kern w:val="0"/>
          <w:sz w:val="24"/>
        </w:rPr>
        <w:t>等具有臭味的气体。</w:t>
      </w:r>
    </w:p>
    <w:p>
      <w:pPr>
        <w:spacing w:line="360" w:lineRule="auto"/>
        <w:ind w:firstLine="480" w:firstLineChars="200"/>
        <w:rPr>
          <w:snapToGrid w:val="0"/>
          <w:color w:val="auto"/>
          <w:kern w:val="0"/>
          <w:sz w:val="24"/>
        </w:rPr>
      </w:pPr>
      <w:r>
        <w:rPr>
          <w:rFonts w:hint="eastAsia"/>
          <w:snapToGrid w:val="0"/>
          <w:color w:val="auto"/>
          <w:kern w:val="0"/>
          <w:sz w:val="24"/>
        </w:rPr>
        <w:t>（4）</w:t>
      </w:r>
      <w:r>
        <w:rPr>
          <w:snapToGrid w:val="0"/>
          <w:color w:val="auto"/>
          <w:kern w:val="0"/>
          <w:sz w:val="24"/>
        </w:rPr>
        <w:t>食堂运行期间会产生食堂油烟，油烟废气中含油质、有机质及加热分解或裂解产物。</w:t>
      </w:r>
    </w:p>
    <w:p>
      <w:pPr>
        <w:spacing w:line="360" w:lineRule="auto"/>
        <w:ind w:firstLine="480" w:firstLineChars="200"/>
        <w:rPr>
          <w:rFonts w:hint="eastAsia" w:eastAsia="宋体"/>
          <w:snapToGrid w:val="0"/>
          <w:color w:val="auto"/>
          <w:kern w:val="0"/>
          <w:sz w:val="24"/>
          <w:lang w:eastAsia="zh-CN"/>
        </w:rPr>
      </w:pPr>
      <w:r>
        <w:rPr>
          <w:rFonts w:hint="eastAsia"/>
          <w:snapToGrid w:val="0"/>
          <w:color w:val="auto"/>
          <w:kern w:val="0"/>
          <w:sz w:val="24"/>
          <w:lang w:eastAsia="zh-CN"/>
        </w:rPr>
        <w:t>（</w:t>
      </w:r>
      <w:r>
        <w:rPr>
          <w:rFonts w:hint="eastAsia"/>
          <w:snapToGrid w:val="0"/>
          <w:color w:val="auto"/>
          <w:kern w:val="0"/>
          <w:sz w:val="24"/>
          <w:lang w:val="en-US" w:eastAsia="zh-CN"/>
        </w:rPr>
        <w:t>5</w:t>
      </w:r>
      <w:r>
        <w:rPr>
          <w:rFonts w:hint="eastAsia"/>
          <w:snapToGrid w:val="0"/>
          <w:color w:val="auto"/>
          <w:kern w:val="0"/>
          <w:sz w:val="24"/>
          <w:lang w:eastAsia="zh-CN"/>
        </w:rPr>
        <w:t>）</w:t>
      </w:r>
      <w:r>
        <w:rPr>
          <w:rFonts w:hint="eastAsia"/>
          <w:snapToGrid w:val="0"/>
          <w:color w:val="auto"/>
          <w:kern w:val="0"/>
          <w:sz w:val="24"/>
          <w:lang w:val="en-US" w:eastAsia="zh-CN"/>
        </w:rPr>
        <w:t>本项目生活热源由1台</w:t>
      </w:r>
      <w:r>
        <w:rPr>
          <w:rFonts w:hint="eastAsia"/>
          <w:snapToGrid w:val="0"/>
          <w:color w:val="auto"/>
          <w:kern w:val="0"/>
          <w:sz w:val="24"/>
          <w:highlight w:val="none"/>
          <w:lang w:val="en-US" w:eastAsia="zh-CN"/>
        </w:rPr>
        <w:t>2.1MW生物质热水锅炉供</w:t>
      </w:r>
      <w:r>
        <w:rPr>
          <w:rFonts w:hint="eastAsia"/>
          <w:snapToGrid w:val="0"/>
          <w:color w:val="auto"/>
          <w:kern w:val="0"/>
          <w:sz w:val="24"/>
          <w:lang w:val="en-US" w:eastAsia="zh-CN"/>
        </w:rPr>
        <w:t>应，排放的污染物为颗粒物、SO</w:t>
      </w:r>
      <w:r>
        <w:rPr>
          <w:rFonts w:hint="eastAsia"/>
          <w:snapToGrid w:val="0"/>
          <w:color w:val="auto"/>
          <w:kern w:val="0"/>
          <w:sz w:val="24"/>
          <w:vertAlign w:val="subscript"/>
          <w:lang w:val="en-US" w:eastAsia="zh-CN"/>
        </w:rPr>
        <w:t>2</w:t>
      </w:r>
      <w:r>
        <w:rPr>
          <w:rFonts w:hint="eastAsia"/>
          <w:snapToGrid w:val="0"/>
          <w:color w:val="auto"/>
          <w:kern w:val="0"/>
          <w:sz w:val="24"/>
          <w:lang w:val="en-US" w:eastAsia="zh-CN"/>
        </w:rPr>
        <w:t>、NO</w:t>
      </w:r>
      <w:r>
        <w:rPr>
          <w:rFonts w:hint="eastAsia"/>
          <w:snapToGrid w:val="0"/>
          <w:color w:val="auto"/>
          <w:kern w:val="0"/>
          <w:sz w:val="24"/>
          <w:vertAlign w:val="subscript"/>
          <w:lang w:val="en-US" w:eastAsia="zh-CN"/>
        </w:rPr>
        <w:t>X</w:t>
      </w:r>
      <w:r>
        <w:rPr>
          <w:rFonts w:hint="eastAsia"/>
          <w:snapToGrid w:val="0"/>
          <w:color w:val="auto"/>
          <w:kern w:val="0"/>
          <w:sz w:val="24"/>
          <w:lang w:val="en-US" w:eastAsia="zh-CN"/>
        </w:rPr>
        <w:t>。</w:t>
      </w:r>
    </w:p>
    <w:p>
      <w:pPr>
        <w:spacing w:line="360" w:lineRule="auto"/>
        <w:rPr>
          <w:snapToGrid w:val="0"/>
          <w:color w:val="auto"/>
          <w:kern w:val="0"/>
          <w:sz w:val="24"/>
          <w:highlight w:val="none"/>
        </w:rPr>
      </w:pPr>
      <w:r>
        <w:rPr>
          <w:rFonts w:hint="eastAsia"/>
          <w:b/>
          <w:snapToGrid w:val="0"/>
          <w:color w:val="auto"/>
          <w:kern w:val="0"/>
          <w:sz w:val="24"/>
          <w:highlight w:val="none"/>
        </w:rPr>
        <w:t>1.2.3.2废水</w:t>
      </w:r>
    </w:p>
    <w:p>
      <w:pPr>
        <w:spacing w:line="360" w:lineRule="auto"/>
        <w:ind w:firstLine="480" w:firstLineChars="200"/>
        <w:rPr>
          <w:snapToGrid w:val="0"/>
          <w:color w:val="auto"/>
          <w:kern w:val="0"/>
          <w:sz w:val="24"/>
        </w:rPr>
      </w:pPr>
      <w:r>
        <w:rPr>
          <w:snapToGrid w:val="0"/>
          <w:color w:val="auto"/>
          <w:kern w:val="0"/>
          <w:sz w:val="24"/>
        </w:rPr>
        <w:t>本项目废水包括生产废水</w:t>
      </w:r>
      <w:r>
        <w:rPr>
          <w:rFonts w:hint="eastAsia"/>
          <w:snapToGrid w:val="0"/>
          <w:color w:val="auto"/>
          <w:kern w:val="0"/>
          <w:sz w:val="24"/>
        </w:rPr>
        <w:t>及</w:t>
      </w:r>
      <w:r>
        <w:rPr>
          <w:snapToGrid w:val="0"/>
          <w:color w:val="auto"/>
          <w:kern w:val="0"/>
          <w:sz w:val="24"/>
        </w:rPr>
        <w:t>生活污水，生产废水主要为</w:t>
      </w:r>
      <w:r>
        <w:rPr>
          <w:rFonts w:hint="eastAsia"/>
          <w:snapToGrid w:val="0"/>
          <w:color w:val="auto"/>
          <w:kern w:val="0"/>
          <w:sz w:val="24"/>
          <w:lang w:val="en-US" w:eastAsia="zh-CN"/>
        </w:rPr>
        <w:t>锅炉排污水、</w:t>
      </w:r>
      <w:r>
        <w:rPr>
          <w:rFonts w:hint="eastAsia"/>
          <w:color w:val="auto"/>
          <w:sz w:val="24"/>
          <w:highlight w:val="none"/>
          <w:lang w:val="en-US" w:eastAsia="zh-CN"/>
        </w:rPr>
        <w:t>软水制备排污水、</w:t>
      </w:r>
      <w:r>
        <w:rPr>
          <w:rFonts w:hint="eastAsia"/>
          <w:snapToGrid w:val="0"/>
          <w:color w:val="auto"/>
          <w:kern w:val="0"/>
          <w:sz w:val="24"/>
        </w:rPr>
        <w:t>待宰间清洗废水（含尿液）和屠宰车间</w:t>
      </w:r>
      <w:r>
        <w:rPr>
          <w:rFonts w:hint="eastAsia"/>
          <w:snapToGrid w:val="0"/>
          <w:color w:val="auto"/>
          <w:kern w:val="0"/>
          <w:sz w:val="24"/>
          <w:lang w:val="en-US" w:eastAsia="zh-CN"/>
        </w:rPr>
        <w:t>及急宰间</w:t>
      </w:r>
      <w:r>
        <w:rPr>
          <w:rFonts w:hint="eastAsia"/>
          <w:snapToGrid w:val="0"/>
          <w:color w:val="auto"/>
          <w:kern w:val="0"/>
          <w:sz w:val="24"/>
        </w:rPr>
        <w:t>废水</w:t>
      </w:r>
      <w:r>
        <w:rPr>
          <w:snapToGrid w:val="0"/>
          <w:color w:val="auto"/>
          <w:kern w:val="0"/>
          <w:sz w:val="24"/>
        </w:rPr>
        <w:t>。</w:t>
      </w:r>
    </w:p>
    <w:p>
      <w:pPr>
        <w:spacing w:line="360" w:lineRule="auto"/>
        <w:rPr>
          <w:snapToGrid w:val="0"/>
          <w:color w:val="auto"/>
          <w:kern w:val="0"/>
          <w:sz w:val="24"/>
        </w:rPr>
      </w:pPr>
      <w:r>
        <w:rPr>
          <w:rFonts w:hint="eastAsia"/>
          <w:b/>
          <w:snapToGrid w:val="0"/>
          <w:color w:val="auto"/>
          <w:kern w:val="0"/>
          <w:sz w:val="24"/>
        </w:rPr>
        <w:t>1.2.3.3噪声</w:t>
      </w:r>
    </w:p>
    <w:p>
      <w:pPr>
        <w:spacing w:line="360" w:lineRule="auto"/>
        <w:ind w:firstLine="480" w:firstLineChars="200"/>
        <w:rPr>
          <w:snapToGrid w:val="0"/>
          <w:color w:val="auto"/>
          <w:kern w:val="0"/>
          <w:sz w:val="24"/>
        </w:rPr>
      </w:pPr>
      <w:r>
        <w:rPr>
          <w:rFonts w:hint="eastAsia"/>
          <w:snapToGrid w:val="0"/>
          <w:color w:val="auto"/>
          <w:kern w:val="0"/>
          <w:sz w:val="24"/>
        </w:rPr>
        <w:t>本</w:t>
      </w:r>
      <w:r>
        <w:rPr>
          <w:snapToGrid w:val="0"/>
          <w:color w:val="auto"/>
          <w:kern w:val="0"/>
          <w:sz w:val="24"/>
        </w:rPr>
        <w:t>项目主要噪声源为：牵牛机、提升机、</w:t>
      </w:r>
      <w:r>
        <w:rPr>
          <w:rFonts w:hint="eastAsia"/>
          <w:snapToGrid w:val="0"/>
          <w:color w:val="auto"/>
          <w:kern w:val="0"/>
          <w:sz w:val="24"/>
        </w:rPr>
        <w:t>牛放血线自动线、</w:t>
      </w:r>
      <w:r>
        <w:rPr>
          <w:rFonts w:hint="eastAsia"/>
          <w:snapToGrid w:val="0"/>
          <w:color w:val="auto"/>
          <w:kern w:val="0"/>
          <w:sz w:val="24"/>
          <w:lang w:eastAsia="zh-CN"/>
        </w:rPr>
        <w:t>剥皮机</w:t>
      </w:r>
      <w:r>
        <w:rPr>
          <w:rFonts w:hint="eastAsia"/>
          <w:snapToGrid w:val="0"/>
          <w:color w:val="auto"/>
          <w:kern w:val="0"/>
          <w:sz w:val="24"/>
        </w:rPr>
        <w:t>、下降机、风机、压缩机等生产设备</w:t>
      </w:r>
      <w:r>
        <w:rPr>
          <w:snapToGrid w:val="0"/>
          <w:color w:val="auto"/>
          <w:kern w:val="0"/>
          <w:sz w:val="24"/>
        </w:rPr>
        <w:t>，噪声值在7</w:t>
      </w:r>
      <w:r>
        <w:rPr>
          <w:rFonts w:hint="eastAsia"/>
          <w:snapToGrid w:val="0"/>
          <w:color w:val="auto"/>
          <w:kern w:val="0"/>
          <w:sz w:val="24"/>
        </w:rPr>
        <w:t>0</w:t>
      </w:r>
      <w:r>
        <w:rPr>
          <w:snapToGrid w:val="0"/>
          <w:color w:val="auto"/>
          <w:kern w:val="0"/>
          <w:sz w:val="24"/>
        </w:rPr>
        <w:t>～90dB(A)之间。</w:t>
      </w:r>
    </w:p>
    <w:p>
      <w:pPr>
        <w:spacing w:line="360" w:lineRule="auto"/>
        <w:rPr>
          <w:snapToGrid w:val="0"/>
          <w:color w:val="auto"/>
          <w:kern w:val="0"/>
          <w:sz w:val="24"/>
        </w:rPr>
      </w:pPr>
      <w:r>
        <w:rPr>
          <w:rFonts w:hint="eastAsia"/>
          <w:b/>
          <w:snapToGrid w:val="0"/>
          <w:color w:val="auto"/>
          <w:kern w:val="0"/>
          <w:sz w:val="24"/>
        </w:rPr>
        <w:t>1.2.3.4固废</w:t>
      </w:r>
    </w:p>
    <w:p>
      <w:pPr>
        <w:spacing w:line="360" w:lineRule="auto"/>
        <w:ind w:firstLine="480" w:firstLineChars="200"/>
        <w:rPr>
          <w:color w:val="FF0000"/>
          <w:sz w:val="24"/>
        </w:rPr>
      </w:pPr>
      <w:r>
        <w:rPr>
          <w:rFonts w:hint="eastAsia"/>
          <w:snapToGrid w:val="0"/>
          <w:color w:val="auto"/>
          <w:kern w:val="0"/>
          <w:sz w:val="24"/>
        </w:rPr>
        <w:t>本项目</w:t>
      </w:r>
      <w:r>
        <w:rPr>
          <w:rFonts w:hint="eastAsia"/>
          <w:color w:val="auto"/>
          <w:sz w:val="24"/>
        </w:rPr>
        <w:t>固体废物主要为待宰车间产生的牛粪便、</w:t>
      </w:r>
      <w:r>
        <w:rPr>
          <w:rFonts w:hint="eastAsia"/>
          <w:bCs/>
          <w:color w:val="auto"/>
          <w:sz w:val="24"/>
        </w:rPr>
        <w:t>屠宰车间产生的</w:t>
      </w:r>
      <w:r>
        <w:rPr>
          <w:bCs/>
          <w:color w:val="auto"/>
          <w:sz w:val="24"/>
        </w:rPr>
        <w:t>肠胃内容物及不可</w:t>
      </w:r>
      <w:r>
        <w:rPr>
          <w:rFonts w:hint="eastAsia"/>
          <w:bCs/>
          <w:color w:val="auto"/>
          <w:sz w:val="24"/>
        </w:rPr>
        <w:t>食用</w:t>
      </w:r>
      <w:r>
        <w:rPr>
          <w:bCs/>
          <w:color w:val="auto"/>
          <w:sz w:val="24"/>
        </w:rPr>
        <w:t>内脏、</w:t>
      </w:r>
      <w:r>
        <w:rPr>
          <w:rFonts w:hint="eastAsia"/>
          <w:color w:val="auto"/>
          <w:sz w:val="24"/>
        </w:rPr>
        <w:t>污水处理站污泥及栅渣、废活性炭、</w:t>
      </w:r>
      <w:r>
        <w:rPr>
          <w:color w:val="auto"/>
          <w:sz w:val="24"/>
        </w:rPr>
        <w:t>废弃包装物、</w:t>
      </w:r>
      <w:r>
        <w:rPr>
          <w:rFonts w:hint="eastAsia"/>
          <w:color w:val="auto"/>
          <w:sz w:val="24"/>
        </w:rPr>
        <w:t>检疫不合格肉牛及病死牛、检疫废物</w:t>
      </w:r>
      <w:r>
        <w:rPr>
          <w:rFonts w:hint="eastAsia"/>
          <w:bCs/>
          <w:color w:val="auto"/>
          <w:sz w:val="24"/>
        </w:rPr>
        <w:t>（HW01）</w:t>
      </w:r>
      <w:r>
        <w:rPr>
          <w:rFonts w:hint="eastAsia"/>
          <w:color w:val="auto"/>
          <w:sz w:val="24"/>
        </w:rPr>
        <w:t>、</w:t>
      </w:r>
      <w:r>
        <w:rPr>
          <w:color w:val="auto"/>
          <w:sz w:val="24"/>
        </w:rPr>
        <w:t>食堂</w:t>
      </w:r>
      <w:r>
        <w:rPr>
          <w:rFonts w:hint="eastAsia"/>
          <w:color w:val="auto"/>
          <w:sz w:val="24"/>
        </w:rPr>
        <w:t>餐余</w:t>
      </w:r>
      <w:r>
        <w:rPr>
          <w:color w:val="auto"/>
          <w:sz w:val="24"/>
        </w:rPr>
        <w:t>垃圾及废油脂（含</w:t>
      </w:r>
      <w:r>
        <w:rPr>
          <w:rFonts w:hint="eastAsia"/>
          <w:color w:val="auto"/>
          <w:sz w:val="24"/>
        </w:rPr>
        <w:t>污水</w:t>
      </w:r>
      <w:r>
        <w:rPr>
          <w:color w:val="auto"/>
          <w:sz w:val="24"/>
        </w:rPr>
        <w:t>处理站废油脂）</w:t>
      </w:r>
      <w:r>
        <w:rPr>
          <w:rFonts w:hint="eastAsia"/>
          <w:color w:val="auto"/>
          <w:sz w:val="24"/>
        </w:rPr>
        <w:t>、生活垃圾</w:t>
      </w:r>
      <w:r>
        <w:rPr>
          <w:rFonts w:hint="eastAsia"/>
          <w:color w:val="auto"/>
          <w:sz w:val="24"/>
          <w:lang w:eastAsia="zh-CN"/>
        </w:rPr>
        <w:t>、</w:t>
      </w:r>
      <w:r>
        <w:rPr>
          <w:rFonts w:hint="eastAsia"/>
          <w:color w:val="auto"/>
          <w:sz w:val="24"/>
          <w:lang w:val="en-US" w:eastAsia="zh-CN"/>
        </w:rPr>
        <w:t>锅炉软化水制备产生的废离子交换树脂、锅炉灰渣（含布袋除尘器收尘）、废布袋</w:t>
      </w:r>
      <w:r>
        <w:rPr>
          <w:rFonts w:hint="eastAsia"/>
          <w:color w:val="auto"/>
          <w:sz w:val="24"/>
        </w:rPr>
        <w:t>等。</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1.2.</w:t>
      </w:r>
      <w:r>
        <w:rPr>
          <w:rFonts w:hint="eastAsia" w:ascii="Times New Roman" w:hAnsi="Times New Roman" w:cs="Times New Roman"/>
          <w:b/>
          <w:color w:val="auto"/>
          <w:sz w:val="28"/>
          <w:szCs w:val="28"/>
        </w:rPr>
        <w:t>4主要</w:t>
      </w:r>
      <w:r>
        <w:rPr>
          <w:rFonts w:ascii="Times New Roman" w:hAnsi="Times New Roman" w:cs="Times New Roman"/>
          <w:b/>
          <w:color w:val="auto"/>
          <w:sz w:val="28"/>
          <w:szCs w:val="28"/>
        </w:rPr>
        <w:t>环保措施</w:t>
      </w:r>
    </w:p>
    <w:p>
      <w:pPr>
        <w:spacing w:line="360" w:lineRule="auto"/>
        <w:rPr>
          <w:rFonts w:hint="default" w:ascii="Times New Roman" w:hAnsi="Times New Roman" w:cs="Times New Roman"/>
          <w:bCs/>
          <w:color w:val="auto"/>
          <w:sz w:val="24"/>
        </w:rPr>
      </w:pPr>
      <w:r>
        <w:rPr>
          <w:rFonts w:hint="default" w:ascii="Times New Roman" w:hAnsi="Times New Roman" w:cs="Times New Roman"/>
          <w:b/>
          <w:snapToGrid w:val="0"/>
          <w:color w:val="auto"/>
          <w:kern w:val="0"/>
          <w:sz w:val="24"/>
        </w:rPr>
        <w:t>1.2.4.1废气</w:t>
      </w:r>
    </w:p>
    <w:p>
      <w:pPr>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（1）屠宰车间产生的恶臭气体经负压集中收集后，通过活性炭吸附净化后由15m高排气筒（DA001）排放，收集率约80%左右，恶臭气体净化率不低于70%。</w:t>
      </w:r>
    </w:p>
    <w:p>
      <w:pPr>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（2）污水处理站整体封闭，产生的恶臭气体经负压集中收集后，通过活性炭吸附净化后由15m高排气筒（DA002）排放，收集率约80%左右，恶臭气体净化率不低于70%。</w:t>
      </w:r>
    </w:p>
    <w:p>
      <w:pPr>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w:t>
      </w:r>
      <w:r>
        <w:rPr>
          <w:rFonts w:hint="eastAsia" w:cs="Times New Roman"/>
          <w:bCs/>
          <w:color w:val="auto"/>
          <w:sz w:val="24"/>
          <w:lang w:val="en-US" w:eastAsia="zh-CN"/>
        </w:rPr>
        <w:t>3</w:t>
      </w:r>
      <w:r>
        <w:rPr>
          <w:rFonts w:hint="default" w:ascii="Times New Roman" w:hAnsi="Times New Roman" w:cs="Times New Roman"/>
          <w:bCs/>
          <w:color w:val="auto"/>
          <w:sz w:val="24"/>
        </w:rPr>
        <w:t>）待宰间及时清扫，并投加或喷洒除臭剂，产生的恶臭气体经负压集中收集后，通过活性炭吸附净化后由15m高排气筒（DA00</w:t>
      </w:r>
      <w:r>
        <w:rPr>
          <w:rFonts w:hint="eastAsia" w:cs="Times New Roman"/>
          <w:bCs/>
          <w:color w:val="auto"/>
          <w:sz w:val="24"/>
          <w:lang w:val="en-US" w:eastAsia="zh-CN"/>
        </w:rPr>
        <w:t>3</w:t>
      </w:r>
      <w:r>
        <w:rPr>
          <w:rFonts w:hint="default" w:ascii="Times New Roman" w:hAnsi="Times New Roman" w:cs="Times New Roman"/>
          <w:bCs/>
          <w:color w:val="auto"/>
          <w:sz w:val="24"/>
        </w:rPr>
        <w:t>）排放，收集率约80%左右，恶臭气体净化率不低于70%。</w:t>
      </w:r>
    </w:p>
    <w:p>
      <w:pPr>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w:t>
      </w:r>
      <w:r>
        <w:rPr>
          <w:rFonts w:hint="eastAsia" w:cs="Times New Roman"/>
          <w:bCs/>
          <w:color w:val="auto"/>
          <w:sz w:val="24"/>
          <w:lang w:val="en-US" w:eastAsia="zh-CN"/>
        </w:rPr>
        <w:t>4</w:t>
      </w:r>
      <w:r>
        <w:rPr>
          <w:rFonts w:hint="default" w:ascii="Times New Roman" w:hAnsi="Times New Roman" w:cs="Times New Roman"/>
          <w:bCs/>
          <w:color w:val="auto"/>
          <w:sz w:val="24"/>
        </w:rPr>
        <w:t>）食堂油烟经油烟净化器处理后经高于楼顶的专用烟道（DA00</w:t>
      </w:r>
      <w:r>
        <w:rPr>
          <w:rFonts w:hint="eastAsia" w:cs="Times New Roman"/>
          <w:bCs/>
          <w:color w:val="auto"/>
          <w:sz w:val="24"/>
          <w:lang w:val="en-US" w:eastAsia="zh-CN"/>
        </w:rPr>
        <w:t>4</w:t>
      </w:r>
      <w:r>
        <w:rPr>
          <w:rFonts w:hint="default" w:ascii="Times New Roman" w:hAnsi="Times New Roman" w:cs="Times New Roman"/>
          <w:bCs/>
          <w:color w:val="auto"/>
          <w:sz w:val="24"/>
        </w:rPr>
        <w:t>）排放，净化去除效率60%。</w:t>
      </w:r>
    </w:p>
    <w:p>
      <w:pPr>
        <w:pStyle w:val="2"/>
        <w:rPr>
          <w:rFonts w:hint="default" w:ascii="Times New Roman" w:hAnsi="Times New Roman" w:eastAsia="宋体" w:cs="Times New Roman"/>
          <w:color w:val="auto"/>
          <w:lang w:eastAsia="zh-CN"/>
        </w:rPr>
      </w:pPr>
      <w:r>
        <w:rPr>
          <w:rFonts w:hint="default" w:ascii="Times New Roman" w:hAnsi="Times New Roman" w:cs="Times New Roman"/>
          <w:bCs/>
          <w:color w:val="auto"/>
          <w:sz w:val="24"/>
          <w:lang w:eastAsia="zh-CN"/>
        </w:rPr>
        <w:t>（</w:t>
      </w:r>
      <w:r>
        <w:rPr>
          <w:rFonts w:hint="default" w:ascii="Times New Roman" w:hAnsi="Times New Roman" w:cs="Times New Roman"/>
          <w:bCs/>
          <w:color w:val="auto"/>
          <w:sz w:val="24"/>
          <w:lang w:val="en-US" w:eastAsia="zh-CN"/>
        </w:rPr>
        <w:t>5</w:t>
      </w:r>
      <w:r>
        <w:rPr>
          <w:rFonts w:hint="default" w:ascii="Times New Roman" w:hAnsi="Times New Roman" w:cs="Times New Roman"/>
          <w:bCs/>
          <w:color w:val="auto"/>
          <w:sz w:val="24"/>
          <w:lang w:eastAsia="zh-CN"/>
        </w:rPr>
        <w:t>）</w:t>
      </w:r>
      <w:r>
        <w:rPr>
          <w:rFonts w:hint="default" w:ascii="Times New Roman" w:hAnsi="Times New Roman" w:cs="Times New Roman"/>
          <w:bCs/>
          <w:color w:val="auto"/>
          <w:sz w:val="24"/>
          <w:lang w:val="en-US" w:eastAsia="zh-CN"/>
        </w:rPr>
        <w:t>本项目生活热源由1台</w:t>
      </w:r>
      <w:r>
        <w:rPr>
          <w:rFonts w:hint="eastAsia" w:ascii="Times New Roman" w:hAnsi="Times New Roman" w:cs="Times New Roman"/>
          <w:bCs/>
          <w:color w:val="auto"/>
          <w:sz w:val="24"/>
          <w:lang w:val="en-US" w:eastAsia="zh-CN"/>
        </w:rPr>
        <w:t>2.1MW</w:t>
      </w:r>
      <w:r>
        <w:rPr>
          <w:rFonts w:hint="default" w:ascii="Times New Roman" w:hAnsi="Times New Roman" w:cs="Times New Roman"/>
          <w:bCs/>
          <w:color w:val="auto"/>
          <w:sz w:val="24"/>
          <w:lang w:val="en-US" w:eastAsia="zh-CN"/>
        </w:rPr>
        <w:t>生物质热水锅炉供应，产生的烟气经布袋除尘器处理后，经</w:t>
      </w:r>
      <w:r>
        <w:rPr>
          <w:rFonts w:hint="eastAsia" w:ascii="Times New Roman" w:hAnsi="Times New Roman" w:cs="Times New Roman"/>
          <w:bCs/>
          <w:color w:val="auto"/>
          <w:sz w:val="24"/>
          <w:lang w:val="en-US" w:eastAsia="zh-CN"/>
        </w:rPr>
        <w:t>30m</w:t>
      </w:r>
      <w:r>
        <w:rPr>
          <w:rFonts w:hint="default" w:ascii="Times New Roman" w:hAnsi="Times New Roman" w:cs="Times New Roman"/>
          <w:bCs/>
          <w:color w:val="auto"/>
          <w:sz w:val="24"/>
          <w:lang w:val="en-US" w:eastAsia="zh-CN"/>
        </w:rPr>
        <w:t>高烟囱</w:t>
      </w:r>
      <w:r>
        <w:rPr>
          <w:rFonts w:hint="eastAsia" w:ascii="Times New Roman" w:hAnsi="Times New Roman" w:cs="Times New Roman"/>
          <w:bCs/>
          <w:color w:val="auto"/>
          <w:sz w:val="24"/>
          <w:lang w:val="en-US" w:eastAsia="zh-CN"/>
        </w:rPr>
        <w:t>（DA005）</w:t>
      </w:r>
      <w:r>
        <w:rPr>
          <w:rFonts w:hint="default" w:ascii="Times New Roman" w:hAnsi="Times New Roman" w:cs="Times New Roman"/>
          <w:bCs/>
          <w:color w:val="auto"/>
          <w:sz w:val="24"/>
          <w:lang w:val="en-US" w:eastAsia="zh-CN"/>
        </w:rPr>
        <w:t>排放，排放的污染物为颗粒物、SO</w:t>
      </w:r>
      <w:r>
        <w:rPr>
          <w:rFonts w:hint="default" w:ascii="Times New Roman" w:hAnsi="Times New Roman" w:cs="Times New Roman"/>
          <w:bCs/>
          <w:color w:val="auto"/>
          <w:sz w:val="24"/>
          <w:vertAlign w:val="subscript"/>
          <w:lang w:val="en-US" w:eastAsia="zh-CN"/>
        </w:rPr>
        <w:t>2</w:t>
      </w:r>
      <w:r>
        <w:rPr>
          <w:rFonts w:hint="default" w:ascii="Times New Roman" w:hAnsi="Times New Roman" w:cs="Times New Roman"/>
          <w:bCs/>
          <w:color w:val="auto"/>
          <w:sz w:val="24"/>
          <w:lang w:val="en-US" w:eastAsia="zh-CN"/>
        </w:rPr>
        <w:t>、NO</w:t>
      </w:r>
      <w:r>
        <w:rPr>
          <w:rFonts w:hint="default" w:ascii="Times New Roman" w:hAnsi="Times New Roman" w:cs="Times New Roman"/>
          <w:bCs/>
          <w:color w:val="auto"/>
          <w:sz w:val="24"/>
          <w:vertAlign w:val="subscript"/>
          <w:lang w:val="en-US" w:eastAsia="zh-CN"/>
        </w:rPr>
        <w:t>X</w:t>
      </w:r>
      <w:r>
        <w:rPr>
          <w:rFonts w:hint="default" w:ascii="Times New Roman" w:hAnsi="Times New Roman" w:cs="Times New Roman"/>
          <w:bCs/>
          <w:color w:val="auto"/>
          <w:sz w:val="24"/>
          <w:vertAlign w:val="baseline"/>
          <w:lang w:val="en-US" w:eastAsia="zh-CN"/>
        </w:rPr>
        <w:t>，</w:t>
      </w:r>
      <w:r>
        <w:rPr>
          <w:rFonts w:hint="default" w:ascii="Times New Roman" w:hAnsi="Times New Roman" w:cs="Times New Roman"/>
          <w:snapToGrid w:val="0"/>
          <w:color w:val="auto"/>
          <w:kern w:val="0"/>
          <w:sz w:val="24"/>
        </w:rPr>
        <w:t>除尘效率按</w:t>
      </w:r>
      <w:r>
        <w:rPr>
          <w:rFonts w:hint="default" w:ascii="Times New Roman" w:hAnsi="Times New Roman" w:cs="Times New Roman"/>
          <w:snapToGrid w:val="0"/>
          <w:color w:val="auto"/>
          <w:kern w:val="0"/>
          <w:sz w:val="24"/>
          <w:lang w:eastAsia="zh-CN"/>
        </w:rPr>
        <w:t>99.8</w:t>
      </w:r>
      <w:r>
        <w:rPr>
          <w:rFonts w:hint="default" w:ascii="Times New Roman" w:hAnsi="Times New Roman" w:cs="Times New Roman"/>
          <w:snapToGrid w:val="0"/>
          <w:color w:val="auto"/>
          <w:kern w:val="0"/>
          <w:sz w:val="24"/>
        </w:rPr>
        <w:t>%计</w:t>
      </w:r>
      <w:r>
        <w:rPr>
          <w:rFonts w:hint="default" w:ascii="Times New Roman" w:hAnsi="Times New Roman" w:cs="Times New Roman"/>
          <w:bCs/>
          <w:color w:val="auto"/>
          <w:sz w:val="24"/>
          <w:lang w:val="en-US" w:eastAsia="zh-CN"/>
        </w:rPr>
        <w:t>。</w:t>
      </w:r>
    </w:p>
    <w:p>
      <w:pPr>
        <w:spacing w:line="360" w:lineRule="auto"/>
        <w:rPr>
          <w:b/>
          <w:snapToGrid w:val="0"/>
          <w:color w:val="auto"/>
          <w:kern w:val="0"/>
          <w:sz w:val="24"/>
        </w:rPr>
      </w:pPr>
      <w:r>
        <w:rPr>
          <w:rFonts w:hint="eastAsia"/>
          <w:b/>
          <w:snapToGrid w:val="0"/>
          <w:color w:val="auto"/>
          <w:kern w:val="0"/>
          <w:sz w:val="24"/>
        </w:rPr>
        <w:t>1.2.4.2废水</w:t>
      </w:r>
    </w:p>
    <w:p>
      <w:pPr>
        <w:spacing w:line="360" w:lineRule="auto"/>
        <w:ind w:firstLine="480" w:firstLineChars="200"/>
        <w:rPr>
          <w:color w:val="auto"/>
          <w:sz w:val="24"/>
        </w:rPr>
      </w:pPr>
      <w:r>
        <w:rPr>
          <w:color w:val="auto"/>
          <w:sz w:val="24"/>
        </w:rPr>
        <w:t>本项目运营期产生的所有废水均排入厂区污水处理站</w:t>
      </w:r>
      <w:r>
        <w:rPr>
          <w:rFonts w:hint="eastAsia"/>
          <w:color w:val="auto"/>
          <w:sz w:val="24"/>
        </w:rPr>
        <w:t>（</w:t>
      </w:r>
      <w:r>
        <w:rPr>
          <w:bCs/>
          <w:color w:val="auto"/>
          <w:sz w:val="24"/>
        </w:rPr>
        <w:t>格栅+</w:t>
      </w:r>
      <w:r>
        <w:rPr>
          <w:color w:val="auto"/>
          <w:kern w:val="24"/>
          <w:sz w:val="24"/>
        </w:rPr>
        <w:t>隔油沉砂+气浮+水解酸化+生物接触氧化+</w:t>
      </w:r>
      <w:r>
        <w:rPr>
          <w:rFonts w:hint="eastAsia"/>
          <w:color w:val="auto"/>
          <w:kern w:val="24"/>
          <w:sz w:val="24"/>
        </w:rPr>
        <w:t>二沉池+</w:t>
      </w:r>
      <w:r>
        <w:rPr>
          <w:color w:val="auto"/>
          <w:kern w:val="24"/>
          <w:sz w:val="24"/>
        </w:rPr>
        <w:t>消毒工艺</w:t>
      </w:r>
      <w:r>
        <w:rPr>
          <w:rFonts w:hint="eastAsia"/>
          <w:color w:val="auto"/>
          <w:sz w:val="24"/>
        </w:rPr>
        <w:t>）</w:t>
      </w:r>
      <w:r>
        <w:rPr>
          <w:color w:val="auto"/>
          <w:sz w:val="24"/>
        </w:rPr>
        <w:t>处理后，达到《肉类加工工业水污染物排放标准》（GB13457-92）表3三级畜类屠宰加工标准限值，</w:t>
      </w:r>
      <w:r>
        <w:rPr>
          <w:rFonts w:hint="eastAsia"/>
          <w:color w:val="auto"/>
          <w:sz w:val="24"/>
        </w:rPr>
        <w:t>暂存</w:t>
      </w:r>
      <w:r>
        <w:rPr>
          <w:color w:val="auto"/>
          <w:sz w:val="24"/>
        </w:rPr>
        <w:t>于贮水池，</w:t>
      </w:r>
      <w:r>
        <w:rPr>
          <w:rFonts w:hint="eastAsia"/>
          <w:color w:val="auto"/>
          <w:sz w:val="24"/>
        </w:rPr>
        <w:t>每天</w:t>
      </w:r>
      <w:r>
        <w:rPr>
          <w:color w:val="auto"/>
          <w:sz w:val="24"/>
        </w:rPr>
        <w:t>采用专用罐车</w:t>
      </w:r>
      <w:r>
        <w:rPr>
          <w:rFonts w:hint="eastAsia"/>
          <w:color w:val="auto"/>
          <w:sz w:val="24"/>
        </w:rPr>
        <w:t>运至</w:t>
      </w:r>
      <w:r>
        <w:rPr>
          <w:rFonts w:hint="eastAsia"/>
          <w:color w:val="auto"/>
          <w:sz w:val="24"/>
          <w:lang w:eastAsia="zh-CN"/>
        </w:rPr>
        <w:t>尚志污水处理厂</w:t>
      </w:r>
      <w:r>
        <w:rPr>
          <w:rFonts w:hint="eastAsia"/>
          <w:color w:val="auto"/>
          <w:sz w:val="24"/>
        </w:rPr>
        <w:t>，经</w:t>
      </w:r>
      <w:r>
        <w:rPr>
          <w:rFonts w:hint="eastAsia"/>
          <w:color w:val="auto"/>
          <w:sz w:val="24"/>
          <w:lang w:eastAsia="zh-CN"/>
        </w:rPr>
        <w:t>尚志污水处理厂</w:t>
      </w:r>
      <w:r>
        <w:rPr>
          <w:rFonts w:hint="eastAsia"/>
          <w:color w:val="auto"/>
          <w:sz w:val="24"/>
        </w:rPr>
        <w:t>处理后达到《城镇污水处理厂污染物排放标准》（GB18918-2002）一级A标准后，排入乌珠河，最终汇入蚂蚁河</w:t>
      </w:r>
      <w:r>
        <w:rPr>
          <w:color w:val="auto"/>
          <w:sz w:val="24"/>
        </w:rPr>
        <w:t>。</w:t>
      </w:r>
    </w:p>
    <w:p>
      <w:pPr>
        <w:spacing w:line="360" w:lineRule="auto"/>
        <w:rPr>
          <w:b/>
          <w:snapToGrid w:val="0"/>
          <w:color w:val="auto"/>
          <w:kern w:val="0"/>
          <w:sz w:val="24"/>
        </w:rPr>
      </w:pPr>
      <w:r>
        <w:rPr>
          <w:rFonts w:hint="eastAsia"/>
          <w:b/>
          <w:snapToGrid w:val="0"/>
          <w:color w:val="auto"/>
          <w:kern w:val="0"/>
          <w:sz w:val="24"/>
        </w:rPr>
        <w:t>1.2.4.3噪声</w:t>
      </w:r>
    </w:p>
    <w:p>
      <w:pPr>
        <w:spacing w:line="360" w:lineRule="auto"/>
        <w:ind w:firstLine="480" w:firstLineChars="200"/>
        <w:rPr>
          <w:bCs/>
          <w:color w:val="auto"/>
          <w:sz w:val="24"/>
        </w:rPr>
      </w:pPr>
      <w:r>
        <w:rPr>
          <w:bCs/>
          <w:color w:val="auto"/>
          <w:sz w:val="24"/>
        </w:rPr>
        <w:t>本项目选用低噪声设备、厂房隔声、</w:t>
      </w:r>
      <w:r>
        <w:rPr>
          <w:rFonts w:hint="eastAsia"/>
          <w:bCs/>
          <w:color w:val="auto"/>
          <w:sz w:val="24"/>
        </w:rPr>
        <w:t>基础减振、</w:t>
      </w:r>
      <w:r>
        <w:rPr>
          <w:bCs/>
          <w:color w:val="auto"/>
          <w:sz w:val="24"/>
        </w:rPr>
        <w:t>绿化降噪措施。</w:t>
      </w:r>
    </w:p>
    <w:p>
      <w:pPr>
        <w:spacing w:line="360" w:lineRule="auto"/>
        <w:rPr>
          <w:b/>
          <w:snapToGrid w:val="0"/>
          <w:color w:val="auto"/>
          <w:kern w:val="0"/>
          <w:sz w:val="24"/>
        </w:rPr>
      </w:pPr>
      <w:r>
        <w:rPr>
          <w:rFonts w:hint="eastAsia"/>
          <w:b/>
          <w:snapToGrid w:val="0"/>
          <w:color w:val="auto"/>
          <w:kern w:val="0"/>
          <w:sz w:val="24"/>
        </w:rPr>
        <w:t>1.2.4.4固废</w:t>
      </w:r>
    </w:p>
    <w:p>
      <w:pPr>
        <w:spacing w:line="360" w:lineRule="auto"/>
        <w:ind w:firstLine="480" w:firstLineChars="200"/>
        <w:rPr>
          <w:bCs/>
          <w:color w:val="auto"/>
          <w:sz w:val="24"/>
        </w:rPr>
      </w:pPr>
      <w:r>
        <w:rPr>
          <w:bCs/>
          <w:color w:val="auto"/>
          <w:sz w:val="24"/>
        </w:rPr>
        <w:t>本项目粪便</w:t>
      </w:r>
      <w:r>
        <w:rPr>
          <w:rFonts w:hint="eastAsia"/>
          <w:bCs/>
          <w:color w:val="auto"/>
          <w:sz w:val="24"/>
        </w:rPr>
        <w:t>暂存于待宰间内储粪池内，日产日清，使用密闭运输车运走作为有机肥原料外卖。检疫废物（HW01）</w:t>
      </w:r>
      <w:r>
        <w:rPr>
          <w:bCs/>
          <w:color w:val="auto"/>
          <w:sz w:val="24"/>
        </w:rPr>
        <w:t>单独收集，用</w:t>
      </w:r>
      <w:r>
        <w:rPr>
          <w:rFonts w:hint="eastAsia"/>
          <w:bCs/>
          <w:color w:val="auto"/>
          <w:sz w:val="24"/>
        </w:rPr>
        <w:t>有</w:t>
      </w:r>
      <w:r>
        <w:rPr>
          <w:bCs/>
          <w:color w:val="auto"/>
          <w:sz w:val="24"/>
        </w:rPr>
        <w:t>明显标识的</w:t>
      </w:r>
      <w:r>
        <w:rPr>
          <w:rFonts w:hint="eastAsia"/>
          <w:bCs/>
          <w:color w:val="auto"/>
          <w:sz w:val="24"/>
        </w:rPr>
        <w:t>塑料袋</w:t>
      </w:r>
      <w:r>
        <w:rPr>
          <w:bCs/>
          <w:color w:val="auto"/>
          <w:sz w:val="24"/>
        </w:rPr>
        <w:t>盛装，暂存于</w:t>
      </w:r>
      <w:r>
        <w:rPr>
          <w:rFonts w:hint="eastAsia"/>
          <w:bCs/>
          <w:color w:val="auto"/>
          <w:sz w:val="24"/>
          <w:lang w:eastAsia="zh-CN"/>
        </w:rPr>
        <w:t>危险废物贮存点</w:t>
      </w:r>
      <w:r>
        <w:rPr>
          <w:bCs/>
          <w:color w:val="auto"/>
          <w:sz w:val="24"/>
        </w:rPr>
        <w:t>，</w:t>
      </w:r>
      <w:r>
        <w:rPr>
          <w:rFonts w:hint="eastAsia"/>
          <w:bCs/>
          <w:color w:val="auto"/>
          <w:sz w:val="24"/>
        </w:rPr>
        <w:t>交</w:t>
      </w:r>
      <w:r>
        <w:rPr>
          <w:bCs/>
          <w:color w:val="auto"/>
          <w:sz w:val="24"/>
        </w:rPr>
        <w:t>由有资质单位进行处置。不可</w:t>
      </w:r>
      <w:r>
        <w:rPr>
          <w:rFonts w:hint="eastAsia"/>
          <w:bCs/>
          <w:color w:val="auto"/>
          <w:sz w:val="24"/>
        </w:rPr>
        <w:t>食用</w:t>
      </w:r>
      <w:r>
        <w:rPr>
          <w:bCs/>
          <w:color w:val="auto"/>
          <w:sz w:val="24"/>
        </w:rPr>
        <w:t>内脏、</w:t>
      </w:r>
      <w:r>
        <w:rPr>
          <w:rFonts w:hint="eastAsia"/>
          <w:bCs/>
          <w:color w:val="auto"/>
          <w:sz w:val="24"/>
        </w:rPr>
        <w:t>检疫不合格肉牛及病死牛委托</w:t>
      </w:r>
      <w:r>
        <w:rPr>
          <w:rFonts w:hint="eastAsia"/>
          <w:bCs/>
          <w:color w:val="auto"/>
          <w:sz w:val="24"/>
          <w:lang w:eastAsia="zh-CN"/>
        </w:rPr>
        <w:t>无害化处理有限公司</w:t>
      </w:r>
      <w:r>
        <w:rPr>
          <w:rFonts w:hint="eastAsia"/>
          <w:bCs/>
          <w:color w:val="auto"/>
          <w:sz w:val="24"/>
        </w:rPr>
        <w:t>处理。</w:t>
      </w:r>
      <w:r>
        <w:rPr>
          <w:bCs/>
          <w:color w:val="auto"/>
          <w:sz w:val="24"/>
        </w:rPr>
        <w:t>废弃包装物集中收集，外售综合利用。生活垃圾由市政部门统一处理。</w:t>
      </w:r>
      <w:r>
        <w:rPr>
          <w:rFonts w:hint="eastAsia"/>
          <w:bCs/>
          <w:color w:val="auto"/>
          <w:sz w:val="24"/>
        </w:rPr>
        <w:t>废活性炭</w:t>
      </w:r>
      <w:r>
        <w:rPr>
          <w:rFonts w:hint="eastAsia"/>
          <w:bCs/>
          <w:color w:val="auto"/>
          <w:sz w:val="24"/>
          <w:lang w:val="en-US" w:eastAsia="zh-CN"/>
        </w:rPr>
        <w:t>交由厂家再生利用。</w:t>
      </w:r>
      <w:r>
        <w:rPr>
          <w:bCs/>
          <w:color w:val="auto"/>
          <w:sz w:val="24"/>
        </w:rPr>
        <w:t>污泥及栅渣采用压滤机脱水后，</w:t>
      </w:r>
      <w:r>
        <w:rPr>
          <w:rFonts w:hint="eastAsia"/>
          <w:bCs/>
          <w:color w:val="auto"/>
          <w:sz w:val="24"/>
        </w:rPr>
        <w:t>送生活垃圾填埋场处理，压滤废水返回污水处理工艺。</w:t>
      </w:r>
      <w:r>
        <w:rPr>
          <w:bCs/>
          <w:color w:val="auto"/>
          <w:sz w:val="24"/>
        </w:rPr>
        <w:t>食堂餐馀垃圾交由符合规定的回收处置单位统一回收处置；食堂废油脂按</w:t>
      </w:r>
      <w:r>
        <w:rPr>
          <w:rFonts w:hint="eastAsia"/>
          <w:bCs/>
          <w:color w:val="auto"/>
          <w:sz w:val="24"/>
          <w:highlight w:val="none"/>
          <w:lang w:eastAsia="zh-CN"/>
        </w:rPr>
        <w:t>《哈尔滨市城市餐厨废弃物管理办法》</w:t>
      </w:r>
      <w:r>
        <w:rPr>
          <w:bCs/>
          <w:color w:val="auto"/>
          <w:sz w:val="24"/>
          <w:highlight w:val="none"/>
        </w:rPr>
        <w:t>处</w:t>
      </w:r>
      <w:r>
        <w:rPr>
          <w:bCs/>
          <w:color w:val="auto"/>
          <w:sz w:val="24"/>
        </w:rPr>
        <w:t>置。屠宰车间</w:t>
      </w:r>
      <w:r>
        <w:rPr>
          <w:rFonts w:hint="eastAsia"/>
          <w:bCs/>
          <w:color w:val="auto"/>
          <w:sz w:val="24"/>
        </w:rPr>
        <w:t>产生的</w:t>
      </w:r>
      <w:r>
        <w:rPr>
          <w:bCs/>
          <w:color w:val="auto"/>
          <w:sz w:val="24"/>
        </w:rPr>
        <w:t>肠胃内容物同粪便</w:t>
      </w:r>
      <w:r>
        <w:rPr>
          <w:rFonts w:hint="eastAsia"/>
          <w:bCs/>
          <w:color w:val="auto"/>
          <w:sz w:val="24"/>
        </w:rPr>
        <w:t>使用密闭运输车运走作为有机肥原料外卖。污水处理站废油脂交由有资质单位处置</w:t>
      </w:r>
      <w:r>
        <w:rPr>
          <w:bCs/>
          <w:color w:val="auto"/>
          <w:sz w:val="24"/>
        </w:rPr>
        <w:t>。</w:t>
      </w:r>
      <w:r>
        <w:rPr>
          <w:rFonts w:hint="eastAsia"/>
          <w:bCs/>
          <w:color w:val="auto"/>
          <w:sz w:val="24"/>
          <w:lang w:val="en-US" w:eastAsia="zh-CN"/>
        </w:rPr>
        <w:t>锅炉房软化水设备产生的废离子交换树脂由厂家回收；废布袋由除尘器厂家回收利用；锅炉产生灰渣暂存于锅炉房内灰渣间，收集后袋装密封暂存，外售用于生产有机肥。</w:t>
      </w:r>
    </w:p>
    <w:p>
      <w:pPr>
        <w:spacing w:line="360" w:lineRule="auto"/>
        <w:rPr>
          <w:bCs/>
          <w:color w:val="auto"/>
          <w:sz w:val="24"/>
        </w:rPr>
      </w:pPr>
      <w:r>
        <w:rPr>
          <w:rFonts w:hint="eastAsia"/>
          <w:b/>
          <w:snapToGrid w:val="0"/>
          <w:color w:val="auto"/>
          <w:kern w:val="0"/>
          <w:sz w:val="24"/>
        </w:rPr>
        <w:t>1.2.4.5地下水</w:t>
      </w:r>
    </w:p>
    <w:p>
      <w:pPr>
        <w:spacing w:line="360" w:lineRule="auto"/>
        <w:ind w:firstLine="480" w:firstLineChars="200"/>
        <w:rPr>
          <w:bCs/>
          <w:color w:val="auto"/>
          <w:sz w:val="24"/>
        </w:rPr>
      </w:pPr>
      <w:r>
        <w:rPr>
          <w:bCs/>
          <w:color w:val="auto"/>
          <w:sz w:val="24"/>
        </w:rPr>
        <w:t>本项目对厂区进行分区防渗</w:t>
      </w:r>
      <w:r>
        <w:rPr>
          <w:rFonts w:hint="eastAsia"/>
          <w:bCs/>
          <w:color w:val="auto"/>
          <w:sz w:val="24"/>
        </w:rPr>
        <w:t>：</w:t>
      </w:r>
    </w:p>
    <w:p>
      <w:pPr>
        <w:spacing w:line="360" w:lineRule="auto"/>
        <w:ind w:firstLine="480" w:firstLineChars="200"/>
        <w:rPr>
          <w:bCs/>
          <w:color w:val="auto"/>
          <w:sz w:val="24"/>
        </w:rPr>
      </w:pPr>
      <w:r>
        <w:rPr>
          <w:rFonts w:hint="eastAsia"/>
          <w:bCs/>
          <w:color w:val="auto"/>
          <w:sz w:val="24"/>
        </w:rPr>
        <w:t>重点防渗区：</w:t>
      </w:r>
      <w:r>
        <w:rPr>
          <w:rFonts w:hint="eastAsia"/>
          <w:bCs/>
          <w:color w:val="auto"/>
          <w:sz w:val="24"/>
          <w:lang w:eastAsia="zh-CN"/>
        </w:rPr>
        <w:t>危险废物贮存点</w:t>
      </w:r>
      <w:r>
        <w:rPr>
          <w:rFonts w:hint="eastAsia"/>
          <w:bCs/>
          <w:color w:val="auto"/>
          <w:sz w:val="24"/>
          <w:lang w:val="en-GB"/>
        </w:rPr>
        <w:t>地面和墙裙</w:t>
      </w:r>
      <w:r>
        <w:rPr>
          <w:bCs/>
          <w:color w:val="auto"/>
          <w:sz w:val="24"/>
        </w:rPr>
        <w:t>采用至少1m厚粘土层（渗透系数K≤10</w:t>
      </w:r>
      <w:r>
        <w:rPr>
          <w:bCs/>
          <w:color w:val="auto"/>
          <w:sz w:val="24"/>
          <w:vertAlign w:val="superscript"/>
        </w:rPr>
        <w:t>-7</w:t>
      </w:r>
      <w:r>
        <w:rPr>
          <w:bCs/>
          <w:color w:val="auto"/>
          <w:sz w:val="24"/>
        </w:rPr>
        <w:t>cm/s）或2mm厚高密度聚乙烯或至少2mm厚的其他人工材料（渗透系数K≤10</w:t>
      </w:r>
      <w:r>
        <w:rPr>
          <w:bCs/>
          <w:color w:val="auto"/>
          <w:sz w:val="24"/>
          <w:vertAlign w:val="superscript"/>
        </w:rPr>
        <w:t>-10</w:t>
      </w:r>
      <w:r>
        <w:rPr>
          <w:bCs/>
          <w:color w:val="auto"/>
          <w:sz w:val="24"/>
        </w:rPr>
        <w:t>cm/s）。</w:t>
      </w:r>
    </w:p>
    <w:p>
      <w:pPr>
        <w:spacing w:line="360" w:lineRule="auto"/>
        <w:ind w:firstLine="480" w:firstLineChars="200"/>
        <w:rPr>
          <w:bCs/>
          <w:color w:val="auto"/>
          <w:sz w:val="24"/>
        </w:rPr>
      </w:pPr>
      <w:r>
        <w:rPr>
          <w:rFonts w:hint="eastAsia"/>
          <w:bCs/>
          <w:color w:val="auto"/>
          <w:sz w:val="24"/>
        </w:rPr>
        <w:t>一般防渗区：待宰间、</w:t>
      </w:r>
      <w:r>
        <w:rPr>
          <w:rFonts w:hint="eastAsia"/>
          <w:bCs/>
          <w:color w:val="auto"/>
          <w:sz w:val="24"/>
          <w:lang w:val="en-US" w:eastAsia="zh-CN"/>
        </w:rPr>
        <w:t>急宰间、</w:t>
      </w:r>
      <w:r>
        <w:rPr>
          <w:rFonts w:hint="eastAsia"/>
          <w:bCs/>
          <w:color w:val="auto"/>
          <w:sz w:val="24"/>
        </w:rPr>
        <w:t>屠宰车间、</w:t>
      </w:r>
      <w:r>
        <w:rPr>
          <w:bCs/>
          <w:color w:val="auto"/>
          <w:sz w:val="24"/>
          <w:lang w:val="en-GB"/>
        </w:rPr>
        <w:t>冷库</w:t>
      </w:r>
      <w:r>
        <w:rPr>
          <w:bCs/>
          <w:color w:val="auto"/>
          <w:sz w:val="24"/>
        </w:rPr>
        <w:t>、污水处理站、贮水池、事故池池体</w:t>
      </w:r>
      <w:r>
        <w:rPr>
          <w:rFonts w:hint="eastAsia"/>
          <w:bCs/>
          <w:color w:val="auto"/>
          <w:sz w:val="24"/>
        </w:rPr>
        <w:t>及</w:t>
      </w:r>
      <w:r>
        <w:rPr>
          <w:bCs/>
          <w:color w:val="auto"/>
          <w:sz w:val="24"/>
          <w:lang w:val="en-GB"/>
        </w:rPr>
        <w:t>地面基础防渗，防渗层为至少1m厚粘土层或2mm厚高密度聚乙烯，需满足等效黏土防渗层Mb≥1.5m，K≤1×10</w:t>
      </w:r>
      <w:r>
        <w:rPr>
          <w:bCs/>
          <w:color w:val="auto"/>
          <w:sz w:val="24"/>
          <w:vertAlign w:val="superscript"/>
          <w:lang w:val="en-GB"/>
        </w:rPr>
        <w:t>-7</w:t>
      </w:r>
      <w:r>
        <w:rPr>
          <w:bCs/>
          <w:color w:val="auto"/>
          <w:sz w:val="24"/>
          <w:lang w:val="en-GB"/>
        </w:rPr>
        <w:t>cm/s的要求。</w:t>
      </w:r>
    </w:p>
    <w:p>
      <w:pPr>
        <w:spacing w:line="360" w:lineRule="auto"/>
        <w:ind w:firstLine="480" w:firstLineChars="200"/>
        <w:rPr>
          <w:bCs/>
          <w:color w:val="auto"/>
          <w:sz w:val="24"/>
        </w:rPr>
      </w:pPr>
      <w:r>
        <w:rPr>
          <w:rFonts w:hint="eastAsia"/>
          <w:bCs/>
          <w:color w:val="auto"/>
          <w:sz w:val="24"/>
        </w:rPr>
        <w:t>简单防渗区：</w:t>
      </w:r>
      <w:r>
        <w:rPr>
          <w:rFonts w:hint="eastAsia"/>
          <w:bCs/>
          <w:color w:val="auto"/>
          <w:sz w:val="24"/>
          <w:lang w:val="en-GB" w:eastAsia="zh-CN"/>
        </w:rPr>
        <w:t>办公楼</w:t>
      </w:r>
      <w:r>
        <w:rPr>
          <w:bCs/>
          <w:color w:val="auto"/>
          <w:sz w:val="24"/>
          <w:lang w:val="en-GB"/>
        </w:rPr>
        <w:t>、库房等</w:t>
      </w:r>
      <w:r>
        <w:rPr>
          <w:bCs/>
          <w:color w:val="auto"/>
          <w:sz w:val="24"/>
        </w:rPr>
        <w:t>对其地面采用混凝土进行一般地面硬化。</w:t>
      </w:r>
    </w:p>
    <w:p>
      <w:pPr>
        <w:spacing w:line="360" w:lineRule="auto"/>
        <w:ind w:firstLine="480" w:firstLineChars="200"/>
        <w:rPr>
          <w:bCs/>
          <w:color w:val="auto"/>
          <w:sz w:val="24"/>
        </w:rPr>
      </w:pPr>
      <w:r>
        <w:rPr>
          <w:bCs/>
          <w:color w:val="auto"/>
          <w:sz w:val="24"/>
        </w:rPr>
        <w:t>在厂区</w:t>
      </w:r>
      <w:r>
        <w:rPr>
          <w:rFonts w:hint="eastAsia"/>
          <w:bCs/>
          <w:color w:val="auto"/>
          <w:sz w:val="24"/>
          <w:lang w:eastAsia="zh-CN"/>
        </w:rPr>
        <w:t>东侧</w:t>
      </w:r>
      <w:r>
        <w:rPr>
          <w:bCs/>
          <w:color w:val="auto"/>
          <w:sz w:val="24"/>
        </w:rPr>
        <w:t>设置1口地下水跟踪监控井。</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1.2.</w:t>
      </w:r>
      <w:r>
        <w:rPr>
          <w:rFonts w:hint="eastAsia" w:ascii="Times New Roman" w:hAnsi="Times New Roman" w:cs="Times New Roman"/>
          <w:b/>
          <w:color w:val="auto"/>
          <w:sz w:val="28"/>
          <w:szCs w:val="28"/>
        </w:rPr>
        <w:t>5公用工程及储运工程</w:t>
      </w:r>
    </w:p>
    <w:p>
      <w:pPr>
        <w:spacing w:line="360" w:lineRule="auto"/>
        <w:ind w:firstLine="480" w:firstLineChars="200"/>
        <w:rPr>
          <w:color w:val="auto"/>
          <w:sz w:val="24"/>
        </w:rPr>
      </w:pPr>
      <w:r>
        <w:rPr>
          <w:color w:val="auto"/>
          <w:sz w:val="24"/>
        </w:rPr>
        <w:t>本项目供电接入市政供电系统，</w:t>
      </w:r>
      <w:r>
        <w:rPr>
          <w:rFonts w:hint="eastAsia"/>
          <w:color w:val="auto"/>
          <w:sz w:val="24"/>
          <w:lang w:val="en-US" w:eastAsia="zh-CN"/>
        </w:rPr>
        <w:t>给水</w:t>
      </w:r>
      <w:r>
        <w:rPr>
          <w:color w:val="auto"/>
          <w:sz w:val="24"/>
        </w:rPr>
        <w:t>由厂区自打水井</w:t>
      </w:r>
      <w:r>
        <w:rPr>
          <w:rFonts w:hint="eastAsia"/>
          <w:color w:val="auto"/>
          <w:sz w:val="24"/>
        </w:rPr>
        <w:t>提供</w:t>
      </w:r>
      <w:r>
        <w:rPr>
          <w:color w:val="auto"/>
          <w:sz w:val="24"/>
        </w:rPr>
        <w:t>，污水经厂区污水处理站处理后</w:t>
      </w:r>
      <w:r>
        <w:rPr>
          <w:rFonts w:hint="eastAsia"/>
          <w:color w:val="auto"/>
          <w:sz w:val="24"/>
        </w:rPr>
        <w:t>运至</w:t>
      </w:r>
      <w:r>
        <w:rPr>
          <w:rFonts w:hint="eastAsia"/>
          <w:color w:val="auto"/>
          <w:sz w:val="24"/>
          <w:lang w:eastAsia="zh-CN"/>
        </w:rPr>
        <w:t>尚志污水处理厂</w:t>
      </w:r>
      <w:r>
        <w:rPr>
          <w:color w:val="auto"/>
          <w:sz w:val="24"/>
        </w:rPr>
        <w:t>。厂区冬季采取</w:t>
      </w:r>
      <w:r>
        <w:rPr>
          <w:rFonts w:hint="default"/>
          <w:color w:val="auto"/>
          <w:sz w:val="24"/>
          <w:lang w:val="en-US" w:eastAsia="zh-CN"/>
        </w:rPr>
        <w:t>一台</w:t>
      </w:r>
      <w:r>
        <w:rPr>
          <w:rFonts w:hint="eastAsia"/>
          <w:color w:val="auto"/>
          <w:sz w:val="24"/>
          <w:lang w:val="en-US" w:eastAsia="zh-CN"/>
        </w:rPr>
        <w:t>2.1MW生物质热水锅炉</w:t>
      </w:r>
      <w:r>
        <w:rPr>
          <w:color w:val="auto"/>
          <w:sz w:val="24"/>
        </w:rPr>
        <w:t>取暖。</w:t>
      </w:r>
    </w:p>
    <w:p>
      <w:pPr>
        <w:spacing w:line="360" w:lineRule="auto"/>
        <w:ind w:firstLine="480" w:firstLineChars="200"/>
        <w:rPr>
          <w:bCs/>
          <w:color w:val="FF0000"/>
          <w:sz w:val="24"/>
        </w:rPr>
      </w:pPr>
      <w:r>
        <w:rPr>
          <w:bCs/>
          <w:color w:val="auto"/>
          <w:sz w:val="24"/>
        </w:rPr>
        <w:t>本项目</w:t>
      </w:r>
      <w:r>
        <w:rPr>
          <w:rFonts w:hint="eastAsia"/>
          <w:bCs/>
          <w:color w:val="auto"/>
          <w:sz w:val="24"/>
          <w:lang w:val="en-US" w:eastAsia="zh-CN"/>
        </w:rPr>
        <w:t>利用原有</w:t>
      </w:r>
      <w:r>
        <w:rPr>
          <w:bCs/>
          <w:color w:val="auto"/>
          <w:sz w:val="24"/>
        </w:rPr>
        <w:t>1个</w:t>
      </w:r>
      <w:r>
        <w:rPr>
          <w:rFonts w:hint="eastAsia"/>
          <w:bCs/>
          <w:color w:val="auto"/>
          <w:sz w:val="24"/>
          <w:lang w:val="en-US" w:eastAsia="zh-CN"/>
        </w:rPr>
        <w:t>36</w:t>
      </w:r>
      <w:r>
        <w:rPr>
          <w:rFonts w:hint="eastAsia"/>
          <w:bCs/>
          <w:color w:val="auto"/>
          <w:sz w:val="24"/>
        </w:rPr>
        <w:t>0</w:t>
      </w:r>
      <w:r>
        <w:rPr>
          <w:bCs/>
          <w:color w:val="auto"/>
          <w:sz w:val="24"/>
        </w:rPr>
        <w:t>0m</w:t>
      </w:r>
      <w:r>
        <w:rPr>
          <w:bCs/>
          <w:color w:val="auto"/>
          <w:sz w:val="24"/>
          <w:vertAlign w:val="superscript"/>
        </w:rPr>
        <w:t>2</w:t>
      </w:r>
      <w:r>
        <w:rPr>
          <w:bCs/>
          <w:color w:val="auto"/>
          <w:sz w:val="24"/>
        </w:rPr>
        <w:t>冷库，用于存储牛肉，最大存储量</w:t>
      </w:r>
      <w:r>
        <w:rPr>
          <w:rFonts w:hint="eastAsia"/>
          <w:bCs/>
          <w:color w:val="auto"/>
          <w:sz w:val="24"/>
          <w:lang w:val="en-US" w:eastAsia="zh-CN"/>
        </w:rPr>
        <w:t>3600</w:t>
      </w:r>
      <w:r>
        <w:rPr>
          <w:bCs/>
          <w:color w:val="auto"/>
          <w:sz w:val="24"/>
        </w:rPr>
        <w:t>t；</w:t>
      </w:r>
      <w:r>
        <w:rPr>
          <w:rFonts w:hint="eastAsia"/>
          <w:bCs/>
          <w:color w:val="000000" w:themeColor="text1"/>
          <w:sz w:val="24"/>
          <w:lang w:val="en-US" w:eastAsia="zh-CN"/>
        </w:rPr>
        <w:t>利用原有</w:t>
      </w:r>
      <w:r>
        <w:rPr>
          <w:rFonts w:hint="eastAsia"/>
          <w:bCs/>
          <w:color w:val="000000" w:themeColor="text1"/>
          <w:sz w:val="24"/>
        </w:rPr>
        <w:t>1个1</w:t>
      </w:r>
      <w:r>
        <w:rPr>
          <w:rFonts w:hint="eastAsia"/>
          <w:bCs/>
          <w:color w:val="000000" w:themeColor="text1"/>
          <w:sz w:val="24"/>
          <w:lang w:val="en-US" w:eastAsia="zh-CN"/>
        </w:rPr>
        <w:t>0</w:t>
      </w:r>
      <w:r>
        <w:rPr>
          <w:rFonts w:hint="eastAsia"/>
          <w:bCs/>
          <w:color w:val="000000" w:themeColor="text1"/>
          <w:sz w:val="24"/>
        </w:rPr>
        <w:t>0</w:t>
      </w:r>
      <w:r>
        <w:rPr>
          <w:bCs/>
          <w:color w:val="000000" w:themeColor="text1"/>
          <w:sz w:val="24"/>
        </w:rPr>
        <w:t>m</w:t>
      </w:r>
      <w:r>
        <w:rPr>
          <w:bCs/>
          <w:color w:val="000000" w:themeColor="text1"/>
          <w:sz w:val="24"/>
          <w:vertAlign w:val="superscript"/>
        </w:rPr>
        <w:t>2</w:t>
      </w:r>
      <w:r>
        <w:rPr>
          <w:bCs/>
          <w:color w:val="000000" w:themeColor="text1"/>
          <w:sz w:val="24"/>
        </w:rPr>
        <w:t>库房，用于存储</w:t>
      </w:r>
      <w:r>
        <w:rPr>
          <w:rFonts w:hint="eastAsia"/>
          <w:bCs/>
          <w:color w:val="000000" w:themeColor="text1"/>
          <w:sz w:val="24"/>
        </w:rPr>
        <w:t>消毒剂、维修工具等杂物</w:t>
      </w:r>
      <w:r>
        <w:rPr>
          <w:rFonts w:hint="eastAsia"/>
          <w:bCs/>
          <w:color w:val="auto"/>
          <w:sz w:val="24"/>
          <w:lang w:eastAsia="zh-CN"/>
        </w:rPr>
        <w:t>；</w:t>
      </w:r>
      <w:r>
        <w:rPr>
          <w:rFonts w:hint="eastAsia"/>
          <w:bCs/>
          <w:color w:val="auto"/>
          <w:sz w:val="24"/>
          <w:lang w:val="en-US" w:eastAsia="zh-CN"/>
        </w:rPr>
        <w:t>新建一座急宰间，建</w:t>
      </w:r>
      <w:r>
        <w:rPr>
          <w:rFonts w:hint="eastAsia"/>
          <w:bCs/>
          <w:color w:val="000000" w:themeColor="text1"/>
          <w:sz w:val="24"/>
          <w:lang w:val="en-US" w:eastAsia="zh-CN"/>
        </w:rPr>
        <w:t>筑面积100m</w:t>
      </w:r>
      <w:r>
        <w:rPr>
          <w:rFonts w:hint="eastAsia"/>
          <w:bCs/>
          <w:color w:val="000000" w:themeColor="text1"/>
          <w:sz w:val="24"/>
          <w:vertAlign w:val="superscript"/>
          <w:lang w:val="en-US" w:eastAsia="zh-CN"/>
        </w:rPr>
        <w:t>2</w:t>
      </w:r>
      <w:r>
        <w:rPr>
          <w:rFonts w:hint="eastAsia"/>
          <w:bCs/>
          <w:color w:val="000000" w:themeColor="text1"/>
          <w:sz w:val="24"/>
          <w:lang w:val="en-US" w:eastAsia="zh-CN"/>
        </w:rPr>
        <w:t>，用于检验不合格牛的隔离和宰杀；</w:t>
      </w:r>
      <w:r>
        <w:rPr>
          <w:rFonts w:hint="eastAsia"/>
          <w:bCs/>
          <w:color w:val="auto"/>
          <w:sz w:val="24"/>
          <w:lang w:val="en-US" w:eastAsia="zh-CN"/>
        </w:rPr>
        <w:t>新建</w:t>
      </w:r>
      <w:r>
        <w:rPr>
          <w:rFonts w:hint="eastAsia"/>
          <w:bCs/>
          <w:color w:val="auto"/>
          <w:sz w:val="24"/>
        </w:rPr>
        <w:t>1座待宰间</w:t>
      </w:r>
      <w:r>
        <w:rPr>
          <w:bCs/>
          <w:color w:val="auto"/>
          <w:sz w:val="24"/>
        </w:rPr>
        <w:t>，建筑面积为</w:t>
      </w:r>
      <w:r>
        <w:rPr>
          <w:rFonts w:hint="eastAsia"/>
          <w:bCs/>
          <w:color w:val="auto"/>
          <w:sz w:val="24"/>
          <w:lang w:val="en-US" w:eastAsia="zh-CN"/>
        </w:rPr>
        <w:t>500</w:t>
      </w:r>
      <w:r>
        <w:rPr>
          <w:bCs/>
          <w:color w:val="auto"/>
          <w:sz w:val="24"/>
        </w:rPr>
        <w:t>m</w:t>
      </w:r>
      <w:r>
        <w:rPr>
          <w:bCs/>
          <w:color w:val="auto"/>
          <w:sz w:val="24"/>
          <w:vertAlign w:val="superscript"/>
        </w:rPr>
        <w:t>2</w:t>
      </w:r>
      <w:r>
        <w:rPr>
          <w:bCs/>
          <w:color w:val="auto"/>
          <w:sz w:val="24"/>
        </w:rPr>
        <w:t>，用于存储待宰</w:t>
      </w:r>
      <w:r>
        <w:rPr>
          <w:rFonts w:hint="eastAsia"/>
          <w:bCs/>
          <w:color w:val="auto"/>
          <w:sz w:val="24"/>
        </w:rPr>
        <w:t>肉牛</w:t>
      </w:r>
      <w:r>
        <w:rPr>
          <w:bCs/>
          <w:color w:val="auto"/>
          <w:sz w:val="24"/>
        </w:rPr>
        <w:t>，待宰间内</w:t>
      </w:r>
      <w:r>
        <w:rPr>
          <w:rFonts w:hint="eastAsia"/>
          <w:bCs/>
          <w:color w:val="auto"/>
          <w:sz w:val="24"/>
        </w:rPr>
        <w:t>设置储粪池用于牛粪的暂时贮存</w:t>
      </w:r>
      <w:r>
        <w:rPr>
          <w:bCs/>
          <w:color w:val="auto"/>
          <w:sz w:val="24"/>
        </w:rPr>
        <w:t>。</w:t>
      </w:r>
      <w:r>
        <w:rPr>
          <w:rFonts w:hint="eastAsia"/>
          <w:bCs/>
          <w:color w:val="auto"/>
          <w:sz w:val="24"/>
          <w:lang w:val="en-US" w:eastAsia="zh-CN"/>
        </w:rPr>
        <w:t>新建</w:t>
      </w:r>
      <w:r>
        <w:rPr>
          <w:rFonts w:hint="eastAsia"/>
          <w:bCs/>
          <w:color w:val="auto"/>
          <w:sz w:val="24"/>
        </w:rPr>
        <w:t>1座贮水池</w:t>
      </w:r>
      <w:r>
        <w:rPr>
          <w:rFonts w:hint="eastAsia"/>
          <w:bCs/>
          <w:color w:val="auto"/>
          <w:sz w:val="24"/>
          <w:highlight w:val="none"/>
        </w:rPr>
        <w:t>，容积为</w:t>
      </w:r>
      <w:r>
        <w:rPr>
          <w:rFonts w:hint="eastAsia"/>
          <w:bCs/>
          <w:color w:val="auto"/>
          <w:sz w:val="24"/>
          <w:highlight w:val="none"/>
          <w:lang w:val="en-US" w:eastAsia="zh-CN"/>
        </w:rPr>
        <w:t>120</w:t>
      </w:r>
      <w:r>
        <w:rPr>
          <w:bCs/>
          <w:color w:val="auto"/>
          <w:sz w:val="24"/>
          <w:highlight w:val="none"/>
        </w:rPr>
        <w:t>m</w:t>
      </w:r>
      <w:r>
        <w:rPr>
          <w:rFonts w:hint="eastAsia"/>
          <w:bCs/>
          <w:color w:val="auto"/>
          <w:sz w:val="24"/>
          <w:highlight w:val="none"/>
          <w:vertAlign w:val="superscript"/>
        </w:rPr>
        <w:t>3</w:t>
      </w:r>
      <w:r>
        <w:rPr>
          <w:rFonts w:hint="eastAsia"/>
          <w:bCs/>
          <w:color w:val="auto"/>
          <w:sz w:val="24"/>
          <w:highlight w:val="none"/>
        </w:rPr>
        <w:t>，用</w:t>
      </w:r>
      <w:r>
        <w:rPr>
          <w:rFonts w:hint="eastAsia"/>
          <w:bCs/>
          <w:color w:val="auto"/>
          <w:sz w:val="24"/>
        </w:rPr>
        <w:t>于临时存储生产废水。</w:t>
      </w:r>
    </w:p>
    <w:p>
      <w:pPr>
        <w:spacing w:line="360" w:lineRule="auto"/>
        <w:ind w:firstLine="480" w:firstLineChars="200"/>
        <w:rPr>
          <w:rFonts w:hint="eastAsia"/>
          <w:bCs/>
          <w:color w:val="auto"/>
          <w:sz w:val="24"/>
          <w:lang w:val="en-US" w:eastAsia="zh-CN"/>
        </w:rPr>
      </w:pPr>
      <w:r>
        <w:rPr>
          <w:rFonts w:hint="eastAsia"/>
          <w:bCs/>
          <w:color w:val="auto"/>
          <w:sz w:val="24"/>
        </w:rPr>
        <w:t>本项目冷库采用</w:t>
      </w:r>
      <w:r>
        <w:rPr>
          <w:rFonts w:hint="eastAsia"/>
          <w:bCs/>
          <w:color w:val="auto"/>
          <w:sz w:val="24"/>
          <w:lang w:val="en-US" w:eastAsia="zh-CN"/>
        </w:rPr>
        <w:t>液氨</w:t>
      </w:r>
      <w:r>
        <w:rPr>
          <w:rFonts w:hint="eastAsia"/>
          <w:bCs/>
          <w:color w:val="auto"/>
          <w:sz w:val="24"/>
        </w:rPr>
        <w:t>制冷剂，</w:t>
      </w:r>
      <w:r>
        <w:rPr>
          <w:rFonts w:hint="eastAsia"/>
          <w:bCs/>
          <w:color w:val="auto"/>
          <w:sz w:val="24"/>
          <w:lang w:val="en-US" w:eastAsia="zh-CN"/>
        </w:rPr>
        <w:t>一次填充量为8t，储存于氨房储氨罐内。</w:t>
      </w:r>
    </w:p>
    <w:p>
      <w:pPr>
        <w:pStyle w:val="1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FF0000"/>
          <w:sz w:val="24"/>
          <w:szCs w:val="24"/>
          <w:lang w:val="en-US" w:eastAsia="zh-CN"/>
        </w:rPr>
      </w:pP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1.2.</w:t>
      </w:r>
      <w:r>
        <w:rPr>
          <w:rFonts w:hint="eastAsia" w:ascii="Times New Roman" w:hAnsi="Times New Roman" w:cs="Times New Roman"/>
          <w:b/>
          <w:color w:val="auto"/>
          <w:sz w:val="28"/>
          <w:szCs w:val="28"/>
        </w:rPr>
        <w:t>6依托工程</w:t>
      </w:r>
    </w:p>
    <w:p>
      <w:pPr>
        <w:spacing w:line="360" w:lineRule="auto"/>
        <w:ind w:firstLine="480" w:firstLineChars="200"/>
        <w:rPr>
          <w:bCs/>
          <w:color w:val="auto"/>
          <w:sz w:val="24"/>
        </w:rPr>
      </w:pPr>
      <w:r>
        <w:rPr>
          <w:bCs/>
          <w:color w:val="auto"/>
          <w:sz w:val="24"/>
        </w:rPr>
        <w:t>本项目产生的废水经管道送入厂区污水处理站，污水处理站采用格栅+隔油沉砂+气浮+水解酸化+生物接触氧化法+二沉池+消毒处理工艺，设计处理污水规模为</w:t>
      </w:r>
      <w:r>
        <w:rPr>
          <w:rFonts w:hint="eastAsia"/>
          <w:bCs/>
          <w:color w:val="auto"/>
          <w:sz w:val="24"/>
          <w:lang w:val="en-US" w:eastAsia="zh-CN"/>
        </w:rPr>
        <w:t>70</w:t>
      </w:r>
      <w:r>
        <w:rPr>
          <w:bCs/>
          <w:color w:val="auto"/>
          <w:sz w:val="24"/>
        </w:rPr>
        <w:t>m</w:t>
      </w:r>
      <w:r>
        <w:rPr>
          <w:bCs/>
          <w:color w:val="auto"/>
          <w:sz w:val="24"/>
          <w:vertAlign w:val="superscript"/>
        </w:rPr>
        <w:t>3</w:t>
      </w:r>
      <w:r>
        <w:rPr>
          <w:bCs/>
          <w:color w:val="auto"/>
          <w:sz w:val="24"/>
        </w:rPr>
        <w:t>/d，处理后的废水满足</w:t>
      </w:r>
      <w:r>
        <w:rPr>
          <w:color w:val="auto"/>
          <w:sz w:val="24"/>
        </w:rPr>
        <w:t>《肉类加工工业水污染物排放标准》（GB13457-92）表3三级畜类屠宰加工标准限值，</w:t>
      </w:r>
      <w:r>
        <w:rPr>
          <w:rFonts w:hint="eastAsia"/>
          <w:color w:val="auto"/>
          <w:sz w:val="24"/>
        </w:rPr>
        <w:t>暂存</w:t>
      </w:r>
      <w:r>
        <w:rPr>
          <w:color w:val="auto"/>
          <w:sz w:val="24"/>
        </w:rPr>
        <w:t>于贮水池，</w:t>
      </w:r>
      <w:r>
        <w:rPr>
          <w:rFonts w:hint="eastAsia"/>
          <w:color w:val="auto"/>
          <w:sz w:val="24"/>
        </w:rPr>
        <w:t>每天</w:t>
      </w:r>
      <w:r>
        <w:rPr>
          <w:color w:val="auto"/>
          <w:sz w:val="24"/>
        </w:rPr>
        <w:t>采用专用罐车</w:t>
      </w:r>
      <w:r>
        <w:rPr>
          <w:rFonts w:hint="eastAsia"/>
          <w:color w:val="auto"/>
          <w:sz w:val="24"/>
        </w:rPr>
        <w:t>运至</w:t>
      </w:r>
      <w:r>
        <w:rPr>
          <w:rFonts w:hint="eastAsia"/>
          <w:color w:val="auto"/>
          <w:sz w:val="24"/>
          <w:lang w:eastAsia="zh-CN"/>
        </w:rPr>
        <w:t>尚志污水处理厂</w:t>
      </w:r>
      <w:r>
        <w:rPr>
          <w:color w:val="auto"/>
          <w:sz w:val="24"/>
        </w:rPr>
        <w:t>处理</w:t>
      </w:r>
      <w:r>
        <w:rPr>
          <w:bCs/>
          <w:color w:val="auto"/>
          <w:sz w:val="24"/>
        </w:rPr>
        <w:t>，排入</w:t>
      </w:r>
      <w:r>
        <w:rPr>
          <w:rFonts w:hint="eastAsia"/>
          <w:bCs/>
          <w:color w:val="auto"/>
          <w:sz w:val="24"/>
        </w:rPr>
        <w:t>乌珠河，最终汇入蚂蚁河</w:t>
      </w:r>
      <w:r>
        <w:rPr>
          <w:bCs/>
          <w:color w:val="auto"/>
          <w:sz w:val="24"/>
        </w:rPr>
        <w:t>。</w:t>
      </w:r>
    </w:p>
    <w:p>
      <w:pPr>
        <w:spacing w:line="360" w:lineRule="auto"/>
        <w:ind w:firstLine="480" w:firstLineChars="200"/>
        <w:rPr>
          <w:bCs/>
          <w:color w:val="FF0000"/>
          <w:sz w:val="24"/>
        </w:rPr>
      </w:pPr>
      <w:r>
        <w:rPr>
          <w:rFonts w:hint="eastAsia"/>
          <w:sz w:val="24"/>
          <w:szCs w:val="24"/>
        </w:rPr>
        <w:t>尚志污水处理厂</w:t>
      </w:r>
      <w:r>
        <w:rPr>
          <w:sz w:val="24"/>
          <w:szCs w:val="24"/>
        </w:rPr>
        <w:t>，其厂址位于</w:t>
      </w:r>
      <w:r>
        <w:rPr>
          <w:rFonts w:hint="eastAsia"/>
          <w:sz w:val="24"/>
          <w:szCs w:val="24"/>
        </w:rPr>
        <w:t>尚志市尚志镇红光村</w:t>
      </w:r>
      <w:r>
        <w:rPr>
          <w:sz w:val="24"/>
          <w:szCs w:val="24"/>
        </w:rPr>
        <w:t>，</w:t>
      </w:r>
      <w:r>
        <w:rPr>
          <w:rFonts w:hint="eastAsia"/>
          <w:sz w:val="24"/>
          <w:szCs w:val="24"/>
        </w:rPr>
        <w:t>蚂蚁河</w:t>
      </w:r>
      <w:r>
        <w:rPr>
          <w:sz w:val="24"/>
          <w:szCs w:val="24"/>
        </w:rPr>
        <w:t>西岸</w:t>
      </w:r>
      <w:r>
        <w:rPr>
          <w:rFonts w:hint="eastAsia"/>
          <w:sz w:val="24"/>
          <w:szCs w:val="24"/>
          <w:lang w:eastAsia="zh-CN"/>
        </w:rPr>
        <w:t>。</w:t>
      </w:r>
      <w:r>
        <w:rPr>
          <w:sz w:val="24"/>
          <w:szCs w:val="24"/>
        </w:rPr>
        <w:t>该污水处理厂设计规模日处理量：</w:t>
      </w:r>
      <w:r>
        <w:rPr>
          <w:rFonts w:hint="eastAsia"/>
          <w:sz w:val="24"/>
          <w:szCs w:val="24"/>
        </w:rPr>
        <w:t>4万</w:t>
      </w:r>
      <w:r>
        <w:rPr>
          <w:sz w:val="24"/>
          <w:szCs w:val="24"/>
        </w:rPr>
        <w:t>t/d，采用</w:t>
      </w:r>
      <w:r>
        <w:rPr>
          <w:rFonts w:hint="eastAsia"/>
          <w:sz w:val="24"/>
          <w:szCs w:val="24"/>
        </w:rPr>
        <w:t>A</w:t>
      </w:r>
      <w:r>
        <w:rPr>
          <w:rFonts w:hint="eastAsia"/>
          <w:sz w:val="24"/>
          <w:szCs w:val="24"/>
          <w:vertAlign w:val="superscript"/>
        </w:rPr>
        <w:t>2</w:t>
      </w:r>
      <w:r>
        <w:rPr>
          <w:rFonts w:hint="eastAsia"/>
          <w:sz w:val="24"/>
          <w:szCs w:val="24"/>
        </w:rPr>
        <w:t>O</w:t>
      </w:r>
      <w:r>
        <w:rPr>
          <w:sz w:val="24"/>
          <w:szCs w:val="24"/>
        </w:rPr>
        <w:t>工艺。设计处理进水标准达到《污水综合排放标准》（GB8978-1996）表4中三级标准，排水标准达《城镇污水处理厂污染物排放标准》（GB18918-2002）一级A标准，排入</w:t>
      </w:r>
      <w:r>
        <w:rPr>
          <w:rFonts w:hint="eastAsia"/>
          <w:sz w:val="24"/>
          <w:szCs w:val="24"/>
        </w:rPr>
        <w:t>乌珠河，最终汇入蚂</w:t>
      </w:r>
      <w:r>
        <w:rPr>
          <w:rFonts w:hint="eastAsia"/>
          <w:color w:val="auto"/>
          <w:sz w:val="24"/>
          <w:szCs w:val="24"/>
        </w:rPr>
        <w:t>蚁河</w:t>
      </w:r>
      <w:r>
        <w:rPr>
          <w:color w:val="auto"/>
          <w:sz w:val="24"/>
          <w:szCs w:val="24"/>
        </w:rPr>
        <w:t>。</w:t>
      </w:r>
      <w:r>
        <w:rPr>
          <w:bCs/>
          <w:color w:val="auto"/>
          <w:sz w:val="24"/>
        </w:rPr>
        <w:t>本项目</w:t>
      </w:r>
      <w:r>
        <w:rPr>
          <w:rFonts w:hint="eastAsia"/>
          <w:bCs/>
          <w:color w:val="auto"/>
          <w:sz w:val="24"/>
          <w:lang w:val="en-US" w:eastAsia="zh-CN"/>
        </w:rPr>
        <w:t>处理后</w:t>
      </w:r>
      <w:r>
        <w:rPr>
          <w:bCs/>
          <w:color w:val="auto"/>
          <w:sz w:val="24"/>
        </w:rPr>
        <w:t>污水</w:t>
      </w:r>
      <w:r>
        <w:rPr>
          <w:rFonts w:hint="eastAsia"/>
          <w:bCs/>
          <w:color w:val="auto"/>
          <w:sz w:val="24"/>
        </w:rPr>
        <w:t>每天</w:t>
      </w:r>
      <w:r>
        <w:rPr>
          <w:bCs/>
          <w:color w:val="auto"/>
          <w:sz w:val="24"/>
        </w:rPr>
        <w:t>拉运至</w:t>
      </w:r>
      <w:r>
        <w:rPr>
          <w:rFonts w:hint="eastAsia"/>
          <w:bCs/>
          <w:color w:val="auto"/>
          <w:sz w:val="24"/>
          <w:lang w:eastAsia="zh-CN"/>
        </w:rPr>
        <w:t>尚志污水处理厂</w:t>
      </w:r>
      <w:r>
        <w:rPr>
          <w:bCs/>
          <w:color w:val="auto"/>
          <w:sz w:val="24"/>
        </w:rPr>
        <w:t>处理，</w:t>
      </w:r>
      <w:r>
        <w:rPr>
          <w:rFonts w:hint="eastAsia"/>
          <w:bCs/>
          <w:color w:val="auto"/>
          <w:sz w:val="24"/>
        </w:rPr>
        <w:t>每天</w:t>
      </w:r>
      <w:r>
        <w:rPr>
          <w:bCs/>
          <w:color w:val="auto"/>
          <w:sz w:val="24"/>
        </w:rPr>
        <w:t>废水运载量为</w:t>
      </w:r>
      <w:r>
        <w:rPr>
          <w:rFonts w:hint="eastAsia"/>
          <w:bCs/>
          <w:color w:val="auto"/>
          <w:sz w:val="24"/>
          <w:lang w:eastAsia="zh-CN"/>
        </w:rPr>
        <w:t>59.0356</w:t>
      </w:r>
      <w:r>
        <w:rPr>
          <w:bCs/>
          <w:color w:val="auto"/>
          <w:sz w:val="24"/>
        </w:rPr>
        <w:t>t/d，占污水处理厂处理能力的</w:t>
      </w:r>
      <w:r>
        <w:rPr>
          <w:rFonts w:hint="eastAsia"/>
          <w:bCs/>
          <w:color w:val="auto"/>
          <w:sz w:val="24"/>
          <w:lang w:val="en-US" w:eastAsia="zh-CN"/>
        </w:rPr>
        <w:t>0.15</w:t>
      </w:r>
      <w:r>
        <w:rPr>
          <w:bCs/>
          <w:color w:val="auto"/>
          <w:sz w:val="24"/>
        </w:rPr>
        <w:t>%，可接纳本项目产生的废水。</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1.2.</w:t>
      </w:r>
      <w:r>
        <w:rPr>
          <w:rFonts w:hint="eastAsia" w:ascii="Times New Roman" w:hAnsi="Times New Roman" w:cs="Times New Roman"/>
          <w:b/>
          <w:color w:val="auto"/>
          <w:sz w:val="28"/>
          <w:szCs w:val="28"/>
        </w:rPr>
        <w:t>7</w:t>
      </w:r>
      <w:r>
        <w:rPr>
          <w:rFonts w:ascii="Times New Roman" w:hAnsi="Times New Roman" w:cs="Times New Roman"/>
          <w:b/>
          <w:color w:val="auto"/>
          <w:sz w:val="28"/>
          <w:szCs w:val="28"/>
        </w:rPr>
        <w:t>本项目厂址环境特点</w:t>
      </w:r>
    </w:p>
    <w:p>
      <w:pPr>
        <w:spacing w:line="360" w:lineRule="auto"/>
        <w:ind w:firstLine="480" w:firstLineChars="200"/>
        <w:rPr>
          <w:rFonts w:hint="eastAsia" w:eastAsia="宋体"/>
          <w:b/>
          <w:color w:val="auto"/>
          <w:sz w:val="24"/>
          <w:lang w:eastAsia="zh-CN"/>
        </w:rPr>
      </w:pPr>
      <w:r>
        <w:rPr>
          <w:color w:val="auto"/>
          <w:sz w:val="24"/>
        </w:rPr>
        <w:t>本项目位于</w:t>
      </w:r>
      <w:r>
        <w:rPr>
          <w:snapToGrid w:val="0"/>
          <w:color w:val="auto"/>
          <w:kern w:val="0"/>
          <w:sz w:val="24"/>
        </w:rPr>
        <w:t>黑龙江省</w:t>
      </w:r>
      <w:r>
        <w:rPr>
          <w:rFonts w:hint="eastAsia"/>
          <w:snapToGrid w:val="0"/>
          <w:color w:val="auto"/>
          <w:kern w:val="0"/>
          <w:sz w:val="24"/>
          <w:lang w:eastAsia="zh-CN"/>
        </w:rPr>
        <w:t>哈尔滨市尚志市长寿乡一曼村</w:t>
      </w:r>
      <w:r>
        <w:rPr>
          <w:color w:val="auto"/>
          <w:sz w:val="24"/>
        </w:rPr>
        <w:t>，占地面积</w:t>
      </w:r>
      <w:r>
        <w:rPr>
          <w:rFonts w:hint="eastAsia"/>
          <w:color w:val="auto"/>
          <w:sz w:val="24"/>
          <w:lang w:eastAsia="zh-CN"/>
        </w:rPr>
        <w:t>29672</w:t>
      </w:r>
      <w:r>
        <w:rPr>
          <w:color w:val="auto"/>
          <w:sz w:val="24"/>
        </w:rPr>
        <w:t>m</w:t>
      </w:r>
      <w:r>
        <w:rPr>
          <w:color w:val="auto"/>
          <w:sz w:val="24"/>
          <w:vertAlign w:val="superscript"/>
        </w:rPr>
        <w:t>2</w:t>
      </w:r>
      <w:r>
        <w:rPr>
          <w:color w:val="auto"/>
          <w:sz w:val="24"/>
        </w:rPr>
        <w:t>，占地类型为</w:t>
      </w:r>
      <w:r>
        <w:rPr>
          <w:rFonts w:hint="eastAsia"/>
          <w:snapToGrid w:val="0"/>
          <w:color w:val="auto"/>
          <w:kern w:val="0"/>
          <w:sz w:val="24"/>
        </w:rPr>
        <w:t>工业</w:t>
      </w:r>
      <w:r>
        <w:rPr>
          <w:snapToGrid w:val="0"/>
          <w:color w:val="auto"/>
          <w:kern w:val="0"/>
          <w:sz w:val="24"/>
        </w:rPr>
        <w:t>用地，</w:t>
      </w:r>
      <w:r>
        <w:rPr>
          <w:color w:val="auto"/>
          <w:sz w:val="24"/>
        </w:rPr>
        <w:t>厂址周围环境东</w:t>
      </w:r>
      <w:r>
        <w:rPr>
          <w:rFonts w:hint="eastAsia"/>
          <w:color w:val="auto"/>
          <w:sz w:val="24"/>
          <w:lang w:val="en-US" w:eastAsia="zh-CN"/>
        </w:rPr>
        <w:t>北</w:t>
      </w:r>
      <w:r>
        <w:rPr>
          <w:color w:val="auto"/>
          <w:sz w:val="24"/>
        </w:rPr>
        <w:t>侧</w:t>
      </w:r>
      <w:r>
        <w:rPr>
          <w:rFonts w:hint="eastAsia"/>
          <w:color w:val="auto"/>
          <w:sz w:val="24"/>
          <w:lang w:val="en-US" w:eastAsia="zh-CN"/>
        </w:rPr>
        <w:t>及西北侧</w:t>
      </w:r>
      <w:r>
        <w:rPr>
          <w:color w:val="auto"/>
          <w:sz w:val="24"/>
        </w:rPr>
        <w:t>为</w:t>
      </w:r>
      <w:r>
        <w:rPr>
          <w:rFonts w:hint="eastAsia"/>
          <w:color w:val="auto"/>
          <w:sz w:val="24"/>
          <w:lang w:val="en-US" w:eastAsia="zh-CN"/>
        </w:rPr>
        <w:t>农田</w:t>
      </w:r>
      <w:r>
        <w:rPr>
          <w:rFonts w:hint="eastAsia"/>
          <w:color w:val="auto"/>
          <w:sz w:val="24"/>
        </w:rPr>
        <w:t>；</w:t>
      </w:r>
      <w:r>
        <w:rPr>
          <w:rFonts w:hint="eastAsia"/>
          <w:color w:val="auto"/>
          <w:sz w:val="24"/>
          <w:lang w:val="en-US" w:eastAsia="zh-CN"/>
        </w:rPr>
        <w:t>东</w:t>
      </w:r>
      <w:r>
        <w:rPr>
          <w:color w:val="auto"/>
          <w:sz w:val="24"/>
        </w:rPr>
        <w:t>南侧</w:t>
      </w:r>
      <w:r>
        <w:rPr>
          <w:rFonts w:hint="eastAsia"/>
          <w:color w:val="auto"/>
          <w:sz w:val="24"/>
          <w:lang w:val="en-US" w:eastAsia="zh-CN"/>
        </w:rPr>
        <w:t>及西南侧</w:t>
      </w:r>
      <w:r>
        <w:rPr>
          <w:color w:val="auto"/>
          <w:sz w:val="24"/>
        </w:rPr>
        <w:t>为</w:t>
      </w:r>
      <w:r>
        <w:rPr>
          <w:rFonts w:hint="eastAsia"/>
          <w:color w:val="auto"/>
          <w:sz w:val="24"/>
          <w:lang w:val="en-US" w:eastAsia="zh-CN"/>
        </w:rPr>
        <w:t>乡道及农田</w:t>
      </w:r>
      <w:r>
        <w:rPr>
          <w:rFonts w:hint="eastAsia"/>
          <w:color w:val="auto"/>
          <w:sz w:val="24"/>
          <w:lang w:eastAsia="zh-CN"/>
        </w:rPr>
        <w:t>。</w:t>
      </w:r>
    </w:p>
    <w:p>
      <w:pPr>
        <w:pStyle w:val="5"/>
        <w:spacing w:before="0" w:after="0" w:line="360" w:lineRule="auto"/>
        <w:ind w:firstLine="0" w:firstLineChars="0"/>
        <w:rPr>
          <w:rFonts w:ascii="Times New Roman" w:hAnsi="Times New Roman" w:cs="Times New Roman"/>
          <w:b/>
          <w:color w:val="auto"/>
          <w:sz w:val="28"/>
          <w:szCs w:val="28"/>
        </w:rPr>
      </w:pPr>
      <w:bookmarkStart w:id="9" w:name="_Toc479252799"/>
      <w:r>
        <w:rPr>
          <w:rFonts w:ascii="Times New Roman" w:hAnsi="Times New Roman" w:cs="Times New Roman"/>
          <w:b/>
          <w:color w:val="auto"/>
          <w:sz w:val="28"/>
          <w:szCs w:val="28"/>
        </w:rPr>
        <w:t>1.2.</w:t>
      </w:r>
      <w:r>
        <w:rPr>
          <w:rFonts w:hint="eastAsia" w:ascii="Times New Roman" w:hAnsi="Times New Roman" w:cs="Times New Roman"/>
          <w:b/>
          <w:color w:val="auto"/>
          <w:sz w:val="28"/>
          <w:szCs w:val="28"/>
        </w:rPr>
        <w:t>8</w:t>
      </w:r>
      <w:r>
        <w:rPr>
          <w:rFonts w:ascii="Times New Roman" w:hAnsi="Times New Roman" w:cs="Times New Roman"/>
          <w:b/>
          <w:color w:val="auto"/>
          <w:sz w:val="28"/>
          <w:szCs w:val="28"/>
        </w:rPr>
        <w:t>主要结论</w:t>
      </w:r>
    </w:p>
    <w:p>
      <w:pPr>
        <w:spacing w:line="360" w:lineRule="auto"/>
        <w:ind w:firstLine="480" w:firstLineChars="200"/>
        <w:contextualSpacing/>
        <w:rPr>
          <w:snapToGrid w:val="0"/>
          <w:color w:val="auto"/>
          <w:kern w:val="0"/>
          <w:sz w:val="24"/>
        </w:rPr>
      </w:pPr>
      <w:r>
        <w:rPr>
          <w:snapToGrid w:val="0"/>
          <w:color w:val="auto"/>
          <w:kern w:val="0"/>
          <w:sz w:val="24"/>
        </w:rPr>
        <w:t>建设项目符合国家产业政策要求，在认真落实报告书所述各项污染防治措施后，可实现污染物稳定达标排放，通过加强环境管理和环境监测，杜绝事故发生，本项目建设可被周围环境所接受。</w:t>
      </w:r>
    </w:p>
    <w:p>
      <w:pPr>
        <w:spacing w:line="360" w:lineRule="auto"/>
        <w:ind w:firstLine="480" w:firstLineChars="200"/>
        <w:contextualSpacing/>
        <w:rPr>
          <w:snapToGrid w:val="0"/>
          <w:color w:val="auto"/>
          <w:kern w:val="0"/>
          <w:sz w:val="24"/>
        </w:rPr>
      </w:pPr>
      <w:r>
        <w:rPr>
          <w:snapToGrid w:val="0"/>
          <w:color w:val="auto"/>
          <w:kern w:val="0"/>
          <w:sz w:val="24"/>
        </w:rPr>
        <w:t>因此，从环境保护角度分析，本项目具有可行性。</w:t>
      </w:r>
    </w:p>
    <w:p>
      <w:pPr>
        <w:spacing w:line="360" w:lineRule="auto"/>
        <w:contextualSpacing/>
        <w:jc w:val="left"/>
        <w:outlineLvl w:val="1"/>
        <w:rPr>
          <w:b/>
          <w:bCs/>
          <w:color w:val="auto"/>
          <w:kern w:val="44"/>
          <w:sz w:val="30"/>
          <w:szCs w:val="30"/>
        </w:rPr>
      </w:pPr>
      <w:bookmarkStart w:id="10" w:name="_Toc2254"/>
      <w:r>
        <w:rPr>
          <w:b/>
          <w:bCs/>
          <w:color w:val="auto"/>
          <w:kern w:val="44"/>
          <w:sz w:val="30"/>
          <w:szCs w:val="30"/>
        </w:rPr>
        <w:t>1.3</w:t>
      </w:r>
      <w:bookmarkEnd w:id="9"/>
      <w:r>
        <w:rPr>
          <w:b/>
          <w:bCs/>
          <w:color w:val="auto"/>
          <w:kern w:val="44"/>
          <w:sz w:val="30"/>
          <w:szCs w:val="30"/>
        </w:rPr>
        <w:t>环境影响评价工作过程</w:t>
      </w:r>
      <w:bookmarkEnd w:id="10"/>
    </w:p>
    <w:p>
      <w:pPr>
        <w:spacing w:line="360" w:lineRule="auto"/>
        <w:ind w:firstLine="480" w:firstLineChars="200"/>
        <w:contextualSpacing/>
        <w:rPr>
          <w:snapToGrid w:val="0"/>
          <w:color w:val="auto"/>
          <w:kern w:val="0"/>
          <w:sz w:val="24"/>
        </w:rPr>
      </w:pPr>
      <w:r>
        <w:rPr>
          <w:snapToGrid w:val="0"/>
          <w:color w:val="auto"/>
          <w:kern w:val="0"/>
          <w:sz w:val="24"/>
        </w:rPr>
        <w:t>依据《建设项目环境影响评价技术导则总纲》（HJ2.1-2016）要求，本次环评工作分为三个阶段进行。</w:t>
      </w:r>
    </w:p>
    <w:p>
      <w:pPr>
        <w:spacing w:line="360" w:lineRule="auto"/>
        <w:ind w:firstLine="480" w:firstLineChars="200"/>
        <w:rPr>
          <w:color w:val="auto"/>
          <w:sz w:val="24"/>
        </w:rPr>
      </w:pPr>
      <w:r>
        <w:rPr>
          <w:snapToGrid w:val="0"/>
          <w:color w:val="auto"/>
          <w:kern w:val="0"/>
          <w:sz w:val="24"/>
        </w:rPr>
        <w:t>（1）</w:t>
      </w:r>
      <w:r>
        <w:rPr>
          <w:color w:val="auto"/>
          <w:sz w:val="24"/>
        </w:rPr>
        <w:t>依据《建设项目环境影响评价分类管理名录》（2021年版）“十、农副食品加工业</w:t>
      </w:r>
      <w:r>
        <w:rPr>
          <w:rFonts w:hint="eastAsia"/>
          <w:color w:val="auto"/>
          <w:sz w:val="24"/>
        </w:rPr>
        <w:t xml:space="preserve"> 18 屠宰及肉类加工135</w:t>
      </w:r>
      <w:r>
        <w:rPr>
          <w:color w:val="auto"/>
          <w:sz w:val="24"/>
        </w:rPr>
        <w:t>”；屠宰生猪</w:t>
      </w:r>
      <w:r>
        <w:rPr>
          <w:rFonts w:hint="eastAsia"/>
          <w:color w:val="auto"/>
          <w:sz w:val="24"/>
        </w:rPr>
        <w:t>10万头、肉牛1万头、肉羊15万只、禽类1000万只及以上的，应做报告书。本项目年屠宰</w:t>
      </w:r>
      <w:r>
        <w:rPr>
          <w:color w:val="auto"/>
          <w:sz w:val="24"/>
        </w:rPr>
        <w:t>肉牛</w:t>
      </w:r>
      <w:r>
        <w:rPr>
          <w:rFonts w:hint="eastAsia"/>
          <w:color w:val="auto"/>
          <w:sz w:val="24"/>
          <w:lang w:eastAsia="zh-CN"/>
        </w:rPr>
        <w:t>2万</w:t>
      </w:r>
      <w:r>
        <w:rPr>
          <w:color w:val="auto"/>
          <w:sz w:val="24"/>
        </w:rPr>
        <w:t>头，因此应编制环境影响报告书。在研究相关技术及其他有关文件基础上进行初步工程分析，开展了初步环境现状调查，进行了环境影响识别和评价因子筛选。明确了评价重点为水环境影响、大气环境影响、噪声环境影响和固体废物影响，确定了保护目标，进一步确定评价工作等级、范围及评价标准，制定出相应工作方案。</w:t>
      </w:r>
    </w:p>
    <w:p>
      <w:pPr>
        <w:pStyle w:val="74"/>
        <w:adjustRightInd/>
        <w:snapToGrid/>
        <w:jc w:val="both"/>
        <w:rPr>
          <w:rFonts w:ascii="Times New Roman" w:hAnsi="Times New Roman" w:eastAsia="宋体" w:cs="Times New Roman"/>
          <w:snapToGrid w:val="0"/>
          <w:color w:val="auto"/>
        </w:rPr>
      </w:pPr>
      <w:r>
        <w:rPr>
          <w:rFonts w:ascii="Times New Roman" w:hAnsi="Times New Roman" w:eastAsia="宋体" w:cs="Times New Roman"/>
          <w:snapToGrid w:val="0"/>
          <w:color w:val="auto"/>
        </w:rPr>
        <w:t>（2）根据第一阶段工作成果，对环境现状的大气环境、地表水环境、地下水环境、声环境等进行了调查、监测与评价，详细进行工程分析，确定了主要环境影响因素为废水对地下水的影响，</w:t>
      </w:r>
      <w:r>
        <w:rPr>
          <w:rFonts w:hint="eastAsia" w:ascii="Times New Roman" w:hAnsi="Times New Roman" w:eastAsia="宋体" w:cs="Times New Roman"/>
          <w:snapToGrid w:val="0"/>
          <w:color w:val="auto"/>
        </w:rPr>
        <w:t>待宰间恶臭、屠宰车间恶臭、污水处理站恶臭、食堂油烟</w:t>
      </w:r>
      <w:r>
        <w:rPr>
          <w:rFonts w:hint="eastAsia" w:ascii="Times New Roman" w:hAnsi="Times New Roman" w:eastAsia="宋体" w:cs="Times New Roman"/>
          <w:snapToGrid w:val="0"/>
          <w:color w:val="auto"/>
          <w:lang w:eastAsia="zh-CN"/>
        </w:rPr>
        <w:t>、</w:t>
      </w:r>
      <w:r>
        <w:rPr>
          <w:rFonts w:hint="eastAsia" w:ascii="Times New Roman" w:hAnsi="Times New Roman" w:eastAsia="宋体" w:cs="Times New Roman"/>
          <w:snapToGrid w:val="0"/>
          <w:color w:val="auto"/>
          <w:lang w:val="en-US" w:eastAsia="zh-CN"/>
        </w:rPr>
        <w:t>锅炉烟气</w:t>
      </w:r>
      <w:r>
        <w:rPr>
          <w:rFonts w:ascii="Times New Roman" w:hAnsi="Times New Roman" w:eastAsia="宋体" w:cs="Times New Roman"/>
          <w:snapToGrid w:val="0"/>
          <w:color w:val="auto"/>
        </w:rPr>
        <w:t>对大气环境的影响，设备噪声对周边声环境的影响，</w:t>
      </w:r>
      <w:r>
        <w:rPr>
          <w:rFonts w:hint="eastAsia" w:ascii="Times New Roman" w:hAnsi="Times New Roman" w:eastAsia="宋体" w:cs="Times New Roman"/>
          <w:snapToGrid w:val="0"/>
          <w:color w:val="auto"/>
        </w:rPr>
        <w:t>牛粪便、污水处理站污泥及栅渣、废活性炭、</w:t>
      </w:r>
      <w:r>
        <w:rPr>
          <w:rFonts w:ascii="Times New Roman" w:hAnsi="Times New Roman" w:eastAsia="宋体" w:cs="Times New Roman"/>
          <w:bCs/>
          <w:snapToGrid w:val="0"/>
          <w:color w:val="auto"/>
        </w:rPr>
        <w:t>废弃包装物</w:t>
      </w:r>
      <w:r>
        <w:rPr>
          <w:rFonts w:hint="eastAsia" w:ascii="Times New Roman" w:hAnsi="Times New Roman" w:eastAsia="宋体" w:cs="Times New Roman"/>
          <w:bCs/>
          <w:snapToGrid w:val="0"/>
          <w:color w:val="auto"/>
        </w:rPr>
        <w:t>、</w:t>
      </w:r>
      <w:r>
        <w:rPr>
          <w:rFonts w:hint="eastAsia" w:ascii="Times New Roman" w:hAnsi="Times New Roman" w:eastAsia="宋体" w:cs="Times New Roman"/>
          <w:snapToGrid w:val="0"/>
          <w:color w:val="auto"/>
        </w:rPr>
        <w:t>检疫不合格肉牛及病死牛、检疫废物</w:t>
      </w:r>
      <w:r>
        <w:rPr>
          <w:rFonts w:hint="eastAsia" w:ascii="Times New Roman" w:hAnsi="Times New Roman" w:eastAsia="宋体" w:cs="Times New Roman"/>
          <w:bCs/>
          <w:snapToGrid w:val="0"/>
          <w:color w:val="auto"/>
        </w:rPr>
        <w:t>（HW01）</w:t>
      </w:r>
      <w:r>
        <w:rPr>
          <w:rFonts w:hint="eastAsia" w:ascii="Times New Roman" w:hAnsi="Times New Roman" w:eastAsia="宋体" w:cs="Times New Roman"/>
          <w:snapToGrid w:val="0"/>
          <w:color w:val="auto"/>
        </w:rPr>
        <w:t>、</w:t>
      </w:r>
      <w:r>
        <w:rPr>
          <w:rFonts w:ascii="Times New Roman" w:hAnsi="Times New Roman" w:eastAsia="宋体" w:cs="Times New Roman"/>
          <w:snapToGrid w:val="0"/>
          <w:color w:val="auto"/>
        </w:rPr>
        <w:t>食堂</w:t>
      </w:r>
      <w:r>
        <w:rPr>
          <w:rFonts w:hint="eastAsia" w:ascii="Times New Roman" w:hAnsi="Times New Roman" w:eastAsia="宋体" w:cs="Times New Roman"/>
          <w:snapToGrid w:val="0"/>
          <w:color w:val="auto"/>
        </w:rPr>
        <w:t>餐余</w:t>
      </w:r>
      <w:r>
        <w:rPr>
          <w:rFonts w:ascii="Times New Roman" w:hAnsi="Times New Roman" w:eastAsia="宋体" w:cs="Times New Roman"/>
          <w:snapToGrid w:val="0"/>
          <w:color w:val="auto"/>
        </w:rPr>
        <w:t>垃圾及废油脂（含污水处理站废油脂）</w:t>
      </w:r>
      <w:r>
        <w:rPr>
          <w:rFonts w:hint="eastAsia" w:ascii="Times New Roman" w:hAnsi="Times New Roman" w:eastAsia="宋体" w:cs="Times New Roman"/>
          <w:snapToGrid w:val="0"/>
          <w:color w:val="auto"/>
        </w:rPr>
        <w:t>、</w:t>
      </w:r>
      <w:r>
        <w:rPr>
          <w:rFonts w:ascii="Times New Roman" w:hAnsi="Times New Roman" w:eastAsia="宋体" w:cs="Times New Roman"/>
          <w:bCs/>
          <w:snapToGrid w:val="0"/>
          <w:color w:val="auto"/>
        </w:rPr>
        <w:t>肠胃内容物及不可食用内脏、</w:t>
      </w:r>
      <w:r>
        <w:rPr>
          <w:rFonts w:hint="eastAsia" w:ascii="Times New Roman" w:hAnsi="Times New Roman" w:eastAsia="宋体" w:cs="Times New Roman"/>
          <w:snapToGrid w:val="0"/>
          <w:color w:val="auto"/>
        </w:rPr>
        <w:t>生活垃圾</w:t>
      </w:r>
      <w:r>
        <w:rPr>
          <w:rFonts w:hint="eastAsia" w:ascii="Times New Roman" w:hAnsi="Times New Roman" w:eastAsia="宋体" w:cs="Times New Roman"/>
          <w:snapToGrid w:val="0"/>
          <w:color w:val="auto"/>
          <w:lang w:eastAsia="zh-CN"/>
        </w:rPr>
        <w:t>、</w:t>
      </w:r>
      <w:r>
        <w:rPr>
          <w:rFonts w:hint="eastAsia"/>
          <w:color w:val="auto"/>
          <w:sz w:val="24"/>
          <w:lang w:val="en-US" w:eastAsia="zh-CN"/>
        </w:rPr>
        <w:t>锅炉软化水制备产生的废离子交换树脂、锅炉灰渣（含布袋除尘器收尘）、废布袋</w:t>
      </w:r>
      <w:r>
        <w:rPr>
          <w:rFonts w:hint="eastAsia" w:ascii="Times New Roman" w:hAnsi="Times New Roman" w:eastAsia="宋体" w:cs="Times New Roman"/>
          <w:snapToGrid w:val="0"/>
          <w:color w:val="auto"/>
        </w:rPr>
        <w:t>等</w:t>
      </w:r>
      <w:r>
        <w:rPr>
          <w:rFonts w:ascii="Times New Roman" w:hAnsi="Times New Roman" w:eastAsia="宋体" w:cs="Times New Roman"/>
          <w:snapToGrid w:val="0"/>
          <w:color w:val="auto"/>
        </w:rPr>
        <w:t>固体废物对周边环境的影响，并采取相应的模式对各环境要素影响进行了预测与分析。</w:t>
      </w:r>
    </w:p>
    <w:p>
      <w:pPr>
        <w:pStyle w:val="74"/>
        <w:adjustRightInd/>
        <w:snapToGrid/>
        <w:jc w:val="both"/>
        <w:rPr>
          <w:rFonts w:ascii="Times New Roman" w:hAnsi="Times New Roman" w:eastAsia="宋体" w:cs="Times New Roman"/>
          <w:snapToGrid w:val="0"/>
          <w:color w:val="FF0000"/>
        </w:rPr>
      </w:pPr>
      <w:r>
        <w:rPr>
          <w:rFonts w:ascii="Times New Roman" w:hAnsi="Times New Roman" w:eastAsia="宋体" w:cs="Times New Roman"/>
          <w:snapToGrid w:val="0"/>
          <w:color w:val="auto"/>
        </w:rPr>
        <w:t>（3）针对</w:t>
      </w:r>
      <w:r>
        <w:rPr>
          <w:rFonts w:hint="eastAsia" w:ascii="Times New Roman" w:hAnsi="Times New Roman" w:eastAsia="宋体" w:cs="Times New Roman"/>
          <w:snapToGrid w:val="0"/>
          <w:color w:val="auto"/>
        </w:rPr>
        <w:t>待宰间恶臭、屠宰车间恶臭、污水处理站恶臭、食堂油烟</w:t>
      </w:r>
      <w:r>
        <w:rPr>
          <w:rFonts w:hint="eastAsia" w:ascii="Times New Roman" w:hAnsi="Times New Roman" w:eastAsia="宋体" w:cs="Times New Roman"/>
          <w:snapToGrid w:val="0"/>
          <w:color w:val="auto"/>
          <w:lang w:eastAsia="zh-CN"/>
        </w:rPr>
        <w:t>、</w:t>
      </w:r>
      <w:r>
        <w:rPr>
          <w:rFonts w:hint="eastAsia" w:ascii="Times New Roman" w:hAnsi="Times New Roman" w:eastAsia="宋体" w:cs="Times New Roman"/>
          <w:snapToGrid w:val="0"/>
          <w:color w:val="auto"/>
          <w:lang w:val="en-US" w:eastAsia="zh-CN"/>
        </w:rPr>
        <w:t>锅炉烟气</w:t>
      </w:r>
      <w:r>
        <w:rPr>
          <w:rFonts w:ascii="Times New Roman" w:hAnsi="Times New Roman" w:eastAsia="宋体" w:cs="Times New Roman"/>
          <w:snapToGrid w:val="0"/>
          <w:color w:val="auto"/>
        </w:rPr>
        <w:t>提出了大气环境保护措施，</w:t>
      </w:r>
      <w:r>
        <w:rPr>
          <w:rFonts w:hint="eastAsia" w:ascii="Times New Roman" w:hAnsi="Times New Roman" w:eastAsia="宋体" w:cs="Times New Roman"/>
          <w:snapToGrid w:val="0"/>
          <w:color w:val="auto"/>
          <w:lang w:val="en-US" w:eastAsia="zh-CN"/>
        </w:rPr>
        <w:t>锅炉排污水、</w:t>
      </w:r>
      <w:r>
        <w:rPr>
          <w:rFonts w:hint="eastAsia"/>
          <w:color w:val="auto"/>
          <w:sz w:val="24"/>
          <w:highlight w:val="none"/>
          <w:lang w:val="en-US" w:eastAsia="zh-CN"/>
        </w:rPr>
        <w:t>软水制备排污水、</w:t>
      </w:r>
      <w:r>
        <w:rPr>
          <w:rFonts w:hint="eastAsia" w:ascii="Times New Roman" w:hAnsi="Times New Roman" w:eastAsia="宋体" w:cs="Times New Roman"/>
          <w:snapToGrid w:val="0"/>
          <w:color w:val="auto"/>
        </w:rPr>
        <w:t>生活污水（含食堂废水）、待宰间清洗废水（含尿液）、屠宰车间</w:t>
      </w:r>
      <w:r>
        <w:rPr>
          <w:rFonts w:hint="eastAsia" w:ascii="Times New Roman" w:hAnsi="Times New Roman" w:eastAsia="宋体" w:cs="Times New Roman"/>
          <w:snapToGrid w:val="0"/>
          <w:color w:val="auto"/>
          <w:lang w:val="en-US" w:eastAsia="zh-CN"/>
        </w:rPr>
        <w:t>及急宰间</w:t>
      </w:r>
      <w:r>
        <w:rPr>
          <w:rFonts w:hint="eastAsia" w:ascii="Times New Roman" w:hAnsi="Times New Roman" w:eastAsia="宋体" w:cs="Times New Roman"/>
          <w:snapToGrid w:val="0"/>
          <w:color w:val="auto"/>
        </w:rPr>
        <w:t>废水</w:t>
      </w:r>
      <w:r>
        <w:rPr>
          <w:rFonts w:ascii="Times New Roman" w:hAnsi="Times New Roman" w:eastAsia="宋体" w:cs="Times New Roman"/>
          <w:snapToGrid w:val="0"/>
          <w:color w:val="auto"/>
        </w:rPr>
        <w:t>提出了处理措施和地下水防治措施，对噪声采取了隔声减振等措施，对产生的固废采取了相应处理处置措施，并进行经济技术可行性论证，给出污染物排放清单并给出评价结论。</w:t>
      </w:r>
    </w:p>
    <w:p>
      <w:pPr>
        <w:jc w:val="center"/>
        <w:rPr>
          <w:rStyle w:val="75"/>
          <w:rFonts w:ascii="Times New Roman" w:hAnsi="Times New Roman"/>
          <w:color w:val="auto"/>
        </w:rPr>
      </w:pPr>
      <w:r>
        <w:rPr>
          <w:color w:val="FF0000"/>
          <w:kern w:val="0"/>
        </w:rPr>
        <w:drawing>
          <wp:inline distT="0" distB="0" distL="0" distR="0">
            <wp:extent cx="5220335" cy="4998720"/>
            <wp:effectExtent l="19050" t="0" r="0" b="0"/>
            <wp:docPr id="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6"/>
                    <pic:cNvPicPr>
                      <a:picLocks noChangeAspect="1" noChangeArrowheads="1"/>
                    </pic:cNvPicPr>
                  </pic:nvPicPr>
                  <pic:blipFill>
                    <a:blip r:embed="rId17" cstate="print"/>
                    <a:srcRect l="2990" t="2215" r="3015" b="3780"/>
                    <a:stretch>
                      <a:fillRect/>
                    </a:stretch>
                  </pic:blipFill>
                  <pic:spPr>
                    <a:xfrm>
                      <a:off x="0" y="0"/>
                      <a:ext cx="5220518" cy="4999293"/>
                    </a:xfrm>
                    <a:prstGeom prst="rect">
                      <a:avLst/>
                    </a:prstGeom>
                    <a:noFill/>
                    <a:ln w="9525">
                      <a:noFill/>
                      <a:miter lim="800000"/>
                      <a:headEnd/>
                      <a:tailEnd/>
                    </a:ln>
                  </pic:spPr>
                </pic:pic>
              </a:graphicData>
            </a:graphic>
          </wp:inline>
        </w:drawing>
      </w:r>
      <w:r>
        <w:rPr>
          <w:rStyle w:val="75"/>
          <w:rFonts w:ascii="Times New Roman" w:hAnsi="Times New Roman"/>
          <w:color w:val="auto"/>
          <w:sz w:val="24"/>
          <w:szCs w:val="24"/>
        </w:rPr>
        <w:t>图1-3-1环境影响评价工作程序</w:t>
      </w:r>
    </w:p>
    <w:p>
      <w:pPr>
        <w:spacing w:line="360" w:lineRule="auto"/>
        <w:jc w:val="left"/>
        <w:outlineLvl w:val="1"/>
        <w:rPr>
          <w:b/>
          <w:bCs/>
          <w:color w:val="auto"/>
          <w:kern w:val="44"/>
          <w:sz w:val="30"/>
          <w:szCs w:val="30"/>
        </w:rPr>
      </w:pPr>
      <w:bookmarkStart w:id="11" w:name="_Toc488072911"/>
      <w:bookmarkStart w:id="12" w:name="_Toc486932294"/>
      <w:bookmarkStart w:id="13" w:name="_Toc23162"/>
      <w:r>
        <w:rPr>
          <w:b/>
          <w:bCs/>
          <w:color w:val="auto"/>
          <w:kern w:val="44"/>
          <w:sz w:val="30"/>
          <w:szCs w:val="30"/>
        </w:rPr>
        <w:t>1.4分析判定相关情况</w:t>
      </w:r>
      <w:bookmarkEnd w:id="11"/>
      <w:bookmarkEnd w:id="12"/>
      <w:bookmarkEnd w:id="13"/>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1.4.1产业政策规划符合性分析</w:t>
      </w:r>
    </w:p>
    <w:p>
      <w:pPr>
        <w:pStyle w:val="74"/>
        <w:adjustRightInd/>
        <w:snapToGrid/>
        <w:jc w:val="both"/>
        <w:rPr>
          <w:rFonts w:ascii="Times New Roman" w:hAnsi="Times New Roman" w:eastAsia="宋体" w:cs="Times New Roman"/>
          <w:color w:val="auto"/>
        </w:rPr>
      </w:pPr>
      <w:r>
        <w:rPr>
          <w:rFonts w:hint="eastAsia" w:ascii="Times New Roman" w:hAnsi="Times New Roman" w:eastAsia="宋体" w:cs="Times New Roman"/>
          <w:color w:val="auto"/>
        </w:rPr>
        <w:t>根据</w:t>
      </w:r>
      <w:r>
        <w:rPr>
          <w:rFonts w:hint="eastAsia" w:ascii="Times New Roman" w:hAnsi="Times New Roman" w:eastAsia="宋体" w:cs="Times New Roman"/>
          <w:color w:val="auto"/>
          <w:lang w:eastAsia="zh-CN"/>
        </w:rPr>
        <w:t>《产业结构调整指导目录》（2024年本）</w:t>
      </w:r>
      <w:r>
        <w:rPr>
          <w:rFonts w:hint="eastAsia" w:ascii="Times New Roman" w:hAnsi="Times New Roman" w:eastAsia="宋体" w:cs="Times New Roman"/>
          <w:color w:val="auto"/>
        </w:rPr>
        <w:t>，年屠宰生猪15万头及以下、肉牛1万头及以下、肉羊15万只及以下、活禽1000万只及以下的屠宰建设项目（少数民族地区除外）为限制类；猪、牛、羊、禽手工屠宰工艺为淘汰类。</w:t>
      </w:r>
      <w:r>
        <w:rPr>
          <w:rFonts w:ascii="Times New Roman" w:hAnsi="Times New Roman" w:eastAsia="宋体" w:cs="Times New Roman"/>
          <w:color w:val="auto"/>
        </w:rPr>
        <w:t>本项目</w:t>
      </w:r>
      <w:r>
        <w:rPr>
          <w:rFonts w:hint="eastAsia" w:ascii="Times New Roman" w:hAnsi="Times New Roman" w:eastAsia="宋体" w:cs="Times New Roman"/>
          <w:color w:val="auto"/>
        </w:rPr>
        <w:t>采用全自动屠宰生产线设计年屠宰</w:t>
      </w:r>
      <w:r>
        <w:rPr>
          <w:rFonts w:hint="eastAsia" w:ascii="Times New Roman" w:hAnsi="Times New Roman" w:eastAsia="宋体" w:cs="Times New Roman"/>
          <w:color w:val="auto"/>
          <w:lang w:eastAsia="zh-CN"/>
        </w:rPr>
        <w:t>2万</w:t>
      </w:r>
      <w:r>
        <w:rPr>
          <w:rFonts w:hint="eastAsia" w:ascii="Times New Roman" w:hAnsi="Times New Roman" w:eastAsia="宋体" w:cs="Times New Roman"/>
          <w:color w:val="auto"/>
        </w:rPr>
        <w:t>头肉牛，采取的工艺和设备均</w:t>
      </w:r>
      <w:r>
        <w:rPr>
          <w:rFonts w:ascii="Times New Roman" w:hAnsi="Times New Roman" w:eastAsia="宋体" w:cs="Times New Roman"/>
          <w:color w:val="auto"/>
        </w:rPr>
        <w:t>不属于</w:t>
      </w:r>
      <w:r>
        <w:rPr>
          <w:rFonts w:hint="eastAsia" w:ascii="Times New Roman" w:hAnsi="Times New Roman" w:eastAsia="宋体" w:cs="Times New Roman"/>
          <w:color w:val="auto"/>
          <w:lang w:eastAsia="zh-CN"/>
        </w:rPr>
        <w:t>《产业结构调整指导目录》（2024年本）</w:t>
      </w:r>
      <w:r>
        <w:rPr>
          <w:rFonts w:ascii="Times New Roman" w:hAnsi="Times New Roman" w:eastAsia="宋体" w:cs="Times New Roman"/>
          <w:color w:val="auto"/>
        </w:rPr>
        <w:t>中的</w:t>
      </w:r>
      <w:r>
        <w:rPr>
          <w:rFonts w:hint="eastAsia" w:ascii="Times New Roman" w:hAnsi="Times New Roman" w:eastAsia="宋体" w:cs="Times New Roman"/>
          <w:color w:val="auto"/>
        </w:rPr>
        <w:t>鼓励类、</w:t>
      </w:r>
      <w:r>
        <w:rPr>
          <w:rFonts w:ascii="Times New Roman" w:hAnsi="Times New Roman" w:eastAsia="宋体" w:cs="Times New Roman"/>
          <w:color w:val="auto"/>
        </w:rPr>
        <w:t>限制类和淘汰类，为允许类项目，</w:t>
      </w:r>
      <w:r>
        <w:rPr>
          <w:rFonts w:hint="eastAsia" w:ascii="Times New Roman" w:hAnsi="Times New Roman" w:eastAsia="宋体" w:cs="Times New Roman"/>
          <w:color w:val="auto"/>
        </w:rPr>
        <w:t>符合国家产业政策。</w:t>
      </w:r>
    </w:p>
    <w:p>
      <w:pPr>
        <w:pStyle w:val="5"/>
        <w:spacing w:before="0" w:after="0" w:line="360" w:lineRule="auto"/>
        <w:ind w:firstLine="0" w:firstLineChars="0"/>
        <w:rPr>
          <w:rFonts w:ascii="Times New Roman" w:hAnsi="Times New Roman" w:cs="Times New Roman"/>
          <w:b/>
          <w:color w:val="auto"/>
          <w:sz w:val="28"/>
          <w:szCs w:val="28"/>
        </w:rPr>
      </w:pPr>
      <w:bookmarkStart w:id="14" w:name="_Toc11758453"/>
      <w:r>
        <w:rPr>
          <w:rFonts w:ascii="Times New Roman" w:hAnsi="Times New Roman" w:cs="Times New Roman"/>
          <w:b/>
          <w:color w:val="auto"/>
          <w:sz w:val="28"/>
          <w:szCs w:val="28"/>
        </w:rPr>
        <w:t>1.4.2</w:t>
      </w:r>
      <w:bookmarkEnd w:id="14"/>
      <w:r>
        <w:rPr>
          <w:rFonts w:hint="eastAsia" w:ascii="Times New Roman" w:hAnsi="Times New Roman" w:cs="Times New Roman"/>
          <w:b/>
          <w:color w:val="auto"/>
          <w:sz w:val="28"/>
          <w:szCs w:val="28"/>
        </w:rPr>
        <w:t>与“</w:t>
      </w:r>
      <w:r>
        <w:rPr>
          <w:rFonts w:ascii="Times New Roman" w:hAnsi="Times New Roman" w:cs="Times New Roman"/>
          <w:b/>
          <w:color w:val="auto"/>
          <w:sz w:val="28"/>
          <w:szCs w:val="28"/>
        </w:rPr>
        <w:t>黑龙江省人民政府关于印发黑龙江省国民经济和社会发展第十四个五年规划和二〇三五年远景目标纲要的通知</w:t>
      </w:r>
      <w:r>
        <w:rPr>
          <w:rFonts w:hint="eastAsia" w:ascii="Times New Roman" w:hAnsi="Times New Roman" w:cs="Times New Roman"/>
          <w:b/>
          <w:color w:val="auto"/>
          <w:sz w:val="28"/>
          <w:szCs w:val="28"/>
        </w:rPr>
        <w:t>”相符性分析</w:t>
      </w:r>
    </w:p>
    <w:p>
      <w:pPr>
        <w:spacing w:line="360" w:lineRule="auto"/>
        <w:ind w:firstLine="480" w:firstLineChars="200"/>
        <w:rPr>
          <w:color w:val="auto"/>
          <w:sz w:val="24"/>
        </w:rPr>
      </w:pPr>
      <w:r>
        <w:rPr>
          <w:color w:val="auto"/>
          <w:sz w:val="24"/>
        </w:rPr>
        <w:t>《黑龙江省人民政府关于印发黑龙江省国民经济和社会发展第十四个五年规划和二〇三五年远景目标纲要的通知》中指出，构建现代畜牧产业体系。实施“两牛一猪一禽”工程，推进畜牧业全产业链发展，进一步提高畜牧业产值占农业总产值比重，建设国家级高品质乳制品、肉制品加工基地。大力推进奶业振兴，加强优质奶源基地建设，构建高产奶牛核心群，发展绿色全营养体饲草料产业，提高奶牛单产和鲜奶品质。加快标准化规模养殖基地建设，布局建设肉牛、生猪、肉鸡、肉鹅大型养殖项目，肉畜禽养殖规模化比重达到75%以上。开展重大动物疫病防控，完善病死动物无害化收集处理体系，加强肉类产品监管能力建设。</w:t>
      </w:r>
    </w:p>
    <w:p>
      <w:pPr>
        <w:spacing w:line="360" w:lineRule="auto"/>
        <w:ind w:firstLine="480" w:firstLineChars="200"/>
        <w:rPr>
          <w:color w:val="auto"/>
          <w:sz w:val="24"/>
        </w:rPr>
      </w:pPr>
      <w:r>
        <w:rPr>
          <w:color w:val="auto"/>
          <w:sz w:val="24"/>
        </w:rPr>
        <w:t>加快构建工业新体系。推进龙头带动、链条延伸、协同配套、集群发展，实施聚焦战略，优先发展绿色食品、高端装备、新材料、生物医药4大战略性产业，重点培育新一代信息技术、新能源、节能环保3大先导性产业，优化提升化工、汽车、传统能源3大基础性产业，加快构建“433”工业新体系，基本形成新的均衡发展的产业结构。实施万亿级产业集群培育工程，以培育15个千亿级产业为支撑，加快打造农业和农产品精深加工、石油天然气等矿产资源开发和精深加工2个万亿级产业集群，推动先进制造业向万亿级产业集群迈进。</w:t>
      </w:r>
    </w:p>
    <w:p>
      <w:pPr>
        <w:spacing w:line="360" w:lineRule="auto"/>
        <w:ind w:firstLine="480" w:firstLineChars="200"/>
        <w:rPr>
          <w:color w:val="auto"/>
          <w:sz w:val="24"/>
        </w:rPr>
      </w:pPr>
      <w:r>
        <w:rPr>
          <w:color w:val="auto"/>
          <w:sz w:val="24"/>
        </w:rPr>
        <w:t>本项目</w:t>
      </w:r>
      <w:r>
        <w:rPr>
          <w:rFonts w:hint="eastAsia"/>
          <w:color w:val="auto"/>
          <w:sz w:val="24"/>
        </w:rPr>
        <w:t>为肉牛屠宰加工项目，属于肉牛养殖配套产业，建成后年屠宰肉牛</w:t>
      </w:r>
      <w:r>
        <w:rPr>
          <w:rFonts w:hint="eastAsia"/>
          <w:color w:val="auto"/>
          <w:sz w:val="24"/>
          <w:lang w:eastAsia="zh-CN"/>
        </w:rPr>
        <w:t>2万</w:t>
      </w:r>
      <w:r>
        <w:rPr>
          <w:rFonts w:hint="eastAsia"/>
          <w:color w:val="auto"/>
          <w:sz w:val="24"/>
        </w:rPr>
        <w:t>头</w:t>
      </w:r>
      <w:r>
        <w:rPr>
          <w:color w:val="auto"/>
          <w:sz w:val="24"/>
        </w:rPr>
        <w:t>，</w:t>
      </w:r>
      <w:r>
        <w:rPr>
          <w:rFonts w:hint="eastAsia"/>
          <w:color w:val="auto"/>
          <w:sz w:val="24"/>
        </w:rPr>
        <w:t>为市场带来更多绿色牛肉，满足人们对于健康食品需求。</w:t>
      </w:r>
      <w:r>
        <w:rPr>
          <w:color w:val="auto"/>
          <w:sz w:val="24"/>
        </w:rPr>
        <w:t>由此可见，本项目的实施符合《黑龙江省人民政府关于印发黑龙江省国民经济和社会发展第十四个五年规划和二〇三五年远景目标纲要的通知》要求。</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1.4.</w:t>
      </w:r>
      <w:r>
        <w:rPr>
          <w:rFonts w:hint="eastAsia" w:ascii="Times New Roman" w:hAnsi="Times New Roman" w:cs="Times New Roman"/>
          <w:b/>
          <w:color w:val="auto"/>
          <w:sz w:val="28"/>
          <w:szCs w:val="28"/>
        </w:rPr>
        <w:t>3与“哈尔滨市</w:t>
      </w:r>
      <w:r>
        <w:rPr>
          <w:rFonts w:hint="eastAsia" w:ascii="Times New Roman" w:hAnsi="Times New Roman" w:cs="Times New Roman"/>
          <w:b/>
          <w:color w:val="auto"/>
          <w:sz w:val="28"/>
          <w:szCs w:val="28"/>
          <w:lang w:val="en-US" w:eastAsia="zh-CN"/>
        </w:rPr>
        <w:t>尚志市</w:t>
      </w:r>
      <w:r>
        <w:rPr>
          <w:rFonts w:hint="eastAsia" w:ascii="Times New Roman" w:hAnsi="Times New Roman" w:cs="Times New Roman"/>
          <w:b/>
          <w:color w:val="auto"/>
          <w:sz w:val="28"/>
          <w:szCs w:val="28"/>
        </w:rPr>
        <w:t>国民经济和社会发展第十四个五年规划和</w:t>
      </w:r>
      <w:r>
        <w:rPr>
          <w:rFonts w:ascii="Times New Roman" w:hAnsi="Times New Roman" w:cs="Times New Roman"/>
          <w:b/>
          <w:color w:val="auto"/>
          <w:sz w:val="28"/>
          <w:szCs w:val="28"/>
        </w:rPr>
        <w:t>二〇三五年远景目标纲要</w:t>
      </w:r>
      <w:r>
        <w:rPr>
          <w:rFonts w:hint="eastAsia" w:ascii="Times New Roman" w:hAnsi="Times New Roman" w:cs="Times New Roman"/>
          <w:b/>
          <w:color w:val="auto"/>
          <w:sz w:val="28"/>
          <w:szCs w:val="28"/>
        </w:rPr>
        <w:t>”相符性分析</w:t>
      </w:r>
    </w:p>
    <w:p>
      <w:pPr>
        <w:spacing w:line="360" w:lineRule="auto"/>
        <w:ind w:firstLine="480" w:firstLineChars="200"/>
        <w:rPr>
          <w:rFonts w:hint="eastAsia" w:eastAsia="宋体"/>
          <w:color w:val="auto"/>
          <w:sz w:val="24"/>
          <w:highlight w:val="yellow"/>
          <w:lang w:eastAsia="zh-CN"/>
        </w:rPr>
      </w:pPr>
      <w:r>
        <w:rPr>
          <w:rFonts w:hint="eastAsia"/>
          <w:color w:val="auto"/>
          <w:sz w:val="24"/>
        </w:rPr>
        <w:t>《哈尔滨市</w:t>
      </w:r>
      <w:r>
        <w:rPr>
          <w:rFonts w:hint="eastAsia"/>
          <w:color w:val="auto"/>
          <w:sz w:val="24"/>
          <w:lang w:val="en-US" w:eastAsia="zh-CN"/>
        </w:rPr>
        <w:t>尚志市</w:t>
      </w:r>
      <w:r>
        <w:rPr>
          <w:rFonts w:hint="eastAsia"/>
          <w:color w:val="auto"/>
          <w:sz w:val="24"/>
        </w:rPr>
        <w:t>国民经济和社会发展第十四个五年规划和</w:t>
      </w:r>
      <w:r>
        <w:rPr>
          <w:color w:val="auto"/>
          <w:sz w:val="24"/>
        </w:rPr>
        <w:t>二〇三五年远景目标纲要</w:t>
      </w:r>
      <w:r>
        <w:rPr>
          <w:rFonts w:hint="eastAsia"/>
          <w:color w:val="auto"/>
          <w:sz w:val="24"/>
        </w:rPr>
        <w:t>》中指出，</w:t>
      </w:r>
      <w:bookmarkStart w:id="15" w:name="_Toc68705718"/>
      <w:r>
        <w:rPr>
          <w:rFonts w:hint="eastAsia"/>
          <w:color w:val="auto"/>
          <w:sz w:val="24"/>
          <w:lang w:val="en-US" w:eastAsia="zh-CN"/>
        </w:rPr>
        <w:t>二、</w:t>
      </w:r>
      <w:r>
        <w:rPr>
          <w:rFonts w:hint="eastAsia"/>
          <w:color w:val="auto"/>
          <w:sz w:val="24"/>
        </w:rPr>
        <w:t>推动产业扩量升级</w:t>
      </w:r>
      <w:bookmarkEnd w:id="15"/>
      <w:r>
        <w:rPr>
          <w:rFonts w:hint="eastAsia"/>
          <w:color w:val="auto"/>
          <w:sz w:val="24"/>
          <w:lang w:val="en-US" w:eastAsia="zh-CN"/>
        </w:rPr>
        <w:t xml:space="preserve"> </w:t>
      </w:r>
      <w:r>
        <w:rPr>
          <w:rFonts w:hint="eastAsia"/>
          <w:color w:val="auto"/>
          <w:sz w:val="24"/>
        </w:rPr>
        <w:t>1、巩固提升主导产业</w:t>
      </w:r>
      <w:r>
        <w:rPr>
          <w:rFonts w:hint="eastAsia"/>
          <w:color w:val="auto"/>
          <w:sz w:val="24"/>
          <w:lang w:val="en-US" w:eastAsia="zh-CN"/>
        </w:rPr>
        <w:t xml:space="preserve"> </w:t>
      </w:r>
      <w:r>
        <w:rPr>
          <w:rFonts w:hint="eastAsia"/>
          <w:color w:val="auto"/>
          <w:sz w:val="24"/>
        </w:rPr>
        <w:t>绿色食品加工业。以“粮头食尾”“农头工尾”为抓手，以“扩量、提质、增效”为主攻方向，立足国内大循环发展格局，聚焦食用菌、乳制品、浆果等具有比较优势的产业项目，主动发掘水稻、大豆、玉米等产品发展机遇，围绕发展安全、方便、多样性的食品加工业，打造以“黑白红”为特色的三色绿色食品加工体系。依托“中国黑木耳之乡”优势，寻求与好丽友、统一等大型食品加工企业的合作，锻造以即食罐头、休闲零食、调味品为主链，以功能食品、食品添加剂、化妆品原料为支链，贯通生产、加工、销售的食用菌产业链，叫响“尚志黑木耳”地域品牌，拓展食用菌产业集群。依托蒙牛乳业，打造以巴氏消毒奶、特仑苏“梦幻盖”、豆奶、果奶等高附加值乳制品为主链，以功能性乳粉、炼乳、乳脂肪、乳酪、冰淇淋等为支链，构建向上连接饲草种植、奶牛养殖，向下贯通终端时尚食品市场的乳品加工全产业链，打造全省著名液态奶基地。依托“中国红树莓之乡”优势，引进培育浆果深加工项目，实现浆果产品多层次、多环节转化增值，叫响“尚志红树莓”地域品牌，巩固尚志红树莓在全国的领军地位。积极推进苇河、一面坡、石头河子等地的原料基地建设，提升加工企业深加工能力，建立“企业+基地+农户”产业经营体系，推进龙头企业、基地和农户形成风险共担、利益共享、紧密联结的合作机制。</w:t>
      </w:r>
    </w:p>
    <w:p>
      <w:pPr>
        <w:spacing w:line="360" w:lineRule="auto"/>
        <w:ind w:firstLine="480" w:firstLineChars="200"/>
        <w:rPr>
          <w:color w:val="auto"/>
          <w:sz w:val="24"/>
        </w:rPr>
      </w:pPr>
      <w:r>
        <w:rPr>
          <w:color w:val="auto"/>
          <w:sz w:val="24"/>
        </w:rPr>
        <w:t>本项目</w:t>
      </w:r>
      <w:r>
        <w:rPr>
          <w:rFonts w:hint="eastAsia"/>
          <w:color w:val="auto"/>
          <w:sz w:val="24"/>
        </w:rPr>
        <w:t>为肉牛屠宰加工项目，</w:t>
      </w:r>
      <w:r>
        <w:rPr>
          <w:color w:val="auto"/>
          <w:sz w:val="24"/>
        </w:rPr>
        <w:t>年屠宰肉牛</w:t>
      </w:r>
      <w:r>
        <w:rPr>
          <w:rFonts w:hint="eastAsia"/>
          <w:color w:val="auto"/>
          <w:sz w:val="24"/>
          <w:lang w:eastAsia="zh-CN"/>
        </w:rPr>
        <w:t>2万</w:t>
      </w:r>
      <w:r>
        <w:rPr>
          <w:color w:val="auto"/>
          <w:sz w:val="24"/>
        </w:rPr>
        <w:t>头，年产牛肉</w:t>
      </w:r>
      <w:r>
        <w:rPr>
          <w:rFonts w:hint="eastAsia"/>
          <w:color w:val="auto"/>
          <w:sz w:val="24"/>
          <w:lang w:val="en-US" w:eastAsia="zh-CN"/>
        </w:rPr>
        <w:t>6</w:t>
      </w:r>
      <w:r>
        <w:rPr>
          <w:rFonts w:hint="eastAsia"/>
          <w:color w:val="auto"/>
          <w:sz w:val="24"/>
        </w:rPr>
        <w:t>000t、牛骨</w:t>
      </w:r>
      <w:r>
        <w:rPr>
          <w:rFonts w:hint="eastAsia"/>
          <w:color w:val="auto"/>
          <w:sz w:val="24"/>
          <w:lang w:val="en-US" w:eastAsia="zh-CN"/>
        </w:rPr>
        <w:t>600</w:t>
      </w:r>
      <w:r>
        <w:rPr>
          <w:rFonts w:hint="eastAsia"/>
          <w:color w:val="auto"/>
          <w:sz w:val="24"/>
        </w:rPr>
        <w:t>t、牛皮</w:t>
      </w:r>
      <w:r>
        <w:rPr>
          <w:rFonts w:hint="eastAsia"/>
          <w:color w:val="auto"/>
          <w:sz w:val="24"/>
          <w:lang w:val="en-US" w:eastAsia="zh-CN"/>
        </w:rPr>
        <w:t>550</w:t>
      </w:r>
      <w:r>
        <w:rPr>
          <w:rFonts w:hint="eastAsia"/>
          <w:color w:val="auto"/>
          <w:sz w:val="24"/>
        </w:rPr>
        <w:t>t、牛血</w:t>
      </w:r>
      <w:r>
        <w:rPr>
          <w:rFonts w:hint="eastAsia"/>
          <w:color w:val="auto"/>
          <w:sz w:val="24"/>
          <w:lang w:val="en-US" w:eastAsia="zh-CN"/>
        </w:rPr>
        <w:t>50</w:t>
      </w:r>
      <w:r>
        <w:rPr>
          <w:rFonts w:hint="eastAsia"/>
          <w:color w:val="auto"/>
          <w:sz w:val="24"/>
        </w:rPr>
        <w:t>0t、其它（头、蹄、内脏）</w:t>
      </w:r>
      <w:r>
        <w:rPr>
          <w:rFonts w:hint="eastAsia"/>
          <w:color w:val="auto"/>
          <w:sz w:val="24"/>
          <w:lang w:val="en-US" w:eastAsia="zh-CN"/>
        </w:rPr>
        <w:t>1950</w:t>
      </w:r>
      <w:r>
        <w:rPr>
          <w:rFonts w:hint="eastAsia"/>
          <w:color w:val="auto"/>
          <w:sz w:val="24"/>
        </w:rPr>
        <w:t>t</w:t>
      </w:r>
      <w:r>
        <w:rPr>
          <w:color w:val="auto"/>
          <w:sz w:val="24"/>
        </w:rPr>
        <w:t>。</w:t>
      </w:r>
      <w:r>
        <w:rPr>
          <w:rFonts w:hint="eastAsia"/>
          <w:color w:val="auto"/>
          <w:sz w:val="24"/>
        </w:rPr>
        <w:t>项目建设有助于巩固提升主导产业，符合《哈尔滨市</w:t>
      </w:r>
      <w:r>
        <w:rPr>
          <w:rFonts w:hint="eastAsia"/>
          <w:color w:val="auto"/>
          <w:sz w:val="24"/>
          <w:lang w:val="en-US" w:eastAsia="zh-CN"/>
        </w:rPr>
        <w:t>尚志市</w:t>
      </w:r>
      <w:r>
        <w:rPr>
          <w:rFonts w:hint="eastAsia"/>
          <w:color w:val="auto"/>
          <w:sz w:val="24"/>
        </w:rPr>
        <w:t>国民经济和社会发展第十四个五年规划和</w:t>
      </w:r>
      <w:r>
        <w:rPr>
          <w:color w:val="auto"/>
          <w:sz w:val="24"/>
        </w:rPr>
        <w:t>二〇三五年远景目标纲要</w:t>
      </w:r>
      <w:r>
        <w:rPr>
          <w:rFonts w:hint="eastAsia"/>
          <w:color w:val="auto"/>
          <w:sz w:val="24"/>
        </w:rPr>
        <w:t>》要求。</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1.4.</w:t>
      </w:r>
      <w:r>
        <w:rPr>
          <w:rFonts w:hint="eastAsia" w:ascii="Times New Roman" w:hAnsi="Times New Roman" w:cs="Times New Roman"/>
          <w:b/>
          <w:color w:val="auto"/>
          <w:sz w:val="28"/>
          <w:szCs w:val="28"/>
        </w:rPr>
        <w:t>4与</w:t>
      </w:r>
      <w:r>
        <w:rPr>
          <w:rFonts w:ascii="Times New Roman" w:hAnsi="Times New Roman" w:cs="Times New Roman"/>
          <w:b/>
          <w:color w:val="auto"/>
          <w:sz w:val="28"/>
          <w:szCs w:val="28"/>
        </w:rPr>
        <w:t>《</w:t>
      </w:r>
      <w:r>
        <w:rPr>
          <w:rFonts w:hint="eastAsia" w:ascii="Times New Roman" w:hAnsi="Times New Roman" w:cs="Times New Roman"/>
          <w:b/>
          <w:color w:val="auto"/>
          <w:sz w:val="28"/>
          <w:szCs w:val="28"/>
        </w:rPr>
        <w:t>牛羊屠宰与分割车间设计规范</w:t>
      </w:r>
      <w:r>
        <w:rPr>
          <w:rFonts w:ascii="Times New Roman" w:hAnsi="Times New Roman" w:cs="Times New Roman"/>
          <w:b/>
          <w:color w:val="auto"/>
          <w:sz w:val="28"/>
          <w:szCs w:val="28"/>
        </w:rPr>
        <w:t>》（GB 51225-2017）的符合性分析</w:t>
      </w:r>
    </w:p>
    <w:p>
      <w:pPr>
        <w:spacing w:line="360" w:lineRule="auto"/>
        <w:ind w:firstLine="480" w:firstLineChars="200"/>
        <w:rPr>
          <w:color w:val="auto"/>
          <w:sz w:val="24"/>
        </w:rPr>
      </w:pPr>
      <w:r>
        <w:rPr>
          <w:color w:val="auto"/>
          <w:sz w:val="24"/>
        </w:rPr>
        <w:t>《</w:t>
      </w:r>
      <w:r>
        <w:rPr>
          <w:rFonts w:hint="eastAsia"/>
          <w:color w:val="auto"/>
          <w:sz w:val="24"/>
        </w:rPr>
        <w:t>牛羊屠宰与分割车间设计规范</w:t>
      </w:r>
      <w:r>
        <w:rPr>
          <w:color w:val="auto"/>
          <w:sz w:val="24"/>
        </w:rPr>
        <w:t>》（GB 51225-2017）关于厂址选择提出：</w:t>
      </w:r>
      <w:r>
        <w:rPr>
          <w:rFonts w:hint="eastAsia"/>
          <w:color w:val="auto"/>
          <w:sz w:val="24"/>
        </w:rPr>
        <w:t>①</w:t>
      </w:r>
      <w:r>
        <w:rPr>
          <w:color w:val="auto"/>
          <w:sz w:val="24"/>
        </w:rPr>
        <w:t>屠宰与分割车间所在</w:t>
      </w:r>
      <w:r>
        <w:rPr>
          <w:rFonts w:hint="eastAsia"/>
          <w:color w:val="auto"/>
          <w:sz w:val="24"/>
        </w:rPr>
        <w:t>厂区必须具备可靠的水源和电源，周边交通运输方便，并符合当地城乡规划、卫生与环境保护部门的要求</w:t>
      </w:r>
      <w:r>
        <w:rPr>
          <w:color w:val="auto"/>
          <w:sz w:val="24"/>
        </w:rPr>
        <w:t>。</w:t>
      </w:r>
      <w:r>
        <w:rPr>
          <w:rFonts w:hint="eastAsia"/>
          <w:color w:val="auto"/>
          <w:sz w:val="24"/>
        </w:rPr>
        <w:t>②</w:t>
      </w:r>
      <w:r>
        <w:rPr>
          <w:color w:val="auto"/>
          <w:sz w:val="24"/>
        </w:rPr>
        <w:t>厂址周围应有良好的环境卫生条件。厂</w:t>
      </w:r>
      <w:r>
        <w:rPr>
          <w:rFonts w:hint="eastAsia"/>
          <w:color w:val="auto"/>
          <w:sz w:val="24"/>
        </w:rPr>
        <w:t>址</w:t>
      </w:r>
      <w:r>
        <w:rPr>
          <w:color w:val="auto"/>
          <w:sz w:val="24"/>
        </w:rPr>
        <w:t>应</w:t>
      </w:r>
      <w:r>
        <w:rPr>
          <w:rFonts w:hint="eastAsia"/>
          <w:color w:val="auto"/>
          <w:sz w:val="24"/>
        </w:rPr>
        <w:t>避开</w:t>
      </w:r>
      <w:r>
        <w:rPr>
          <w:color w:val="auto"/>
          <w:sz w:val="24"/>
        </w:rPr>
        <w:t>受污染的水体</w:t>
      </w:r>
      <w:r>
        <w:rPr>
          <w:rFonts w:hint="eastAsia"/>
          <w:color w:val="auto"/>
          <w:sz w:val="24"/>
        </w:rPr>
        <w:t>及</w:t>
      </w:r>
      <w:r>
        <w:rPr>
          <w:color w:val="auto"/>
          <w:sz w:val="24"/>
        </w:rPr>
        <w:t>产生有害气体、烟雾、粉尘</w:t>
      </w:r>
      <w:r>
        <w:rPr>
          <w:rFonts w:hint="eastAsia"/>
          <w:color w:val="auto"/>
          <w:sz w:val="24"/>
        </w:rPr>
        <w:t>或其他污染源的</w:t>
      </w:r>
      <w:r>
        <w:rPr>
          <w:color w:val="auto"/>
          <w:sz w:val="24"/>
        </w:rPr>
        <w:t>工业企业或场所。</w:t>
      </w:r>
      <w:r>
        <w:rPr>
          <w:rFonts w:hint="eastAsia"/>
          <w:color w:val="auto"/>
          <w:sz w:val="24"/>
        </w:rPr>
        <w:t>③</w:t>
      </w:r>
      <w:r>
        <w:rPr>
          <w:color w:val="auto"/>
          <w:sz w:val="24"/>
        </w:rPr>
        <w:t>厂址</w:t>
      </w:r>
      <w:r>
        <w:rPr>
          <w:rFonts w:hint="eastAsia"/>
          <w:color w:val="auto"/>
          <w:sz w:val="24"/>
        </w:rPr>
        <w:t>选择应减少厂区产生气味污染的区域对居住区、学校和医院的影响。④厂址应远离城市水源地和城市给水、取水口，其附近应有城市污水排放管网或允许排入的最终受纳水体。</w:t>
      </w:r>
    </w:p>
    <w:p>
      <w:pPr>
        <w:spacing w:line="360" w:lineRule="auto"/>
        <w:ind w:firstLine="480" w:firstLineChars="200"/>
        <w:rPr>
          <w:color w:val="auto"/>
          <w:sz w:val="24"/>
        </w:rPr>
      </w:pPr>
      <w:r>
        <w:rPr>
          <w:color w:val="auto"/>
          <w:sz w:val="24"/>
        </w:rPr>
        <w:t>本项目</w:t>
      </w:r>
      <w:r>
        <w:rPr>
          <w:rFonts w:hint="eastAsia"/>
          <w:color w:val="auto"/>
          <w:sz w:val="24"/>
        </w:rPr>
        <w:t>利用现有厂房和场地</w:t>
      </w:r>
      <w:r>
        <w:rPr>
          <w:color w:val="auto"/>
          <w:sz w:val="24"/>
        </w:rPr>
        <w:t>进行生产，厂房</w:t>
      </w:r>
      <w:r>
        <w:rPr>
          <w:rFonts w:hint="eastAsia"/>
          <w:color w:val="auto"/>
          <w:sz w:val="24"/>
        </w:rPr>
        <w:t>设计用途</w:t>
      </w:r>
      <w:r>
        <w:rPr>
          <w:color w:val="auto"/>
          <w:sz w:val="24"/>
        </w:rPr>
        <w:t>为工业</w:t>
      </w:r>
      <w:r>
        <w:rPr>
          <w:rFonts w:hint="eastAsia"/>
          <w:color w:val="auto"/>
          <w:sz w:val="24"/>
        </w:rPr>
        <w:t>厂房</w:t>
      </w:r>
      <w:r>
        <w:rPr>
          <w:color w:val="auto"/>
          <w:sz w:val="24"/>
        </w:rPr>
        <w:t>，厂址所在地地势较高、空气干燥、水源充足、交通方便以及无烟雾、粉尘、有害气体等工业污染源的地点，</w:t>
      </w:r>
      <w:r>
        <w:rPr>
          <w:rFonts w:hint="eastAsia"/>
          <w:color w:val="auto"/>
          <w:sz w:val="24"/>
        </w:rPr>
        <w:t>本项目</w:t>
      </w:r>
      <w:r>
        <w:rPr>
          <w:color w:val="auto"/>
          <w:sz w:val="24"/>
        </w:rPr>
        <w:t>厂址附近没有密集居民区、学校、机关和饮用水水源地</w:t>
      </w:r>
      <w:r>
        <w:rPr>
          <w:rFonts w:hint="eastAsia"/>
          <w:color w:val="auto"/>
          <w:sz w:val="24"/>
        </w:rPr>
        <w:t>，最近环境保护目标为</w:t>
      </w:r>
      <w:r>
        <w:rPr>
          <w:rFonts w:hint="eastAsia"/>
          <w:color w:val="auto"/>
          <w:sz w:val="24"/>
          <w:lang w:val="en-US" w:eastAsia="zh-CN"/>
        </w:rPr>
        <w:t>一曼下屯</w:t>
      </w:r>
      <w:r>
        <w:rPr>
          <w:rFonts w:hint="eastAsia"/>
          <w:color w:val="auto"/>
          <w:sz w:val="24"/>
        </w:rPr>
        <w:t>，距离本项目厂址约</w:t>
      </w:r>
      <w:r>
        <w:rPr>
          <w:rFonts w:hint="eastAsia"/>
          <w:color w:val="auto"/>
          <w:sz w:val="24"/>
          <w:lang w:val="en-US" w:eastAsia="zh-CN"/>
        </w:rPr>
        <w:t>330</w:t>
      </w:r>
      <w:r>
        <w:rPr>
          <w:rFonts w:hint="eastAsia"/>
          <w:color w:val="auto"/>
          <w:sz w:val="24"/>
        </w:rPr>
        <w:t>m，符合</w:t>
      </w:r>
      <w:r>
        <w:rPr>
          <w:color w:val="auto"/>
          <w:sz w:val="24"/>
        </w:rPr>
        <w:t>《</w:t>
      </w:r>
      <w:r>
        <w:rPr>
          <w:rFonts w:hint="eastAsia"/>
          <w:color w:val="auto"/>
          <w:sz w:val="24"/>
        </w:rPr>
        <w:t>牛羊屠宰与分割车间设计规范</w:t>
      </w:r>
      <w:r>
        <w:rPr>
          <w:color w:val="auto"/>
          <w:sz w:val="24"/>
        </w:rPr>
        <w:t>》（GB 51225-2017）要求。</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1.4.</w:t>
      </w:r>
      <w:r>
        <w:rPr>
          <w:rFonts w:hint="eastAsia" w:ascii="Times New Roman" w:hAnsi="Times New Roman" w:cs="Times New Roman"/>
          <w:b/>
          <w:color w:val="auto"/>
          <w:sz w:val="28"/>
          <w:szCs w:val="28"/>
        </w:rPr>
        <w:t>5</w:t>
      </w:r>
      <w:r>
        <w:rPr>
          <w:rFonts w:ascii="Times New Roman" w:hAnsi="Times New Roman" w:cs="Times New Roman"/>
          <w:b/>
          <w:color w:val="auto"/>
          <w:sz w:val="28"/>
          <w:szCs w:val="28"/>
        </w:rPr>
        <w:t>与</w:t>
      </w:r>
      <w:r>
        <w:rPr>
          <w:rFonts w:hint="eastAsia" w:ascii="Times New Roman" w:hAnsi="Times New Roman" w:cs="Times New Roman"/>
          <w:b/>
          <w:color w:val="auto"/>
          <w:sz w:val="28"/>
          <w:szCs w:val="28"/>
        </w:rPr>
        <w:t>《哈尔滨市人民政府关于印发&lt;哈尔滨市水污染防治行动方案&gt;的通知》（哈政发[</w:t>
      </w:r>
      <w:r>
        <w:rPr>
          <w:rFonts w:ascii="Times New Roman" w:hAnsi="Times New Roman" w:cs="Times New Roman"/>
          <w:b/>
          <w:color w:val="auto"/>
          <w:sz w:val="28"/>
          <w:szCs w:val="28"/>
        </w:rPr>
        <w:t>201</w:t>
      </w:r>
      <w:r>
        <w:rPr>
          <w:rFonts w:hint="eastAsia" w:ascii="Times New Roman" w:hAnsi="Times New Roman" w:cs="Times New Roman"/>
          <w:b/>
          <w:color w:val="auto"/>
          <w:sz w:val="28"/>
          <w:szCs w:val="28"/>
        </w:rPr>
        <w:t>6]9号）</w:t>
      </w:r>
      <w:r>
        <w:rPr>
          <w:rFonts w:ascii="Times New Roman" w:hAnsi="Times New Roman" w:cs="Times New Roman"/>
          <w:b/>
          <w:color w:val="auto"/>
          <w:sz w:val="28"/>
          <w:szCs w:val="28"/>
        </w:rPr>
        <w:t>符合性分析</w:t>
      </w:r>
    </w:p>
    <w:p>
      <w:pPr>
        <w:spacing w:line="360" w:lineRule="auto"/>
        <w:ind w:firstLine="480" w:firstLineChars="200"/>
        <w:rPr>
          <w:color w:val="auto"/>
          <w:sz w:val="24"/>
        </w:rPr>
      </w:pPr>
      <w:r>
        <w:rPr>
          <w:rFonts w:hint="eastAsia"/>
          <w:color w:val="auto"/>
          <w:sz w:val="24"/>
        </w:rPr>
        <w:t>根据《哈尔滨市人民政府关于印发&lt;哈尔滨市水污染防治行动方案&gt;的通知》（哈政发[2016]9号）文件主要任务要求，3.2维护区域水生态环境安全，深化重点河流污染防治，整治城市黑臭水体，保护水和湿地生态系统；3.3控制用水总量，提高用水效率，科学保护水资源；3.5严格点源污染防治，继续开展工业污染防治，全面推行总量控制与排污许可，加强船舶港口污染治理；3.7推动经济结构转型升级，严格环境准入，调整产业结构，优化空间布局。</w:t>
      </w:r>
    </w:p>
    <w:p>
      <w:pPr>
        <w:pStyle w:val="2"/>
        <w:ind w:firstLine="480"/>
        <w:rPr>
          <w:rFonts w:ascii="Times New Roman" w:hAnsi="Times New Roman" w:cs="Times New Roman"/>
          <w:color w:val="auto"/>
        </w:rPr>
      </w:pPr>
      <w:r>
        <w:rPr>
          <w:rFonts w:hint="eastAsia" w:ascii="Times New Roman" w:hAnsi="Times New Roman" w:cs="Times New Roman"/>
          <w:color w:val="auto"/>
        </w:rPr>
        <w:t>本项目用水量处于行业同等水平，项目运行过程中采取严格的节水措施，节约水资源，项目产生的生产废水排入厂区污水处理站，处理达标后暂存</w:t>
      </w:r>
      <w:r>
        <w:rPr>
          <w:rFonts w:ascii="Times New Roman" w:hAnsi="Times New Roman" w:cs="Times New Roman"/>
          <w:color w:val="auto"/>
        </w:rPr>
        <w:t>于贮水池，</w:t>
      </w:r>
      <w:r>
        <w:rPr>
          <w:rFonts w:hint="eastAsia" w:ascii="Times New Roman" w:hAnsi="Times New Roman" w:cs="Times New Roman"/>
          <w:color w:val="auto"/>
        </w:rPr>
        <w:t>每天</w:t>
      </w:r>
      <w:r>
        <w:rPr>
          <w:rFonts w:ascii="Times New Roman" w:hAnsi="Times New Roman" w:cs="Times New Roman"/>
          <w:color w:val="auto"/>
        </w:rPr>
        <w:t>采用专用罐车</w:t>
      </w:r>
      <w:r>
        <w:rPr>
          <w:rFonts w:hint="eastAsia" w:ascii="Times New Roman" w:hAnsi="Times New Roman" w:cs="Times New Roman"/>
          <w:color w:val="auto"/>
        </w:rPr>
        <w:t>运至</w:t>
      </w:r>
      <w:r>
        <w:rPr>
          <w:rFonts w:hint="eastAsia" w:ascii="Times New Roman" w:hAnsi="Times New Roman" w:cs="Times New Roman"/>
          <w:color w:val="auto"/>
          <w:lang w:eastAsia="zh-CN"/>
        </w:rPr>
        <w:t>尚志污水处理厂</w:t>
      </w:r>
      <w:r>
        <w:rPr>
          <w:rFonts w:ascii="Times New Roman" w:hAnsi="Times New Roman" w:cs="Times New Roman"/>
          <w:color w:val="auto"/>
        </w:rPr>
        <w:t>处理</w:t>
      </w:r>
      <w:r>
        <w:rPr>
          <w:rFonts w:ascii="Times New Roman" w:hAnsi="Times New Roman" w:cs="Times New Roman"/>
          <w:bCs/>
          <w:color w:val="auto"/>
        </w:rPr>
        <w:t>，排入</w:t>
      </w:r>
      <w:r>
        <w:rPr>
          <w:rFonts w:hint="eastAsia" w:ascii="Times New Roman" w:hAnsi="Times New Roman" w:cs="Times New Roman"/>
          <w:bCs/>
          <w:color w:val="auto"/>
        </w:rPr>
        <w:t>乌珠河，最终汇入蚂蚁河</w:t>
      </w:r>
      <w:r>
        <w:rPr>
          <w:rFonts w:ascii="Times New Roman" w:hAnsi="Times New Roman" w:cs="Times New Roman"/>
          <w:bCs/>
          <w:color w:val="auto"/>
        </w:rPr>
        <w:t>。</w:t>
      </w:r>
      <w:r>
        <w:rPr>
          <w:rFonts w:hint="eastAsia" w:ascii="Times New Roman" w:hAnsi="Times New Roman" w:cs="Times New Roman"/>
          <w:color w:val="auto"/>
        </w:rPr>
        <w:t>项目的建设符合《哈尔滨市人民政府关于印发&lt;哈尔滨市水污染防治行动方案&gt;的通知》（哈政发[2016]9号）文件要求。</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1.4.</w:t>
      </w:r>
      <w:r>
        <w:rPr>
          <w:rFonts w:hint="eastAsia" w:ascii="Times New Roman" w:hAnsi="Times New Roman" w:cs="Times New Roman"/>
          <w:b/>
          <w:color w:val="auto"/>
          <w:sz w:val="28"/>
          <w:szCs w:val="28"/>
        </w:rPr>
        <w:t>6</w:t>
      </w:r>
      <w:r>
        <w:rPr>
          <w:rFonts w:ascii="Times New Roman" w:hAnsi="Times New Roman" w:cs="Times New Roman"/>
          <w:b/>
          <w:color w:val="auto"/>
          <w:sz w:val="28"/>
          <w:szCs w:val="28"/>
        </w:rPr>
        <w:t>与《黑龙江省畜禽屠宰管理条例》符合性分析</w:t>
      </w:r>
    </w:p>
    <w:p>
      <w:pPr>
        <w:spacing w:line="360" w:lineRule="auto"/>
        <w:ind w:firstLine="480" w:firstLineChars="200"/>
        <w:rPr>
          <w:b/>
          <w:bCs/>
          <w:color w:val="auto"/>
          <w:szCs w:val="21"/>
        </w:rPr>
      </w:pPr>
      <w:r>
        <w:rPr>
          <w:color w:val="auto"/>
          <w:sz w:val="24"/>
        </w:rPr>
        <w:t>本项目为</w:t>
      </w:r>
      <w:r>
        <w:rPr>
          <w:rFonts w:hint="eastAsia"/>
          <w:color w:val="auto"/>
          <w:sz w:val="24"/>
        </w:rPr>
        <w:t>肉牛屠宰</w:t>
      </w:r>
      <w:r>
        <w:rPr>
          <w:color w:val="auto"/>
          <w:sz w:val="24"/>
        </w:rPr>
        <w:t>项目，与《黑龙江省畜禽屠宰管理条例》的符合性分析见下表。</w:t>
      </w:r>
    </w:p>
    <w:p>
      <w:pPr>
        <w:jc w:val="center"/>
        <w:rPr>
          <w:b/>
          <w:bCs/>
          <w:color w:val="auto"/>
          <w:sz w:val="24"/>
        </w:rPr>
      </w:pPr>
      <w:r>
        <w:rPr>
          <w:b/>
          <w:bCs/>
          <w:color w:val="auto"/>
          <w:sz w:val="24"/>
        </w:rPr>
        <w:t>表1-4-</w:t>
      </w:r>
      <w:r>
        <w:rPr>
          <w:rFonts w:hint="eastAsia"/>
          <w:b/>
          <w:bCs/>
          <w:color w:val="auto"/>
          <w:sz w:val="24"/>
        </w:rPr>
        <w:t>1</w:t>
      </w:r>
      <w:r>
        <w:rPr>
          <w:b/>
          <w:bCs/>
          <w:color w:val="auto"/>
          <w:sz w:val="24"/>
        </w:rPr>
        <w:t xml:space="preserve">  本项目与《黑龙江省畜禽屠宰管理条例》符合性</w:t>
      </w:r>
    </w:p>
    <w:tbl>
      <w:tblPr>
        <w:tblStyle w:val="728"/>
        <w:tblW w:w="4998"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1443"/>
        <w:gridCol w:w="2978"/>
        <w:gridCol w:w="3174"/>
        <w:gridCol w:w="708"/>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869" w:type="pct"/>
            <w:tcBorders>
              <w:tl2br w:val="nil"/>
              <w:tr2bl w:val="nil"/>
            </w:tcBorders>
            <w:vAlign w:val="center"/>
          </w:tcPr>
          <w:p>
            <w:pPr>
              <w:jc w:val="center"/>
              <w:rPr>
                <w:color w:val="auto"/>
                <w:kern w:val="0"/>
                <w:sz w:val="21"/>
                <w:szCs w:val="21"/>
              </w:rPr>
            </w:pPr>
            <w:r>
              <w:rPr>
                <w:color w:val="auto"/>
                <w:kern w:val="0"/>
                <w:sz w:val="21"/>
                <w:szCs w:val="21"/>
              </w:rPr>
              <w:t>名称</w:t>
            </w:r>
          </w:p>
        </w:tc>
        <w:tc>
          <w:tcPr>
            <w:tcW w:w="1793" w:type="pct"/>
            <w:tcBorders>
              <w:tl2br w:val="nil"/>
              <w:tr2bl w:val="nil"/>
            </w:tcBorders>
            <w:vAlign w:val="center"/>
          </w:tcPr>
          <w:p>
            <w:pPr>
              <w:jc w:val="center"/>
              <w:rPr>
                <w:color w:val="auto"/>
                <w:kern w:val="0"/>
                <w:sz w:val="21"/>
                <w:szCs w:val="21"/>
              </w:rPr>
            </w:pPr>
            <w:r>
              <w:rPr>
                <w:color w:val="auto"/>
                <w:kern w:val="0"/>
                <w:sz w:val="21"/>
                <w:szCs w:val="21"/>
              </w:rPr>
              <w:t>要求</w:t>
            </w:r>
          </w:p>
        </w:tc>
        <w:tc>
          <w:tcPr>
            <w:tcW w:w="1911" w:type="pct"/>
            <w:tcBorders>
              <w:tl2br w:val="nil"/>
              <w:tr2bl w:val="nil"/>
            </w:tcBorders>
            <w:vAlign w:val="center"/>
          </w:tcPr>
          <w:p>
            <w:pPr>
              <w:jc w:val="center"/>
              <w:rPr>
                <w:color w:val="auto"/>
                <w:kern w:val="0"/>
                <w:sz w:val="21"/>
                <w:szCs w:val="21"/>
              </w:rPr>
            </w:pPr>
            <w:r>
              <w:rPr>
                <w:color w:val="auto"/>
                <w:kern w:val="0"/>
                <w:sz w:val="21"/>
                <w:szCs w:val="21"/>
              </w:rPr>
              <w:t>本项目</w:t>
            </w:r>
          </w:p>
        </w:tc>
        <w:tc>
          <w:tcPr>
            <w:tcW w:w="426" w:type="pct"/>
            <w:tcBorders>
              <w:tl2br w:val="nil"/>
              <w:tr2bl w:val="nil"/>
            </w:tcBorders>
            <w:vAlign w:val="center"/>
          </w:tcPr>
          <w:p>
            <w:pPr>
              <w:jc w:val="center"/>
              <w:rPr>
                <w:color w:val="auto"/>
                <w:kern w:val="0"/>
                <w:sz w:val="21"/>
                <w:szCs w:val="21"/>
              </w:rPr>
            </w:pPr>
            <w:r>
              <w:rPr>
                <w:color w:val="auto"/>
                <w:kern w:val="0"/>
                <w:sz w:val="21"/>
                <w:szCs w:val="21"/>
              </w:rPr>
              <w:t>结论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869" w:type="pct"/>
            <w:vMerge w:val="restart"/>
            <w:tcBorders>
              <w:tl2br w:val="nil"/>
              <w:tr2bl w:val="nil"/>
            </w:tcBorders>
            <w:vAlign w:val="center"/>
          </w:tcPr>
          <w:p>
            <w:pPr>
              <w:jc w:val="center"/>
              <w:rPr>
                <w:color w:val="auto"/>
                <w:kern w:val="0"/>
                <w:sz w:val="21"/>
                <w:szCs w:val="21"/>
              </w:rPr>
            </w:pPr>
            <w:r>
              <w:rPr>
                <w:color w:val="auto"/>
                <w:kern w:val="0"/>
                <w:sz w:val="21"/>
                <w:szCs w:val="21"/>
              </w:rPr>
              <w:t>《黑龙江省畜禽屠宰管理条例》</w:t>
            </w:r>
          </w:p>
        </w:tc>
        <w:tc>
          <w:tcPr>
            <w:tcW w:w="1793" w:type="pct"/>
            <w:tcBorders>
              <w:tl2br w:val="nil"/>
              <w:tr2bl w:val="nil"/>
            </w:tcBorders>
            <w:vAlign w:val="center"/>
          </w:tcPr>
          <w:p>
            <w:pPr>
              <w:jc w:val="center"/>
              <w:rPr>
                <w:color w:val="auto"/>
                <w:kern w:val="0"/>
                <w:sz w:val="21"/>
                <w:szCs w:val="21"/>
              </w:rPr>
            </w:pPr>
            <w:r>
              <w:rPr>
                <w:color w:val="auto"/>
                <w:kern w:val="0"/>
                <w:sz w:val="21"/>
                <w:szCs w:val="21"/>
              </w:rPr>
              <w:t>有与屠宰规模相适应，水质符合国家规定标准的水源条件</w:t>
            </w:r>
          </w:p>
        </w:tc>
        <w:tc>
          <w:tcPr>
            <w:tcW w:w="1911" w:type="pct"/>
            <w:tcBorders>
              <w:tl2br w:val="nil"/>
              <w:tr2bl w:val="nil"/>
            </w:tcBorders>
            <w:vAlign w:val="center"/>
          </w:tcPr>
          <w:p>
            <w:pPr>
              <w:jc w:val="center"/>
              <w:rPr>
                <w:color w:val="auto"/>
                <w:kern w:val="0"/>
                <w:sz w:val="21"/>
                <w:szCs w:val="21"/>
              </w:rPr>
            </w:pPr>
            <w:r>
              <w:rPr>
                <w:color w:val="auto"/>
                <w:kern w:val="0"/>
                <w:sz w:val="21"/>
                <w:szCs w:val="21"/>
              </w:rPr>
              <w:t>项目</w:t>
            </w:r>
            <w:r>
              <w:rPr>
                <w:rFonts w:hint="eastAsia"/>
                <w:color w:val="auto"/>
                <w:kern w:val="0"/>
                <w:sz w:val="21"/>
                <w:szCs w:val="21"/>
              </w:rPr>
              <w:t>由厂区自打地下水井</w:t>
            </w:r>
            <w:r>
              <w:rPr>
                <w:color w:val="auto"/>
                <w:kern w:val="0"/>
                <w:sz w:val="21"/>
                <w:szCs w:val="21"/>
              </w:rPr>
              <w:t>供给，</w:t>
            </w:r>
            <w:r>
              <w:rPr>
                <w:rFonts w:hint="eastAsia"/>
                <w:color w:val="auto"/>
                <w:kern w:val="0"/>
                <w:sz w:val="21"/>
                <w:szCs w:val="21"/>
              </w:rPr>
              <w:t>水井供水量满足屠宰规模，</w:t>
            </w:r>
            <w:r>
              <w:rPr>
                <w:color w:val="auto"/>
                <w:kern w:val="0"/>
                <w:sz w:val="21"/>
                <w:szCs w:val="21"/>
              </w:rPr>
              <w:t>水源有保障，水质符合要求</w:t>
            </w:r>
          </w:p>
        </w:tc>
        <w:tc>
          <w:tcPr>
            <w:tcW w:w="426" w:type="pct"/>
            <w:tcBorders>
              <w:tl2br w:val="nil"/>
              <w:tr2bl w:val="nil"/>
            </w:tcBorders>
            <w:vAlign w:val="center"/>
          </w:tcPr>
          <w:p>
            <w:pPr>
              <w:jc w:val="center"/>
              <w:rPr>
                <w:color w:val="auto"/>
                <w:kern w:val="0"/>
                <w:sz w:val="21"/>
                <w:szCs w:val="21"/>
              </w:rPr>
            </w:pPr>
            <w:r>
              <w:rPr>
                <w:color w:val="auto"/>
                <w:kern w:val="0"/>
                <w:sz w:val="21"/>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869" w:type="pct"/>
            <w:vMerge w:val="continue"/>
            <w:tcBorders>
              <w:tl2br w:val="nil"/>
              <w:tr2bl w:val="nil"/>
            </w:tcBorders>
            <w:vAlign w:val="center"/>
          </w:tcPr>
          <w:p>
            <w:pPr>
              <w:jc w:val="center"/>
              <w:rPr>
                <w:color w:val="auto"/>
                <w:kern w:val="0"/>
                <w:sz w:val="21"/>
                <w:szCs w:val="21"/>
              </w:rPr>
            </w:pPr>
          </w:p>
        </w:tc>
        <w:tc>
          <w:tcPr>
            <w:tcW w:w="1793" w:type="pct"/>
            <w:tcBorders>
              <w:tl2br w:val="nil"/>
              <w:tr2bl w:val="nil"/>
            </w:tcBorders>
            <w:vAlign w:val="center"/>
          </w:tcPr>
          <w:p>
            <w:pPr>
              <w:jc w:val="center"/>
              <w:rPr>
                <w:color w:val="auto"/>
                <w:kern w:val="0"/>
                <w:sz w:val="21"/>
                <w:szCs w:val="21"/>
              </w:rPr>
            </w:pPr>
            <w:r>
              <w:rPr>
                <w:color w:val="auto"/>
                <w:kern w:val="0"/>
                <w:sz w:val="21"/>
                <w:szCs w:val="21"/>
              </w:rPr>
              <w:t>有符合国家规定要求的待宰车间、屠宰间、急宰间以及畜禽屠宰设备和运载工具</w:t>
            </w:r>
          </w:p>
        </w:tc>
        <w:tc>
          <w:tcPr>
            <w:tcW w:w="1911" w:type="pct"/>
            <w:tcBorders>
              <w:tl2br w:val="nil"/>
              <w:tr2bl w:val="nil"/>
            </w:tcBorders>
            <w:vAlign w:val="center"/>
          </w:tcPr>
          <w:p>
            <w:pPr>
              <w:jc w:val="center"/>
              <w:rPr>
                <w:color w:val="auto"/>
                <w:kern w:val="0"/>
                <w:sz w:val="21"/>
                <w:szCs w:val="21"/>
              </w:rPr>
            </w:pPr>
            <w:r>
              <w:rPr>
                <w:color w:val="auto"/>
                <w:kern w:val="0"/>
                <w:sz w:val="21"/>
                <w:szCs w:val="21"/>
              </w:rPr>
              <w:t>项目建有待宰间、</w:t>
            </w:r>
            <w:r>
              <w:rPr>
                <w:rFonts w:hint="eastAsia"/>
                <w:color w:val="auto"/>
                <w:kern w:val="0"/>
                <w:sz w:val="21"/>
                <w:szCs w:val="21"/>
                <w:lang w:val="en-US" w:eastAsia="zh-CN"/>
              </w:rPr>
              <w:t>急宰间、</w:t>
            </w:r>
            <w:r>
              <w:rPr>
                <w:color w:val="auto"/>
                <w:kern w:val="0"/>
                <w:sz w:val="21"/>
                <w:szCs w:val="21"/>
              </w:rPr>
              <w:t>屠宰车间</w:t>
            </w:r>
            <w:r>
              <w:rPr>
                <w:rFonts w:hint="eastAsia"/>
                <w:color w:val="auto"/>
                <w:kern w:val="0"/>
                <w:sz w:val="21"/>
                <w:szCs w:val="21"/>
                <w:lang w:eastAsia="zh-CN"/>
              </w:rPr>
              <w:t>，</w:t>
            </w:r>
            <w:r>
              <w:rPr>
                <w:color w:val="auto"/>
                <w:kern w:val="0"/>
                <w:sz w:val="21"/>
                <w:szCs w:val="21"/>
              </w:rPr>
              <w:t>有成套</w:t>
            </w:r>
            <w:r>
              <w:rPr>
                <w:rFonts w:hint="eastAsia"/>
                <w:color w:val="auto"/>
                <w:kern w:val="0"/>
                <w:sz w:val="21"/>
                <w:szCs w:val="21"/>
              </w:rPr>
              <w:t>肉牛</w:t>
            </w:r>
            <w:r>
              <w:rPr>
                <w:color w:val="auto"/>
                <w:kern w:val="0"/>
                <w:sz w:val="21"/>
                <w:szCs w:val="21"/>
              </w:rPr>
              <w:t>屠宰设备和运载工具，符合国家规定要求</w:t>
            </w:r>
          </w:p>
        </w:tc>
        <w:tc>
          <w:tcPr>
            <w:tcW w:w="426" w:type="pct"/>
            <w:tcBorders>
              <w:tl2br w:val="nil"/>
              <w:tr2bl w:val="nil"/>
            </w:tcBorders>
            <w:vAlign w:val="center"/>
          </w:tcPr>
          <w:p>
            <w:pPr>
              <w:jc w:val="center"/>
              <w:rPr>
                <w:color w:val="auto"/>
                <w:kern w:val="0"/>
                <w:sz w:val="21"/>
                <w:szCs w:val="21"/>
              </w:rPr>
            </w:pPr>
            <w:r>
              <w:rPr>
                <w:color w:val="auto"/>
                <w:kern w:val="0"/>
                <w:sz w:val="21"/>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869" w:type="pct"/>
            <w:vMerge w:val="continue"/>
            <w:tcBorders>
              <w:tl2br w:val="nil"/>
              <w:tr2bl w:val="nil"/>
            </w:tcBorders>
            <w:vAlign w:val="center"/>
          </w:tcPr>
          <w:p>
            <w:pPr>
              <w:jc w:val="center"/>
              <w:rPr>
                <w:color w:val="auto"/>
                <w:kern w:val="0"/>
                <w:sz w:val="21"/>
                <w:szCs w:val="21"/>
              </w:rPr>
            </w:pPr>
          </w:p>
        </w:tc>
        <w:tc>
          <w:tcPr>
            <w:tcW w:w="1793" w:type="pct"/>
            <w:tcBorders>
              <w:tl2br w:val="nil"/>
              <w:tr2bl w:val="nil"/>
            </w:tcBorders>
            <w:vAlign w:val="center"/>
          </w:tcPr>
          <w:p>
            <w:pPr>
              <w:jc w:val="center"/>
              <w:rPr>
                <w:color w:val="auto"/>
                <w:kern w:val="0"/>
                <w:sz w:val="21"/>
                <w:szCs w:val="21"/>
              </w:rPr>
            </w:pPr>
            <w:r>
              <w:rPr>
                <w:color w:val="auto"/>
                <w:kern w:val="0"/>
                <w:sz w:val="21"/>
                <w:szCs w:val="21"/>
              </w:rPr>
              <w:t>有依法取得健康证明的屠宰技术人员</w:t>
            </w:r>
          </w:p>
        </w:tc>
        <w:tc>
          <w:tcPr>
            <w:tcW w:w="1911" w:type="pct"/>
            <w:tcBorders>
              <w:tl2br w:val="nil"/>
              <w:tr2bl w:val="nil"/>
            </w:tcBorders>
            <w:vAlign w:val="center"/>
          </w:tcPr>
          <w:p>
            <w:pPr>
              <w:jc w:val="center"/>
              <w:rPr>
                <w:color w:val="auto"/>
                <w:kern w:val="0"/>
                <w:sz w:val="21"/>
                <w:szCs w:val="21"/>
              </w:rPr>
            </w:pPr>
            <w:r>
              <w:rPr>
                <w:color w:val="auto"/>
                <w:kern w:val="0"/>
                <w:sz w:val="21"/>
                <w:szCs w:val="21"/>
              </w:rPr>
              <w:t>屠宰技术人员依法取得健康证明后上岗</w:t>
            </w:r>
          </w:p>
        </w:tc>
        <w:tc>
          <w:tcPr>
            <w:tcW w:w="426" w:type="pct"/>
            <w:tcBorders>
              <w:tl2br w:val="nil"/>
              <w:tr2bl w:val="nil"/>
            </w:tcBorders>
            <w:vAlign w:val="center"/>
          </w:tcPr>
          <w:p>
            <w:pPr>
              <w:jc w:val="center"/>
              <w:rPr>
                <w:color w:val="auto"/>
                <w:kern w:val="0"/>
                <w:sz w:val="21"/>
                <w:szCs w:val="21"/>
              </w:rPr>
            </w:pPr>
            <w:r>
              <w:rPr>
                <w:color w:val="auto"/>
                <w:kern w:val="0"/>
                <w:sz w:val="21"/>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869" w:type="pct"/>
            <w:vMerge w:val="continue"/>
            <w:tcBorders>
              <w:tl2br w:val="nil"/>
              <w:tr2bl w:val="nil"/>
            </w:tcBorders>
            <w:vAlign w:val="center"/>
          </w:tcPr>
          <w:p>
            <w:pPr>
              <w:jc w:val="center"/>
              <w:rPr>
                <w:color w:val="auto"/>
                <w:kern w:val="0"/>
                <w:sz w:val="21"/>
                <w:szCs w:val="21"/>
              </w:rPr>
            </w:pPr>
          </w:p>
        </w:tc>
        <w:tc>
          <w:tcPr>
            <w:tcW w:w="1793" w:type="pct"/>
            <w:tcBorders>
              <w:tl2br w:val="nil"/>
              <w:tr2bl w:val="nil"/>
            </w:tcBorders>
            <w:vAlign w:val="center"/>
          </w:tcPr>
          <w:p>
            <w:pPr>
              <w:jc w:val="center"/>
              <w:rPr>
                <w:color w:val="auto"/>
                <w:kern w:val="0"/>
                <w:sz w:val="21"/>
                <w:szCs w:val="21"/>
              </w:rPr>
            </w:pPr>
            <w:r>
              <w:rPr>
                <w:color w:val="auto"/>
                <w:kern w:val="0"/>
                <w:sz w:val="21"/>
                <w:szCs w:val="21"/>
              </w:rPr>
              <w:t>有经考核合格的兽医卫生检验人员</w:t>
            </w:r>
          </w:p>
        </w:tc>
        <w:tc>
          <w:tcPr>
            <w:tcW w:w="1911" w:type="pct"/>
            <w:tcBorders>
              <w:tl2br w:val="nil"/>
              <w:tr2bl w:val="nil"/>
            </w:tcBorders>
            <w:vAlign w:val="center"/>
          </w:tcPr>
          <w:p>
            <w:pPr>
              <w:jc w:val="center"/>
              <w:rPr>
                <w:color w:val="auto"/>
                <w:kern w:val="0"/>
                <w:sz w:val="21"/>
                <w:szCs w:val="21"/>
              </w:rPr>
            </w:pPr>
            <w:r>
              <w:rPr>
                <w:color w:val="auto"/>
                <w:kern w:val="0"/>
                <w:sz w:val="21"/>
                <w:szCs w:val="21"/>
              </w:rPr>
              <w:t>配备经考核合格的兽医卫生检验人员</w:t>
            </w:r>
          </w:p>
        </w:tc>
        <w:tc>
          <w:tcPr>
            <w:tcW w:w="426" w:type="pct"/>
            <w:tcBorders>
              <w:tl2br w:val="nil"/>
              <w:tr2bl w:val="nil"/>
            </w:tcBorders>
            <w:vAlign w:val="center"/>
          </w:tcPr>
          <w:p>
            <w:pPr>
              <w:jc w:val="center"/>
              <w:rPr>
                <w:color w:val="auto"/>
                <w:kern w:val="0"/>
                <w:sz w:val="21"/>
                <w:szCs w:val="21"/>
              </w:rPr>
            </w:pPr>
            <w:r>
              <w:rPr>
                <w:color w:val="auto"/>
                <w:kern w:val="0"/>
                <w:sz w:val="21"/>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869" w:type="pct"/>
            <w:vMerge w:val="continue"/>
            <w:tcBorders>
              <w:tl2br w:val="nil"/>
              <w:tr2bl w:val="nil"/>
            </w:tcBorders>
            <w:vAlign w:val="center"/>
          </w:tcPr>
          <w:p>
            <w:pPr>
              <w:jc w:val="center"/>
              <w:rPr>
                <w:color w:val="auto"/>
                <w:kern w:val="0"/>
                <w:sz w:val="21"/>
                <w:szCs w:val="21"/>
              </w:rPr>
            </w:pPr>
          </w:p>
        </w:tc>
        <w:tc>
          <w:tcPr>
            <w:tcW w:w="1793" w:type="pct"/>
            <w:tcBorders>
              <w:tl2br w:val="nil"/>
              <w:tr2bl w:val="nil"/>
            </w:tcBorders>
            <w:vAlign w:val="center"/>
          </w:tcPr>
          <w:p>
            <w:pPr>
              <w:jc w:val="center"/>
              <w:rPr>
                <w:color w:val="auto"/>
                <w:kern w:val="0"/>
                <w:sz w:val="21"/>
                <w:szCs w:val="21"/>
              </w:rPr>
            </w:pPr>
            <w:r>
              <w:rPr>
                <w:color w:val="auto"/>
                <w:kern w:val="0"/>
                <w:sz w:val="21"/>
                <w:szCs w:val="21"/>
              </w:rPr>
              <w:t>有符合国家规定要求的检验设备、消毒设施以及符合环境保护要求的污染防治设施</w:t>
            </w:r>
          </w:p>
        </w:tc>
        <w:tc>
          <w:tcPr>
            <w:tcW w:w="1911" w:type="pct"/>
            <w:tcBorders>
              <w:tl2br w:val="nil"/>
              <w:tr2bl w:val="nil"/>
            </w:tcBorders>
            <w:vAlign w:val="center"/>
          </w:tcPr>
          <w:p>
            <w:pPr>
              <w:jc w:val="center"/>
              <w:rPr>
                <w:color w:val="auto"/>
                <w:kern w:val="0"/>
                <w:sz w:val="21"/>
                <w:szCs w:val="21"/>
              </w:rPr>
            </w:pPr>
            <w:r>
              <w:rPr>
                <w:color w:val="auto"/>
                <w:kern w:val="0"/>
                <w:sz w:val="21"/>
                <w:szCs w:val="21"/>
              </w:rPr>
              <w:t>有符合国家规定的检验设备、消毒设施，拟建设污染防治设施符合环境保护要求</w:t>
            </w:r>
          </w:p>
        </w:tc>
        <w:tc>
          <w:tcPr>
            <w:tcW w:w="426" w:type="pct"/>
            <w:tcBorders>
              <w:tl2br w:val="nil"/>
              <w:tr2bl w:val="nil"/>
            </w:tcBorders>
            <w:vAlign w:val="center"/>
          </w:tcPr>
          <w:p>
            <w:pPr>
              <w:jc w:val="center"/>
              <w:rPr>
                <w:color w:val="auto"/>
                <w:kern w:val="0"/>
                <w:sz w:val="21"/>
                <w:szCs w:val="21"/>
              </w:rPr>
            </w:pPr>
            <w:r>
              <w:rPr>
                <w:color w:val="auto"/>
                <w:kern w:val="0"/>
                <w:sz w:val="21"/>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869" w:type="pct"/>
            <w:vMerge w:val="continue"/>
            <w:tcBorders>
              <w:tl2br w:val="nil"/>
              <w:tr2bl w:val="nil"/>
            </w:tcBorders>
            <w:vAlign w:val="center"/>
          </w:tcPr>
          <w:p>
            <w:pPr>
              <w:jc w:val="center"/>
              <w:rPr>
                <w:color w:val="auto"/>
                <w:kern w:val="0"/>
                <w:sz w:val="21"/>
                <w:szCs w:val="21"/>
              </w:rPr>
            </w:pPr>
          </w:p>
        </w:tc>
        <w:tc>
          <w:tcPr>
            <w:tcW w:w="1793" w:type="pct"/>
            <w:tcBorders>
              <w:tl2br w:val="nil"/>
              <w:tr2bl w:val="nil"/>
            </w:tcBorders>
            <w:vAlign w:val="center"/>
          </w:tcPr>
          <w:p>
            <w:pPr>
              <w:jc w:val="center"/>
              <w:rPr>
                <w:color w:val="auto"/>
                <w:kern w:val="0"/>
                <w:sz w:val="21"/>
                <w:szCs w:val="21"/>
              </w:rPr>
            </w:pPr>
            <w:r>
              <w:rPr>
                <w:color w:val="auto"/>
                <w:kern w:val="0"/>
                <w:sz w:val="21"/>
                <w:szCs w:val="21"/>
              </w:rPr>
              <w:t>有病害畜禽及畜禽产品无害化处理设施或者无害化处理委托协议</w:t>
            </w:r>
          </w:p>
        </w:tc>
        <w:tc>
          <w:tcPr>
            <w:tcW w:w="1911" w:type="pct"/>
            <w:tcBorders>
              <w:tl2br w:val="nil"/>
              <w:tr2bl w:val="nil"/>
            </w:tcBorders>
            <w:vAlign w:val="center"/>
          </w:tcPr>
          <w:p>
            <w:pPr>
              <w:jc w:val="center"/>
              <w:rPr>
                <w:color w:val="auto"/>
                <w:kern w:val="0"/>
                <w:sz w:val="21"/>
                <w:szCs w:val="21"/>
              </w:rPr>
            </w:pPr>
            <w:r>
              <w:rPr>
                <w:color w:val="auto"/>
                <w:kern w:val="0"/>
                <w:sz w:val="21"/>
                <w:szCs w:val="21"/>
                <w:lang w:val="zh-CN"/>
              </w:rPr>
              <w:t>本项目</w:t>
            </w:r>
            <w:r>
              <w:rPr>
                <w:rFonts w:hint="eastAsia"/>
                <w:color w:val="auto"/>
                <w:kern w:val="0"/>
                <w:sz w:val="21"/>
                <w:szCs w:val="21"/>
                <w:lang w:val="en-US" w:eastAsia="zh-CN"/>
              </w:rPr>
              <w:t>投产前与</w:t>
            </w:r>
            <w:r>
              <w:rPr>
                <w:rFonts w:hint="eastAsia"/>
                <w:color w:val="auto"/>
                <w:kern w:val="0"/>
                <w:sz w:val="21"/>
                <w:szCs w:val="21"/>
                <w:lang w:val="zh-CN"/>
              </w:rPr>
              <w:t>无害化处理有限公司</w:t>
            </w:r>
            <w:r>
              <w:rPr>
                <w:color w:val="auto"/>
                <w:kern w:val="0"/>
                <w:sz w:val="21"/>
                <w:szCs w:val="21"/>
                <w:lang w:val="zh-CN"/>
              </w:rPr>
              <w:t>签订无害化委托处理协议</w:t>
            </w:r>
          </w:p>
        </w:tc>
        <w:tc>
          <w:tcPr>
            <w:tcW w:w="426" w:type="pct"/>
            <w:tcBorders>
              <w:tl2br w:val="nil"/>
              <w:tr2bl w:val="nil"/>
            </w:tcBorders>
            <w:vAlign w:val="center"/>
          </w:tcPr>
          <w:p>
            <w:pPr>
              <w:jc w:val="center"/>
              <w:rPr>
                <w:color w:val="auto"/>
                <w:kern w:val="0"/>
                <w:sz w:val="21"/>
                <w:szCs w:val="21"/>
              </w:rPr>
            </w:pPr>
            <w:r>
              <w:rPr>
                <w:color w:val="auto"/>
                <w:kern w:val="0"/>
                <w:sz w:val="21"/>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869" w:type="pct"/>
            <w:vMerge w:val="continue"/>
            <w:tcBorders>
              <w:tl2br w:val="nil"/>
              <w:tr2bl w:val="nil"/>
            </w:tcBorders>
            <w:vAlign w:val="center"/>
          </w:tcPr>
          <w:p>
            <w:pPr>
              <w:jc w:val="center"/>
              <w:rPr>
                <w:color w:val="auto"/>
                <w:kern w:val="0"/>
                <w:sz w:val="21"/>
                <w:szCs w:val="21"/>
              </w:rPr>
            </w:pPr>
          </w:p>
        </w:tc>
        <w:tc>
          <w:tcPr>
            <w:tcW w:w="1793" w:type="pct"/>
            <w:tcBorders>
              <w:tl2br w:val="nil"/>
              <w:tr2bl w:val="nil"/>
            </w:tcBorders>
            <w:vAlign w:val="center"/>
          </w:tcPr>
          <w:p>
            <w:pPr>
              <w:jc w:val="center"/>
              <w:rPr>
                <w:color w:val="auto"/>
                <w:kern w:val="0"/>
                <w:sz w:val="21"/>
                <w:szCs w:val="21"/>
              </w:rPr>
            </w:pPr>
            <w:r>
              <w:rPr>
                <w:color w:val="auto"/>
                <w:kern w:val="0"/>
                <w:sz w:val="21"/>
                <w:szCs w:val="21"/>
              </w:rPr>
              <w:t>依法取得动物防疫条件合格证</w:t>
            </w:r>
          </w:p>
        </w:tc>
        <w:tc>
          <w:tcPr>
            <w:tcW w:w="1911" w:type="pct"/>
            <w:tcBorders>
              <w:tl2br w:val="nil"/>
              <w:tr2bl w:val="nil"/>
            </w:tcBorders>
            <w:vAlign w:val="center"/>
          </w:tcPr>
          <w:p>
            <w:pPr>
              <w:jc w:val="center"/>
              <w:rPr>
                <w:color w:val="auto"/>
                <w:kern w:val="0"/>
                <w:sz w:val="21"/>
                <w:szCs w:val="21"/>
              </w:rPr>
            </w:pPr>
            <w:r>
              <w:rPr>
                <w:color w:val="auto"/>
                <w:kern w:val="0"/>
                <w:sz w:val="21"/>
                <w:szCs w:val="21"/>
              </w:rPr>
              <w:t>依法取得动物防疫条件合格证</w:t>
            </w:r>
          </w:p>
        </w:tc>
        <w:tc>
          <w:tcPr>
            <w:tcW w:w="426" w:type="pct"/>
            <w:tcBorders>
              <w:tl2br w:val="nil"/>
              <w:tr2bl w:val="nil"/>
            </w:tcBorders>
            <w:vAlign w:val="center"/>
          </w:tcPr>
          <w:p>
            <w:pPr>
              <w:jc w:val="center"/>
              <w:rPr>
                <w:color w:val="auto"/>
                <w:kern w:val="0"/>
                <w:sz w:val="21"/>
                <w:szCs w:val="21"/>
              </w:rPr>
            </w:pPr>
            <w:r>
              <w:rPr>
                <w:color w:val="auto"/>
                <w:kern w:val="0"/>
                <w:sz w:val="21"/>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869" w:type="pct"/>
            <w:vMerge w:val="continue"/>
            <w:tcBorders>
              <w:tl2br w:val="nil"/>
              <w:tr2bl w:val="nil"/>
            </w:tcBorders>
            <w:vAlign w:val="center"/>
          </w:tcPr>
          <w:p>
            <w:pPr>
              <w:jc w:val="center"/>
              <w:rPr>
                <w:color w:val="auto"/>
                <w:kern w:val="0"/>
                <w:sz w:val="21"/>
                <w:szCs w:val="21"/>
              </w:rPr>
            </w:pPr>
          </w:p>
        </w:tc>
        <w:tc>
          <w:tcPr>
            <w:tcW w:w="1793" w:type="pct"/>
            <w:tcBorders>
              <w:tl2br w:val="nil"/>
              <w:tr2bl w:val="nil"/>
            </w:tcBorders>
            <w:vAlign w:val="center"/>
          </w:tcPr>
          <w:p>
            <w:pPr>
              <w:jc w:val="center"/>
              <w:rPr>
                <w:color w:val="auto"/>
                <w:kern w:val="0"/>
                <w:sz w:val="21"/>
                <w:szCs w:val="21"/>
              </w:rPr>
            </w:pPr>
            <w:r>
              <w:rPr>
                <w:color w:val="auto"/>
                <w:kern w:val="0"/>
                <w:sz w:val="21"/>
                <w:szCs w:val="21"/>
              </w:rPr>
              <w:t>法律、法规规定的其他条件</w:t>
            </w:r>
          </w:p>
        </w:tc>
        <w:tc>
          <w:tcPr>
            <w:tcW w:w="1911" w:type="pct"/>
            <w:tcBorders>
              <w:tl2br w:val="nil"/>
              <w:tr2bl w:val="nil"/>
            </w:tcBorders>
            <w:vAlign w:val="center"/>
          </w:tcPr>
          <w:p>
            <w:pPr>
              <w:jc w:val="center"/>
              <w:rPr>
                <w:color w:val="auto"/>
                <w:kern w:val="0"/>
                <w:sz w:val="21"/>
                <w:szCs w:val="21"/>
              </w:rPr>
            </w:pPr>
            <w:r>
              <w:rPr>
                <w:color w:val="auto"/>
                <w:kern w:val="0"/>
                <w:sz w:val="21"/>
                <w:szCs w:val="21"/>
              </w:rPr>
              <w:t>严格执行相关法律、法规规定</w:t>
            </w:r>
          </w:p>
        </w:tc>
        <w:tc>
          <w:tcPr>
            <w:tcW w:w="426" w:type="pct"/>
            <w:tcBorders>
              <w:tl2br w:val="nil"/>
              <w:tr2bl w:val="nil"/>
            </w:tcBorders>
            <w:vAlign w:val="center"/>
          </w:tcPr>
          <w:p>
            <w:pPr>
              <w:jc w:val="center"/>
              <w:rPr>
                <w:color w:val="auto"/>
                <w:kern w:val="0"/>
                <w:sz w:val="21"/>
                <w:szCs w:val="21"/>
              </w:rPr>
            </w:pPr>
            <w:r>
              <w:rPr>
                <w:color w:val="auto"/>
                <w:kern w:val="0"/>
                <w:sz w:val="21"/>
                <w:szCs w:val="21"/>
              </w:rPr>
              <w:t>符合</w:t>
            </w:r>
          </w:p>
        </w:tc>
      </w:tr>
    </w:tbl>
    <w:p>
      <w:pPr>
        <w:spacing w:line="360" w:lineRule="auto"/>
        <w:ind w:firstLine="480" w:firstLineChars="200"/>
        <w:rPr>
          <w:color w:val="auto"/>
          <w:sz w:val="24"/>
        </w:rPr>
      </w:pPr>
      <w:r>
        <w:rPr>
          <w:color w:val="auto"/>
          <w:sz w:val="24"/>
          <w:lang w:val="zh-CN"/>
        </w:rPr>
        <w:t>因此，本项目符合《黑龙江省畜禽屠宰管理条例》相关规定。</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1.4.</w:t>
      </w:r>
      <w:r>
        <w:rPr>
          <w:rFonts w:hint="eastAsia" w:ascii="Times New Roman" w:hAnsi="Times New Roman" w:cs="Times New Roman"/>
          <w:b/>
          <w:color w:val="auto"/>
          <w:sz w:val="28"/>
          <w:szCs w:val="28"/>
        </w:rPr>
        <w:t>7</w:t>
      </w:r>
      <w:r>
        <w:rPr>
          <w:rFonts w:ascii="Times New Roman" w:hAnsi="Times New Roman" w:cs="Times New Roman"/>
          <w:b/>
          <w:color w:val="auto"/>
          <w:sz w:val="28"/>
          <w:szCs w:val="28"/>
        </w:rPr>
        <w:t>与《黑龙江省人民政府关于加快现代畜牧产业发展的意见》（黑政发〔2015〕25号）符合性分析</w:t>
      </w:r>
    </w:p>
    <w:p>
      <w:pPr>
        <w:spacing w:line="360" w:lineRule="auto"/>
        <w:ind w:firstLine="480" w:firstLineChars="200"/>
        <w:rPr>
          <w:color w:val="auto"/>
          <w:sz w:val="24"/>
          <w:lang w:val="zh-CN"/>
        </w:rPr>
      </w:pPr>
      <w:r>
        <w:rPr>
          <w:color w:val="auto"/>
          <w:sz w:val="24"/>
          <w:lang w:val="zh-CN"/>
        </w:rPr>
        <w:t>相关内容：以转变发展方式为主线，以提高质量效益和竞争力为重点，推进一二三产业深度融合，大力发展现代畜牧产业，驱动上下游的种植业、食品加工业、相关加工制造业、生产性服务业发展，促进农民增收致富，构建黑龙江经济发展新优势。</w:t>
      </w:r>
    </w:p>
    <w:p>
      <w:pPr>
        <w:spacing w:line="360" w:lineRule="auto"/>
        <w:ind w:firstLine="480" w:firstLineChars="200"/>
        <w:rPr>
          <w:color w:val="auto"/>
          <w:sz w:val="24"/>
          <w:lang w:val="zh-CN"/>
        </w:rPr>
      </w:pPr>
      <w:r>
        <w:rPr>
          <w:color w:val="auto"/>
          <w:sz w:val="24"/>
          <w:lang w:val="zh-CN"/>
        </w:rPr>
        <w:t>提升畜牧业市场主体的合作化、组织化、规模化、产业化。引导养殖散户和规模养殖场联合建立畜牧专业合作社，鼓励畜牧专业合作社增资扩股、跨区域重组，建立联合社。引导畜牧专业合作社和规模养殖场建立标准化屠宰、加工企业，兼并重组现有小规模屠宰加工企业。支持畜牧专业合作社、规模养殖场联合饲料企业，合作开展饲料加工。支持畜产品加工企业建立生产基地，通过参股入股、利润返还、订单收购等形式与养殖户或合作社结成稳定的利益关系，打造全产业链，延伸价值链，加快一二三产业融合，促进产业化发展。</w:t>
      </w:r>
    </w:p>
    <w:p>
      <w:pPr>
        <w:spacing w:line="360" w:lineRule="auto"/>
        <w:ind w:firstLine="480" w:firstLineChars="200"/>
        <w:rPr>
          <w:color w:val="auto"/>
          <w:sz w:val="24"/>
          <w:lang w:val="zh-CN"/>
        </w:rPr>
      </w:pPr>
      <w:r>
        <w:rPr>
          <w:color w:val="auto"/>
          <w:sz w:val="24"/>
          <w:lang w:val="zh-CN"/>
        </w:rPr>
        <w:t>鼓励采取国际标准组织生产。鼓励和引导企业主动应用先进工艺与设备，采用国际标准组织生产，到2020年，实现我省乳、肉加工重点企业生产标准与国际接轨，畜产品质量达到国际标准，逐步实现主要畜产品的进口替代。</w:t>
      </w:r>
    </w:p>
    <w:p>
      <w:pPr>
        <w:spacing w:line="360" w:lineRule="auto"/>
        <w:ind w:firstLine="480" w:firstLineChars="200"/>
        <w:rPr>
          <w:color w:val="auto"/>
          <w:sz w:val="24"/>
          <w:lang w:val="zh-CN"/>
        </w:rPr>
      </w:pPr>
      <w:r>
        <w:rPr>
          <w:color w:val="auto"/>
          <w:sz w:val="24"/>
          <w:lang w:val="zh-CN"/>
        </w:rPr>
        <w:t>优先发展冷链仓储物流。支持大型畜产品加工企业自建或联建冷链仓储物流设施，对企业建设冷库、购买冷链运输车、流动冷藏箱给予补贴。</w:t>
      </w:r>
    </w:p>
    <w:p>
      <w:pPr>
        <w:spacing w:line="360" w:lineRule="auto"/>
        <w:ind w:firstLine="480" w:firstLineChars="200"/>
        <w:rPr>
          <w:color w:val="auto"/>
          <w:sz w:val="24"/>
        </w:rPr>
      </w:pPr>
      <w:r>
        <w:rPr>
          <w:color w:val="auto"/>
          <w:sz w:val="24"/>
        </w:rPr>
        <w:t>本项目为标准化屠宰项目，</w:t>
      </w:r>
      <w:r>
        <w:rPr>
          <w:rFonts w:hint="eastAsia"/>
          <w:color w:val="auto"/>
          <w:sz w:val="24"/>
        </w:rPr>
        <w:t>采用</w:t>
      </w:r>
      <w:r>
        <w:rPr>
          <w:color w:val="auto"/>
          <w:sz w:val="24"/>
        </w:rPr>
        <w:t>先进工艺与设备，畜产品质量达到国际标准，自建冷链仓储物流设施，因此，本项目与《黑龙江省人民政府关于加快现代畜牧产业发展的意见》（黑政发〔2015〕25号）是符合的。</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1.4.</w:t>
      </w:r>
      <w:r>
        <w:rPr>
          <w:rFonts w:hint="eastAsia" w:ascii="Times New Roman" w:hAnsi="Times New Roman" w:cs="Times New Roman"/>
          <w:b/>
          <w:color w:val="auto"/>
          <w:sz w:val="28"/>
          <w:szCs w:val="28"/>
        </w:rPr>
        <w:t>8</w:t>
      </w:r>
      <w:r>
        <w:rPr>
          <w:rFonts w:ascii="Times New Roman" w:hAnsi="Times New Roman" w:cs="Times New Roman"/>
          <w:b/>
          <w:color w:val="auto"/>
          <w:sz w:val="28"/>
          <w:szCs w:val="28"/>
        </w:rPr>
        <w:t>与</w:t>
      </w:r>
      <w:r>
        <w:rPr>
          <w:rFonts w:hint="eastAsia" w:ascii="Times New Roman" w:hAnsi="Times New Roman" w:cs="Times New Roman"/>
          <w:b/>
          <w:bCs/>
          <w:color w:val="auto"/>
          <w:sz w:val="28"/>
          <w:szCs w:val="28"/>
        </w:rPr>
        <w:t>《地下水管理条例》符合性分析</w:t>
      </w:r>
    </w:p>
    <w:p>
      <w:pPr>
        <w:spacing w:line="360" w:lineRule="auto"/>
        <w:ind w:firstLine="480" w:firstLineChars="200"/>
        <w:rPr>
          <w:color w:val="auto"/>
          <w:sz w:val="24"/>
          <w:lang w:val="zh-CN"/>
        </w:rPr>
      </w:pPr>
      <w:r>
        <w:rPr>
          <w:color w:val="auto"/>
          <w:sz w:val="24"/>
          <w:lang w:val="zh-CN"/>
        </w:rPr>
        <w:t>根据《地下水管理条例》第二十一条规定，取用地下水的单位和个人应当遵守取水总量控制和定额管理要求，使用先进节约用水技术、工艺和设备，采取循环用水、综合利用及废水处理回用等措施，实施技术改造，降低用水消耗。对下列工艺、设备和产品，应当在规定的期限内停止生产、进口或者使用：（一）列入淘汰落后的、耗水量高的工艺、设备和产品名录的；（二）列入限期禁止采用的严重污染水环境的工艺名录和限期禁止生产、销售、进口、使用的严重污染水环境的设备名录的。第二十二条</w:t>
      </w:r>
      <w:r>
        <w:rPr>
          <w:rFonts w:hint="eastAsia"/>
          <w:color w:val="auto"/>
          <w:sz w:val="24"/>
          <w:lang w:val="zh-CN"/>
        </w:rPr>
        <w:t>规定</w:t>
      </w:r>
      <w:r>
        <w:rPr>
          <w:color w:val="auto"/>
          <w:sz w:val="24"/>
          <w:lang w:val="zh-CN"/>
        </w:rPr>
        <w:t>新建、改建、扩建地下水取水工程，应当同时安装计量设施。已有地下水取水工程未安装计量设施的，应当按照县级以上地方人民政府水行政主管部门规定的期限安装。</w:t>
      </w:r>
    </w:p>
    <w:p>
      <w:pPr>
        <w:spacing w:line="360" w:lineRule="auto"/>
        <w:ind w:firstLine="480" w:firstLineChars="200"/>
        <w:rPr>
          <w:color w:val="auto"/>
          <w:sz w:val="24"/>
          <w:lang w:val="zh-CN"/>
        </w:rPr>
      </w:pPr>
      <w:r>
        <w:rPr>
          <w:rFonts w:hint="eastAsia"/>
          <w:color w:val="auto"/>
          <w:sz w:val="24"/>
          <w:lang w:val="zh-CN"/>
        </w:rPr>
        <w:t>本</w:t>
      </w:r>
      <w:r>
        <w:rPr>
          <w:color w:val="auto"/>
          <w:sz w:val="24"/>
          <w:lang w:val="zh-CN"/>
        </w:rPr>
        <w:t>项目屠宰生产线采用先进的工艺和设备，可达到增效、节能、降耗、减污的清洁生产目的，</w:t>
      </w:r>
      <w:r>
        <w:rPr>
          <w:rFonts w:hint="eastAsia"/>
          <w:color w:val="auto"/>
          <w:sz w:val="24"/>
          <w:lang w:val="zh-CN"/>
        </w:rPr>
        <w:t>项目所使用的设备不属于</w:t>
      </w:r>
      <w:r>
        <w:rPr>
          <w:color w:val="auto"/>
          <w:sz w:val="24"/>
          <w:lang w:val="zh-CN"/>
        </w:rPr>
        <w:t>淘汰落后的、耗水量高的工艺、设备和产品名录的</w:t>
      </w:r>
      <w:r>
        <w:rPr>
          <w:rFonts w:hint="eastAsia"/>
          <w:color w:val="auto"/>
          <w:sz w:val="24"/>
          <w:lang w:val="zh-CN"/>
        </w:rPr>
        <w:t>设备、不属于</w:t>
      </w:r>
      <w:r>
        <w:rPr>
          <w:color w:val="auto"/>
          <w:sz w:val="24"/>
          <w:lang w:val="zh-CN"/>
        </w:rPr>
        <w:t>列入限期禁止采用的严重污染水环境的工艺名录和限期禁止生产、销售、进口、使用的严重污染水环境的设备名录的</w:t>
      </w:r>
      <w:r>
        <w:rPr>
          <w:rFonts w:hint="eastAsia"/>
          <w:color w:val="auto"/>
          <w:sz w:val="24"/>
          <w:lang w:val="zh-CN"/>
        </w:rPr>
        <w:t>设备。本项目</w:t>
      </w:r>
      <w:r>
        <w:rPr>
          <w:rFonts w:hint="eastAsia"/>
          <w:color w:val="auto"/>
          <w:sz w:val="24"/>
          <w:lang w:val="en-US" w:eastAsia="zh-CN"/>
        </w:rPr>
        <w:t>利用厂区原有地下水井</w:t>
      </w:r>
      <w:r>
        <w:rPr>
          <w:rFonts w:hint="eastAsia"/>
          <w:color w:val="auto"/>
          <w:sz w:val="24"/>
          <w:lang w:val="zh-CN"/>
        </w:rPr>
        <w:t>。项目地下水使用符合《地下水管理条例》要求。</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1.4.</w:t>
      </w:r>
      <w:r>
        <w:rPr>
          <w:rFonts w:hint="eastAsia" w:ascii="Times New Roman" w:hAnsi="Times New Roman" w:cs="Times New Roman"/>
          <w:b/>
          <w:color w:val="auto"/>
          <w:sz w:val="28"/>
          <w:szCs w:val="28"/>
        </w:rPr>
        <w:t>9</w:t>
      </w:r>
      <w:r>
        <w:rPr>
          <w:rFonts w:ascii="Times New Roman" w:hAnsi="Times New Roman" w:cs="Times New Roman" w:eastAsiaTheme="minorEastAsia"/>
          <w:b/>
          <w:color w:val="auto"/>
          <w:sz w:val="28"/>
          <w:szCs w:val="28"/>
        </w:rPr>
        <w:t>与</w:t>
      </w:r>
      <w:r>
        <w:rPr>
          <w:rFonts w:hint="eastAsia" w:ascii="Times New Roman" w:hAnsi="Times New Roman" w:cs="Times New Roman" w:eastAsiaTheme="minorEastAsia"/>
          <w:b/>
          <w:color w:val="auto"/>
          <w:sz w:val="28"/>
          <w:szCs w:val="28"/>
        </w:rPr>
        <w:t>《哈尔滨市生态环境保护“十四五”规划》</w:t>
      </w:r>
      <w:r>
        <w:rPr>
          <w:rFonts w:ascii="Times New Roman" w:hAnsi="Times New Roman" w:cs="Times New Roman" w:eastAsiaTheme="minorEastAsia"/>
          <w:b/>
          <w:color w:val="auto"/>
          <w:sz w:val="28"/>
          <w:szCs w:val="28"/>
        </w:rPr>
        <w:t>符合性分析</w:t>
      </w:r>
    </w:p>
    <w:p>
      <w:pPr>
        <w:spacing w:line="360" w:lineRule="auto"/>
        <w:ind w:firstLine="480" w:firstLineChars="200"/>
        <w:contextualSpacing/>
        <w:rPr>
          <w:color w:val="auto"/>
          <w:sz w:val="24"/>
        </w:rPr>
      </w:pPr>
      <w:r>
        <w:rPr>
          <w:color w:val="auto"/>
          <w:sz w:val="24"/>
        </w:rPr>
        <w:t>（1）相关内容</w:t>
      </w:r>
    </w:p>
    <w:p>
      <w:pPr>
        <w:spacing w:line="360" w:lineRule="auto"/>
        <w:ind w:firstLine="480" w:firstLineChars="200"/>
        <w:contextualSpacing/>
        <w:rPr>
          <w:color w:val="auto"/>
          <w:sz w:val="24"/>
        </w:rPr>
      </w:pPr>
      <w:r>
        <w:rPr>
          <w:color w:val="auto"/>
          <w:sz w:val="24"/>
        </w:rPr>
        <w:t>根据《</w:t>
      </w:r>
      <w:r>
        <w:rPr>
          <w:rFonts w:hint="eastAsia"/>
          <w:color w:val="auto"/>
          <w:sz w:val="24"/>
        </w:rPr>
        <w:t>哈尔滨市生态环境保护“十四五”规划</w:t>
      </w:r>
      <w:r>
        <w:rPr>
          <w:color w:val="auto"/>
          <w:sz w:val="24"/>
        </w:rPr>
        <w:t>》深化燃煤锅炉与工业炉窑整治。推进热电厂、大型燃煤锅炉节能和超低排放改造。市区建成区禁止新建每小时65蒸吨以下燃煤锅炉，现有燃煤锅炉优先采取集中供热或天然气替代改造。到2025年，基本淘汰市区建成区65蒸吨/小时以下、市区建成区以外10蒸吨/小时以下燃煤锅炉。新建涉工炉窑项目原则上入园区并配套建设高效环保治理设施。对以煤、石油焦、渣油、重油等为燃料的工业炉窑，加快使用清洁低碳能源以及利用工厂余热替代燃料。淘汰落后产能。严禁新增钢铁、焦化、铸造、水泥、平板玻璃等产能，严格执行产能置换实施办法。禁止建设生产VOCs含量限值不符合国家标准的涂料、油墨、胶粘剂、清洗剂等项目。加大钢铁、水泥熟料、烧结砖瓦、化工、印染、炼化等行业落后产能淘汰和过剩产能压减力度。</w:t>
      </w:r>
    </w:p>
    <w:p>
      <w:pPr>
        <w:spacing w:line="360" w:lineRule="auto"/>
        <w:ind w:firstLine="480" w:firstLineChars="200"/>
        <w:contextualSpacing/>
        <w:rPr>
          <w:color w:val="auto"/>
          <w:sz w:val="24"/>
        </w:rPr>
      </w:pPr>
      <w:bookmarkStart w:id="16" w:name="_Toc124502417"/>
      <w:bookmarkStart w:id="17" w:name="_Toc124505608"/>
      <w:r>
        <w:rPr>
          <w:color w:val="auto"/>
          <w:sz w:val="24"/>
        </w:rPr>
        <w:t>（2）</w:t>
      </w:r>
      <w:bookmarkEnd w:id="16"/>
      <w:bookmarkEnd w:id="17"/>
      <w:r>
        <w:rPr>
          <w:rFonts w:hint="eastAsia"/>
          <w:color w:val="auto"/>
          <w:sz w:val="24"/>
        </w:rPr>
        <w:t>符合性</w:t>
      </w:r>
      <w:r>
        <w:rPr>
          <w:color w:val="auto"/>
          <w:sz w:val="24"/>
        </w:rPr>
        <w:t>分析</w:t>
      </w:r>
    </w:p>
    <w:p>
      <w:pPr>
        <w:spacing w:line="360" w:lineRule="auto"/>
        <w:ind w:firstLine="480" w:firstLineChars="200"/>
        <w:rPr>
          <w:color w:val="auto"/>
          <w:sz w:val="24"/>
        </w:rPr>
      </w:pPr>
      <w:r>
        <w:rPr>
          <w:color w:val="auto"/>
          <w:sz w:val="24"/>
        </w:rPr>
        <w:t>本项目为</w:t>
      </w:r>
      <w:r>
        <w:rPr>
          <w:rFonts w:hint="eastAsia"/>
          <w:color w:val="auto"/>
          <w:sz w:val="24"/>
        </w:rPr>
        <w:t>肉牛屠宰</w:t>
      </w:r>
      <w:r>
        <w:rPr>
          <w:color w:val="auto"/>
          <w:sz w:val="24"/>
        </w:rPr>
        <w:t>项目</w:t>
      </w:r>
      <w:r>
        <w:rPr>
          <w:rFonts w:hint="eastAsia"/>
          <w:color w:val="auto"/>
          <w:sz w:val="24"/>
        </w:rPr>
        <w:t>采用全自动屠宰生产线设计年屠宰</w:t>
      </w:r>
      <w:r>
        <w:rPr>
          <w:rFonts w:hint="eastAsia"/>
          <w:color w:val="auto"/>
          <w:sz w:val="24"/>
          <w:lang w:eastAsia="zh-CN"/>
        </w:rPr>
        <w:t>2万</w:t>
      </w:r>
      <w:r>
        <w:rPr>
          <w:rFonts w:hint="eastAsia"/>
          <w:color w:val="auto"/>
          <w:sz w:val="24"/>
        </w:rPr>
        <w:t>头肉牛，采取的工艺和设备均</w:t>
      </w:r>
      <w:r>
        <w:rPr>
          <w:color w:val="auto"/>
          <w:sz w:val="24"/>
        </w:rPr>
        <w:t>不属于</w:t>
      </w:r>
      <w:r>
        <w:rPr>
          <w:rFonts w:hint="eastAsia"/>
          <w:color w:val="auto"/>
          <w:sz w:val="24"/>
          <w:lang w:eastAsia="zh-CN"/>
        </w:rPr>
        <w:t>《产业结构调整指导目录》（2024年本）</w:t>
      </w:r>
      <w:r>
        <w:rPr>
          <w:color w:val="auto"/>
          <w:sz w:val="24"/>
        </w:rPr>
        <w:t>中的</w:t>
      </w:r>
      <w:r>
        <w:rPr>
          <w:rFonts w:hint="eastAsia"/>
          <w:color w:val="auto"/>
          <w:sz w:val="24"/>
        </w:rPr>
        <w:t>鼓励类、</w:t>
      </w:r>
      <w:r>
        <w:rPr>
          <w:color w:val="auto"/>
          <w:sz w:val="24"/>
        </w:rPr>
        <w:t>限制类和淘汰类，为允许类项目，厂区</w:t>
      </w:r>
      <w:r>
        <w:rPr>
          <w:rFonts w:hint="eastAsia"/>
          <w:color w:val="auto"/>
          <w:sz w:val="24"/>
        </w:rPr>
        <w:t>冬季采取</w:t>
      </w:r>
      <w:r>
        <w:rPr>
          <w:rFonts w:hint="eastAsia"/>
          <w:color w:val="auto"/>
          <w:sz w:val="24"/>
          <w:lang w:val="en-US" w:eastAsia="zh-CN"/>
        </w:rPr>
        <w:t>生物质锅炉取暖，锅炉配备布袋除尘器，可达标排放。因此，本项目与《哈尔滨市生态</w:t>
      </w:r>
      <w:r>
        <w:rPr>
          <w:rFonts w:hint="eastAsia"/>
          <w:color w:val="auto"/>
          <w:sz w:val="24"/>
        </w:rPr>
        <w:t>环境保护“十四五”规划</w:t>
      </w:r>
      <w:r>
        <w:rPr>
          <w:color w:val="auto"/>
          <w:sz w:val="24"/>
        </w:rPr>
        <w:t>》相符合。</w:t>
      </w:r>
    </w:p>
    <w:p>
      <w:pPr>
        <w:pStyle w:val="5"/>
        <w:spacing w:before="0" w:after="0" w:line="360" w:lineRule="auto"/>
        <w:ind w:firstLine="0" w:firstLineChars="0"/>
        <w:rPr>
          <w:rFonts w:ascii="Times New Roman" w:hAnsi="Times New Roman" w:cs="Times New Roman"/>
          <w:b/>
          <w:color w:val="auto"/>
          <w:sz w:val="28"/>
          <w:szCs w:val="28"/>
        </w:rPr>
      </w:pPr>
      <w:bookmarkStart w:id="18" w:name="_Toc11758454"/>
      <w:r>
        <w:rPr>
          <w:rFonts w:ascii="Times New Roman" w:hAnsi="Times New Roman" w:cs="Times New Roman"/>
          <w:b/>
          <w:color w:val="auto"/>
          <w:sz w:val="28"/>
          <w:szCs w:val="28"/>
        </w:rPr>
        <w:t>1.4.</w:t>
      </w:r>
      <w:r>
        <w:rPr>
          <w:rFonts w:hint="eastAsia" w:ascii="Times New Roman" w:hAnsi="Times New Roman" w:cs="Times New Roman"/>
          <w:b/>
          <w:color w:val="auto"/>
          <w:sz w:val="28"/>
          <w:szCs w:val="28"/>
        </w:rPr>
        <w:t>10</w:t>
      </w:r>
      <w:r>
        <w:rPr>
          <w:rFonts w:ascii="Times New Roman" w:hAnsi="Times New Roman" w:cs="Times New Roman" w:eastAsiaTheme="minorEastAsia"/>
          <w:b/>
          <w:color w:val="auto"/>
          <w:sz w:val="28"/>
          <w:szCs w:val="28"/>
        </w:rPr>
        <w:t>与“三线一单”符合性分析</w:t>
      </w:r>
    </w:p>
    <w:p>
      <w:pPr>
        <w:autoSpaceDE w:val="0"/>
        <w:autoSpaceDN w:val="0"/>
        <w:adjustRightInd w:val="0"/>
        <w:snapToGrid w:val="0"/>
        <w:spacing w:line="360" w:lineRule="auto"/>
        <w:ind w:firstLine="480" w:firstLineChars="200"/>
        <w:jc w:val="left"/>
        <w:rPr>
          <w:rFonts w:eastAsiaTheme="minorEastAsia"/>
          <w:color w:val="FF0000"/>
          <w:sz w:val="24"/>
        </w:rPr>
      </w:pPr>
      <w:r>
        <w:rPr>
          <w:rFonts w:hint="default" w:eastAsiaTheme="minorEastAsia"/>
          <w:color w:val="auto"/>
          <w:sz w:val="24"/>
          <w:lang w:val="en-US" w:eastAsia="zh-CN"/>
        </w:rPr>
        <w:t>根据《自然资源部办公厅关于依据“三区三线”划定成果报批建设项目用地用海有关事宜的函》（自然资办函〔2022〕2072 号），按照《全国国土空间规划纲要(2021-2035年)》确定的耕地和永久基本农田保护红线任务和《全国“三区三线”划定规则》，我省完成了“三区三线”划定工作，划定成果符合质检要求，从即日起正式启用，作为建设项目用地用海组卷报批的依据。“三区三线”划定成果具体以自然资源部反馈的矢量数据成果为准。其他有关事宜，按照《自然资源部办公厅关于依据“三区三线”划定成果报批建设项目用地用海有关事宜的函》(自然资办函(2022]2072 号)执行。本项目位于黑龙江省哈尔滨市尚志市长寿乡一曼村。项目建设符合国家产业政策和国家土地供应政策，不占用永久基本农田，不占用生态保护红线、自然保护区，项目符合用地要求及“三区三线”管控要求</w:t>
      </w:r>
      <w:r>
        <w:rPr>
          <w:rFonts w:hint="eastAsia" w:eastAsiaTheme="minorEastAsia"/>
          <w:color w:val="auto"/>
          <w:sz w:val="24"/>
          <w:lang w:val="en-US" w:eastAsia="zh-CN"/>
        </w:rPr>
        <w:t>。</w:t>
      </w:r>
    </w:p>
    <w:p>
      <w:pPr>
        <w:autoSpaceDE w:val="0"/>
        <w:autoSpaceDN w:val="0"/>
        <w:adjustRightInd w:val="0"/>
        <w:snapToGrid w:val="0"/>
        <w:spacing w:line="360" w:lineRule="auto"/>
        <w:ind w:firstLine="480" w:firstLineChars="200"/>
        <w:jc w:val="left"/>
        <w:rPr>
          <w:rFonts w:eastAsiaTheme="minorEastAsia"/>
          <w:color w:val="auto"/>
          <w:sz w:val="24"/>
        </w:rPr>
      </w:pPr>
      <w:r>
        <w:rPr>
          <w:rFonts w:eastAsiaTheme="minorEastAsia"/>
          <w:color w:val="auto"/>
          <w:sz w:val="24"/>
        </w:rPr>
        <w:t>根据《哈尔滨市人民政府关于实施“三线一单”生态环境分区管控的意见》（哈政规[2021]7号），结合本项目施工工艺、排污状况和区域环境及环境质量现状进行调查的基础上，本工程与“三线一单”符合性情况如下：</w:t>
      </w:r>
    </w:p>
    <w:p>
      <w:pPr>
        <w:autoSpaceDE w:val="0"/>
        <w:autoSpaceDN w:val="0"/>
        <w:adjustRightInd w:val="0"/>
        <w:snapToGrid w:val="0"/>
        <w:spacing w:line="360" w:lineRule="auto"/>
        <w:ind w:firstLine="480" w:firstLineChars="200"/>
        <w:jc w:val="left"/>
        <w:rPr>
          <w:rFonts w:eastAsiaTheme="minorEastAsia"/>
          <w:color w:val="auto"/>
          <w:sz w:val="24"/>
        </w:rPr>
      </w:pPr>
      <w:r>
        <w:rPr>
          <w:rFonts w:hint="eastAsia" w:eastAsiaTheme="minorEastAsia"/>
          <w:color w:val="auto"/>
          <w:sz w:val="24"/>
        </w:rPr>
        <w:t>（1）生态保护红线</w:t>
      </w:r>
    </w:p>
    <w:p>
      <w:pPr>
        <w:spacing w:line="360" w:lineRule="auto"/>
        <w:ind w:firstLine="480" w:firstLineChars="200"/>
        <w:rPr>
          <w:rFonts w:eastAsiaTheme="minorEastAsia"/>
          <w:color w:val="auto"/>
          <w:sz w:val="24"/>
        </w:rPr>
      </w:pPr>
      <w:r>
        <w:rPr>
          <w:rFonts w:hint="eastAsia" w:eastAsiaTheme="minorEastAsia"/>
          <w:color w:val="auto"/>
          <w:sz w:val="24"/>
        </w:rPr>
        <w:t>本项目位于</w:t>
      </w:r>
      <w:r>
        <w:rPr>
          <w:rFonts w:eastAsiaTheme="minorEastAsia"/>
          <w:color w:val="auto"/>
          <w:sz w:val="24"/>
        </w:rPr>
        <w:t>黑龙江省</w:t>
      </w:r>
      <w:r>
        <w:rPr>
          <w:rFonts w:hint="eastAsia" w:eastAsiaTheme="minorEastAsia"/>
          <w:color w:val="auto"/>
          <w:sz w:val="24"/>
          <w:lang w:eastAsia="zh-CN"/>
        </w:rPr>
        <w:t>哈尔滨市尚志市长寿乡一曼村</w:t>
      </w:r>
      <w:r>
        <w:rPr>
          <w:rFonts w:eastAsiaTheme="minorEastAsia"/>
          <w:color w:val="auto"/>
          <w:sz w:val="24"/>
        </w:rPr>
        <w:t>，项目</w:t>
      </w:r>
      <w:r>
        <w:rPr>
          <w:rFonts w:hint="eastAsia" w:eastAsiaTheme="minorEastAsia"/>
          <w:color w:val="auto"/>
          <w:sz w:val="24"/>
        </w:rPr>
        <w:t>选址不在生态保护红线区域内。</w:t>
      </w:r>
      <w:r>
        <w:rPr>
          <w:rFonts w:hint="eastAsia" w:eastAsiaTheme="minorEastAsia"/>
          <w:color w:val="auto"/>
          <w:sz w:val="24"/>
          <w:lang w:val="zh-CN"/>
        </w:rPr>
        <w:t>项目所在区不涉及自然保护区、地质公园、风景名胜区、森林公园、水产种质资源保护区、饮用水水源保护区、湿地公园和一级国家级公益生态林等生态保护红线区域，符合生态保护红线要求。</w:t>
      </w:r>
    </w:p>
    <w:p>
      <w:pPr>
        <w:spacing w:line="360" w:lineRule="auto"/>
        <w:ind w:firstLine="480" w:firstLineChars="200"/>
        <w:rPr>
          <w:color w:val="auto"/>
          <w:kern w:val="0"/>
          <w:sz w:val="24"/>
          <w:szCs w:val="21"/>
        </w:rPr>
      </w:pPr>
      <w:r>
        <w:rPr>
          <w:color w:val="auto"/>
          <w:kern w:val="0"/>
          <w:sz w:val="24"/>
          <w:szCs w:val="21"/>
        </w:rPr>
        <w:t>（2）环境质量底线</w:t>
      </w:r>
    </w:p>
    <w:p>
      <w:pPr>
        <w:spacing w:line="360" w:lineRule="auto"/>
        <w:ind w:firstLine="480" w:firstLineChars="200"/>
        <w:rPr>
          <w:color w:val="auto"/>
          <w:kern w:val="0"/>
          <w:sz w:val="24"/>
          <w:szCs w:val="21"/>
        </w:rPr>
      </w:pPr>
      <w:r>
        <w:rPr>
          <w:color w:val="auto"/>
          <w:kern w:val="0"/>
          <w:sz w:val="24"/>
          <w:szCs w:val="21"/>
        </w:rPr>
        <w:fldChar w:fldCharType="begin"/>
      </w:r>
      <w:r>
        <w:rPr>
          <w:color w:val="auto"/>
          <w:kern w:val="0"/>
          <w:sz w:val="24"/>
          <w:szCs w:val="21"/>
        </w:rPr>
        <w:instrText xml:space="preserve"> = 1 \* GB3 </w:instrText>
      </w:r>
      <w:r>
        <w:rPr>
          <w:color w:val="auto"/>
          <w:kern w:val="0"/>
          <w:sz w:val="24"/>
          <w:szCs w:val="21"/>
        </w:rPr>
        <w:fldChar w:fldCharType="separate"/>
      </w:r>
      <w:r>
        <w:rPr>
          <w:rFonts w:hAnsi="宋体"/>
          <w:color w:val="auto"/>
          <w:kern w:val="0"/>
          <w:sz w:val="24"/>
          <w:szCs w:val="21"/>
        </w:rPr>
        <w:t>①</w:t>
      </w:r>
      <w:r>
        <w:rPr>
          <w:color w:val="auto"/>
          <w:kern w:val="0"/>
          <w:sz w:val="24"/>
          <w:szCs w:val="21"/>
        </w:rPr>
        <w:fldChar w:fldCharType="end"/>
      </w:r>
      <w:r>
        <w:rPr>
          <w:color w:val="auto"/>
          <w:kern w:val="0"/>
          <w:sz w:val="24"/>
          <w:szCs w:val="21"/>
        </w:rPr>
        <w:t>大气</w:t>
      </w:r>
    </w:p>
    <w:p>
      <w:pPr>
        <w:spacing w:line="360" w:lineRule="auto"/>
        <w:ind w:firstLine="480" w:firstLineChars="200"/>
        <w:rPr>
          <w:color w:val="FF0000"/>
          <w:kern w:val="0"/>
          <w:sz w:val="24"/>
          <w:szCs w:val="21"/>
        </w:rPr>
      </w:pPr>
      <w:r>
        <w:rPr>
          <w:color w:val="auto"/>
          <w:kern w:val="0"/>
          <w:sz w:val="24"/>
          <w:szCs w:val="21"/>
        </w:rPr>
        <w:t>本项目位于黑龙江省</w:t>
      </w:r>
      <w:r>
        <w:rPr>
          <w:rFonts w:hint="eastAsia"/>
          <w:color w:val="auto"/>
          <w:kern w:val="0"/>
          <w:sz w:val="24"/>
          <w:szCs w:val="21"/>
          <w:lang w:eastAsia="zh-CN"/>
        </w:rPr>
        <w:t>哈尔滨市尚志市长寿乡一曼村</w:t>
      </w:r>
      <w:r>
        <w:rPr>
          <w:color w:val="auto"/>
          <w:kern w:val="0"/>
          <w:sz w:val="24"/>
          <w:szCs w:val="21"/>
        </w:rPr>
        <w:t>，根据</w:t>
      </w:r>
      <w:r>
        <w:rPr>
          <w:rFonts w:hint="eastAsia"/>
          <w:color w:val="auto"/>
          <w:kern w:val="0"/>
          <w:sz w:val="24"/>
          <w:szCs w:val="21"/>
          <w:lang w:eastAsia="zh-CN"/>
        </w:rPr>
        <w:t>《哈尔滨市生态环境质量报告书（2022年）》（黑龙江省哈尔滨生态环境监测中心，2023年6月）</w:t>
      </w:r>
      <w:r>
        <w:rPr>
          <w:color w:val="auto"/>
          <w:kern w:val="0"/>
          <w:sz w:val="24"/>
          <w:szCs w:val="21"/>
        </w:rPr>
        <w:t>除细颗粒物总体评价未达到二级标准，其他五项污染物均达到二级标准，本项目所在区域为不达标区。本项目待宰间及时清扫，并投加或喷洒除臭剂</w:t>
      </w:r>
      <w:r>
        <w:rPr>
          <w:rFonts w:hint="eastAsia"/>
          <w:color w:val="auto"/>
          <w:kern w:val="0"/>
          <w:sz w:val="24"/>
          <w:szCs w:val="21"/>
        </w:rPr>
        <w:t>，屠宰车间和污水处理站密闭，待宰间、屠宰车间和污水处理站均采用负压集中收集废气，负压收集的废气分别通过活性炭吸附净化后由3根15m高排气筒排放；</w:t>
      </w:r>
      <w:r>
        <w:rPr>
          <w:color w:val="auto"/>
          <w:kern w:val="0"/>
          <w:sz w:val="24"/>
          <w:szCs w:val="21"/>
        </w:rPr>
        <w:t>食堂油烟经油烟净化器处理后经高于楼顶的专用烟道</w:t>
      </w:r>
      <w:r>
        <w:rPr>
          <w:rFonts w:hint="eastAsia"/>
          <w:color w:val="auto"/>
          <w:kern w:val="0"/>
          <w:sz w:val="24"/>
          <w:szCs w:val="21"/>
          <w:lang w:eastAsia="zh-CN"/>
        </w:rPr>
        <w:t>（</w:t>
      </w:r>
      <w:r>
        <w:rPr>
          <w:rFonts w:hint="eastAsia"/>
          <w:color w:val="auto"/>
          <w:kern w:val="0"/>
          <w:sz w:val="24"/>
          <w:szCs w:val="21"/>
          <w:lang w:val="en-US" w:eastAsia="zh-CN"/>
        </w:rPr>
        <w:t>DA004</w:t>
      </w:r>
      <w:r>
        <w:rPr>
          <w:rFonts w:hint="eastAsia"/>
          <w:color w:val="auto"/>
          <w:kern w:val="0"/>
          <w:sz w:val="24"/>
          <w:szCs w:val="21"/>
          <w:lang w:eastAsia="zh-CN"/>
        </w:rPr>
        <w:t>）</w:t>
      </w:r>
      <w:r>
        <w:rPr>
          <w:color w:val="auto"/>
          <w:kern w:val="0"/>
          <w:sz w:val="24"/>
          <w:szCs w:val="21"/>
        </w:rPr>
        <w:t>排放，</w:t>
      </w:r>
      <w:r>
        <w:rPr>
          <w:rFonts w:hint="default" w:ascii="Times New Roman" w:hAnsi="Times New Roman" w:cs="Times New Roman"/>
          <w:bCs/>
          <w:color w:val="auto"/>
          <w:sz w:val="24"/>
          <w:lang w:val="en-US" w:eastAsia="zh-CN"/>
        </w:rPr>
        <w:t>生物质热水锅炉产生的烟气经布袋除尘器处理后经</w:t>
      </w:r>
      <w:r>
        <w:rPr>
          <w:rFonts w:hint="eastAsia" w:cs="Times New Roman"/>
          <w:bCs/>
          <w:color w:val="auto"/>
          <w:sz w:val="24"/>
          <w:lang w:val="en-US" w:eastAsia="zh-CN"/>
        </w:rPr>
        <w:t>30m</w:t>
      </w:r>
      <w:r>
        <w:rPr>
          <w:rFonts w:hint="default" w:ascii="Times New Roman" w:hAnsi="Times New Roman" w:cs="Times New Roman"/>
          <w:bCs/>
          <w:color w:val="auto"/>
          <w:sz w:val="24"/>
          <w:lang w:val="en-US" w:eastAsia="zh-CN"/>
        </w:rPr>
        <w:t>高烟囱</w:t>
      </w:r>
      <w:r>
        <w:rPr>
          <w:rFonts w:hint="eastAsia" w:ascii="Times New Roman" w:hAnsi="Times New Roman" w:cs="Times New Roman"/>
          <w:bCs/>
          <w:color w:val="auto"/>
          <w:sz w:val="24"/>
          <w:lang w:val="en-US" w:eastAsia="zh-CN"/>
        </w:rPr>
        <w:t>（DA00</w:t>
      </w:r>
      <w:r>
        <w:rPr>
          <w:rFonts w:hint="eastAsia" w:cs="Times New Roman"/>
          <w:bCs/>
          <w:color w:val="auto"/>
          <w:sz w:val="24"/>
          <w:lang w:val="en-US" w:eastAsia="zh-CN"/>
        </w:rPr>
        <w:t>5</w:t>
      </w:r>
      <w:r>
        <w:rPr>
          <w:rFonts w:hint="eastAsia" w:ascii="Times New Roman" w:hAnsi="Times New Roman" w:cs="Times New Roman"/>
          <w:bCs/>
          <w:color w:val="auto"/>
          <w:sz w:val="24"/>
          <w:lang w:val="en-US" w:eastAsia="zh-CN"/>
        </w:rPr>
        <w:t>）</w:t>
      </w:r>
      <w:r>
        <w:rPr>
          <w:rFonts w:hint="default" w:ascii="Times New Roman" w:hAnsi="Times New Roman" w:cs="Times New Roman"/>
          <w:bCs/>
          <w:color w:val="auto"/>
          <w:sz w:val="24"/>
          <w:lang w:val="en-US" w:eastAsia="zh-CN"/>
        </w:rPr>
        <w:t>排放，</w:t>
      </w:r>
      <w:r>
        <w:rPr>
          <w:color w:val="auto"/>
          <w:kern w:val="0"/>
          <w:sz w:val="24"/>
          <w:szCs w:val="21"/>
        </w:rPr>
        <w:t>本项目废气排放不会对大气环境质量现状造成不良影响，能够满足哈尔滨市大气环境质量底线要求。</w:t>
      </w:r>
    </w:p>
    <w:p>
      <w:pPr>
        <w:spacing w:line="360" w:lineRule="auto"/>
        <w:ind w:firstLine="480" w:firstLineChars="200"/>
        <w:rPr>
          <w:color w:val="auto"/>
          <w:kern w:val="0"/>
          <w:sz w:val="24"/>
          <w:szCs w:val="21"/>
        </w:rPr>
      </w:pPr>
      <w:r>
        <w:rPr>
          <w:color w:val="auto"/>
          <w:kern w:val="0"/>
          <w:sz w:val="24"/>
          <w:szCs w:val="21"/>
        </w:rPr>
        <w:fldChar w:fldCharType="begin"/>
      </w:r>
      <w:r>
        <w:rPr>
          <w:color w:val="auto"/>
          <w:kern w:val="0"/>
          <w:sz w:val="24"/>
          <w:szCs w:val="21"/>
        </w:rPr>
        <w:instrText xml:space="preserve"> = 2 \* GB3 </w:instrText>
      </w:r>
      <w:r>
        <w:rPr>
          <w:color w:val="auto"/>
          <w:kern w:val="0"/>
          <w:sz w:val="24"/>
          <w:szCs w:val="21"/>
        </w:rPr>
        <w:fldChar w:fldCharType="separate"/>
      </w:r>
      <w:r>
        <w:rPr>
          <w:rFonts w:hAnsi="宋体"/>
          <w:color w:val="auto"/>
          <w:kern w:val="0"/>
          <w:sz w:val="24"/>
          <w:szCs w:val="21"/>
        </w:rPr>
        <w:t>②</w:t>
      </w:r>
      <w:r>
        <w:rPr>
          <w:color w:val="auto"/>
          <w:kern w:val="0"/>
          <w:sz w:val="24"/>
          <w:szCs w:val="21"/>
        </w:rPr>
        <w:fldChar w:fldCharType="end"/>
      </w:r>
      <w:r>
        <w:rPr>
          <w:color w:val="auto"/>
          <w:kern w:val="0"/>
          <w:sz w:val="24"/>
          <w:szCs w:val="21"/>
        </w:rPr>
        <w:t>水环境</w:t>
      </w:r>
    </w:p>
    <w:p>
      <w:pPr>
        <w:spacing w:line="360" w:lineRule="auto"/>
        <w:ind w:firstLine="480" w:firstLineChars="200"/>
        <w:rPr>
          <w:color w:val="FF0000"/>
          <w:kern w:val="0"/>
          <w:sz w:val="24"/>
          <w:szCs w:val="21"/>
        </w:rPr>
      </w:pPr>
      <w:r>
        <w:rPr>
          <w:bCs/>
          <w:color w:val="auto"/>
          <w:kern w:val="0"/>
          <w:sz w:val="24"/>
          <w:szCs w:val="21"/>
        </w:rPr>
        <w:t>本</w:t>
      </w:r>
      <w:r>
        <w:rPr>
          <w:rFonts w:hint="eastAsia"/>
          <w:bCs/>
          <w:color w:val="auto"/>
          <w:kern w:val="0"/>
          <w:sz w:val="24"/>
          <w:szCs w:val="21"/>
        </w:rPr>
        <w:t>项目</w:t>
      </w:r>
      <w:r>
        <w:rPr>
          <w:bCs/>
          <w:color w:val="auto"/>
          <w:kern w:val="0"/>
          <w:sz w:val="24"/>
          <w:szCs w:val="21"/>
        </w:rPr>
        <w:t>所在区域最近的地表水体为</w:t>
      </w:r>
      <w:r>
        <w:rPr>
          <w:rFonts w:hint="eastAsia"/>
          <w:bCs/>
          <w:color w:val="auto"/>
          <w:kern w:val="0"/>
          <w:sz w:val="24"/>
          <w:szCs w:val="21"/>
          <w:lang w:eastAsia="zh-CN"/>
        </w:rPr>
        <w:t>蚂蚁河</w:t>
      </w:r>
      <w:r>
        <w:rPr>
          <w:bCs/>
          <w:color w:val="auto"/>
          <w:kern w:val="0"/>
          <w:sz w:val="24"/>
          <w:szCs w:val="21"/>
        </w:rPr>
        <w:t>，根据</w:t>
      </w:r>
      <w:r>
        <w:rPr>
          <w:rFonts w:hint="eastAsia"/>
          <w:bCs/>
          <w:color w:val="auto"/>
          <w:kern w:val="0"/>
          <w:sz w:val="24"/>
          <w:szCs w:val="21"/>
          <w:lang w:eastAsia="zh-CN"/>
        </w:rPr>
        <w:t>《哈尔滨市生态环境质量报告书（2022年）》（黑龙江省哈尔滨生态环境监测中心，2023年6月），</w:t>
      </w:r>
      <w:r>
        <w:rPr>
          <w:rFonts w:hint="eastAsia"/>
          <w:bCs/>
          <w:color w:val="auto"/>
          <w:kern w:val="0"/>
          <w:sz w:val="24"/>
          <w:szCs w:val="21"/>
          <w:lang w:val="en-US" w:eastAsia="zh-CN"/>
        </w:rPr>
        <w:t>蚂蚁河</w:t>
      </w:r>
      <w:r>
        <w:rPr>
          <w:bCs/>
          <w:color w:val="auto"/>
          <w:kern w:val="0"/>
          <w:sz w:val="24"/>
          <w:szCs w:val="21"/>
        </w:rPr>
        <w:t>规划水体类别为III类，</w:t>
      </w:r>
      <w:r>
        <w:rPr>
          <w:rFonts w:hint="eastAsia"/>
          <w:bCs/>
          <w:color w:val="auto"/>
          <w:kern w:val="0"/>
          <w:sz w:val="24"/>
          <w:szCs w:val="21"/>
        </w:rPr>
        <w:t>水质现状为</w:t>
      </w:r>
      <w:r>
        <w:rPr>
          <w:bCs/>
          <w:color w:val="auto"/>
          <w:kern w:val="0"/>
          <w:sz w:val="24"/>
          <w:szCs w:val="21"/>
        </w:rPr>
        <w:fldChar w:fldCharType="begin"/>
      </w:r>
      <w:r>
        <w:rPr>
          <w:bCs/>
          <w:color w:val="auto"/>
          <w:kern w:val="0"/>
          <w:sz w:val="24"/>
          <w:szCs w:val="21"/>
        </w:rPr>
        <w:instrText xml:space="preserve"> = 3 \* ROMAN </w:instrText>
      </w:r>
      <w:r>
        <w:rPr>
          <w:bCs/>
          <w:color w:val="auto"/>
          <w:kern w:val="0"/>
          <w:sz w:val="24"/>
          <w:szCs w:val="21"/>
        </w:rPr>
        <w:fldChar w:fldCharType="separate"/>
      </w:r>
      <w:r>
        <w:rPr>
          <w:bCs/>
          <w:color w:val="auto"/>
          <w:kern w:val="0"/>
          <w:sz w:val="24"/>
          <w:szCs w:val="21"/>
        </w:rPr>
        <w:t>III</w:t>
      </w:r>
      <w:r>
        <w:rPr>
          <w:bCs/>
          <w:color w:val="auto"/>
          <w:kern w:val="0"/>
          <w:sz w:val="24"/>
          <w:szCs w:val="21"/>
        </w:rPr>
        <w:fldChar w:fldCharType="end"/>
      </w:r>
      <w:r>
        <w:rPr>
          <w:bCs/>
          <w:color w:val="auto"/>
          <w:kern w:val="0"/>
          <w:sz w:val="24"/>
          <w:szCs w:val="21"/>
        </w:rPr>
        <w:t>类</w:t>
      </w:r>
      <w:r>
        <w:rPr>
          <w:rFonts w:hint="eastAsia"/>
          <w:bCs/>
          <w:color w:val="auto"/>
          <w:kern w:val="0"/>
          <w:sz w:val="24"/>
          <w:szCs w:val="21"/>
          <w:lang w:eastAsia="zh-CN"/>
        </w:rPr>
        <w:t>。</w:t>
      </w:r>
      <w:r>
        <w:rPr>
          <w:color w:val="auto"/>
          <w:kern w:val="0"/>
          <w:sz w:val="24"/>
          <w:szCs w:val="21"/>
        </w:rPr>
        <w:t>本项目</w:t>
      </w:r>
      <w:r>
        <w:rPr>
          <w:rFonts w:hint="eastAsia"/>
          <w:color w:val="auto"/>
          <w:kern w:val="0"/>
          <w:sz w:val="24"/>
          <w:szCs w:val="21"/>
        </w:rPr>
        <w:t>生产</w:t>
      </w:r>
      <w:r>
        <w:rPr>
          <w:color w:val="auto"/>
          <w:kern w:val="0"/>
          <w:sz w:val="24"/>
          <w:szCs w:val="21"/>
        </w:rPr>
        <w:t>废水</w:t>
      </w:r>
      <w:r>
        <w:rPr>
          <w:rFonts w:hint="eastAsia"/>
          <w:color w:val="auto"/>
          <w:kern w:val="0"/>
          <w:sz w:val="24"/>
          <w:szCs w:val="21"/>
        </w:rPr>
        <w:t>和生活污水（含食堂废水）</w:t>
      </w:r>
      <w:r>
        <w:rPr>
          <w:color w:val="auto"/>
          <w:kern w:val="0"/>
          <w:sz w:val="24"/>
          <w:szCs w:val="21"/>
        </w:rPr>
        <w:t>经污水处理站处理达标后，</w:t>
      </w:r>
      <w:r>
        <w:rPr>
          <w:rFonts w:hint="eastAsia"/>
          <w:color w:val="auto"/>
          <w:kern w:val="0"/>
          <w:sz w:val="24"/>
          <w:szCs w:val="21"/>
        </w:rPr>
        <w:t>暂存</w:t>
      </w:r>
      <w:r>
        <w:rPr>
          <w:color w:val="auto"/>
          <w:kern w:val="0"/>
          <w:sz w:val="24"/>
          <w:szCs w:val="21"/>
        </w:rPr>
        <w:t>于贮水池，</w:t>
      </w:r>
      <w:r>
        <w:rPr>
          <w:rFonts w:hint="eastAsia"/>
          <w:color w:val="auto"/>
          <w:kern w:val="0"/>
          <w:sz w:val="24"/>
          <w:szCs w:val="21"/>
        </w:rPr>
        <w:t>每天</w:t>
      </w:r>
      <w:r>
        <w:rPr>
          <w:color w:val="auto"/>
          <w:kern w:val="0"/>
          <w:sz w:val="24"/>
          <w:szCs w:val="21"/>
        </w:rPr>
        <w:t>采用专用罐车</w:t>
      </w:r>
      <w:r>
        <w:rPr>
          <w:rFonts w:hint="eastAsia"/>
          <w:color w:val="auto"/>
          <w:kern w:val="0"/>
          <w:sz w:val="24"/>
          <w:szCs w:val="21"/>
        </w:rPr>
        <w:t>运至</w:t>
      </w:r>
      <w:r>
        <w:rPr>
          <w:rFonts w:hint="eastAsia"/>
          <w:color w:val="auto"/>
          <w:kern w:val="0"/>
          <w:sz w:val="24"/>
          <w:szCs w:val="21"/>
          <w:lang w:eastAsia="zh-CN"/>
        </w:rPr>
        <w:t>尚志污水处理厂</w:t>
      </w:r>
      <w:r>
        <w:rPr>
          <w:rFonts w:hint="eastAsia"/>
          <w:color w:val="auto"/>
          <w:kern w:val="0"/>
          <w:sz w:val="24"/>
          <w:szCs w:val="21"/>
        </w:rPr>
        <w:t>，经</w:t>
      </w:r>
      <w:r>
        <w:rPr>
          <w:rFonts w:hint="eastAsia"/>
          <w:color w:val="auto"/>
          <w:kern w:val="0"/>
          <w:sz w:val="24"/>
          <w:szCs w:val="21"/>
          <w:lang w:eastAsia="zh-CN"/>
        </w:rPr>
        <w:t>尚志污水处理厂</w:t>
      </w:r>
      <w:r>
        <w:rPr>
          <w:rFonts w:hint="eastAsia"/>
          <w:color w:val="auto"/>
          <w:kern w:val="0"/>
          <w:sz w:val="24"/>
          <w:szCs w:val="21"/>
        </w:rPr>
        <w:t>处理后达到《城镇污水处理厂污染物排放标准》（GB18918-2002）一级A标准后，</w:t>
      </w:r>
      <w:r>
        <w:rPr>
          <w:color w:val="auto"/>
          <w:sz w:val="24"/>
        </w:rPr>
        <w:t>排入</w:t>
      </w:r>
      <w:r>
        <w:rPr>
          <w:rFonts w:hint="eastAsia"/>
          <w:color w:val="auto"/>
          <w:sz w:val="24"/>
        </w:rPr>
        <w:t>乌珠河，最终汇入蚂蚁河</w:t>
      </w:r>
      <w:r>
        <w:rPr>
          <w:color w:val="auto"/>
          <w:sz w:val="24"/>
        </w:rPr>
        <w:t>。</w:t>
      </w:r>
      <w:r>
        <w:rPr>
          <w:rFonts w:hint="eastAsia"/>
          <w:color w:val="auto"/>
          <w:kern w:val="0"/>
          <w:sz w:val="24"/>
          <w:szCs w:val="21"/>
        </w:rPr>
        <w:t>本项目废水排放</w:t>
      </w:r>
      <w:r>
        <w:rPr>
          <w:color w:val="auto"/>
          <w:kern w:val="0"/>
          <w:sz w:val="24"/>
          <w:szCs w:val="21"/>
        </w:rPr>
        <w:t>不会对地表水和地下水环境造成影响，因此不会对区域水环境造成影响，符合哈尔滨市水环境质量底线要求。</w:t>
      </w:r>
    </w:p>
    <w:p>
      <w:pPr>
        <w:spacing w:line="360" w:lineRule="auto"/>
        <w:ind w:firstLine="480" w:firstLineChars="200"/>
        <w:rPr>
          <w:color w:val="auto"/>
          <w:kern w:val="0"/>
          <w:sz w:val="24"/>
          <w:szCs w:val="21"/>
        </w:rPr>
      </w:pPr>
      <w:r>
        <w:rPr>
          <w:rFonts w:hAnsi="宋体"/>
          <w:color w:val="auto"/>
          <w:kern w:val="0"/>
          <w:sz w:val="24"/>
          <w:szCs w:val="21"/>
        </w:rPr>
        <w:t>③</w:t>
      </w:r>
      <w:r>
        <w:rPr>
          <w:color w:val="auto"/>
          <w:kern w:val="0"/>
          <w:sz w:val="24"/>
          <w:szCs w:val="21"/>
        </w:rPr>
        <w:t>土壤</w:t>
      </w:r>
    </w:p>
    <w:p>
      <w:pPr>
        <w:autoSpaceDE w:val="0"/>
        <w:autoSpaceDN w:val="0"/>
        <w:spacing w:line="360" w:lineRule="auto"/>
        <w:ind w:firstLine="480" w:firstLineChars="200"/>
        <w:jc w:val="left"/>
        <w:rPr>
          <w:rFonts w:eastAsiaTheme="minorEastAsia"/>
          <w:color w:val="auto"/>
          <w:sz w:val="24"/>
        </w:rPr>
      </w:pPr>
      <w:r>
        <w:rPr>
          <w:color w:val="auto"/>
          <w:kern w:val="0"/>
          <w:sz w:val="24"/>
          <w:szCs w:val="21"/>
        </w:rPr>
        <w:t>本项目选址不属于污染地块。</w:t>
      </w:r>
      <w:r>
        <w:rPr>
          <w:rFonts w:hint="eastAsia"/>
          <w:color w:val="auto"/>
          <w:kern w:val="0"/>
          <w:sz w:val="24"/>
          <w:szCs w:val="21"/>
        </w:rPr>
        <w:t>本项目无土壤污染，</w:t>
      </w:r>
      <w:r>
        <w:rPr>
          <w:rFonts w:hint="eastAsia"/>
          <w:bCs/>
          <w:color w:val="auto"/>
          <w:kern w:val="0"/>
          <w:sz w:val="24"/>
          <w:szCs w:val="21"/>
        </w:rPr>
        <w:t>因此符合哈尔滨市土壤环境管控要求</w:t>
      </w:r>
      <w:r>
        <w:rPr>
          <w:rFonts w:hint="eastAsia"/>
          <w:color w:val="auto"/>
          <w:kern w:val="0"/>
          <w:sz w:val="24"/>
          <w:szCs w:val="21"/>
        </w:rPr>
        <w:t>。</w:t>
      </w:r>
    </w:p>
    <w:p>
      <w:pPr>
        <w:spacing w:line="360" w:lineRule="auto"/>
        <w:ind w:firstLine="480" w:firstLineChars="200"/>
        <w:rPr>
          <w:color w:val="auto"/>
          <w:kern w:val="0"/>
          <w:sz w:val="24"/>
          <w:szCs w:val="21"/>
        </w:rPr>
      </w:pPr>
      <w:r>
        <w:rPr>
          <w:color w:val="auto"/>
          <w:kern w:val="0"/>
          <w:sz w:val="24"/>
          <w:szCs w:val="21"/>
        </w:rPr>
        <w:t>（3）资源利用上线</w:t>
      </w:r>
    </w:p>
    <w:p>
      <w:pPr>
        <w:spacing w:line="360" w:lineRule="auto"/>
        <w:ind w:firstLine="480" w:firstLineChars="200"/>
        <w:rPr>
          <w:color w:val="auto"/>
          <w:sz w:val="24"/>
        </w:rPr>
      </w:pPr>
      <w:r>
        <w:rPr>
          <w:color w:val="auto"/>
          <w:sz w:val="24"/>
        </w:rPr>
        <w:t>本项目用水由现有自打井水提供，不属于高水耗，高能耗行业，生产过程中提高用水效率，减少对水资源的消耗；本项目选址土地为</w:t>
      </w:r>
      <w:r>
        <w:rPr>
          <w:rFonts w:hint="eastAsia"/>
          <w:color w:val="auto"/>
          <w:sz w:val="24"/>
        </w:rPr>
        <w:t>工业用地</w:t>
      </w:r>
      <w:r>
        <w:rPr>
          <w:color w:val="auto"/>
          <w:sz w:val="24"/>
        </w:rPr>
        <w:t>，不占用基本农田和黑土地。本项目生产不使用煤、天然气等能源，综上，本项目符合</w:t>
      </w:r>
      <w:r>
        <w:rPr>
          <w:rFonts w:hint="eastAsia"/>
          <w:color w:val="auto"/>
          <w:sz w:val="24"/>
        </w:rPr>
        <w:t>哈尔滨市</w:t>
      </w:r>
      <w:r>
        <w:rPr>
          <w:color w:val="auto"/>
          <w:sz w:val="24"/>
        </w:rPr>
        <w:t>能源、水资源、土地资源等资源利用上线要求。</w:t>
      </w:r>
    </w:p>
    <w:p>
      <w:pPr>
        <w:spacing w:line="360" w:lineRule="auto"/>
        <w:ind w:firstLine="480" w:firstLineChars="200"/>
        <w:rPr>
          <w:color w:val="auto"/>
          <w:kern w:val="0"/>
          <w:sz w:val="24"/>
          <w:szCs w:val="21"/>
        </w:rPr>
      </w:pPr>
      <w:r>
        <w:rPr>
          <w:color w:val="auto"/>
          <w:kern w:val="0"/>
          <w:sz w:val="24"/>
          <w:szCs w:val="21"/>
        </w:rPr>
        <w:t>（4）生态环境准入清单</w:t>
      </w:r>
    </w:p>
    <w:p>
      <w:pPr>
        <w:autoSpaceDE w:val="0"/>
        <w:autoSpaceDN w:val="0"/>
        <w:spacing w:line="360" w:lineRule="auto"/>
        <w:ind w:firstLine="480" w:firstLineChars="200"/>
        <w:jc w:val="left"/>
        <w:rPr>
          <w:rFonts w:eastAsiaTheme="minorEastAsia"/>
          <w:color w:val="auto"/>
          <w:sz w:val="24"/>
        </w:rPr>
      </w:pPr>
      <w:r>
        <w:rPr>
          <w:rFonts w:eastAsiaTheme="minorEastAsia"/>
          <w:color w:val="auto"/>
          <w:sz w:val="24"/>
        </w:rPr>
        <w:t>根据《哈尔滨市环境管控单元图》，本项目所处区域位于</w:t>
      </w:r>
      <w:r>
        <w:rPr>
          <w:rFonts w:hint="eastAsia" w:eastAsiaTheme="minorEastAsia"/>
          <w:color w:val="auto"/>
          <w:sz w:val="24"/>
          <w:lang w:val="en-US" w:eastAsia="zh-CN"/>
        </w:rPr>
        <w:t>一般</w:t>
      </w:r>
      <w:r>
        <w:rPr>
          <w:rFonts w:eastAsiaTheme="minorEastAsia"/>
          <w:color w:val="auto"/>
          <w:sz w:val="24"/>
        </w:rPr>
        <w:t>管控单元内，生态环境准入清单满足</w:t>
      </w:r>
      <w:r>
        <w:rPr>
          <w:rFonts w:hint="eastAsia" w:eastAsiaTheme="minorEastAsia"/>
          <w:color w:val="auto"/>
          <w:sz w:val="24"/>
          <w:lang w:val="en-US" w:eastAsia="zh-CN"/>
        </w:rPr>
        <w:t>尚志市一般管控</w:t>
      </w:r>
      <w:r>
        <w:rPr>
          <w:rFonts w:eastAsiaTheme="minorEastAsia"/>
          <w:color w:val="auto"/>
          <w:sz w:val="24"/>
        </w:rPr>
        <w:t>要求。</w:t>
      </w:r>
    </w:p>
    <w:p>
      <w:pPr>
        <w:autoSpaceDE w:val="0"/>
        <w:autoSpaceDN w:val="0"/>
        <w:jc w:val="center"/>
        <w:rPr>
          <w:rFonts w:eastAsiaTheme="minorEastAsia"/>
          <w:b/>
          <w:color w:val="auto"/>
          <w:sz w:val="24"/>
        </w:rPr>
      </w:pPr>
      <w:r>
        <w:rPr>
          <w:rFonts w:eastAsiaTheme="minorEastAsia"/>
          <w:b/>
          <w:color w:val="auto"/>
          <w:sz w:val="24"/>
        </w:rPr>
        <w:t>表1-4</w:t>
      </w:r>
      <w:r>
        <w:rPr>
          <w:rFonts w:hint="eastAsia" w:eastAsiaTheme="minorEastAsia"/>
          <w:b/>
          <w:color w:val="auto"/>
          <w:sz w:val="24"/>
        </w:rPr>
        <w:t xml:space="preserve">-2 </w:t>
      </w:r>
      <w:r>
        <w:rPr>
          <w:rFonts w:eastAsiaTheme="minorEastAsia"/>
          <w:b/>
          <w:color w:val="auto"/>
          <w:sz w:val="24"/>
        </w:rPr>
        <w:t>哈尔滨市生态环境准入清单管控要求符合性分析</w:t>
      </w:r>
    </w:p>
    <w:tbl>
      <w:tblPr>
        <w:tblStyle w:val="46"/>
        <w:tblW w:w="8467"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0"/>
        <w:gridCol w:w="709"/>
        <w:gridCol w:w="709"/>
        <w:gridCol w:w="425"/>
        <w:gridCol w:w="3634"/>
        <w:gridCol w:w="23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670" w:type="dxa"/>
            <w:vAlign w:val="center"/>
          </w:tcPr>
          <w:p>
            <w:pPr>
              <w:widowControl/>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环境管控单元编码</w:t>
            </w:r>
          </w:p>
        </w:tc>
        <w:tc>
          <w:tcPr>
            <w:tcW w:w="709" w:type="dxa"/>
            <w:vAlign w:val="center"/>
          </w:tcPr>
          <w:p>
            <w:pPr>
              <w:widowControl/>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环境管控单元名称</w:t>
            </w:r>
          </w:p>
        </w:tc>
        <w:tc>
          <w:tcPr>
            <w:tcW w:w="709" w:type="dxa"/>
            <w:vAlign w:val="center"/>
          </w:tcPr>
          <w:p>
            <w:pPr>
              <w:spacing w:line="0" w:lineRule="atLeast"/>
              <w:contextualSpacing/>
              <w:jc w:val="center"/>
              <w:rPr>
                <w:rFonts w:hint="default" w:ascii="Times New Roman" w:hAnsi="Times New Roman" w:eastAsia="宋体" w:cs="Times New Roman"/>
                <w:color w:val="auto"/>
                <w:spacing w:val="-3"/>
                <w:kern w:val="0"/>
                <w:sz w:val="21"/>
                <w:szCs w:val="21"/>
                <w:lang w:val="zh-CN" w:bidi="zh-CN"/>
              </w:rPr>
            </w:pPr>
            <w:r>
              <w:rPr>
                <w:rFonts w:hint="default" w:ascii="Times New Roman" w:hAnsi="Times New Roman" w:eastAsia="宋体" w:cs="Times New Roman"/>
                <w:color w:val="auto"/>
                <w:sz w:val="21"/>
                <w:szCs w:val="21"/>
              </w:rPr>
              <w:t>管控单元类别</w:t>
            </w:r>
          </w:p>
        </w:tc>
        <w:tc>
          <w:tcPr>
            <w:tcW w:w="4059" w:type="dxa"/>
            <w:gridSpan w:val="2"/>
            <w:vAlign w:val="center"/>
          </w:tcPr>
          <w:p>
            <w:pPr>
              <w:spacing w:line="0" w:lineRule="atLeast"/>
              <w:contextualSpacing/>
              <w:jc w:val="center"/>
              <w:rPr>
                <w:rFonts w:hint="default" w:ascii="Times New Roman" w:hAnsi="Times New Roman" w:eastAsia="宋体" w:cs="Times New Roman"/>
                <w:color w:val="auto"/>
                <w:spacing w:val="-3"/>
                <w:kern w:val="0"/>
                <w:sz w:val="21"/>
                <w:szCs w:val="21"/>
                <w:lang w:val="zh-CN" w:bidi="zh-CN"/>
              </w:rPr>
            </w:pPr>
            <w:r>
              <w:rPr>
                <w:rFonts w:hint="default" w:ascii="Times New Roman" w:hAnsi="Times New Roman" w:eastAsia="宋体" w:cs="Times New Roman"/>
                <w:color w:val="auto"/>
                <w:spacing w:val="-3"/>
                <w:kern w:val="0"/>
                <w:sz w:val="21"/>
                <w:szCs w:val="21"/>
                <w:lang w:bidi="zh-CN"/>
              </w:rPr>
              <w:t>管控要求</w:t>
            </w:r>
          </w:p>
        </w:tc>
        <w:tc>
          <w:tcPr>
            <w:tcW w:w="2320" w:type="dxa"/>
            <w:vAlign w:val="center"/>
          </w:tcPr>
          <w:p>
            <w:pPr>
              <w:spacing w:line="0" w:lineRule="atLeast"/>
              <w:contextualSpacing/>
              <w:jc w:val="center"/>
              <w:rPr>
                <w:rFonts w:hint="default" w:ascii="Times New Roman" w:hAnsi="Times New Roman" w:eastAsia="宋体" w:cs="Times New Roman"/>
                <w:color w:val="auto"/>
                <w:spacing w:val="-3"/>
                <w:kern w:val="0"/>
                <w:sz w:val="21"/>
                <w:szCs w:val="21"/>
                <w:lang w:val="zh-CN" w:bidi="zh-CN"/>
              </w:rPr>
            </w:pPr>
            <w:r>
              <w:rPr>
                <w:rFonts w:hint="default" w:ascii="Times New Roman" w:hAnsi="Times New Roman" w:eastAsia="宋体" w:cs="Times New Roman"/>
                <w:color w:val="auto"/>
                <w:spacing w:val="-3"/>
                <w:kern w:val="0"/>
                <w:sz w:val="21"/>
                <w:szCs w:val="21"/>
                <w:lang w:bidi="zh-CN"/>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7" w:hRule="atLeast"/>
        </w:trPr>
        <w:tc>
          <w:tcPr>
            <w:tcW w:w="670" w:type="dxa"/>
            <w:vAlign w:val="center"/>
          </w:tcPr>
          <w:p>
            <w:pPr>
              <w:widowControl/>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ZH23018330002</w:t>
            </w:r>
          </w:p>
        </w:tc>
        <w:tc>
          <w:tcPr>
            <w:tcW w:w="709" w:type="dxa"/>
            <w:vAlign w:val="center"/>
          </w:tcPr>
          <w:p>
            <w:pPr>
              <w:widowControl/>
              <w:spacing w:line="0" w:lineRule="atLeast"/>
              <w:contextualSpacing/>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其他区域</w:t>
            </w:r>
          </w:p>
        </w:tc>
        <w:tc>
          <w:tcPr>
            <w:tcW w:w="709" w:type="dxa"/>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一般管控单元</w:t>
            </w:r>
          </w:p>
        </w:tc>
        <w:tc>
          <w:tcPr>
            <w:tcW w:w="425" w:type="dxa"/>
            <w:vAlign w:val="center"/>
          </w:tcPr>
          <w:p>
            <w:pPr>
              <w:spacing w:line="0" w:lineRule="atLeast"/>
              <w:contextualSpacing/>
              <w:jc w:val="center"/>
              <w:rPr>
                <w:rFonts w:hint="default" w:ascii="Times New Roman" w:hAnsi="Times New Roman" w:eastAsia="宋体" w:cs="Times New Roman"/>
                <w:color w:val="auto"/>
                <w:spacing w:val="-3"/>
                <w:kern w:val="0"/>
                <w:sz w:val="21"/>
                <w:szCs w:val="21"/>
                <w:lang w:val="en-US" w:bidi="zh-CN"/>
              </w:rPr>
            </w:pPr>
            <w:r>
              <w:rPr>
                <w:rFonts w:hint="default" w:ascii="Times New Roman" w:hAnsi="Times New Roman" w:eastAsia="宋体" w:cs="Times New Roman"/>
                <w:color w:val="auto"/>
                <w:spacing w:val="-3"/>
                <w:kern w:val="0"/>
                <w:sz w:val="21"/>
                <w:szCs w:val="21"/>
                <w:lang w:val="en-US" w:bidi="zh-CN"/>
              </w:rPr>
              <w:t>空间约束布局</w:t>
            </w:r>
          </w:p>
        </w:tc>
        <w:tc>
          <w:tcPr>
            <w:tcW w:w="3634" w:type="dxa"/>
            <w:vAlign w:val="center"/>
          </w:tcPr>
          <w:p>
            <w:pPr>
              <w:keepNext w:val="0"/>
              <w:keepLines w:val="0"/>
              <w:widowControl/>
              <w:suppressLineNumbers w:val="0"/>
              <w:jc w:val="left"/>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贯彻实施国家与黑龙江省大气、水污染相关各项标准，深化重点行业污染治理，推进国家和地方确定的各项产业结构调整措施；</w:t>
            </w:r>
          </w:p>
          <w:p>
            <w:pPr>
              <w:keepNext w:val="0"/>
              <w:keepLines w:val="0"/>
              <w:widowControl/>
              <w:suppressLineNumbers w:val="0"/>
              <w:jc w:val="left"/>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1、引导工业项目向开发区集中，促进产业集聚、资源集约、绿色发展。</w:t>
            </w:r>
          </w:p>
          <w:p>
            <w:pPr>
              <w:keepNext w:val="0"/>
              <w:keepLines w:val="0"/>
              <w:widowControl/>
              <w:suppressLineNumbers w:val="0"/>
              <w:jc w:val="left"/>
              <w:rPr>
                <w:rFonts w:hint="default" w:ascii="Times New Roman" w:hAnsi="Times New Roman" w:eastAsia="宋体" w:cs="Times New Roman"/>
                <w:color w:val="FF0000"/>
                <w:sz w:val="21"/>
                <w:szCs w:val="21"/>
                <w:lang w:bidi="zh-CN"/>
              </w:rPr>
            </w:pPr>
            <w:r>
              <w:rPr>
                <w:rFonts w:hint="default" w:ascii="Times New Roman" w:hAnsi="Times New Roman" w:eastAsia="宋体" w:cs="Times New Roman"/>
                <w:color w:val="000000"/>
                <w:kern w:val="0"/>
                <w:sz w:val="21"/>
                <w:szCs w:val="21"/>
                <w:lang w:val="en-US" w:eastAsia="zh-CN" w:bidi="ar"/>
              </w:rPr>
              <w:t>2、强化节能环保标准约束，严格行业规范、准入管理好而节能审查，对电力、钢铁、建材、有色、化工、石油石化、煤炭、印染、早造纸、染料、焦化、电镀等行业中，环保、能耗、安全等不达标或生产、使用淘汰类产品的企业和产能，要依法依规有序退出。</w:t>
            </w:r>
          </w:p>
        </w:tc>
        <w:tc>
          <w:tcPr>
            <w:tcW w:w="2320" w:type="dxa"/>
            <w:vAlign w:val="center"/>
          </w:tcPr>
          <w:p>
            <w:pPr>
              <w:spacing w:line="0" w:lineRule="atLeast"/>
              <w:contextualSpacing/>
              <w:jc w:val="left"/>
              <w:rPr>
                <w:rFonts w:hint="default" w:ascii="Times New Roman" w:hAnsi="Times New Roman" w:eastAsia="宋体" w:cs="Times New Roman"/>
                <w:color w:val="FF0000"/>
                <w:spacing w:val="-3"/>
                <w:kern w:val="0"/>
                <w:sz w:val="21"/>
                <w:szCs w:val="21"/>
                <w:lang w:bidi="zh-CN"/>
              </w:rPr>
            </w:pPr>
            <w:r>
              <w:rPr>
                <w:rFonts w:hint="default" w:ascii="Times New Roman" w:hAnsi="Times New Roman" w:eastAsia="宋体" w:cs="Times New Roman"/>
                <w:color w:val="auto"/>
                <w:spacing w:val="-3"/>
                <w:kern w:val="0"/>
                <w:sz w:val="21"/>
                <w:szCs w:val="21"/>
                <w:lang w:bidi="zh-CN"/>
              </w:rPr>
              <w:t>本项目为肉牛屠宰项目，</w:t>
            </w:r>
            <w:r>
              <w:rPr>
                <w:rFonts w:hint="default" w:ascii="Times New Roman" w:hAnsi="Times New Roman" w:eastAsia="宋体" w:cs="Times New Roman"/>
                <w:color w:val="auto"/>
                <w:spacing w:val="-3"/>
                <w:kern w:val="0"/>
                <w:sz w:val="21"/>
                <w:szCs w:val="21"/>
                <w:lang w:val="en-US" w:eastAsia="zh-CN" w:bidi="zh-CN"/>
              </w:rPr>
              <w:t>贯彻实施国家与黑龙江省大气、水污染相关各项标准，不属于深化污染治理的重点行业和产能过剩行业，因此项目与</w:t>
            </w:r>
            <w:r>
              <w:rPr>
                <w:rFonts w:hint="default" w:ascii="Times New Roman" w:hAnsi="Times New Roman" w:eastAsia="宋体" w:cs="Times New Roman"/>
                <w:color w:val="auto"/>
                <w:spacing w:val="-3"/>
                <w:kern w:val="0"/>
                <w:sz w:val="21"/>
                <w:szCs w:val="21"/>
                <w:lang w:bidi="zh-CN"/>
              </w:rPr>
              <w:t>其他区域生态环境准入清单</w:t>
            </w:r>
            <w:r>
              <w:rPr>
                <w:rFonts w:hint="default" w:ascii="Times New Roman" w:hAnsi="Times New Roman" w:eastAsia="宋体" w:cs="Times New Roman"/>
                <w:color w:val="auto"/>
                <w:spacing w:val="-3"/>
                <w:kern w:val="0"/>
                <w:sz w:val="21"/>
                <w:szCs w:val="21"/>
                <w:lang w:val="en-US" w:eastAsia="zh-CN" w:bidi="zh-CN"/>
              </w:rPr>
              <w:t>要求相</w:t>
            </w:r>
            <w:r>
              <w:rPr>
                <w:rFonts w:hint="default" w:ascii="Times New Roman" w:hAnsi="Times New Roman" w:eastAsia="宋体" w:cs="Times New Roman"/>
                <w:color w:val="auto"/>
                <w:spacing w:val="-3"/>
                <w:kern w:val="0"/>
                <w:sz w:val="21"/>
                <w:szCs w:val="21"/>
                <w:lang w:bidi="zh-CN"/>
              </w:rPr>
              <w:t>符合</w:t>
            </w:r>
            <w:r>
              <w:rPr>
                <w:rFonts w:hint="eastAsia" w:ascii="Times New Roman" w:hAnsi="Times New Roman" w:eastAsia="宋体" w:cs="Times New Roman"/>
                <w:color w:val="auto"/>
                <w:spacing w:val="-3"/>
                <w:kern w:val="0"/>
                <w:sz w:val="21"/>
                <w:szCs w:val="21"/>
                <w:lang w:bidi="zh-CN"/>
              </w:rPr>
              <w:t>。</w:t>
            </w:r>
          </w:p>
        </w:tc>
      </w:tr>
    </w:tbl>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1.4.</w:t>
      </w:r>
      <w:r>
        <w:rPr>
          <w:rFonts w:hint="eastAsia" w:ascii="Times New Roman" w:hAnsi="Times New Roman" w:cs="Times New Roman"/>
          <w:b/>
          <w:color w:val="auto"/>
          <w:sz w:val="28"/>
          <w:szCs w:val="28"/>
        </w:rPr>
        <w:t>11</w:t>
      </w:r>
      <w:r>
        <w:rPr>
          <w:rFonts w:ascii="Times New Roman" w:hAnsi="Times New Roman" w:cs="Times New Roman"/>
          <w:b/>
          <w:color w:val="auto"/>
          <w:sz w:val="28"/>
          <w:szCs w:val="28"/>
        </w:rPr>
        <w:t>选址合理性分析</w:t>
      </w:r>
      <w:bookmarkEnd w:id="18"/>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olor w:val="auto"/>
          <w:sz w:val="24"/>
          <w:lang w:eastAsia="zh-CN"/>
        </w:rPr>
      </w:pPr>
      <w:bookmarkStart w:id="19" w:name="_Toc15991621"/>
      <w:r>
        <w:rPr>
          <w:color w:val="auto"/>
          <w:sz w:val="24"/>
        </w:rPr>
        <w:t>本项目位于黑龙江省</w:t>
      </w:r>
      <w:r>
        <w:rPr>
          <w:rFonts w:hint="eastAsia"/>
          <w:color w:val="auto"/>
          <w:sz w:val="24"/>
          <w:lang w:eastAsia="zh-CN"/>
        </w:rPr>
        <w:t>哈尔滨市尚志市长寿乡一曼村</w:t>
      </w:r>
      <w:r>
        <w:rPr>
          <w:color w:val="auto"/>
          <w:sz w:val="24"/>
        </w:rPr>
        <w:t>，</w:t>
      </w:r>
      <w:r>
        <w:rPr>
          <w:rFonts w:hint="eastAsia"/>
          <w:color w:val="auto"/>
          <w:sz w:val="24"/>
        </w:rPr>
        <w:t>厂区评价范围内无风景名胜区、自然保护区、水源保护区等敏感区分布，</w:t>
      </w:r>
      <w:r>
        <w:rPr>
          <w:color w:val="auto"/>
          <w:sz w:val="24"/>
        </w:rPr>
        <w:t>本项目用地为工业用地，</w:t>
      </w:r>
      <w:r>
        <w:rPr>
          <w:rFonts w:hint="eastAsia"/>
          <w:color w:val="auto"/>
          <w:sz w:val="24"/>
        </w:rPr>
        <w:t>项目选址合理</w:t>
      </w:r>
      <w:r>
        <w:rPr>
          <w:rFonts w:hint="eastAsia"/>
          <w:color w:val="auto"/>
          <w:sz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kern w:val="24"/>
          <w:sz w:val="24"/>
        </w:rPr>
      </w:pPr>
      <w:r>
        <w:rPr>
          <w:color w:val="auto"/>
          <w:kern w:val="24"/>
          <w:sz w:val="24"/>
        </w:rPr>
        <w:t>本项目与《中华人民共和国动物防疫法》、</w:t>
      </w:r>
      <w:r>
        <w:rPr>
          <w:rFonts w:hint="default"/>
          <w:color w:val="auto"/>
          <w:kern w:val="24"/>
          <w:sz w:val="24"/>
          <w:lang w:val="en-US" w:eastAsia="zh-CN"/>
        </w:rPr>
        <w:t>《食品安全国家标准 畜禽屠宰加工卫生规范》（GB12694-2016）</w:t>
      </w:r>
      <w:r>
        <w:rPr>
          <w:rFonts w:hint="eastAsia"/>
          <w:color w:val="auto"/>
          <w:kern w:val="24"/>
          <w:sz w:val="24"/>
          <w:lang w:val="en-US" w:eastAsia="zh-CN"/>
        </w:rPr>
        <w:t>、</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动物防疫条件审查办法</w:t>
      </w:r>
      <w:r>
        <w:rPr>
          <w:rFonts w:hint="default"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eastAsia="zh-CN"/>
        </w:rPr>
        <w:t>、</w:t>
      </w:r>
      <w:r>
        <w:rPr>
          <w:color w:val="auto"/>
          <w:kern w:val="24"/>
          <w:sz w:val="24"/>
        </w:rPr>
        <w:t>《冷库设计</w:t>
      </w:r>
      <w:r>
        <w:rPr>
          <w:rFonts w:hint="eastAsia"/>
          <w:color w:val="auto"/>
          <w:kern w:val="24"/>
          <w:sz w:val="24"/>
        </w:rPr>
        <w:t>标准</w:t>
      </w:r>
      <w:r>
        <w:rPr>
          <w:color w:val="auto"/>
          <w:kern w:val="24"/>
          <w:sz w:val="24"/>
        </w:rPr>
        <w:t>》（GB50072-20</w:t>
      </w:r>
      <w:r>
        <w:rPr>
          <w:rFonts w:hint="eastAsia"/>
          <w:color w:val="auto"/>
          <w:kern w:val="24"/>
          <w:sz w:val="24"/>
        </w:rPr>
        <w:t>21</w:t>
      </w:r>
      <w:r>
        <w:rPr>
          <w:color w:val="auto"/>
          <w:kern w:val="24"/>
          <w:sz w:val="24"/>
        </w:rPr>
        <w:t>）等的符合性分析见下表。</w:t>
      </w:r>
    </w:p>
    <w:p>
      <w:pPr>
        <w:keepNext w:val="0"/>
        <w:keepLines w:val="0"/>
        <w:pageBreakBefore w:val="0"/>
        <w:widowControl w:val="0"/>
        <w:kinsoku/>
        <w:wordWrap/>
        <w:overflowPunct/>
        <w:topLinePunct w:val="0"/>
        <w:autoSpaceDE/>
        <w:autoSpaceDN/>
        <w:bidi w:val="0"/>
        <w:adjustRightInd/>
        <w:snapToGrid/>
        <w:spacing w:line="500" w:lineRule="exact"/>
        <w:ind w:firstLine="482" w:firstLineChars="200"/>
        <w:jc w:val="center"/>
        <w:textAlignment w:val="auto"/>
        <w:rPr>
          <w:b/>
          <w:bCs/>
          <w:color w:val="auto"/>
          <w:sz w:val="24"/>
          <w:lang w:val="zh-CN"/>
        </w:rPr>
      </w:pPr>
      <w:r>
        <w:rPr>
          <w:b/>
          <w:bCs/>
          <w:color w:val="auto"/>
          <w:sz w:val="24"/>
          <w:lang w:val="zh-CN"/>
        </w:rPr>
        <w:t>表1-4-</w:t>
      </w:r>
      <w:r>
        <w:rPr>
          <w:rFonts w:hint="eastAsia"/>
          <w:b/>
          <w:bCs/>
          <w:color w:val="auto"/>
          <w:sz w:val="24"/>
        </w:rPr>
        <w:t>3</w:t>
      </w:r>
      <w:r>
        <w:rPr>
          <w:b/>
          <w:bCs/>
          <w:color w:val="auto"/>
          <w:sz w:val="24"/>
        </w:rPr>
        <w:t xml:space="preserve">  </w:t>
      </w:r>
      <w:r>
        <w:rPr>
          <w:b/>
          <w:bCs/>
          <w:color w:val="auto"/>
          <w:sz w:val="24"/>
          <w:lang w:val="zh-CN"/>
        </w:rPr>
        <w:t>选址合理性分析</w:t>
      </w:r>
    </w:p>
    <w:tbl>
      <w:tblPr>
        <w:tblStyle w:val="71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0"/>
        <w:gridCol w:w="3944"/>
        <w:gridCol w:w="2872"/>
        <w:gridCol w:w="6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tcBorders>
              <w:top w:val="single" w:color="auto" w:sz="12" w:space="0"/>
              <w:left w:val="nil"/>
              <w:bottom w:val="single" w:color="auto" w:sz="4" w:space="0"/>
              <w:right w:val="single" w:color="auto" w:sz="4" w:space="0"/>
            </w:tcBorders>
            <w:vAlign w:val="center"/>
          </w:tcPr>
          <w:p>
            <w:pPr>
              <w:adjustRightInd/>
              <w:snapToGrid/>
              <w:jc w:val="center"/>
              <w:rPr>
                <w:snapToGrid w:val="0"/>
                <w:color w:val="auto"/>
                <w:kern w:val="0"/>
                <w:sz w:val="21"/>
                <w:szCs w:val="21"/>
                <w:lang w:val="zh-CN"/>
              </w:rPr>
            </w:pPr>
            <w:bookmarkStart w:id="20" w:name="_Hlk519701584"/>
            <w:r>
              <w:rPr>
                <w:snapToGrid w:val="0"/>
                <w:color w:val="auto"/>
                <w:kern w:val="0"/>
                <w:sz w:val="21"/>
                <w:szCs w:val="21"/>
                <w:lang w:val="zh-CN"/>
              </w:rPr>
              <w:t>相关政策、条例、规范</w:t>
            </w:r>
          </w:p>
        </w:tc>
        <w:tc>
          <w:tcPr>
            <w:tcW w:w="2314" w:type="pct"/>
            <w:tcBorders>
              <w:top w:val="single" w:color="auto" w:sz="12" w:space="0"/>
              <w:left w:val="single" w:color="auto" w:sz="4" w:space="0"/>
              <w:bottom w:val="single" w:color="auto" w:sz="4" w:space="0"/>
              <w:right w:val="single" w:color="auto" w:sz="4" w:space="0"/>
            </w:tcBorders>
            <w:vAlign w:val="center"/>
          </w:tcPr>
          <w:p>
            <w:pPr>
              <w:adjustRightInd/>
              <w:snapToGrid/>
              <w:jc w:val="center"/>
              <w:rPr>
                <w:snapToGrid w:val="0"/>
                <w:color w:val="auto"/>
                <w:kern w:val="0"/>
                <w:sz w:val="21"/>
                <w:szCs w:val="21"/>
                <w:lang w:val="zh-CN"/>
              </w:rPr>
            </w:pPr>
            <w:r>
              <w:rPr>
                <w:snapToGrid w:val="0"/>
                <w:color w:val="auto"/>
                <w:kern w:val="0"/>
                <w:sz w:val="21"/>
                <w:szCs w:val="21"/>
                <w:lang w:val="zh-CN"/>
              </w:rPr>
              <w:t>要求</w:t>
            </w:r>
          </w:p>
        </w:tc>
        <w:tc>
          <w:tcPr>
            <w:tcW w:w="1685" w:type="pct"/>
            <w:tcBorders>
              <w:top w:val="single" w:color="auto" w:sz="12" w:space="0"/>
              <w:left w:val="single" w:color="auto" w:sz="4" w:space="0"/>
              <w:bottom w:val="single" w:color="auto" w:sz="4" w:space="0"/>
              <w:right w:val="single" w:color="auto" w:sz="4" w:space="0"/>
            </w:tcBorders>
            <w:vAlign w:val="center"/>
          </w:tcPr>
          <w:p>
            <w:pPr>
              <w:adjustRightInd/>
              <w:snapToGrid/>
              <w:jc w:val="center"/>
              <w:rPr>
                <w:snapToGrid w:val="0"/>
                <w:color w:val="auto"/>
                <w:kern w:val="0"/>
                <w:sz w:val="21"/>
                <w:szCs w:val="21"/>
                <w:lang w:val="zh-CN"/>
              </w:rPr>
            </w:pPr>
            <w:r>
              <w:rPr>
                <w:snapToGrid w:val="0"/>
                <w:color w:val="auto"/>
                <w:kern w:val="0"/>
                <w:sz w:val="21"/>
                <w:szCs w:val="21"/>
                <w:lang w:val="zh-CN"/>
              </w:rPr>
              <w:t>符合性分析</w:t>
            </w:r>
          </w:p>
        </w:tc>
        <w:tc>
          <w:tcPr>
            <w:tcW w:w="373" w:type="pct"/>
            <w:tcBorders>
              <w:top w:val="single" w:color="auto" w:sz="12" w:space="0"/>
              <w:left w:val="single" w:color="auto" w:sz="4" w:space="0"/>
              <w:bottom w:val="single" w:color="auto" w:sz="4" w:space="0"/>
              <w:right w:val="nil"/>
            </w:tcBorders>
            <w:vAlign w:val="center"/>
          </w:tcPr>
          <w:p>
            <w:pPr>
              <w:adjustRightInd/>
              <w:snapToGrid/>
              <w:jc w:val="center"/>
              <w:rPr>
                <w:snapToGrid w:val="0"/>
                <w:color w:val="auto"/>
                <w:kern w:val="0"/>
                <w:sz w:val="21"/>
                <w:szCs w:val="21"/>
                <w:lang w:val="zh-CN"/>
              </w:rPr>
            </w:pPr>
            <w:r>
              <w:rPr>
                <w:snapToGrid w:val="0"/>
                <w:color w:val="auto"/>
                <w:kern w:val="0"/>
                <w:sz w:val="21"/>
                <w:szCs w:val="21"/>
                <w:lang w:val="zh-CN"/>
              </w:rPr>
              <w:t>是否符合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tcBorders>
              <w:top w:val="single" w:color="auto" w:sz="4" w:space="0"/>
              <w:left w:val="nil"/>
              <w:bottom w:val="single" w:color="auto" w:sz="4" w:space="0"/>
              <w:right w:val="single" w:color="auto" w:sz="4" w:space="0"/>
            </w:tcBorders>
            <w:vAlign w:val="center"/>
          </w:tcPr>
          <w:p>
            <w:pPr>
              <w:adjustRightInd/>
              <w:snapToGrid/>
              <w:jc w:val="center"/>
              <w:rPr>
                <w:snapToGrid w:val="0"/>
                <w:color w:val="auto"/>
                <w:kern w:val="0"/>
                <w:sz w:val="21"/>
                <w:szCs w:val="21"/>
                <w:lang w:val="zh-CN"/>
              </w:rPr>
            </w:pPr>
            <w:r>
              <w:rPr>
                <w:snapToGrid w:val="0"/>
                <w:color w:val="auto"/>
                <w:kern w:val="0"/>
                <w:sz w:val="21"/>
                <w:szCs w:val="21"/>
                <w:lang w:val="zh-CN"/>
              </w:rPr>
              <w:t>《冷库设计标准》（GB50072-20</w:t>
            </w:r>
            <w:r>
              <w:rPr>
                <w:snapToGrid w:val="0"/>
                <w:color w:val="auto"/>
                <w:kern w:val="0"/>
                <w:sz w:val="21"/>
                <w:szCs w:val="21"/>
              </w:rPr>
              <w:t>21</w:t>
            </w:r>
            <w:r>
              <w:rPr>
                <w:snapToGrid w:val="0"/>
                <w:color w:val="auto"/>
                <w:kern w:val="0"/>
                <w:sz w:val="21"/>
                <w:szCs w:val="21"/>
                <w:lang w:val="zh-CN"/>
              </w:rPr>
              <w:t>）</w:t>
            </w:r>
          </w:p>
        </w:tc>
        <w:tc>
          <w:tcPr>
            <w:tcW w:w="2314" w:type="pct"/>
            <w:tcBorders>
              <w:top w:val="single" w:color="auto" w:sz="4" w:space="0"/>
              <w:left w:val="single" w:color="auto" w:sz="4" w:space="0"/>
              <w:bottom w:val="single" w:color="auto" w:sz="4" w:space="0"/>
              <w:right w:val="single" w:color="auto" w:sz="4" w:space="0"/>
            </w:tcBorders>
            <w:vAlign w:val="center"/>
          </w:tcPr>
          <w:p>
            <w:pPr>
              <w:adjustRightInd/>
              <w:snapToGrid/>
              <w:jc w:val="left"/>
              <w:rPr>
                <w:snapToGrid w:val="0"/>
                <w:color w:val="auto"/>
                <w:kern w:val="0"/>
                <w:sz w:val="21"/>
                <w:szCs w:val="21"/>
              </w:rPr>
            </w:pPr>
            <w:r>
              <w:rPr>
                <w:snapToGrid w:val="0"/>
                <w:color w:val="auto"/>
                <w:kern w:val="0"/>
                <w:sz w:val="21"/>
                <w:szCs w:val="21"/>
              </w:rPr>
              <w:t>（1）应符合当地总体规划的要求，并应经当地规划部门批准；</w:t>
            </w:r>
          </w:p>
          <w:p>
            <w:pPr>
              <w:adjustRightInd/>
              <w:snapToGrid/>
              <w:jc w:val="left"/>
              <w:rPr>
                <w:snapToGrid w:val="0"/>
                <w:color w:val="auto"/>
                <w:kern w:val="0"/>
                <w:sz w:val="21"/>
                <w:szCs w:val="21"/>
              </w:rPr>
            </w:pPr>
            <w:r>
              <w:rPr>
                <w:snapToGrid w:val="0"/>
                <w:color w:val="auto"/>
                <w:kern w:val="0"/>
                <w:sz w:val="21"/>
                <w:szCs w:val="21"/>
              </w:rPr>
              <w:t>（2）使用氨制冷系统的冷库库址宜选择在相邻集中居住区全年最大频率风向的下风向；</w:t>
            </w:r>
          </w:p>
          <w:p>
            <w:pPr>
              <w:adjustRightInd/>
              <w:snapToGrid/>
              <w:jc w:val="left"/>
              <w:rPr>
                <w:snapToGrid w:val="0"/>
                <w:color w:val="auto"/>
                <w:kern w:val="0"/>
                <w:sz w:val="21"/>
                <w:szCs w:val="21"/>
              </w:rPr>
            </w:pPr>
            <w:r>
              <w:rPr>
                <w:snapToGrid w:val="0"/>
                <w:color w:val="auto"/>
                <w:kern w:val="0"/>
                <w:sz w:val="21"/>
                <w:szCs w:val="21"/>
              </w:rPr>
              <w:t>（3）库址周围应有良好的卫生条件，并应避开和远离有害气体、烟雾、粉尘及其他有污染源的地段；</w:t>
            </w:r>
          </w:p>
          <w:p>
            <w:pPr>
              <w:pStyle w:val="2"/>
              <w:adjustRightInd/>
              <w:snapToGrid/>
              <w:spacing w:line="240" w:lineRule="auto"/>
              <w:ind w:firstLine="0" w:firstLineChars="0"/>
              <w:jc w:val="left"/>
              <w:rPr>
                <w:rFonts w:ascii="Times New Roman" w:hAnsi="Times New Roman" w:cs="Times New Roman"/>
                <w:snapToGrid w:val="0"/>
                <w:color w:val="auto"/>
                <w:kern w:val="0"/>
                <w:sz w:val="21"/>
                <w:szCs w:val="21"/>
              </w:rPr>
            </w:pPr>
            <w:r>
              <w:rPr>
                <w:rFonts w:ascii="Times New Roman" w:hAnsi="Times New Roman" w:cs="Times New Roman"/>
                <w:snapToGrid w:val="0"/>
                <w:color w:val="auto"/>
                <w:kern w:val="0"/>
                <w:sz w:val="21"/>
                <w:szCs w:val="21"/>
              </w:rPr>
              <w:t>（4）应结合物流流向和近远期发展等因素，选择在交通运输方便的区域；</w:t>
            </w:r>
          </w:p>
          <w:p>
            <w:pPr>
              <w:adjustRightInd/>
              <w:snapToGrid/>
              <w:jc w:val="left"/>
              <w:rPr>
                <w:snapToGrid w:val="0"/>
                <w:color w:val="auto"/>
                <w:kern w:val="0"/>
                <w:sz w:val="21"/>
                <w:szCs w:val="21"/>
              </w:rPr>
            </w:pPr>
            <w:r>
              <w:rPr>
                <w:snapToGrid w:val="0"/>
                <w:color w:val="auto"/>
                <w:kern w:val="0"/>
                <w:sz w:val="21"/>
                <w:szCs w:val="21"/>
              </w:rPr>
              <w:t>（5）宜具备可靠的水源和电源以及排水条件；</w:t>
            </w:r>
          </w:p>
          <w:p>
            <w:pPr>
              <w:adjustRightInd/>
              <w:snapToGrid/>
              <w:jc w:val="left"/>
              <w:rPr>
                <w:snapToGrid w:val="0"/>
                <w:color w:val="auto"/>
                <w:kern w:val="0"/>
                <w:sz w:val="21"/>
                <w:szCs w:val="21"/>
              </w:rPr>
            </w:pPr>
            <w:r>
              <w:rPr>
                <w:snapToGrid w:val="0"/>
                <w:color w:val="auto"/>
                <w:kern w:val="0"/>
                <w:sz w:val="21"/>
                <w:szCs w:val="21"/>
              </w:rPr>
              <w:t>（6）应避开洪水和泥石流易发地段以及其他地址条件不良地段；</w:t>
            </w:r>
          </w:p>
          <w:p>
            <w:pPr>
              <w:adjustRightInd/>
              <w:snapToGrid/>
              <w:jc w:val="left"/>
              <w:rPr>
                <w:snapToGrid w:val="0"/>
                <w:color w:val="auto"/>
                <w:kern w:val="0"/>
                <w:sz w:val="21"/>
                <w:szCs w:val="21"/>
              </w:rPr>
            </w:pPr>
            <w:r>
              <w:rPr>
                <w:snapToGrid w:val="0"/>
                <w:color w:val="auto"/>
                <w:kern w:val="0"/>
                <w:sz w:val="21"/>
                <w:szCs w:val="21"/>
              </w:rPr>
              <w:t>（7）冷库库址还应综合考虑各类冷库的特殊要求。</w:t>
            </w: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snapToGrid w:val="0"/>
                <w:color w:val="auto"/>
              </w:rPr>
            </w:pPr>
            <w:r>
              <w:rPr>
                <w:rFonts w:hint="eastAsia" w:ascii="Times New Roman" w:hAnsi="Times New Roman" w:eastAsia="宋体" w:cs="Times New Roman"/>
                <w:snapToGrid w:val="0"/>
                <w:color w:val="auto"/>
                <w:kern w:val="0"/>
                <w:sz w:val="21"/>
                <w:szCs w:val="21"/>
                <w:lang w:val="en-US" w:eastAsia="zh-CN" w:bidi="ar-SA"/>
              </w:rPr>
              <w:t>（8）使用氨制冷系统的房间、安装在室外的氨制冷设备和管道与厂区外民用建筑的最小间距不应小于150m，当氨制冷系统符合本标准第6.7.17条的规定时，与厂区外民用建筑的最小间距不应小于60m。</w:t>
            </w:r>
          </w:p>
        </w:tc>
        <w:tc>
          <w:tcPr>
            <w:tcW w:w="1685" w:type="pct"/>
            <w:tcBorders>
              <w:top w:val="single" w:color="auto" w:sz="4" w:space="0"/>
              <w:left w:val="single" w:color="auto" w:sz="4" w:space="0"/>
              <w:bottom w:val="single" w:color="auto" w:sz="4" w:space="0"/>
              <w:right w:val="single" w:color="auto" w:sz="4" w:space="0"/>
            </w:tcBorders>
            <w:vAlign w:val="center"/>
          </w:tcPr>
          <w:p>
            <w:pPr>
              <w:adjustRightInd/>
              <w:snapToGrid/>
              <w:jc w:val="left"/>
              <w:rPr>
                <w:snapToGrid w:val="0"/>
                <w:color w:val="auto"/>
                <w:kern w:val="0"/>
                <w:sz w:val="21"/>
                <w:szCs w:val="21"/>
                <w:lang w:val="zh-CN"/>
              </w:rPr>
            </w:pPr>
            <w:r>
              <w:rPr>
                <w:snapToGrid w:val="0"/>
                <w:color w:val="auto"/>
                <w:kern w:val="0"/>
                <w:sz w:val="21"/>
                <w:szCs w:val="21"/>
                <w:lang w:val="zh-CN"/>
              </w:rPr>
              <w:t>（</w:t>
            </w:r>
            <w:r>
              <w:rPr>
                <w:snapToGrid w:val="0"/>
                <w:color w:val="auto"/>
                <w:kern w:val="0"/>
                <w:sz w:val="21"/>
                <w:szCs w:val="21"/>
              </w:rPr>
              <w:t>1</w:t>
            </w:r>
            <w:r>
              <w:rPr>
                <w:snapToGrid w:val="0"/>
                <w:color w:val="auto"/>
                <w:kern w:val="0"/>
                <w:sz w:val="21"/>
                <w:szCs w:val="21"/>
                <w:lang w:val="zh-CN"/>
              </w:rPr>
              <w:t>）本项目冷库</w:t>
            </w:r>
            <w:r>
              <w:rPr>
                <w:snapToGrid w:val="0"/>
                <w:color w:val="auto"/>
                <w:kern w:val="0"/>
                <w:sz w:val="21"/>
                <w:szCs w:val="21"/>
              </w:rPr>
              <w:t>采用</w:t>
            </w:r>
            <w:r>
              <w:rPr>
                <w:rFonts w:hint="eastAsia"/>
                <w:snapToGrid w:val="0"/>
                <w:color w:val="auto"/>
                <w:kern w:val="0"/>
                <w:sz w:val="21"/>
                <w:szCs w:val="21"/>
                <w:lang w:val="en-US" w:eastAsia="zh-CN"/>
              </w:rPr>
              <w:t>液氨制冷剂</w:t>
            </w:r>
            <w:r>
              <w:rPr>
                <w:snapToGrid w:val="0"/>
                <w:color w:val="auto"/>
                <w:kern w:val="0"/>
                <w:sz w:val="21"/>
                <w:szCs w:val="21"/>
              </w:rPr>
              <w:t>，符合国家的有关规定；</w:t>
            </w:r>
            <w:r>
              <w:rPr>
                <w:snapToGrid w:val="0"/>
                <w:color w:val="auto"/>
                <w:kern w:val="0"/>
                <w:sz w:val="21"/>
                <w:szCs w:val="21"/>
                <w:lang w:val="zh-CN"/>
              </w:rPr>
              <w:t>项目区周边卫生条件良好，无有害气体、粉尘、污浊水及其他污染源；</w:t>
            </w:r>
          </w:p>
          <w:p>
            <w:pPr>
              <w:adjustRightInd/>
              <w:snapToGrid/>
              <w:jc w:val="left"/>
              <w:rPr>
                <w:snapToGrid w:val="0"/>
                <w:color w:val="auto"/>
                <w:kern w:val="0"/>
                <w:sz w:val="21"/>
                <w:szCs w:val="21"/>
                <w:lang w:val="zh-CN"/>
              </w:rPr>
            </w:pPr>
            <w:r>
              <w:rPr>
                <w:snapToGrid w:val="0"/>
                <w:color w:val="auto"/>
                <w:kern w:val="0"/>
                <w:sz w:val="21"/>
                <w:szCs w:val="21"/>
                <w:lang w:val="zh-CN"/>
              </w:rPr>
              <w:t>（</w:t>
            </w:r>
            <w:r>
              <w:rPr>
                <w:snapToGrid w:val="0"/>
                <w:color w:val="auto"/>
                <w:kern w:val="0"/>
                <w:sz w:val="21"/>
                <w:szCs w:val="21"/>
              </w:rPr>
              <w:t>2</w:t>
            </w:r>
            <w:r>
              <w:rPr>
                <w:snapToGrid w:val="0"/>
                <w:color w:val="auto"/>
                <w:kern w:val="0"/>
                <w:sz w:val="21"/>
                <w:szCs w:val="21"/>
                <w:lang w:val="zh-CN"/>
              </w:rPr>
              <w:t>）本项目</w:t>
            </w:r>
            <w:r>
              <w:rPr>
                <w:rFonts w:hint="eastAsia"/>
                <w:snapToGrid w:val="0"/>
                <w:color w:val="auto"/>
                <w:kern w:val="0"/>
                <w:sz w:val="21"/>
                <w:szCs w:val="21"/>
                <w:lang w:val="zh-CN"/>
              </w:rPr>
              <w:t>东侧</w:t>
            </w:r>
            <w:r>
              <w:rPr>
                <w:snapToGrid w:val="0"/>
                <w:color w:val="auto"/>
                <w:kern w:val="0"/>
                <w:sz w:val="21"/>
                <w:szCs w:val="21"/>
                <w:lang w:val="zh-CN"/>
              </w:rPr>
              <w:t>临近</w:t>
            </w:r>
            <w:r>
              <w:rPr>
                <w:rFonts w:hint="eastAsia"/>
                <w:snapToGrid w:val="0"/>
                <w:color w:val="auto"/>
                <w:kern w:val="0"/>
                <w:sz w:val="21"/>
                <w:szCs w:val="21"/>
                <w:lang w:val="zh-CN"/>
              </w:rPr>
              <w:t>G</w:t>
            </w:r>
            <w:r>
              <w:rPr>
                <w:rFonts w:hint="eastAsia"/>
                <w:snapToGrid w:val="0"/>
                <w:color w:val="auto"/>
                <w:kern w:val="0"/>
                <w:sz w:val="21"/>
                <w:szCs w:val="21"/>
                <w:lang w:val="en-US" w:eastAsia="zh-CN"/>
              </w:rPr>
              <w:t>301绥满</w:t>
            </w:r>
            <w:r>
              <w:rPr>
                <w:rFonts w:hint="eastAsia"/>
                <w:snapToGrid w:val="0"/>
                <w:color w:val="auto"/>
                <w:kern w:val="0"/>
                <w:sz w:val="21"/>
                <w:szCs w:val="21"/>
                <w:lang w:val="zh-CN"/>
              </w:rPr>
              <w:t>公路</w:t>
            </w:r>
            <w:r>
              <w:rPr>
                <w:snapToGrid w:val="0"/>
                <w:color w:val="auto"/>
                <w:kern w:val="0"/>
                <w:sz w:val="21"/>
                <w:szCs w:val="21"/>
                <w:lang w:val="zh-CN"/>
              </w:rPr>
              <w:t>，交通方便；</w:t>
            </w:r>
          </w:p>
          <w:p>
            <w:pPr>
              <w:adjustRightInd/>
              <w:snapToGrid/>
              <w:jc w:val="left"/>
              <w:rPr>
                <w:snapToGrid w:val="0"/>
                <w:color w:val="auto"/>
                <w:kern w:val="0"/>
                <w:sz w:val="21"/>
                <w:szCs w:val="21"/>
                <w:lang w:val="zh-CN"/>
              </w:rPr>
            </w:pPr>
            <w:r>
              <w:rPr>
                <w:snapToGrid w:val="0"/>
                <w:color w:val="auto"/>
                <w:kern w:val="0"/>
                <w:sz w:val="21"/>
                <w:szCs w:val="21"/>
                <w:lang w:val="zh-CN"/>
              </w:rPr>
              <w:t>（</w:t>
            </w:r>
            <w:r>
              <w:rPr>
                <w:snapToGrid w:val="0"/>
                <w:color w:val="auto"/>
                <w:kern w:val="0"/>
                <w:sz w:val="21"/>
                <w:szCs w:val="21"/>
              </w:rPr>
              <w:t>3</w:t>
            </w:r>
            <w:r>
              <w:rPr>
                <w:snapToGrid w:val="0"/>
                <w:color w:val="auto"/>
                <w:kern w:val="0"/>
                <w:sz w:val="21"/>
                <w:szCs w:val="21"/>
                <w:lang w:val="zh-CN"/>
              </w:rPr>
              <w:t>）本项目</w:t>
            </w:r>
            <w:r>
              <w:rPr>
                <w:snapToGrid w:val="0"/>
                <w:color w:val="auto"/>
                <w:kern w:val="0"/>
                <w:sz w:val="21"/>
                <w:szCs w:val="21"/>
              </w:rPr>
              <w:t>生产用水</w:t>
            </w:r>
            <w:r>
              <w:rPr>
                <w:rFonts w:hint="eastAsia"/>
                <w:snapToGrid w:val="0"/>
                <w:color w:val="auto"/>
                <w:kern w:val="0"/>
                <w:sz w:val="21"/>
                <w:szCs w:val="21"/>
                <w:lang w:eastAsia="zh-CN"/>
              </w:rPr>
              <w:t>、</w:t>
            </w:r>
            <w:r>
              <w:rPr>
                <w:rFonts w:hint="eastAsia"/>
                <w:snapToGrid w:val="0"/>
                <w:color w:val="auto"/>
                <w:kern w:val="0"/>
                <w:sz w:val="21"/>
                <w:szCs w:val="21"/>
                <w:lang w:val="en-US" w:eastAsia="zh-CN"/>
              </w:rPr>
              <w:t>生活用水</w:t>
            </w:r>
            <w:r>
              <w:rPr>
                <w:snapToGrid w:val="0"/>
                <w:color w:val="auto"/>
                <w:kern w:val="0"/>
                <w:sz w:val="21"/>
                <w:szCs w:val="21"/>
              </w:rPr>
              <w:t>由厂区自打水井</w:t>
            </w:r>
            <w:r>
              <w:rPr>
                <w:rFonts w:hint="eastAsia"/>
                <w:snapToGrid w:val="0"/>
                <w:color w:val="auto"/>
                <w:kern w:val="0"/>
                <w:sz w:val="21"/>
                <w:szCs w:val="21"/>
              </w:rPr>
              <w:t>提供</w:t>
            </w:r>
            <w:r>
              <w:rPr>
                <w:snapToGrid w:val="0"/>
                <w:color w:val="auto"/>
                <w:kern w:val="0"/>
                <w:sz w:val="21"/>
                <w:szCs w:val="21"/>
              </w:rPr>
              <w:t>，</w:t>
            </w:r>
            <w:r>
              <w:rPr>
                <w:snapToGrid w:val="0"/>
                <w:color w:val="auto"/>
                <w:kern w:val="0"/>
                <w:sz w:val="21"/>
                <w:szCs w:val="21"/>
                <w:lang w:val="zh-CN"/>
              </w:rPr>
              <w:t>电源来自于市政供电；</w:t>
            </w:r>
          </w:p>
          <w:p>
            <w:pPr>
              <w:adjustRightInd/>
              <w:snapToGrid/>
              <w:jc w:val="left"/>
              <w:rPr>
                <w:rFonts w:hint="default" w:ascii="Times New Roman" w:hAnsi="Times New Roman" w:cs="Times New Roman"/>
                <w:snapToGrid w:val="0"/>
                <w:color w:val="auto"/>
                <w:kern w:val="0"/>
                <w:sz w:val="21"/>
                <w:szCs w:val="21"/>
                <w:lang w:val="zh-CN"/>
              </w:rPr>
            </w:pPr>
            <w:r>
              <w:rPr>
                <w:snapToGrid w:val="0"/>
                <w:color w:val="auto"/>
                <w:kern w:val="0"/>
                <w:sz w:val="21"/>
                <w:szCs w:val="21"/>
                <w:lang w:val="zh-CN"/>
              </w:rPr>
              <w:t>（</w:t>
            </w:r>
            <w:r>
              <w:rPr>
                <w:snapToGrid w:val="0"/>
                <w:color w:val="auto"/>
                <w:kern w:val="0"/>
                <w:sz w:val="21"/>
                <w:szCs w:val="21"/>
              </w:rPr>
              <w:t>4</w:t>
            </w:r>
            <w:r>
              <w:rPr>
                <w:snapToGrid w:val="0"/>
                <w:color w:val="auto"/>
                <w:kern w:val="0"/>
                <w:sz w:val="21"/>
                <w:szCs w:val="21"/>
                <w:lang w:val="zh-CN"/>
              </w:rPr>
              <w:t>）本项目场地较宽阔，地形平坦，地貌单一，场地无断裂</w:t>
            </w:r>
            <w:r>
              <w:rPr>
                <w:rFonts w:hint="default" w:ascii="Times New Roman" w:hAnsi="Times New Roman" w:cs="Times New Roman"/>
                <w:snapToGrid w:val="0"/>
                <w:color w:val="auto"/>
                <w:kern w:val="0"/>
                <w:sz w:val="21"/>
                <w:szCs w:val="21"/>
                <w:lang w:val="zh-CN"/>
              </w:rPr>
              <w:t>、滑移等影响工程稳定性的不良地质作用。</w:t>
            </w: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default" w:eastAsia="宋体"/>
                <w:snapToGrid w:val="0"/>
                <w:color w:val="auto"/>
                <w:lang w:val="en-US" w:eastAsia="zh-CN"/>
              </w:rPr>
            </w:pPr>
            <w:r>
              <w:rPr>
                <w:rFonts w:hint="default" w:ascii="Times New Roman" w:hAnsi="Times New Roman" w:cs="Times New Roman"/>
                <w:snapToGrid w:val="0"/>
                <w:color w:val="auto"/>
                <w:kern w:val="0"/>
                <w:sz w:val="21"/>
                <w:szCs w:val="21"/>
                <w:lang w:val="zh-CN"/>
              </w:rPr>
              <w:t>（</w:t>
            </w:r>
            <w:r>
              <w:rPr>
                <w:rFonts w:hint="default" w:ascii="Times New Roman" w:hAnsi="Times New Roman" w:cs="Times New Roman"/>
                <w:snapToGrid w:val="0"/>
                <w:color w:val="auto"/>
                <w:kern w:val="0"/>
                <w:sz w:val="21"/>
                <w:szCs w:val="21"/>
                <w:lang w:val="en-US" w:eastAsia="zh-CN"/>
              </w:rPr>
              <w:t>5</w:t>
            </w:r>
            <w:r>
              <w:rPr>
                <w:rFonts w:hint="default" w:ascii="Times New Roman" w:hAnsi="Times New Roman" w:cs="Times New Roman"/>
                <w:snapToGrid w:val="0"/>
                <w:color w:val="auto"/>
                <w:kern w:val="0"/>
                <w:sz w:val="21"/>
                <w:szCs w:val="21"/>
                <w:lang w:val="zh-CN"/>
              </w:rPr>
              <w:t>）最近</w:t>
            </w:r>
            <w:r>
              <w:rPr>
                <w:rFonts w:hint="eastAsia" w:ascii="Times New Roman" w:hAnsi="Times New Roman" w:cs="Times New Roman"/>
                <w:snapToGrid w:val="0"/>
                <w:color w:val="auto"/>
                <w:kern w:val="0"/>
                <w:sz w:val="21"/>
                <w:szCs w:val="21"/>
                <w:lang w:val="en-US" w:eastAsia="zh-CN"/>
              </w:rPr>
              <w:t>民用建筑</w:t>
            </w:r>
            <w:r>
              <w:rPr>
                <w:rFonts w:hint="default" w:ascii="Times New Roman" w:hAnsi="Times New Roman" w:cs="Times New Roman"/>
                <w:snapToGrid w:val="0"/>
                <w:color w:val="auto"/>
                <w:kern w:val="0"/>
                <w:sz w:val="21"/>
                <w:szCs w:val="21"/>
                <w:lang w:val="zh-CN"/>
              </w:rPr>
              <w:t>为</w:t>
            </w:r>
            <w:r>
              <w:rPr>
                <w:rFonts w:hint="default" w:ascii="Times New Roman" w:hAnsi="Times New Roman" w:cs="Times New Roman"/>
                <w:snapToGrid w:val="0"/>
                <w:color w:val="auto"/>
                <w:kern w:val="0"/>
                <w:sz w:val="21"/>
                <w:szCs w:val="21"/>
                <w:lang w:val="zh-CN" w:eastAsia="zh-CN"/>
              </w:rPr>
              <w:t>一曼下屯</w:t>
            </w:r>
            <w:r>
              <w:rPr>
                <w:rFonts w:hint="default" w:ascii="Times New Roman" w:hAnsi="Times New Roman" w:cs="Times New Roman"/>
                <w:snapToGrid w:val="0"/>
                <w:color w:val="auto"/>
                <w:kern w:val="0"/>
                <w:sz w:val="21"/>
                <w:szCs w:val="21"/>
                <w:lang w:val="zh-CN"/>
              </w:rPr>
              <w:t>，距离本项目厂址约</w:t>
            </w:r>
            <w:r>
              <w:rPr>
                <w:rFonts w:hint="default" w:ascii="Times New Roman" w:hAnsi="Times New Roman" w:cs="Times New Roman"/>
                <w:snapToGrid w:val="0"/>
                <w:color w:val="auto"/>
                <w:kern w:val="0"/>
                <w:sz w:val="21"/>
                <w:szCs w:val="21"/>
                <w:lang w:val="zh-CN" w:eastAsia="zh-CN"/>
              </w:rPr>
              <w:t>330</w:t>
            </w:r>
            <w:r>
              <w:rPr>
                <w:rFonts w:hint="default" w:ascii="Times New Roman" w:hAnsi="Times New Roman" w:cs="Times New Roman"/>
                <w:snapToGrid w:val="0"/>
                <w:color w:val="auto"/>
                <w:kern w:val="0"/>
                <w:sz w:val="21"/>
                <w:szCs w:val="21"/>
                <w:lang w:val="zh-CN"/>
              </w:rPr>
              <w:t>m</w:t>
            </w:r>
            <w:r>
              <w:rPr>
                <w:rFonts w:hint="eastAsia" w:ascii="Times New Roman" w:hAnsi="Times New Roman" w:cs="Times New Roman"/>
                <w:snapToGrid w:val="0"/>
                <w:color w:val="auto"/>
                <w:kern w:val="0"/>
                <w:sz w:val="21"/>
                <w:szCs w:val="21"/>
                <w:lang w:val="zh-CN"/>
              </w:rPr>
              <w:t>，</w:t>
            </w:r>
            <w:r>
              <w:rPr>
                <w:rFonts w:hint="eastAsia" w:ascii="Times New Roman" w:hAnsi="Times New Roman" w:cs="Times New Roman"/>
                <w:snapToGrid w:val="0"/>
                <w:color w:val="auto"/>
                <w:kern w:val="0"/>
                <w:sz w:val="21"/>
                <w:szCs w:val="21"/>
                <w:lang w:val="en-US" w:eastAsia="zh-CN"/>
              </w:rPr>
              <w:t>满足要求。</w:t>
            </w:r>
          </w:p>
        </w:tc>
        <w:tc>
          <w:tcPr>
            <w:tcW w:w="373" w:type="pct"/>
            <w:tcBorders>
              <w:top w:val="single" w:color="auto" w:sz="4" w:space="0"/>
              <w:left w:val="single" w:color="auto" w:sz="4" w:space="0"/>
              <w:bottom w:val="single" w:color="auto" w:sz="4" w:space="0"/>
              <w:right w:val="nil"/>
            </w:tcBorders>
            <w:vAlign w:val="center"/>
          </w:tcPr>
          <w:p>
            <w:pPr>
              <w:adjustRightInd/>
              <w:snapToGrid/>
              <w:jc w:val="center"/>
              <w:rPr>
                <w:snapToGrid w:val="0"/>
                <w:color w:val="auto"/>
                <w:kern w:val="0"/>
                <w:sz w:val="21"/>
                <w:szCs w:val="21"/>
                <w:lang w:val="zh-CN"/>
              </w:rPr>
            </w:pPr>
            <w:r>
              <w:rPr>
                <w:snapToGrid w:val="0"/>
                <w:color w:val="auto"/>
                <w:kern w:val="0"/>
                <w:sz w:val="21"/>
                <w:szCs w:val="21"/>
                <w:lang w:val="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tcBorders>
              <w:top w:val="single" w:color="auto" w:sz="4" w:space="0"/>
              <w:left w:val="nil"/>
              <w:bottom w:val="single" w:color="auto" w:sz="4" w:space="0"/>
              <w:right w:val="single" w:color="auto" w:sz="4" w:space="0"/>
            </w:tcBorders>
            <w:vAlign w:val="center"/>
          </w:tcPr>
          <w:p>
            <w:pPr>
              <w:adjustRightInd/>
              <w:snapToGrid/>
              <w:jc w:val="center"/>
              <w:rPr>
                <w:snapToGrid w:val="0"/>
                <w:color w:val="auto"/>
                <w:kern w:val="0"/>
                <w:sz w:val="21"/>
                <w:szCs w:val="21"/>
              </w:rPr>
            </w:pPr>
            <w:r>
              <w:rPr>
                <w:snapToGrid w:val="0"/>
                <w:color w:val="auto"/>
                <w:kern w:val="0"/>
                <w:sz w:val="21"/>
                <w:szCs w:val="21"/>
              </w:rPr>
              <w:t>《中华人民共和国动物防疫法》</w:t>
            </w:r>
          </w:p>
        </w:tc>
        <w:tc>
          <w:tcPr>
            <w:tcW w:w="2314" w:type="pct"/>
            <w:tcBorders>
              <w:top w:val="single" w:color="auto" w:sz="4" w:space="0"/>
              <w:left w:val="single" w:color="auto" w:sz="4" w:space="0"/>
              <w:bottom w:val="single" w:color="auto" w:sz="4" w:space="0"/>
              <w:right w:val="single" w:color="auto" w:sz="4" w:space="0"/>
            </w:tcBorders>
            <w:vAlign w:val="center"/>
          </w:tcPr>
          <w:p>
            <w:pPr>
              <w:adjustRightInd/>
              <w:snapToGrid/>
              <w:ind w:firstLine="420" w:firstLineChars="200"/>
              <w:jc w:val="left"/>
              <w:rPr>
                <w:snapToGrid w:val="0"/>
                <w:color w:val="auto"/>
                <w:kern w:val="0"/>
                <w:sz w:val="21"/>
                <w:szCs w:val="21"/>
              </w:rPr>
            </w:pPr>
            <w:r>
              <w:rPr>
                <w:snapToGrid w:val="0"/>
                <w:color w:val="auto"/>
                <w:kern w:val="0"/>
                <w:sz w:val="21"/>
                <w:szCs w:val="21"/>
              </w:rPr>
              <w:t>第二十四条 动物饲养场和隔离场所、动物屠宰加工场所以及动物和动物产品无害化处理场所，应当符合下列动物防疫条件：</w:t>
            </w:r>
          </w:p>
          <w:p>
            <w:pPr>
              <w:adjustRightInd/>
              <w:snapToGrid/>
              <w:ind w:firstLine="420" w:firstLineChars="200"/>
              <w:jc w:val="left"/>
              <w:rPr>
                <w:snapToGrid w:val="0"/>
                <w:color w:val="auto"/>
                <w:kern w:val="0"/>
                <w:sz w:val="21"/>
                <w:szCs w:val="21"/>
              </w:rPr>
            </w:pPr>
            <w:r>
              <w:rPr>
                <w:snapToGrid w:val="0"/>
                <w:color w:val="auto"/>
                <w:kern w:val="0"/>
                <w:sz w:val="21"/>
                <w:szCs w:val="21"/>
              </w:rPr>
              <w:t>（一）场所的位置与居民生活区、生活饮用水水源地、学校、医院等公共场所的距离符合国务院农业农村主管部门的规定；</w:t>
            </w:r>
          </w:p>
          <w:p>
            <w:pPr>
              <w:adjustRightInd/>
              <w:snapToGrid/>
              <w:ind w:firstLine="420" w:firstLineChars="200"/>
              <w:jc w:val="left"/>
              <w:rPr>
                <w:snapToGrid w:val="0"/>
                <w:color w:val="auto"/>
                <w:kern w:val="0"/>
                <w:sz w:val="21"/>
                <w:szCs w:val="21"/>
              </w:rPr>
            </w:pPr>
            <w:r>
              <w:rPr>
                <w:snapToGrid w:val="0"/>
                <w:color w:val="auto"/>
                <w:kern w:val="0"/>
                <w:sz w:val="21"/>
                <w:szCs w:val="21"/>
              </w:rPr>
              <w:t>（二）生产经营区域封闭隔离，工程设计和有关流程符合动物防疫要求；</w:t>
            </w:r>
          </w:p>
          <w:p>
            <w:pPr>
              <w:adjustRightInd/>
              <w:snapToGrid/>
              <w:ind w:firstLine="420" w:firstLineChars="200"/>
              <w:jc w:val="left"/>
              <w:rPr>
                <w:snapToGrid w:val="0"/>
                <w:color w:val="auto"/>
                <w:kern w:val="0"/>
                <w:sz w:val="21"/>
                <w:szCs w:val="21"/>
              </w:rPr>
            </w:pPr>
            <w:r>
              <w:rPr>
                <w:snapToGrid w:val="0"/>
                <w:color w:val="auto"/>
                <w:kern w:val="0"/>
                <w:sz w:val="21"/>
                <w:szCs w:val="21"/>
              </w:rPr>
              <w:t>（三）有与其规模相适应的污水、污物处理设施，病死动物、病害动物产品无害化处理设施设备或者冷藏冷冻设施设备，以及清洗消毒设施设备；</w:t>
            </w:r>
          </w:p>
          <w:p>
            <w:pPr>
              <w:adjustRightInd/>
              <w:snapToGrid/>
              <w:ind w:firstLine="420" w:firstLineChars="200"/>
              <w:jc w:val="left"/>
              <w:rPr>
                <w:snapToGrid w:val="0"/>
                <w:color w:val="auto"/>
                <w:kern w:val="0"/>
                <w:sz w:val="21"/>
                <w:szCs w:val="21"/>
              </w:rPr>
            </w:pPr>
            <w:r>
              <w:rPr>
                <w:snapToGrid w:val="0"/>
                <w:color w:val="auto"/>
                <w:kern w:val="0"/>
                <w:sz w:val="21"/>
                <w:szCs w:val="21"/>
              </w:rPr>
              <w:t>（四）有与其规模相适应的执业兽医或者动物防疫技术人员；</w:t>
            </w:r>
          </w:p>
          <w:p>
            <w:pPr>
              <w:adjustRightInd/>
              <w:snapToGrid/>
              <w:ind w:firstLine="420" w:firstLineChars="200"/>
              <w:jc w:val="left"/>
              <w:rPr>
                <w:snapToGrid w:val="0"/>
                <w:color w:val="auto"/>
                <w:kern w:val="0"/>
                <w:sz w:val="21"/>
                <w:szCs w:val="21"/>
              </w:rPr>
            </w:pPr>
            <w:r>
              <w:rPr>
                <w:snapToGrid w:val="0"/>
                <w:color w:val="auto"/>
                <w:kern w:val="0"/>
                <w:sz w:val="21"/>
                <w:szCs w:val="21"/>
              </w:rPr>
              <w:t>（五）有完善的隔离消毒、购销台账、日常巡查等动物防疫制度；</w:t>
            </w:r>
          </w:p>
          <w:p>
            <w:pPr>
              <w:adjustRightInd/>
              <w:snapToGrid/>
              <w:ind w:firstLine="420" w:firstLineChars="200"/>
              <w:jc w:val="left"/>
              <w:rPr>
                <w:snapToGrid w:val="0"/>
                <w:color w:val="auto"/>
                <w:kern w:val="0"/>
                <w:sz w:val="21"/>
                <w:szCs w:val="21"/>
              </w:rPr>
            </w:pPr>
            <w:r>
              <w:rPr>
                <w:snapToGrid w:val="0"/>
                <w:color w:val="auto"/>
                <w:kern w:val="0"/>
                <w:sz w:val="21"/>
                <w:szCs w:val="21"/>
              </w:rPr>
              <w:t>（六）具备国务院农业农村主管部门规定的其他动物防疫条件。</w:t>
            </w:r>
          </w:p>
          <w:p>
            <w:pPr>
              <w:adjustRightInd/>
              <w:snapToGrid/>
              <w:ind w:firstLine="420" w:firstLineChars="200"/>
              <w:jc w:val="left"/>
              <w:rPr>
                <w:snapToGrid w:val="0"/>
                <w:color w:val="auto"/>
                <w:kern w:val="0"/>
                <w:sz w:val="21"/>
                <w:szCs w:val="21"/>
              </w:rPr>
            </w:pPr>
            <w:r>
              <w:rPr>
                <w:snapToGrid w:val="0"/>
                <w:color w:val="auto"/>
                <w:kern w:val="0"/>
                <w:sz w:val="21"/>
                <w:szCs w:val="21"/>
              </w:rPr>
              <w:t>第四十九条 屠宰、出售或者运输动物以及出售或者运输动物产品前，货主应当按照国务院农业农村主管部门的规定向所在地动物卫生监督机构申报检疫。</w:t>
            </w:r>
          </w:p>
          <w:p>
            <w:pPr>
              <w:adjustRightInd/>
              <w:snapToGrid/>
              <w:ind w:firstLine="420" w:firstLineChars="200"/>
              <w:jc w:val="left"/>
              <w:rPr>
                <w:snapToGrid w:val="0"/>
                <w:color w:val="auto"/>
                <w:kern w:val="0"/>
                <w:sz w:val="21"/>
                <w:szCs w:val="21"/>
                <w:shd w:val="clear" w:color="auto" w:fill="FFFFFF"/>
              </w:rPr>
            </w:pPr>
            <w:r>
              <w:rPr>
                <w:snapToGrid w:val="0"/>
                <w:color w:val="auto"/>
                <w:kern w:val="0"/>
                <w:sz w:val="21"/>
                <w:szCs w:val="21"/>
              </w:rPr>
              <w:t>第五十七条 从事动物饲养、屠宰、经营、隔离以及动物产品生产、经营、加工、贮藏等活动的单位和个人，应当按照国家有关规定做好病死动物、病害动物产品的无害化处理，或者委托动物和动物产品无害化处理场所处理。</w:t>
            </w:r>
          </w:p>
        </w:tc>
        <w:tc>
          <w:tcPr>
            <w:tcW w:w="1685" w:type="pct"/>
            <w:tcBorders>
              <w:top w:val="single" w:color="auto" w:sz="4" w:space="0"/>
              <w:left w:val="single" w:color="auto" w:sz="4" w:space="0"/>
              <w:bottom w:val="single" w:color="auto" w:sz="4" w:space="0"/>
              <w:right w:val="single" w:color="auto" w:sz="4" w:space="0"/>
            </w:tcBorders>
            <w:vAlign w:val="center"/>
          </w:tcPr>
          <w:p>
            <w:pPr>
              <w:pStyle w:val="729"/>
              <w:numPr>
                <w:ilvl w:val="0"/>
                <w:numId w:val="7"/>
              </w:numPr>
              <w:adjustRightInd/>
              <w:snapToGrid/>
              <w:spacing w:line="240" w:lineRule="auto"/>
              <w:jc w:val="left"/>
              <w:rPr>
                <w:rFonts w:eastAsia="宋体"/>
                <w:snapToGrid w:val="0"/>
                <w:color w:val="auto"/>
                <w:kern w:val="0"/>
                <w:sz w:val="21"/>
                <w:lang w:val="zh-CN"/>
              </w:rPr>
            </w:pPr>
            <w:r>
              <w:rPr>
                <w:rFonts w:eastAsia="宋体"/>
                <w:snapToGrid w:val="0"/>
                <w:color w:val="auto"/>
                <w:kern w:val="0"/>
                <w:sz w:val="21"/>
                <w:lang w:val="zh-CN"/>
              </w:rPr>
              <w:t>本项目距离最近的居民区</w:t>
            </w:r>
            <w:r>
              <w:rPr>
                <w:rFonts w:hint="eastAsia" w:eastAsia="宋体"/>
                <w:snapToGrid w:val="0"/>
                <w:color w:val="auto"/>
                <w:kern w:val="0"/>
                <w:sz w:val="21"/>
                <w:lang w:eastAsia="zh-CN"/>
              </w:rPr>
              <w:t>一曼下屯</w:t>
            </w:r>
            <w:r>
              <w:rPr>
                <w:rFonts w:eastAsia="宋体"/>
                <w:snapToGrid w:val="0"/>
                <w:color w:val="auto"/>
                <w:kern w:val="0"/>
                <w:sz w:val="21"/>
                <w:lang w:val="zh-CN"/>
              </w:rPr>
              <w:t>，距离本项目</w:t>
            </w:r>
            <w:r>
              <w:rPr>
                <w:rFonts w:hint="eastAsia" w:eastAsia="宋体"/>
                <w:snapToGrid w:val="0"/>
                <w:color w:val="auto"/>
                <w:kern w:val="0"/>
                <w:sz w:val="21"/>
                <w:lang w:eastAsia="zh-CN"/>
              </w:rPr>
              <w:t>330</w:t>
            </w:r>
            <w:r>
              <w:rPr>
                <w:rFonts w:eastAsia="宋体"/>
                <w:snapToGrid w:val="0"/>
                <w:color w:val="auto"/>
                <w:kern w:val="0"/>
                <w:sz w:val="21"/>
                <w:lang w:val="zh-CN"/>
              </w:rPr>
              <w:t>m，本项目远离生活饮用水水源地</w:t>
            </w:r>
            <w:r>
              <w:rPr>
                <w:rFonts w:eastAsia="宋体"/>
                <w:snapToGrid w:val="0"/>
                <w:color w:val="auto"/>
                <w:kern w:val="0"/>
                <w:sz w:val="21"/>
              </w:rPr>
              <w:t>；</w:t>
            </w:r>
          </w:p>
          <w:p>
            <w:pPr>
              <w:pStyle w:val="729"/>
              <w:adjustRightInd/>
              <w:snapToGrid/>
              <w:spacing w:line="240" w:lineRule="auto"/>
              <w:jc w:val="left"/>
              <w:rPr>
                <w:rFonts w:eastAsia="宋体"/>
                <w:snapToGrid w:val="0"/>
                <w:color w:val="auto"/>
                <w:kern w:val="0"/>
                <w:sz w:val="21"/>
                <w:lang w:val="zh-CN"/>
              </w:rPr>
            </w:pPr>
            <w:r>
              <w:rPr>
                <w:rFonts w:hint="eastAsia" w:eastAsia="宋体"/>
                <w:snapToGrid w:val="0"/>
                <w:color w:val="auto"/>
                <w:kern w:val="0"/>
                <w:sz w:val="21"/>
              </w:rPr>
              <w:t>（2）</w:t>
            </w:r>
            <w:r>
              <w:rPr>
                <w:rFonts w:eastAsia="宋体"/>
                <w:snapToGrid w:val="0"/>
                <w:color w:val="auto"/>
                <w:kern w:val="0"/>
                <w:sz w:val="21"/>
                <w:lang w:val="zh-CN"/>
              </w:rPr>
              <w:t>相关生产区设计和工艺流程符合动物防疫相关要求；</w:t>
            </w:r>
          </w:p>
          <w:p>
            <w:pPr>
              <w:pStyle w:val="729"/>
              <w:adjustRightInd/>
              <w:snapToGrid/>
              <w:spacing w:line="240" w:lineRule="auto"/>
              <w:jc w:val="left"/>
              <w:rPr>
                <w:rFonts w:eastAsia="宋体"/>
                <w:snapToGrid w:val="0"/>
                <w:color w:val="auto"/>
                <w:kern w:val="0"/>
                <w:sz w:val="21"/>
                <w:lang w:val="zh-CN"/>
              </w:rPr>
            </w:pPr>
            <w:r>
              <w:rPr>
                <w:rFonts w:hint="eastAsia" w:eastAsia="宋体"/>
                <w:snapToGrid w:val="0"/>
                <w:color w:val="auto"/>
                <w:kern w:val="0"/>
                <w:sz w:val="21"/>
                <w:lang w:val="zh-CN"/>
              </w:rPr>
              <w:t>（</w:t>
            </w:r>
            <w:r>
              <w:rPr>
                <w:rFonts w:hint="eastAsia" w:eastAsia="宋体"/>
                <w:snapToGrid w:val="0"/>
                <w:color w:val="auto"/>
                <w:kern w:val="0"/>
                <w:sz w:val="21"/>
              </w:rPr>
              <w:t>3</w:t>
            </w:r>
            <w:r>
              <w:rPr>
                <w:rFonts w:hint="eastAsia" w:eastAsia="宋体"/>
                <w:snapToGrid w:val="0"/>
                <w:color w:val="auto"/>
                <w:kern w:val="0"/>
                <w:sz w:val="21"/>
                <w:lang w:val="zh-CN"/>
              </w:rPr>
              <w:t>）</w:t>
            </w:r>
            <w:r>
              <w:rPr>
                <w:rFonts w:eastAsia="宋体"/>
                <w:snapToGrid w:val="0"/>
                <w:color w:val="auto"/>
                <w:kern w:val="0"/>
                <w:sz w:val="21"/>
                <w:lang w:val="zh-CN"/>
              </w:rPr>
              <w:t>配备了相应污水、固废、废气的环保设施，各污染物均可达标排放；</w:t>
            </w:r>
          </w:p>
          <w:p>
            <w:pPr>
              <w:pStyle w:val="729"/>
              <w:adjustRightInd/>
              <w:snapToGrid/>
              <w:spacing w:line="240" w:lineRule="auto"/>
              <w:jc w:val="left"/>
              <w:rPr>
                <w:rFonts w:eastAsia="宋体"/>
                <w:snapToGrid w:val="0"/>
                <w:color w:val="auto"/>
                <w:kern w:val="0"/>
                <w:sz w:val="21"/>
                <w:lang w:val="zh-CN"/>
              </w:rPr>
            </w:pPr>
            <w:r>
              <w:rPr>
                <w:rFonts w:hint="eastAsia" w:eastAsia="宋体"/>
                <w:snapToGrid w:val="0"/>
                <w:color w:val="auto"/>
                <w:kern w:val="0"/>
                <w:sz w:val="21"/>
                <w:lang w:val="zh-CN"/>
              </w:rPr>
              <w:t>（</w:t>
            </w:r>
            <w:r>
              <w:rPr>
                <w:rFonts w:hint="eastAsia" w:eastAsia="宋体"/>
                <w:snapToGrid w:val="0"/>
                <w:color w:val="auto"/>
                <w:kern w:val="0"/>
                <w:sz w:val="21"/>
              </w:rPr>
              <w:t>4</w:t>
            </w:r>
            <w:r>
              <w:rPr>
                <w:rFonts w:hint="eastAsia" w:eastAsia="宋体"/>
                <w:snapToGrid w:val="0"/>
                <w:color w:val="auto"/>
                <w:kern w:val="0"/>
                <w:sz w:val="21"/>
                <w:lang w:val="zh-CN"/>
              </w:rPr>
              <w:t>）</w:t>
            </w:r>
            <w:r>
              <w:rPr>
                <w:rFonts w:eastAsia="宋体"/>
                <w:snapToGrid w:val="0"/>
                <w:color w:val="auto"/>
                <w:kern w:val="0"/>
                <w:sz w:val="21"/>
                <w:lang w:val="zh-CN"/>
              </w:rPr>
              <w:t>建设单位配备有经考核合格的肉品品质检验人员；</w:t>
            </w:r>
          </w:p>
          <w:p>
            <w:pPr>
              <w:pStyle w:val="729"/>
              <w:adjustRightInd/>
              <w:snapToGrid/>
              <w:spacing w:line="240" w:lineRule="auto"/>
              <w:jc w:val="left"/>
              <w:rPr>
                <w:rFonts w:eastAsia="宋体"/>
                <w:snapToGrid w:val="0"/>
                <w:color w:val="auto"/>
                <w:kern w:val="0"/>
                <w:sz w:val="21"/>
                <w:lang w:val="zh-CN"/>
              </w:rPr>
            </w:pPr>
            <w:r>
              <w:rPr>
                <w:rFonts w:hint="eastAsia" w:eastAsia="宋体"/>
                <w:snapToGrid w:val="0"/>
                <w:color w:val="auto"/>
                <w:kern w:val="0"/>
                <w:sz w:val="21"/>
                <w:lang w:val="zh-CN"/>
              </w:rPr>
              <w:t>（</w:t>
            </w:r>
            <w:r>
              <w:rPr>
                <w:rFonts w:hint="eastAsia" w:eastAsia="宋体"/>
                <w:snapToGrid w:val="0"/>
                <w:color w:val="auto"/>
                <w:kern w:val="0"/>
                <w:sz w:val="21"/>
              </w:rPr>
              <w:t>5</w:t>
            </w:r>
            <w:r>
              <w:rPr>
                <w:rFonts w:hint="eastAsia" w:eastAsia="宋体"/>
                <w:snapToGrid w:val="0"/>
                <w:color w:val="auto"/>
                <w:kern w:val="0"/>
                <w:sz w:val="21"/>
                <w:lang w:val="zh-CN"/>
              </w:rPr>
              <w:t>）</w:t>
            </w:r>
            <w:r>
              <w:rPr>
                <w:rFonts w:eastAsia="宋体"/>
                <w:snapToGrid w:val="0"/>
                <w:color w:val="auto"/>
                <w:kern w:val="0"/>
                <w:sz w:val="21"/>
                <w:lang w:val="zh-CN"/>
              </w:rPr>
              <w:t>依法取得健康证明的屠宰技术人员；</w:t>
            </w:r>
          </w:p>
          <w:p>
            <w:pPr>
              <w:pStyle w:val="729"/>
              <w:adjustRightInd/>
              <w:snapToGrid/>
              <w:spacing w:line="240" w:lineRule="auto"/>
              <w:jc w:val="left"/>
              <w:rPr>
                <w:rFonts w:eastAsia="宋体"/>
                <w:snapToGrid w:val="0"/>
                <w:color w:val="auto"/>
                <w:kern w:val="0"/>
                <w:sz w:val="21"/>
                <w:lang w:val="zh-CN"/>
              </w:rPr>
            </w:pPr>
            <w:r>
              <w:rPr>
                <w:rFonts w:hint="eastAsia" w:eastAsia="宋体"/>
                <w:snapToGrid w:val="0"/>
                <w:color w:val="auto"/>
                <w:kern w:val="0"/>
                <w:sz w:val="21"/>
                <w:lang w:val="zh-CN"/>
              </w:rPr>
              <w:t>（</w:t>
            </w:r>
            <w:r>
              <w:rPr>
                <w:rFonts w:hint="eastAsia" w:eastAsia="宋体"/>
                <w:snapToGrid w:val="0"/>
                <w:color w:val="auto"/>
                <w:kern w:val="0"/>
                <w:sz w:val="21"/>
              </w:rPr>
              <w:t>6</w:t>
            </w:r>
            <w:r>
              <w:rPr>
                <w:rFonts w:hint="eastAsia" w:eastAsia="宋体"/>
                <w:snapToGrid w:val="0"/>
                <w:color w:val="auto"/>
                <w:kern w:val="0"/>
                <w:sz w:val="21"/>
                <w:lang w:val="zh-CN"/>
              </w:rPr>
              <w:t>）</w:t>
            </w:r>
            <w:r>
              <w:rPr>
                <w:rFonts w:eastAsia="宋体"/>
                <w:snapToGrid w:val="0"/>
                <w:color w:val="auto"/>
                <w:kern w:val="0"/>
                <w:sz w:val="21"/>
                <w:lang w:val="zh-CN"/>
              </w:rPr>
              <w:t>制定了完善的动物防疫制度，具备国务院兽医主管部门规定的其他动物防疫条件；</w:t>
            </w:r>
          </w:p>
          <w:p>
            <w:pPr>
              <w:pStyle w:val="729"/>
              <w:adjustRightInd/>
              <w:snapToGrid/>
              <w:spacing w:line="240" w:lineRule="auto"/>
              <w:jc w:val="left"/>
              <w:rPr>
                <w:rFonts w:eastAsia="宋体"/>
                <w:snapToGrid w:val="0"/>
                <w:color w:val="auto"/>
                <w:kern w:val="0"/>
                <w:sz w:val="21"/>
                <w:lang w:val="zh-CN"/>
              </w:rPr>
            </w:pPr>
            <w:r>
              <w:rPr>
                <w:rFonts w:hint="eastAsia" w:eastAsia="宋体"/>
                <w:snapToGrid w:val="0"/>
                <w:color w:val="auto"/>
                <w:kern w:val="0"/>
                <w:sz w:val="21"/>
                <w:lang w:val="zh-CN"/>
              </w:rPr>
              <w:t>（</w:t>
            </w:r>
            <w:r>
              <w:rPr>
                <w:rFonts w:hint="eastAsia" w:eastAsia="宋体"/>
                <w:snapToGrid w:val="0"/>
                <w:color w:val="auto"/>
                <w:kern w:val="0"/>
                <w:sz w:val="21"/>
              </w:rPr>
              <w:t>7</w:t>
            </w:r>
            <w:r>
              <w:rPr>
                <w:rFonts w:hint="eastAsia" w:eastAsia="宋体"/>
                <w:snapToGrid w:val="0"/>
                <w:color w:val="auto"/>
                <w:kern w:val="0"/>
                <w:sz w:val="21"/>
                <w:lang w:val="zh-CN"/>
              </w:rPr>
              <w:t>）</w:t>
            </w:r>
            <w:r>
              <w:rPr>
                <w:rFonts w:eastAsia="宋体"/>
                <w:snapToGrid w:val="0"/>
                <w:color w:val="auto"/>
                <w:kern w:val="0"/>
                <w:sz w:val="21"/>
                <w:lang w:val="zh-CN"/>
              </w:rPr>
              <w:t>本项目会在出售动物产品前按照国务院农业农村主管部门的规定向所在地动物卫生监督机构申报检疫；</w:t>
            </w:r>
          </w:p>
          <w:p>
            <w:pPr>
              <w:pStyle w:val="729"/>
              <w:adjustRightInd/>
              <w:snapToGrid/>
              <w:spacing w:line="240" w:lineRule="auto"/>
              <w:jc w:val="left"/>
              <w:rPr>
                <w:rFonts w:eastAsia="宋体"/>
                <w:snapToGrid w:val="0"/>
                <w:color w:val="auto"/>
                <w:kern w:val="0"/>
                <w:sz w:val="21"/>
              </w:rPr>
            </w:pPr>
            <w:r>
              <w:rPr>
                <w:rFonts w:hint="eastAsia" w:eastAsia="宋体"/>
                <w:snapToGrid w:val="0"/>
                <w:color w:val="auto"/>
                <w:kern w:val="0"/>
                <w:sz w:val="21"/>
                <w:lang w:val="zh-CN"/>
              </w:rPr>
              <w:t>（</w:t>
            </w:r>
            <w:r>
              <w:rPr>
                <w:rFonts w:hint="eastAsia" w:eastAsia="宋体"/>
                <w:snapToGrid w:val="0"/>
                <w:color w:val="auto"/>
                <w:kern w:val="0"/>
                <w:sz w:val="21"/>
              </w:rPr>
              <w:t>8</w:t>
            </w:r>
            <w:r>
              <w:rPr>
                <w:rFonts w:hint="eastAsia" w:eastAsia="宋体"/>
                <w:snapToGrid w:val="0"/>
                <w:color w:val="auto"/>
                <w:kern w:val="0"/>
                <w:sz w:val="21"/>
                <w:lang w:val="zh-CN"/>
              </w:rPr>
              <w:t>）</w:t>
            </w:r>
            <w:r>
              <w:rPr>
                <w:rFonts w:eastAsia="宋体"/>
                <w:snapToGrid w:val="0"/>
                <w:color w:val="auto"/>
                <w:kern w:val="0"/>
                <w:sz w:val="21"/>
                <w:lang w:val="zh-CN"/>
              </w:rPr>
              <w:t>本项目</w:t>
            </w:r>
            <w:r>
              <w:rPr>
                <w:rFonts w:hint="eastAsia" w:eastAsia="宋体"/>
                <w:bCs/>
                <w:snapToGrid w:val="0"/>
                <w:color w:val="auto"/>
                <w:kern w:val="0"/>
                <w:sz w:val="21"/>
              </w:rPr>
              <w:t>检疫不合格肉牛及病死牛委托</w:t>
            </w:r>
            <w:r>
              <w:rPr>
                <w:rFonts w:hint="eastAsia" w:eastAsia="宋体"/>
                <w:bCs/>
                <w:snapToGrid w:val="0"/>
                <w:color w:val="auto"/>
                <w:kern w:val="0"/>
                <w:sz w:val="21"/>
                <w:lang w:eastAsia="zh-CN"/>
              </w:rPr>
              <w:t>无害化处理有限公司</w:t>
            </w:r>
            <w:r>
              <w:rPr>
                <w:rFonts w:hint="eastAsia" w:eastAsia="宋体"/>
                <w:bCs/>
                <w:snapToGrid w:val="0"/>
                <w:color w:val="auto"/>
                <w:kern w:val="0"/>
                <w:sz w:val="21"/>
              </w:rPr>
              <w:t>处理</w:t>
            </w:r>
            <w:r>
              <w:rPr>
                <w:rFonts w:eastAsia="宋体"/>
                <w:snapToGrid w:val="0"/>
                <w:color w:val="auto"/>
                <w:kern w:val="0"/>
                <w:sz w:val="21"/>
                <w:lang w:val="zh-CN"/>
              </w:rPr>
              <w:t>。</w:t>
            </w:r>
          </w:p>
        </w:tc>
        <w:tc>
          <w:tcPr>
            <w:tcW w:w="373" w:type="pct"/>
            <w:tcBorders>
              <w:top w:val="single" w:color="auto" w:sz="4" w:space="0"/>
              <w:left w:val="single" w:color="auto" w:sz="4" w:space="0"/>
              <w:bottom w:val="single" w:color="auto" w:sz="4" w:space="0"/>
              <w:right w:val="nil"/>
            </w:tcBorders>
            <w:vAlign w:val="center"/>
          </w:tcPr>
          <w:p>
            <w:pPr>
              <w:adjustRightInd/>
              <w:snapToGrid/>
              <w:jc w:val="center"/>
              <w:rPr>
                <w:snapToGrid w:val="0"/>
                <w:color w:val="auto"/>
                <w:kern w:val="0"/>
                <w:sz w:val="21"/>
                <w:szCs w:val="21"/>
                <w:lang w:val="zh-CN"/>
              </w:rPr>
            </w:pPr>
            <w:r>
              <w:rPr>
                <w:rFonts w:hint="eastAsia"/>
                <w:snapToGrid w:val="0"/>
                <w:color w:val="auto"/>
                <w:kern w:val="0"/>
                <w:sz w:val="21"/>
                <w:szCs w:val="21"/>
                <w:lang w:val="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snapToGrid w:val="0"/>
                <w:color w:val="auto"/>
                <w:kern w:val="0"/>
                <w:sz w:val="21"/>
                <w:szCs w:val="21"/>
              </w:rPr>
            </w:pPr>
            <w:r>
              <w:rPr>
                <w:rFonts w:hint="default" w:ascii="Times New Roman" w:hAnsi="Times New Roman" w:eastAsia="宋体" w:cs="Times New Roman"/>
                <w:b w:val="0"/>
                <w:bCs w:val="0"/>
                <w:snapToGrid w:val="0"/>
                <w:color w:val="auto"/>
                <w:sz w:val="21"/>
                <w:szCs w:val="21"/>
                <w:highlight w:val="none"/>
                <w:lang w:val="en-US" w:eastAsia="zh-CN"/>
              </w:rPr>
              <w:t>《动物防疫条件审查办法》</w:t>
            </w:r>
          </w:p>
        </w:tc>
        <w:tc>
          <w:tcPr>
            <w:tcW w:w="394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rPr>
                <w:snapToGrid w:val="0"/>
                <w:color w:val="auto"/>
                <w:kern w:val="0"/>
                <w:sz w:val="21"/>
                <w:szCs w:val="21"/>
              </w:rPr>
            </w:pP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t>第十一条动物屠宰加工场所选址应当符合下列条件：</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br w:type="textWrapping"/>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t>（一）距离生活饮用水源地、动物饲养场、养殖小区、动物集贸市场500米以上；距离种畜禽场3000米以上；距离动物诊疗场所200米以上；</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br w:type="textWrapping"/>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t>（二）距离动物隔离场所、无害化处理场所3000米以上。</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br w:type="textWrapping"/>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t>第十二条动物屠宰加工场所布局应当符合下列条件：</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br w:type="textWrapping"/>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t>（一）场区周围建有围墙；</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br w:type="textWrapping"/>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t>（二）运输动物车辆出入口设置与门同宽，长4米、深0.3米以上的消毒池；</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br w:type="textWrapping"/>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t>（三）生产区与生活办公区分开，并有隔离设施；</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br w:type="textWrapping"/>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t>（四）入场动物卸载区域有固定的车辆消毒场地，并配有车辆清洗、消毒设备。</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br w:type="textWrapping"/>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t>（五）动物入场口和动物产品出场口应当分别设置；</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br w:type="textWrapping"/>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t>（六）屠宰加工间入口设置人员更衣消毒室；</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br w:type="textWrapping"/>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t>（七）有与屠宰规模相适应的独立检疫室、办公室和休息室；</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br w:type="textWrapping"/>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t>（八）有待宰圈、患病动物隔离观察圈、急宰间；加工原毛、生皮、绒、骨、角的，还应当设置封闭式熏蒸消毒间。</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br w:type="textWrapping"/>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t>第十三条动物屠宰加工场所应当具有下列设施设备：</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br w:type="textWrapping"/>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t>（一）动物装卸台配备照度不小于300Lx的照明设备；</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br w:type="textWrapping"/>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t>（二）生产区有良好的采光设备，地面、操作台、墙壁、天棚应当耐腐蚀、不吸潮、易清洗；</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br w:type="textWrapping"/>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t>（三）屠宰间配备检疫操作台和照度不小于500Lx的照明设备；</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br w:type="textWrapping"/>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t>（四）有与生产规模相适应的无害化处理、污水污物处理设施设备。</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br w:type="textWrapping"/>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t>第十四条动物屠宰加工场所应当建立动物入场和动物产品出场登记、检疫申报、疫情报告、消毒、无害化处理等制度。</w:t>
            </w:r>
          </w:p>
        </w:tc>
        <w:tc>
          <w:tcPr>
            <w:tcW w:w="287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8"/>
              </w:numPr>
              <w:kinsoku/>
              <w:wordWrap/>
              <w:overflowPunct/>
              <w:topLinePunct w:val="0"/>
              <w:autoSpaceDE/>
              <w:autoSpaceDN/>
              <w:bidi w:val="0"/>
              <w:adjustRightInd/>
              <w:snapToGrid/>
              <w:spacing w:line="240" w:lineRule="auto"/>
              <w:ind w:left="0" w:right="0" w:firstLine="0" w:firstLineChars="0"/>
              <w:textAlignment w:val="auto"/>
              <w:rPr>
                <w:rFonts w:hint="default" w:ascii="Times New Roman" w:hAnsi="Times New Roman" w:eastAsia="宋体" w:cs="Times New Roman"/>
                <w:b w:val="0"/>
                <w:bCs w:val="0"/>
                <w:snapToGrid w:val="0"/>
                <w:color w:val="auto"/>
                <w:sz w:val="21"/>
                <w:szCs w:val="21"/>
                <w:highlight w:val="none"/>
                <w:lang w:val="en-US" w:eastAsia="zh-CN"/>
              </w:rPr>
            </w:pPr>
            <w:r>
              <w:rPr>
                <w:rFonts w:hint="default" w:ascii="Times New Roman" w:hAnsi="Times New Roman" w:eastAsia="宋体" w:cs="Times New Roman"/>
                <w:b w:val="0"/>
                <w:bCs w:val="0"/>
                <w:snapToGrid w:val="0"/>
                <w:color w:val="auto"/>
                <w:sz w:val="21"/>
                <w:szCs w:val="21"/>
                <w:highlight w:val="none"/>
                <w:lang w:val="en-US" w:eastAsia="zh-CN"/>
              </w:rPr>
              <w:t>本项目周围500米区域内无动物饲养场、养殖小区、动物集贸市场及生活饮用水源地；200米区域内无动物诊疗场所；距离种畜禽场3000米以上。</w:t>
            </w:r>
          </w:p>
          <w:p>
            <w:pPr>
              <w:pStyle w:val="729"/>
              <w:keepNext w:val="0"/>
              <w:keepLines w:val="0"/>
              <w:pageBreakBefore w:val="0"/>
              <w:widowControl w:val="0"/>
              <w:numPr>
                <w:ilvl w:val="0"/>
                <w:numId w:val="8"/>
              </w:numPr>
              <w:kinsoku/>
              <w:wordWrap/>
              <w:overflowPunct/>
              <w:topLinePunct w:val="0"/>
              <w:autoSpaceDE/>
              <w:autoSpaceDN/>
              <w:bidi w:val="0"/>
              <w:adjustRightInd/>
              <w:snapToGrid/>
              <w:spacing w:line="240" w:lineRule="auto"/>
              <w:ind w:left="0" w:right="0" w:firstLine="0" w:firstLineChars="0"/>
              <w:jc w:val="both"/>
              <w:textAlignment w:val="auto"/>
              <w:rPr>
                <w:rFonts w:hint="default" w:ascii="Times New Roman" w:hAnsi="Times New Roman" w:eastAsia="宋体" w:cs="Times New Roman"/>
                <w:b w:val="0"/>
                <w:bCs w:val="0"/>
                <w:snapToGrid w:val="0"/>
                <w:color w:val="auto"/>
                <w:sz w:val="21"/>
                <w:szCs w:val="21"/>
                <w:highlight w:val="none"/>
                <w:lang w:val="en-US" w:eastAsia="zh-CN"/>
              </w:rPr>
            </w:pPr>
            <w:r>
              <w:rPr>
                <w:rFonts w:hint="default" w:ascii="Times New Roman" w:hAnsi="Times New Roman" w:eastAsia="宋体" w:cs="Times New Roman"/>
                <w:b w:val="0"/>
                <w:bCs w:val="0"/>
                <w:snapToGrid w:val="0"/>
                <w:color w:val="auto"/>
                <w:sz w:val="21"/>
                <w:szCs w:val="21"/>
                <w:highlight w:val="none"/>
                <w:lang w:val="en-US" w:eastAsia="zh-CN"/>
              </w:rPr>
              <w:t>本项目3000米范围内无动物隔离场所及无害化处理场所</w:t>
            </w:r>
          </w:p>
          <w:p>
            <w:pPr>
              <w:pStyle w:val="729"/>
              <w:keepNext w:val="0"/>
              <w:keepLines w:val="0"/>
              <w:pageBreakBefore w:val="0"/>
              <w:widowControl w:val="0"/>
              <w:numPr>
                <w:ilvl w:val="0"/>
                <w:numId w:val="8"/>
              </w:numPr>
              <w:kinsoku/>
              <w:wordWrap/>
              <w:overflowPunct/>
              <w:topLinePunct w:val="0"/>
              <w:autoSpaceDE/>
              <w:autoSpaceDN/>
              <w:bidi w:val="0"/>
              <w:adjustRightInd/>
              <w:snapToGrid/>
              <w:spacing w:line="240" w:lineRule="auto"/>
              <w:ind w:left="0" w:right="0" w:firstLine="0" w:firstLineChars="0"/>
              <w:jc w:val="both"/>
              <w:textAlignment w:val="auto"/>
              <w:rPr>
                <w:rFonts w:hint="default" w:ascii="Times New Roman" w:hAnsi="Times New Roman" w:eastAsia="宋体" w:cs="Times New Roman"/>
                <w:b w:val="0"/>
                <w:bCs w:val="0"/>
                <w:snapToGrid w:val="0"/>
                <w:color w:val="auto"/>
                <w:sz w:val="21"/>
                <w:szCs w:val="21"/>
                <w:highlight w:val="none"/>
                <w:lang w:val="en-US" w:eastAsia="zh-CN"/>
              </w:rPr>
            </w:pPr>
            <w:r>
              <w:rPr>
                <w:rFonts w:hint="default" w:ascii="Times New Roman" w:hAnsi="Times New Roman" w:eastAsia="宋体" w:cs="Times New Roman"/>
                <w:b w:val="0"/>
                <w:bCs w:val="0"/>
                <w:snapToGrid w:val="0"/>
                <w:color w:val="auto"/>
                <w:sz w:val="21"/>
                <w:szCs w:val="21"/>
                <w:highlight w:val="none"/>
                <w:lang w:val="en-US" w:eastAsia="zh-CN"/>
              </w:rPr>
              <w:t>厂区周围建有围墙</w:t>
            </w:r>
          </w:p>
          <w:p>
            <w:pPr>
              <w:pStyle w:val="729"/>
              <w:keepNext w:val="0"/>
              <w:keepLines w:val="0"/>
              <w:pageBreakBefore w:val="0"/>
              <w:widowControl w:val="0"/>
              <w:numPr>
                <w:ilvl w:val="0"/>
                <w:numId w:val="8"/>
              </w:numPr>
              <w:kinsoku/>
              <w:wordWrap/>
              <w:overflowPunct/>
              <w:topLinePunct w:val="0"/>
              <w:autoSpaceDE/>
              <w:autoSpaceDN/>
              <w:bidi w:val="0"/>
              <w:adjustRightInd/>
              <w:snapToGrid/>
              <w:spacing w:line="240" w:lineRule="auto"/>
              <w:ind w:left="0" w:right="0" w:firstLine="0" w:firstLineChars="0"/>
              <w:jc w:val="both"/>
              <w:textAlignment w:val="auto"/>
              <w:rPr>
                <w:rFonts w:hint="default" w:ascii="Times New Roman" w:hAnsi="Times New Roman" w:eastAsia="宋体" w:cs="Times New Roman"/>
                <w:b w:val="0"/>
                <w:bCs w:val="0"/>
                <w:snapToGrid w:val="0"/>
                <w:color w:val="auto"/>
                <w:sz w:val="21"/>
                <w:szCs w:val="21"/>
                <w:highlight w:val="none"/>
                <w:lang w:val="en-US" w:eastAsia="zh-CN"/>
              </w:rPr>
            </w:pPr>
            <w:r>
              <w:rPr>
                <w:rFonts w:hint="default" w:ascii="Times New Roman" w:hAnsi="Times New Roman" w:eastAsia="宋体" w:cs="Times New Roman"/>
                <w:b w:val="0"/>
                <w:bCs w:val="0"/>
                <w:snapToGrid w:val="0"/>
                <w:color w:val="auto"/>
                <w:sz w:val="21"/>
                <w:szCs w:val="21"/>
                <w:highlight w:val="none"/>
                <w:lang w:val="en-US" w:eastAsia="zh-CN"/>
              </w:rPr>
              <w:t>厂区大门口设置车辆清洗消毒池</w:t>
            </w:r>
          </w:p>
          <w:p>
            <w:pPr>
              <w:pStyle w:val="729"/>
              <w:keepNext w:val="0"/>
              <w:keepLines w:val="0"/>
              <w:pageBreakBefore w:val="0"/>
              <w:widowControl w:val="0"/>
              <w:numPr>
                <w:ilvl w:val="0"/>
                <w:numId w:val="8"/>
              </w:numPr>
              <w:kinsoku/>
              <w:wordWrap/>
              <w:overflowPunct/>
              <w:topLinePunct w:val="0"/>
              <w:autoSpaceDE/>
              <w:autoSpaceDN/>
              <w:bidi w:val="0"/>
              <w:adjustRightInd/>
              <w:snapToGrid/>
              <w:spacing w:line="240" w:lineRule="auto"/>
              <w:ind w:left="0" w:right="0" w:firstLine="0" w:firstLineChars="0"/>
              <w:jc w:val="both"/>
              <w:textAlignment w:val="auto"/>
              <w:rPr>
                <w:rFonts w:hint="default" w:ascii="Times New Roman" w:hAnsi="Times New Roman" w:eastAsia="宋体" w:cs="Times New Roman"/>
                <w:b w:val="0"/>
                <w:bCs w:val="0"/>
                <w:snapToGrid w:val="0"/>
                <w:color w:val="auto"/>
                <w:sz w:val="21"/>
                <w:szCs w:val="21"/>
                <w:highlight w:val="none"/>
                <w:lang w:val="en-US" w:eastAsia="zh-CN"/>
              </w:rPr>
            </w:pPr>
            <w:r>
              <w:rPr>
                <w:rFonts w:hint="default" w:ascii="Times New Roman" w:hAnsi="Times New Roman" w:eastAsia="宋体" w:cs="Times New Roman"/>
                <w:b w:val="0"/>
                <w:bCs w:val="0"/>
                <w:snapToGrid w:val="0"/>
                <w:color w:val="auto"/>
                <w:sz w:val="21"/>
                <w:szCs w:val="21"/>
                <w:highlight w:val="none"/>
                <w:lang w:val="en-US" w:eastAsia="zh-CN"/>
              </w:rPr>
              <w:t>生产区域办公区分离，不在同一建筑物内</w:t>
            </w:r>
          </w:p>
          <w:p>
            <w:pPr>
              <w:pStyle w:val="729"/>
              <w:keepNext w:val="0"/>
              <w:keepLines w:val="0"/>
              <w:pageBreakBefore w:val="0"/>
              <w:widowControl w:val="0"/>
              <w:numPr>
                <w:ilvl w:val="0"/>
                <w:numId w:val="8"/>
              </w:numPr>
              <w:kinsoku/>
              <w:wordWrap/>
              <w:overflowPunct/>
              <w:topLinePunct w:val="0"/>
              <w:autoSpaceDE/>
              <w:autoSpaceDN/>
              <w:bidi w:val="0"/>
              <w:adjustRightInd/>
              <w:snapToGrid/>
              <w:spacing w:line="240" w:lineRule="auto"/>
              <w:ind w:left="0" w:right="0" w:firstLine="0" w:firstLineChars="0"/>
              <w:jc w:val="both"/>
              <w:textAlignment w:val="auto"/>
              <w:rPr>
                <w:rFonts w:hint="default" w:ascii="Times New Roman" w:hAnsi="Times New Roman" w:eastAsia="宋体" w:cs="Times New Roman"/>
                <w:b w:val="0"/>
                <w:bCs w:val="0"/>
                <w:snapToGrid w:val="0"/>
                <w:color w:val="auto"/>
                <w:sz w:val="21"/>
                <w:szCs w:val="21"/>
                <w:highlight w:val="none"/>
                <w:lang w:val="en-US" w:eastAsia="zh-CN"/>
              </w:rPr>
            </w:pPr>
            <w:r>
              <w:rPr>
                <w:rFonts w:hint="default" w:ascii="Times New Roman" w:hAnsi="Times New Roman" w:eastAsia="宋体" w:cs="Times New Roman"/>
                <w:b w:val="0"/>
                <w:bCs w:val="0"/>
                <w:snapToGrid w:val="0"/>
                <w:color w:val="auto"/>
                <w:sz w:val="21"/>
                <w:szCs w:val="21"/>
                <w:highlight w:val="none"/>
                <w:lang w:val="en-US" w:eastAsia="zh-CN"/>
              </w:rPr>
              <w:t>本项目厂区内设有专门的车辆清洗消毒区</w:t>
            </w:r>
          </w:p>
          <w:p>
            <w:pPr>
              <w:pStyle w:val="729"/>
              <w:keepNext w:val="0"/>
              <w:keepLines w:val="0"/>
              <w:pageBreakBefore w:val="0"/>
              <w:widowControl w:val="0"/>
              <w:numPr>
                <w:ilvl w:val="0"/>
                <w:numId w:val="8"/>
              </w:numPr>
              <w:kinsoku/>
              <w:wordWrap/>
              <w:overflowPunct/>
              <w:topLinePunct w:val="0"/>
              <w:autoSpaceDE/>
              <w:autoSpaceDN/>
              <w:bidi w:val="0"/>
              <w:adjustRightInd/>
              <w:snapToGrid/>
              <w:spacing w:line="240" w:lineRule="auto"/>
              <w:ind w:left="0" w:right="0" w:firstLine="0" w:firstLineChars="0"/>
              <w:jc w:val="both"/>
              <w:textAlignment w:val="auto"/>
              <w:rPr>
                <w:rFonts w:hint="default" w:ascii="Times New Roman" w:hAnsi="Times New Roman" w:eastAsia="宋体" w:cs="Times New Roman"/>
                <w:b w:val="0"/>
                <w:bCs w:val="0"/>
                <w:snapToGrid w:val="0"/>
                <w:color w:val="auto"/>
                <w:sz w:val="21"/>
                <w:szCs w:val="21"/>
                <w:highlight w:val="none"/>
                <w:lang w:val="en-US" w:eastAsia="zh-CN"/>
              </w:rPr>
            </w:pPr>
            <w:r>
              <w:rPr>
                <w:rFonts w:hint="eastAsia" w:ascii="Times New Roman" w:hAnsi="Times New Roman" w:eastAsia="宋体" w:cs="Times New Roman"/>
                <w:b w:val="0"/>
                <w:bCs w:val="0"/>
                <w:snapToGrid w:val="0"/>
                <w:color w:val="auto"/>
                <w:sz w:val="21"/>
                <w:szCs w:val="21"/>
                <w:highlight w:val="none"/>
                <w:lang w:val="en-US" w:eastAsia="zh-CN"/>
              </w:rPr>
              <w:t>牲畜</w:t>
            </w:r>
            <w:r>
              <w:rPr>
                <w:rFonts w:hint="default" w:ascii="Times New Roman" w:hAnsi="Times New Roman" w:eastAsia="宋体" w:cs="Times New Roman"/>
                <w:b w:val="0"/>
                <w:bCs w:val="0"/>
                <w:snapToGrid w:val="0"/>
                <w:color w:val="auto"/>
                <w:sz w:val="21"/>
                <w:szCs w:val="21"/>
                <w:highlight w:val="none"/>
                <w:lang w:val="en-US" w:eastAsia="zh-CN"/>
              </w:rPr>
              <w:t>卸载口及分割后产品出口分离，不使用同一个进出口</w:t>
            </w:r>
          </w:p>
          <w:p>
            <w:pPr>
              <w:pStyle w:val="729"/>
              <w:keepNext w:val="0"/>
              <w:keepLines w:val="0"/>
              <w:pageBreakBefore w:val="0"/>
              <w:widowControl w:val="0"/>
              <w:numPr>
                <w:ilvl w:val="0"/>
                <w:numId w:val="8"/>
              </w:numPr>
              <w:kinsoku/>
              <w:wordWrap/>
              <w:overflowPunct/>
              <w:topLinePunct w:val="0"/>
              <w:autoSpaceDE/>
              <w:autoSpaceDN/>
              <w:bidi w:val="0"/>
              <w:adjustRightInd/>
              <w:snapToGrid/>
              <w:spacing w:line="240" w:lineRule="auto"/>
              <w:ind w:left="0" w:right="0" w:firstLine="0" w:firstLineChars="0"/>
              <w:jc w:val="both"/>
              <w:textAlignment w:val="auto"/>
              <w:rPr>
                <w:rFonts w:hint="default" w:ascii="Times New Roman" w:hAnsi="Times New Roman" w:eastAsia="宋体" w:cs="Times New Roman"/>
                <w:b w:val="0"/>
                <w:bCs w:val="0"/>
                <w:snapToGrid w:val="0"/>
                <w:color w:val="auto"/>
                <w:sz w:val="21"/>
                <w:szCs w:val="21"/>
                <w:highlight w:val="none"/>
                <w:lang w:val="en-US" w:eastAsia="zh-CN"/>
              </w:rPr>
            </w:pPr>
            <w:r>
              <w:rPr>
                <w:rFonts w:hint="default" w:ascii="Times New Roman" w:hAnsi="Times New Roman" w:eastAsia="宋体" w:cs="Times New Roman"/>
                <w:b w:val="0"/>
                <w:bCs w:val="0"/>
                <w:snapToGrid w:val="0"/>
                <w:color w:val="auto"/>
                <w:sz w:val="21"/>
                <w:szCs w:val="21"/>
                <w:highlight w:val="none"/>
                <w:lang w:val="en-US" w:eastAsia="zh-CN"/>
              </w:rPr>
              <w:t>屠宰加工车间内设有工作人间更衣及消毒室</w:t>
            </w:r>
          </w:p>
          <w:p>
            <w:pPr>
              <w:pStyle w:val="729"/>
              <w:keepNext w:val="0"/>
              <w:keepLines w:val="0"/>
              <w:pageBreakBefore w:val="0"/>
              <w:widowControl w:val="0"/>
              <w:numPr>
                <w:ilvl w:val="0"/>
                <w:numId w:val="8"/>
              </w:numPr>
              <w:kinsoku/>
              <w:wordWrap/>
              <w:overflowPunct/>
              <w:topLinePunct w:val="0"/>
              <w:autoSpaceDE/>
              <w:autoSpaceDN/>
              <w:bidi w:val="0"/>
              <w:adjustRightInd/>
              <w:snapToGrid/>
              <w:spacing w:line="240" w:lineRule="auto"/>
              <w:ind w:left="0" w:right="0" w:firstLine="0" w:firstLineChars="0"/>
              <w:jc w:val="both"/>
              <w:textAlignment w:val="auto"/>
              <w:rPr>
                <w:rFonts w:hint="default" w:ascii="Times New Roman" w:hAnsi="Times New Roman" w:eastAsia="宋体" w:cs="Times New Roman"/>
                <w:b w:val="0"/>
                <w:bCs w:val="0"/>
                <w:snapToGrid w:val="0"/>
                <w:color w:val="auto"/>
                <w:sz w:val="21"/>
                <w:szCs w:val="21"/>
                <w:highlight w:val="none"/>
                <w:lang w:val="en-US" w:eastAsia="zh-CN"/>
              </w:rPr>
            </w:pPr>
            <w:r>
              <w:rPr>
                <w:rFonts w:hint="default" w:ascii="Times New Roman" w:hAnsi="Times New Roman" w:eastAsia="宋体" w:cs="Times New Roman"/>
                <w:b w:val="0"/>
                <w:bCs w:val="0"/>
                <w:snapToGrid w:val="0"/>
                <w:color w:val="auto"/>
                <w:sz w:val="21"/>
                <w:szCs w:val="21"/>
                <w:highlight w:val="none"/>
                <w:lang w:val="en-US" w:eastAsia="zh-CN"/>
              </w:rPr>
              <w:t>本项目设有单独办公及检疫区</w:t>
            </w:r>
          </w:p>
          <w:p>
            <w:pPr>
              <w:pStyle w:val="729"/>
              <w:keepNext w:val="0"/>
              <w:keepLines w:val="0"/>
              <w:pageBreakBefore w:val="0"/>
              <w:widowControl w:val="0"/>
              <w:numPr>
                <w:ilvl w:val="0"/>
                <w:numId w:val="8"/>
              </w:numPr>
              <w:kinsoku/>
              <w:wordWrap/>
              <w:overflowPunct/>
              <w:topLinePunct w:val="0"/>
              <w:autoSpaceDE/>
              <w:autoSpaceDN/>
              <w:bidi w:val="0"/>
              <w:adjustRightInd/>
              <w:snapToGrid/>
              <w:spacing w:line="240" w:lineRule="auto"/>
              <w:ind w:left="0" w:right="0" w:firstLine="0" w:firstLineChars="0"/>
              <w:jc w:val="both"/>
              <w:textAlignment w:val="auto"/>
              <w:rPr>
                <w:rFonts w:hint="default" w:ascii="Times New Roman" w:hAnsi="Times New Roman" w:eastAsia="宋体" w:cs="Times New Roman"/>
                <w:b w:val="0"/>
                <w:bCs w:val="0"/>
                <w:snapToGrid w:val="0"/>
                <w:color w:val="auto"/>
                <w:sz w:val="21"/>
                <w:szCs w:val="21"/>
                <w:highlight w:val="none"/>
                <w:lang w:val="en-US" w:eastAsia="zh-CN"/>
              </w:rPr>
            </w:pPr>
            <w:r>
              <w:rPr>
                <w:rFonts w:hint="eastAsia" w:ascii="Times New Roman" w:hAnsi="Times New Roman" w:eastAsia="宋体" w:cs="Times New Roman"/>
                <w:b w:val="0"/>
                <w:bCs w:val="0"/>
                <w:snapToGrid w:val="0"/>
                <w:color w:val="auto"/>
                <w:sz w:val="21"/>
                <w:szCs w:val="21"/>
                <w:highlight w:val="none"/>
                <w:lang w:val="en-US" w:eastAsia="zh-CN"/>
              </w:rPr>
              <w:t>项目设有急宰间、待宰圈</w:t>
            </w:r>
          </w:p>
          <w:p>
            <w:pPr>
              <w:pStyle w:val="729"/>
              <w:keepNext w:val="0"/>
              <w:keepLines w:val="0"/>
              <w:pageBreakBefore w:val="0"/>
              <w:widowControl w:val="0"/>
              <w:numPr>
                <w:ilvl w:val="0"/>
                <w:numId w:val="8"/>
              </w:numPr>
              <w:kinsoku/>
              <w:wordWrap/>
              <w:overflowPunct/>
              <w:topLinePunct w:val="0"/>
              <w:autoSpaceDE/>
              <w:autoSpaceDN/>
              <w:bidi w:val="0"/>
              <w:adjustRightInd/>
              <w:snapToGrid/>
              <w:spacing w:line="240" w:lineRule="auto"/>
              <w:ind w:left="0" w:right="0" w:firstLine="0" w:firstLineChars="0"/>
              <w:jc w:val="both"/>
              <w:textAlignment w:val="auto"/>
              <w:rPr>
                <w:rFonts w:hint="default" w:ascii="Times New Roman" w:hAnsi="Times New Roman" w:eastAsia="宋体" w:cs="Times New Roman"/>
                <w:b w:val="0"/>
                <w:bCs w:val="0"/>
                <w:snapToGrid w:val="0"/>
                <w:color w:val="auto"/>
                <w:sz w:val="21"/>
                <w:szCs w:val="21"/>
                <w:highlight w:val="none"/>
                <w:lang w:val="en-US" w:eastAsia="zh-CN"/>
              </w:rPr>
            </w:pPr>
            <w:r>
              <w:rPr>
                <w:rFonts w:hint="default" w:ascii="Times New Roman" w:hAnsi="Times New Roman" w:eastAsia="宋体" w:cs="Times New Roman"/>
                <w:b w:val="0"/>
                <w:bCs w:val="0"/>
                <w:snapToGrid w:val="0"/>
                <w:color w:val="auto"/>
                <w:sz w:val="21"/>
                <w:szCs w:val="21"/>
                <w:highlight w:val="none"/>
                <w:lang w:val="en-US" w:eastAsia="zh-CN"/>
              </w:rPr>
              <w:t>本项目通风及照明条件良好，所有动物入场及产品出厂应做好相关记录和登记</w:t>
            </w:r>
          </w:p>
          <w:p>
            <w:pPr>
              <w:pStyle w:val="729"/>
              <w:keepNext w:val="0"/>
              <w:keepLines w:val="0"/>
              <w:pageBreakBefore w:val="0"/>
              <w:widowControl w:val="0"/>
              <w:numPr>
                <w:ilvl w:val="0"/>
                <w:numId w:val="8"/>
              </w:numPr>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eastAsia" w:eastAsia="宋体"/>
                <w:snapToGrid w:val="0"/>
                <w:color w:val="auto"/>
                <w:kern w:val="0"/>
                <w:sz w:val="21"/>
                <w:lang w:val="zh-CN"/>
              </w:rPr>
            </w:pPr>
            <w:r>
              <w:rPr>
                <w:rFonts w:hint="default" w:ascii="Times New Roman" w:hAnsi="Times New Roman" w:eastAsia="宋体" w:cs="Times New Roman"/>
                <w:b w:val="0"/>
                <w:bCs w:val="0"/>
                <w:snapToGrid w:val="0"/>
                <w:color w:val="auto"/>
                <w:sz w:val="21"/>
                <w:szCs w:val="21"/>
                <w:highlight w:val="none"/>
                <w:lang w:val="en-US" w:eastAsia="zh-CN"/>
              </w:rPr>
              <w:t>本项目配备日处理量为</w:t>
            </w:r>
            <w:r>
              <w:rPr>
                <w:rFonts w:hint="eastAsia" w:ascii="Times New Roman" w:hAnsi="Times New Roman" w:eastAsia="宋体" w:cs="Times New Roman"/>
                <w:snapToGrid w:val="0"/>
                <w:color w:val="auto"/>
                <w:spacing w:val="20"/>
                <w:sz w:val="21"/>
                <w:szCs w:val="21"/>
                <w:highlight w:val="none"/>
                <w:lang w:val="en-US" w:eastAsia="zh-CN"/>
              </w:rPr>
              <w:t>70</w:t>
            </w:r>
            <w:r>
              <w:rPr>
                <w:rFonts w:hint="default" w:ascii="Times New Roman" w:hAnsi="Times New Roman" w:eastAsia="宋体" w:cs="Times New Roman"/>
                <w:snapToGrid w:val="0"/>
                <w:color w:val="auto"/>
                <w:spacing w:val="20"/>
                <w:sz w:val="21"/>
                <w:szCs w:val="21"/>
                <w:highlight w:val="none"/>
              </w:rPr>
              <w:t>m</w:t>
            </w:r>
            <w:r>
              <w:rPr>
                <w:rFonts w:hint="default" w:ascii="Times New Roman" w:hAnsi="Times New Roman" w:eastAsia="宋体" w:cs="Times New Roman"/>
                <w:snapToGrid w:val="0"/>
                <w:color w:val="auto"/>
                <w:spacing w:val="20"/>
                <w:sz w:val="21"/>
                <w:szCs w:val="21"/>
                <w:highlight w:val="none"/>
                <w:vertAlign w:val="superscript"/>
              </w:rPr>
              <w:t>3</w:t>
            </w:r>
            <w:r>
              <w:rPr>
                <w:rFonts w:hint="default" w:ascii="Times New Roman" w:hAnsi="Times New Roman" w:eastAsia="宋体" w:cs="Times New Roman"/>
                <w:snapToGrid w:val="0"/>
                <w:color w:val="auto"/>
                <w:spacing w:val="20"/>
                <w:sz w:val="21"/>
                <w:szCs w:val="21"/>
                <w:highlight w:val="none"/>
              </w:rPr>
              <w:t>/d</w:t>
            </w:r>
            <w:r>
              <w:rPr>
                <w:rFonts w:hint="default" w:ascii="Times New Roman" w:hAnsi="Times New Roman" w:eastAsia="宋体" w:cs="Times New Roman"/>
                <w:b w:val="0"/>
                <w:bCs w:val="0"/>
                <w:snapToGrid w:val="0"/>
                <w:color w:val="auto"/>
                <w:sz w:val="21"/>
                <w:szCs w:val="21"/>
                <w:highlight w:val="none"/>
                <w:lang w:val="en-US" w:eastAsia="zh-CN"/>
              </w:rPr>
              <w:t>的污水处理站，可以满足本项目污水处理需求。</w:t>
            </w:r>
          </w:p>
        </w:tc>
        <w:tc>
          <w:tcPr>
            <w:tcW w:w="373" w:type="pct"/>
            <w:tcBorders>
              <w:top w:val="single" w:color="auto" w:sz="4" w:space="0"/>
              <w:left w:val="single" w:color="auto" w:sz="4" w:space="0"/>
              <w:bottom w:val="single" w:color="auto" w:sz="4" w:space="0"/>
              <w:right w:val="nil"/>
            </w:tcBorders>
            <w:vAlign w:val="center"/>
          </w:tcPr>
          <w:p>
            <w:pPr>
              <w:adjustRightInd/>
              <w:snapToGrid/>
              <w:jc w:val="center"/>
              <w:rPr>
                <w:rFonts w:hint="eastAsia" w:eastAsia="宋体"/>
                <w:snapToGrid w:val="0"/>
                <w:color w:val="auto"/>
                <w:kern w:val="0"/>
                <w:sz w:val="21"/>
                <w:szCs w:val="21"/>
                <w:lang w:val="en-US" w:eastAsia="zh-CN"/>
              </w:rPr>
            </w:pPr>
            <w:r>
              <w:rPr>
                <w:rFonts w:hint="eastAsia"/>
                <w:snapToGrid w:val="0"/>
                <w:color w:val="auto"/>
                <w:kern w:val="0"/>
                <w:sz w:val="21"/>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0" w:type="dxa"/>
            <w:tcBorders>
              <w:top w:val="single" w:color="auto" w:sz="4" w:space="0"/>
              <w:left w:val="nil"/>
              <w:bottom w:val="single" w:color="auto" w:sz="12"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rPr>
                <w:rFonts w:hint="default" w:ascii="Times New Roman" w:hAnsi="Times New Roman" w:eastAsia="宋体" w:cs="Times New Roman"/>
                <w:b w:val="0"/>
                <w:bCs w:val="0"/>
                <w:snapToGrid w:val="0"/>
                <w:color w:val="auto"/>
                <w:sz w:val="21"/>
                <w:szCs w:val="21"/>
                <w:highlight w:val="none"/>
                <w:lang w:val="en-US" w:eastAsia="zh-CN"/>
              </w:rPr>
            </w:pPr>
            <w:r>
              <w:rPr>
                <w:rFonts w:hint="default" w:ascii="Times New Roman" w:hAnsi="Times New Roman" w:eastAsia="宋体" w:cs="Times New Roman"/>
                <w:b w:val="0"/>
                <w:bCs w:val="0"/>
                <w:snapToGrid w:val="0"/>
                <w:color w:val="auto"/>
                <w:kern w:val="0"/>
                <w:sz w:val="21"/>
                <w:szCs w:val="21"/>
                <w:highlight w:val="none"/>
                <w:lang w:val="zh-CN"/>
              </w:rPr>
              <w:t>《</w:t>
            </w:r>
            <w:r>
              <w:rPr>
                <w:rFonts w:hint="default" w:ascii="Times New Roman" w:hAnsi="Times New Roman" w:eastAsia="宋体" w:cs="Times New Roman"/>
                <w:b w:val="0"/>
                <w:bCs w:val="0"/>
                <w:snapToGrid w:val="0"/>
                <w:color w:val="auto"/>
                <w:kern w:val="0"/>
                <w:sz w:val="21"/>
                <w:szCs w:val="21"/>
                <w:highlight w:val="none"/>
              </w:rPr>
              <w:t>食品安全国家标准</w:t>
            </w:r>
            <w:r>
              <w:rPr>
                <w:rFonts w:hint="default" w:ascii="Times New Roman" w:hAnsi="Times New Roman" w:eastAsia="宋体" w:cs="Times New Roman"/>
                <w:b w:val="0"/>
                <w:bCs w:val="0"/>
                <w:snapToGrid w:val="0"/>
                <w:color w:val="auto"/>
                <w:kern w:val="0"/>
                <w:sz w:val="21"/>
                <w:szCs w:val="21"/>
                <w:highlight w:val="none"/>
                <w:lang w:val="zh-CN"/>
              </w:rPr>
              <w:t>畜禽屠宰加工卫生规范》（GB12694-2016）</w:t>
            </w:r>
          </w:p>
        </w:tc>
        <w:tc>
          <w:tcPr>
            <w:tcW w:w="3944" w:type="dxa"/>
            <w:tcBorders>
              <w:top w:val="single" w:color="auto" w:sz="4" w:space="0"/>
              <w:left w:val="single" w:color="auto" w:sz="4" w:space="0"/>
              <w:bottom w:val="single" w:color="auto" w:sz="12"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textAlignment w:val="auto"/>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b w:val="0"/>
                <w:bCs w:val="0"/>
                <w:snapToGrid w:val="0"/>
                <w:color w:val="auto"/>
                <w:kern w:val="0"/>
                <w:sz w:val="21"/>
                <w:szCs w:val="21"/>
                <w:highlight w:val="none"/>
              </w:rPr>
              <w:t>3.2.1卫生防护距离应符合GB18078.1及动物防疫要求。</w:t>
            </w:r>
          </w:p>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textAlignment w:val="auto"/>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b w:val="0"/>
                <w:bCs w:val="0"/>
                <w:snapToGrid w:val="0"/>
                <w:color w:val="auto"/>
                <w:kern w:val="0"/>
                <w:sz w:val="21"/>
                <w:szCs w:val="21"/>
                <w:highlight w:val="none"/>
              </w:rPr>
              <w:t>3.2.2厂址周围应有良好的环境卫生条件。厂区应远离受污染的水体，并应避开产生有害气体、烟雾、粉尘等污染源的工业企业或其他产生污染源的地区或场所。</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pPr>
            <w:r>
              <w:rPr>
                <w:rFonts w:hint="default" w:ascii="Times New Roman" w:hAnsi="Times New Roman" w:eastAsia="宋体" w:cs="Times New Roman"/>
                <w:b w:val="0"/>
                <w:bCs w:val="0"/>
                <w:snapToGrid w:val="0"/>
                <w:color w:val="auto"/>
                <w:kern w:val="0"/>
                <w:sz w:val="21"/>
                <w:szCs w:val="21"/>
                <w:highlight w:val="none"/>
              </w:rPr>
              <w:t>3.2.3厂址必须具备符合要求的水源和电源，应结合工艺要求因地制宜地确定，并应符合屠宰企业设置规划的要求。</w:t>
            </w:r>
          </w:p>
        </w:tc>
        <w:tc>
          <w:tcPr>
            <w:tcW w:w="2872" w:type="dxa"/>
            <w:tcBorders>
              <w:top w:val="single" w:color="auto" w:sz="4" w:space="0"/>
              <w:left w:val="single" w:color="auto" w:sz="4" w:space="0"/>
              <w:bottom w:val="single" w:color="auto" w:sz="12"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textAlignment w:val="auto"/>
              <w:rPr>
                <w:rFonts w:hint="default" w:ascii="Times New Roman" w:hAnsi="Times New Roman" w:eastAsia="宋体" w:cs="Times New Roman"/>
                <w:b w:val="0"/>
                <w:bCs w:val="0"/>
                <w:snapToGrid w:val="0"/>
                <w:color w:val="auto"/>
                <w:kern w:val="0"/>
                <w:sz w:val="21"/>
                <w:szCs w:val="21"/>
                <w:highlight w:val="none"/>
                <w:lang w:val="zh-CN"/>
              </w:rPr>
            </w:pPr>
            <w:r>
              <w:rPr>
                <w:rFonts w:hint="default" w:ascii="Times New Roman" w:hAnsi="Times New Roman" w:eastAsia="宋体" w:cs="Times New Roman"/>
                <w:b w:val="0"/>
                <w:bCs w:val="0"/>
                <w:snapToGrid w:val="0"/>
                <w:color w:val="auto"/>
                <w:kern w:val="0"/>
                <w:sz w:val="21"/>
                <w:szCs w:val="21"/>
                <w:highlight w:val="none"/>
                <w:lang w:val="zh-CN"/>
              </w:rPr>
              <w:t>（1）本项目以</w:t>
            </w:r>
            <w:r>
              <w:rPr>
                <w:rFonts w:hint="eastAsia" w:cs="Times New Roman"/>
                <w:snapToGrid w:val="0"/>
                <w:color w:val="auto"/>
                <w:sz w:val="21"/>
                <w:szCs w:val="21"/>
                <w:highlight w:val="none"/>
                <w:lang w:eastAsia="zh-CN"/>
              </w:rPr>
              <w:t>厂界</w:t>
            </w:r>
            <w:r>
              <w:rPr>
                <w:rFonts w:hint="default" w:ascii="Times New Roman" w:hAnsi="Times New Roman" w:eastAsia="宋体" w:cs="Times New Roman"/>
                <w:snapToGrid w:val="0"/>
                <w:color w:val="auto"/>
                <w:sz w:val="21"/>
                <w:szCs w:val="21"/>
                <w:highlight w:val="none"/>
              </w:rPr>
              <w:t>为边界设置</w:t>
            </w:r>
            <w:r>
              <w:rPr>
                <w:rFonts w:hint="default" w:ascii="Times New Roman" w:hAnsi="Times New Roman" w:eastAsia="宋体" w:cs="Times New Roman"/>
                <w:snapToGrid w:val="0"/>
                <w:color w:val="auto"/>
                <w:sz w:val="21"/>
                <w:szCs w:val="21"/>
                <w:highlight w:val="none"/>
                <w:lang w:val="en-US" w:eastAsia="zh-CN"/>
              </w:rPr>
              <w:t>100</w:t>
            </w:r>
            <w:r>
              <w:rPr>
                <w:rFonts w:hint="default" w:ascii="Times New Roman" w:hAnsi="Times New Roman" w:eastAsia="宋体" w:cs="Times New Roman"/>
                <w:snapToGrid w:val="0"/>
                <w:color w:val="auto"/>
                <w:sz w:val="21"/>
                <w:szCs w:val="21"/>
                <w:highlight w:val="none"/>
              </w:rPr>
              <w:t>m卫生防护距离</w:t>
            </w:r>
            <w:r>
              <w:rPr>
                <w:rFonts w:hint="default" w:ascii="Times New Roman" w:hAnsi="Times New Roman" w:eastAsia="宋体" w:cs="Times New Roman"/>
                <w:b w:val="0"/>
                <w:bCs w:val="0"/>
                <w:snapToGrid w:val="0"/>
                <w:color w:val="auto"/>
                <w:kern w:val="0"/>
                <w:sz w:val="21"/>
                <w:szCs w:val="21"/>
                <w:highlight w:val="none"/>
                <w:lang w:val="zh-CN"/>
              </w:rPr>
              <w:t>。该卫生防护距离范围内，无居民点等环境敏感目标。今后，在厂址四周卫生防护距离内，严禁规划和建设学校、医院、居住区等环境敏感目标；项目区饮用水来自</w:t>
            </w:r>
            <w:r>
              <w:rPr>
                <w:rFonts w:hint="eastAsia" w:ascii="Times New Roman" w:hAnsi="Times New Roman" w:eastAsia="宋体" w:cs="Times New Roman"/>
                <w:b w:val="0"/>
                <w:bCs w:val="0"/>
                <w:snapToGrid w:val="0"/>
                <w:color w:val="auto"/>
                <w:kern w:val="0"/>
                <w:sz w:val="21"/>
                <w:szCs w:val="21"/>
                <w:highlight w:val="none"/>
                <w:lang w:val="zh-CN"/>
              </w:rPr>
              <w:t>厂区自打地下水供水</w:t>
            </w:r>
            <w:r>
              <w:rPr>
                <w:rFonts w:hint="default" w:ascii="Times New Roman" w:hAnsi="Times New Roman" w:eastAsia="宋体" w:cs="Times New Roman"/>
                <w:b w:val="0"/>
                <w:bCs w:val="0"/>
                <w:snapToGrid w:val="0"/>
                <w:color w:val="auto"/>
                <w:kern w:val="0"/>
                <w:sz w:val="21"/>
                <w:szCs w:val="21"/>
                <w:highlight w:val="none"/>
                <w:lang w:val="zh-CN"/>
              </w:rPr>
              <w:t>；</w:t>
            </w:r>
          </w:p>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textAlignment w:val="auto"/>
              <w:rPr>
                <w:rFonts w:hint="default" w:ascii="Times New Roman" w:hAnsi="Times New Roman" w:eastAsia="宋体" w:cs="Times New Roman"/>
                <w:b w:val="0"/>
                <w:bCs w:val="0"/>
                <w:snapToGrid w:val="0"/>
                <w:color w:val="auto"/>
                <w:kern w:val="0"/>
                <w:sz w:val="21"/>
                <w:szCs w:val="21"/>
                <w:highlight w:val="none"/>
                <w:lang w:val="zh-CN"/>
              </w:rPr>
            </w:pPr>
            <w:r>
              <w:rPr>
                <w:rFonts w:hint="default" w:ascii="Times New Roman" w:hAnsi="Times New Roman" w:eastAsia="宋体" w:cs="Times New Roman"/>
                <w:b w:val="0"/>
                <w:bCs w:val="0"/>
                <w:snapToGrid w:val="0"/>
                <w:color w:val="auto"/>
                <w:kern w:val="0"/>
                <w:sz w:val="21"/>
                <w:szCs w:val="21"/>
                <w:highlight w:val="none"/>
                <w:lang w:val="zh-CN"/>
              </w:rPr>
              <w:t>（2）周围没有受污染的水体，项目最近地表水体为</w:t>
            </w:r>
            <w:r>
              <w:rPr>
                <w:rFonts w:hint="eastAsia" w:ascii="Times New Roman" w:hAnsi="Times New Roman" w:eastAsia="宋体" w:cs="Times New Roman"/>
                <w:b w:val="0"/>
                <w:bCs w:val="0"/>
                <w:snapToGrid w:val="0"/>
                <w:color w:val="auto"/>
                <w:kern w:val="0"/>
                <w:sz w:val="21"/>
                <w:szCs w:val="21"/>
                <w:highlight w:val="none"/>
                <w:lang w:val="en-US" w:eastAsia="zh-CN"/>
              </w:rPr>
              <w:t>蚂蚁</w:t>
            </w:r>
            <w:r>
              <w:rPr>
                <w:rFonts w:hint="default" w:ascii="Times New Roman" w:hAnsi="Times New Roman" w:eastAsia="宋体" w:cs="Times New Roman"/>
                <w:b w:val="0"/>
                <w:bCs w:val="0"/>
                <w:snapToGrid w:val="0"/>
                <w:color w:val="auto"/>
                <w:kern w:val="0"/>
                <w:sz w:val="21"/>
                <w:szCs w:val="21"/>
                <w:highlight w:val="none"/>
                <w:lang w:val="zh-CN"/>
              </w:rPr>
              <w:t>河，距离项目</w:t>
            </w:r>
            <w:r>
              <w:rPr>
                <w:rFonts w:hint="eastAsia" w:ascii="Times New Roman" w:hAnsi="Times New Roman" w:eastAsia="宋体" w:cs="Times New Roman"/>
                <w:b w:val="0"/>
                <w:bCs w:val="0"/>
                <w:snapToGrid w:val="0"/>
                <w:color w:val="auto"/>
                <w:kern w:val="0"/>
                <w:sz w:val="21"/>
                <w:szCs w:val="21"/>
                <w:highlight w:val="none"/>
                <w:lang w:val="en-US" w:eastAsia="zh-CN"/>
              </w:rPr>
              <w:t>8.8</w:t>
            </w:r>
            <w:r>
              <w:rPr>
                <w:rFonts w:hint="default" w:ascii="Times New Roman" w:hAnsi="Times New Roman" w:eastAsia="宋体" w:cs="Times New Roman"/>
                <w:b w:val="0"/>
                <w:bCs w:val="0"/>
                <w:snapToGrid w:val="0"/>
                <w:color w:val="auto"/>
                <w:kern w:val="0"/>
                <w:sz w:val="21"/>
                <w:szCs w:val="21"/>
                <w:highlight w:val="none"/>
                <w:lang w:val="en-US" w:eastAsia="zh-CN"/>
              </w:rPr>
              <w:t>km</w:t>
            </w:r>
            <w:r>
              <w:rPr>
                <w:rFonts w:hint="default" w:ascii="Times New Roman" w:hAnsi="Times New Roman" w:eastAsia="宋体" w:cs="Times New Roman"/>
                <w:b w:val="0"/>
                <w:bCs w:val="0"/>
                <w:snapToGrid w:val="0"/>
                <w:color w:val="auto"/>
                <w:kern w:val="0"/>
                <w:sz w:val="21"/>
                <w:szCs w:val="21"/>
                <w:highlight w:val="none"/>
                <w:lang w:val="zh-CN"/>
              </w:rPr>
              <w:t>，项目周边卫生条件良好，无</w:t>
            </w:r>
            <w:r>
              <w:rPr>
                <w:rFonts w:hint="default" w:ascii="Times New Roman" w:hAnsi="Times New Roman" w:eastAsia="宋体" w:cs="Times New Roman"/>
                <w:b w:val="0"/>
                <w:bCs w:val="0"/>
                <w:snapToGrid w:val="0"/>
                <w:color w:val="auto"/>
                <w:kern w:val="0"/>
                <w:sz w:val="21"/>
                <w:szCs w:val="21"/>
                <w:highlight w:val="none"/>
              </w:rPr>
              <w:t>有害气体、粉尘、污浊水及其他污染源；</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rPr>
                <w:rFonts w:hint="default" w:ascii="Times New Roman" w:hAnsi="Times New Roman" w:eastAsia="宋体" w:cs="Times New Roman"/>
                <w:b w:val="0"/>
                <w:bCs w:val="0"/>
                <w:snapToGrid w:val="0"/>
                <w:color w:val="auto"/>
                <w:sz w:val="21"/>
                <w:szCs w:val="21"/>
                <w:highlight w:val="none"/>
                <w:lang w:val="en-US" w:eastAsia="zh-CN"/>
              </w:rPr>
            </w:pPr>
            <w:r>
              <w:rPr>
                <w:rFonts w:hint="default" w:ascii="Times New Roman" w:hAnsi="Times New Roman" w:eastAsia="宋体" w:cs="Times New Roman"/>
                <w:b w:val="0"/>
                <w:bCs w:val="0"/>
                <w:snapToGrid w:val="0"/>
                <w:color w:val="auto"/>
                <w:kern w:val="0"/>
                <w:sz w:val="21"/>
                <w:szCs w:val="21"/>
                <w:highlight w:val="none"/>
                <w:lang w:val="zh-CN"/>
              </w:rPr>
              <w:t>（3）本项目</w:t>
            </w:r>
            <w:r>
              <w:rPr>
                <w:rFonts w:hint="eastAsia" w:ascii="Times New Roman" w:hAnsi="Times New Roman" w:eastAsia="宋体" w:cs="Times New Roman"/>
                <w:b w:val="0"/>
                <w:bCs w:val="0"/>
                <w:snapToGrid w:val="0"/>
                <w:color w:val="auto"/>
                <w:kern w:val="0"/>
                <w:sz w:val="21"/>
                <w:szCs w:val="21"/>
                <w:highlight w:val="none"/>
                <w:lang w:val="zh-CN"/>
              </w:rPr>
              <w:t>位置未铺设供水管网，企业</w:t>
            </w:r>
            <w:r>
              <w:rPr>
                <w:rFonts w:hint="default" w:ascii="Times New Roman" w:hAnsi="Times New Roman" w:eastAsia="宋体" w:cs="Times New Roman"/>
                <w:b w:val="0"/>
                <w:bCs w:val="0"/>
                <w:snapToGrid w:val="0"/>
                <w:color w:val="auto"/>
                <w:kern w:val="0"/>
                <w:sz w:val="21"/>
                <w:szCs w:val="21"/>
                <w:highlight w:val="none"/>
                <w:lang w:val="zh-CN"/>
              </w:rPr>
              <w:t>用水来自</w:t>
            </w:r>
            <w:r>
              <w:rPr>
                <w:rFonts w:hint="eastAsia" w:ascii="Times New Roman" w:hAnsi="Times New Roman" w:eastAsia="宋体" w:cs="Times New Roman"/>
                <w:b w:val="0"/>
                <w:bCs w:val="0"/>
                <w:snapToGrid w:val="0"/>
                <w:color w:val="auto"/>
                <w:kern w:val="0"/>
                <w:sz w:val="21"/>
                <w:szCs w:val="21"/>
                <w:highlight w:val="none"/>
                <w:lang w:val="zh-CN"/>
              </w:rPr>
              <w:t>厂区自打地下水井</w:t>
            </w:r>
            <w:r>
              <w:rPr>
                <w:rFonts w:hint="default" w:ascii="Times New Roman" w:hAnsi="Times New Roman" w:eastAsia="宋体" w:cs="Times New Roman"/>
                <w:b w:val="0"/>
                <w:bCs w:val="0"/>
                <w:snapToGrid w:val="0"/>
                <w:color w:val="auto"/>
                <w:kern w:val="0"/>
                <w:sz w:val="21"/>
                <w:szCs w:val="21"/>
                <w:highlight w:val="none"/>
                <w:lang w:val="zh-CN"/>
              </w:rPr>
              <w:t>，供电来自市政管网，用地性质为建设用地。</w:t>
            </w:r>
          </w:p>
        </w:tc>
        <w:tc>
          <w:tcPr>
            <w:tcW w:w="373" w:type="pct"/>
            <w:tcBorders>
              <w:top w:val="single" w:color="auto" w:sz="4" w:space="0"/>
              <w:left w:val="single" w:color="auto" w:sz="4" w:space="0"/>
              <w:bottom w:val="single" w:color="auto" w:sz="12" w:space="0"/>
              <w:right w:val="nil"/>
            </w:tcBorders>
            <w:vAlign w:val="center"/>
          </w:tcPr>
          <w:p>
            <w:pPr>
              <w:adjustRightInd/>
              <w:snapToGrid/>
              <w:jc w:val="center"/>
              <w:rPr>
                <w:rFonts w:hint="eastAsia" w:eastAsia="宋体"/>
                <w:snapToGrid w:val="0"/>
                <w:color w:val="auto"/>
                <w:kern w:val="0"/>
                <w:sz w:val="21"/>
                <w:szCs w:val="21"/>
                <w:lang w:val="en-US" w:eastAsia="zh-CN"/>
              </w:rPr>
            </w:pPr>
            <w:r>
              <w:rPr>
                <w:rFonts w:hint="eastAsia"/>
                <w:snapToGrid w:val="0"/>
                <w:color w:val="auto"/>
                <w:kern w:val="0"/>
                <w:sz w:val="21"/>
                <w:szCs w:val="21"/>
                <w:lang w:val="en-US" w:eastAsia="zh-CN"/>
              </w:rPr>
              <w:t>符合</w:t>
            </w:r>
          </w:p>
        </w:tc>
      </w:tr>
      <w:bookmarkEnd w:id="20"/>
    </w:tbl>
    <w:p>
      <w:pPr>
        <w:pStyle w:val="74"/>
        <w:adjustRightInd/>
        <w:snapToGrid/>
        <w:contextualSpacing/>
        <w:jc w:val="both"/>
        <w:rPr>
          <w:rFonts w:ascii="Times New Roman" w:hAnsi="Times New Roman" w:eastAsia="宋体" w:cs="Times New Roman"/>
          <w:snapToGrid w:val="0"/>
          <w:color w:val="auto"/>
          <w:kern w:val="0"/>
        </w:rPr>
      </w:pPr>
      <w:r>
        <w:rPr>
          <w:rFonts w:ascii="Times New Roman" w:hAnsi="Times New Roman" w:eastAsia="宋体" w:cs="Times New Roman"/>
          <w:snapToGrid w:val="0"/>
          <w:color w:val="auto"/>
          <w:kern w:val="0"/>
        </w:rPr>
        <w:t>本项目符合</w:t>
      </w:r>
      <w:r>
        <w:rPr>
          <w:rFonts w:ascii="Times New Roman" w:hAnsi="Times New Roman" w:eastAsia="宋体" w:cs="Times New Roman"/>
          <w:color w:val="auto"/>
        </w:rPr>
        <w:t>《冷库设计</w:t>
      </w:r>
      <w:r>
        <w:rPr>
          <w:rFonts w:hint="eastAsia" w:ascii="Times New Roman" w:hAnsi="Times New Roman" w:eastAsia="宋体" w:cs="Times New Roman"/>
          <w:color w:val="auto"/>
        </w:rPr>
        <w:t>标准</w:t>
      </w:r>
      <w:r>
        <w:rPr>
          <w:rFonts w:ascii="Times New Roman" w:hAnsi="Times New Roman" w:eastAsia="宋体" w:cs="Times New Roman"/>
          <w:color w:val="auto"/>
        </w:rPr>
        <w:t>》（GB50072-20</w:t>
      </w:r>
      <w:r>
        <w:rPr>
          <w:rFonts w:hint="eastAsia" w:ascii="Times New Roman" w:hAnsi="Times New Roman" w:eastAsia="宋体" w:cs="Times New Roman"/>
          <w:color w:val="auto"/>
        </w:rPr>
        <w:t>21</w:t>
      </w:r>
      <w:r>
        <w:rPr>
          <w:rFonts w:ascii="Times New Roman" w:hAnsi="Times New Roman" w:eastAsia="宋体" w:cs="Times New Roman"/>
          <w:color w:val="auto"/>
        </w:rPr>
        <w:t>）、《中华人民共和国动物防疫法》</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《食品安全国家标准 畜禽屠宰加工卫生规范》（GB12694-2016）、</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动物防疫条件审查办法</w:t>
      </w:r>
      <w:r>
        <w:rPr>
          <w:rFonts w:hint="eastAsia" w:ascii="Times New Roman" w:hAnsi="Times New Roman" w:eastAsia="宋体" w:cs="Times New Roman"/>
          <w:color w:val="auto"/>
          <w:lang w:eastAsia="zh-CN"/>
        </w:rPr>
        <w:t>》</w:t>
      </w:r>
      <w:r>
        <w:rPr>
          <w:rFonts w:ascii="Times New Roman" w:hAnsi="Times New Roman" w:eastAsia="宋体" w:cs="Times New Roman"/>
          <w:color w:val="auto"/>
        </w:rPr>
        <w:t>相关要求</w:t>
      </w:r>
      <w:r>
        <w:rPr>
          <w:rFonts w:ascii="Times New Roman" w:hAnsi="Times New Roman" w:eastAsia="宋体" w:cs="Times New Roman"/>
          <w:snapToGrid w:val="0"/>
          <w:color w:val="auto"/>
          <w:kern w:val="0"/>
        </w:rPr>
        <w:t>，因此，项目选址从环境影响评价的角度分析是合理可行的。</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1.4.</w:t>
      </w:r>
      <w:r>
        <w:rPr>
          <w:rFonts w:hint="eastAsia" w:ascii="Times New Roman" w:hAnsi="Times New Roman" w:cs="Times New Roman"/>
          <w:b/>
          <w:color w:val="auto"/>
          <w:sz w:val="28"/>
          <w:szCs w:val="28"/>
        </w:rPr>
        <w:t>12</w:t>
      </w:r>
      <w:r>
        <w:rPr>
          <w:rFonts w:ascii="Times New Roman" w:hAnsi="Times New Roman" w:cs="Times New Roman"/>
          <w:b/>
          <w:color w:val="auto"/>
          <w:sz w:val="28"/>
          <w:szCs w:val="28"/>
        </w:rPr>
        <w:t>区域环境功能区划</w:t>
      </w:r>
      <w:bookmarkEnd w:id="19"/>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（1）空气环境：根据环境空气质量功能区划，场址位于《环境空气质量标准》（GB3095-2012）二类区。本项目所在区域不在酸雨和二氧化硫控制区内。</w:t>
      </w:r>
    </w:p>
    <w:p>
      <w:pPr>
        <w:spacing w:line="360" w:lineRule="auto"/>
        <w:ind w:firstLine="480" w:firstLineChars="200"/>
        <w:contextualSpacing/>
        <w:rPr>
          <w:rFonts w:hint="default" w:ascii="Times New Roman" w:hAnsi="Times New Roman" w:eastAsia="宋体" w:cs="Times New Roman"/>
          <w:color w:val="auto"/>
          <w:kern w:val="24"/>
          <w:sz w:val="24"/>
          <w:lang w:eastAsia="zh-CN"/>
        </w:rPr>
      </w:pPr>
      <w:r>
        <w:rPr>
          <w:rFonts w:hint="default" w:ascii="Times New Roman" w:hAnsi="Times New Roman" w:cs="Times New Roman"/>
          <w:color w:val="auto"/>
          <w:kern w:val="24"/>
          <w:sz w:val="24"/>
        </w:rPr>
        <w:t>（2）地表水环境：</w:t>
      </w:r>
      <w:r>
        <w:rPr>
          <w:rFonts w:hint="default" w:ascii="Times New Roman" w:hAnsi="Times New Roman" w:cs="Times New Roman"/>
          <w:bCs/>
          <w:color w:val="auto"/>
          <w:kern w:val="24"/>
          <w:sz w:val="24"/>
        </w:rPr>
        <w:t>本项目所在区域最近的地表水体为</w:t>
      </w:r>
      <w:r>
        <w:rPr>
          <w:rFonts w:hint="default" w:ascii="Times New Roman" w:hAnsi="Times New Roman" w:cs="Times New Roman"/>
          <w:bCs/>
          <w:color w:val="auto"/>
          <w:kern w:val="24"/>
          <w:sz w:val="24"/>
          <w:lang w:eastAsia="zh-CN"/>
        </w:rPr>
        <w:t>蚂蚁河，</w:t>
      </w:r>
      <w:r>
        <w:rPr>
          <w:rFonts w:hint="default" w:ascii="Times New Roman" w:hAnsi="Times New Roman" w:cs="Times New Roman"/>
          <w:bCs/>
          <w:color w:val="auto"/>
          <w:kern w:val="24"/>
          <w:sz w:val="24"/>
        </w:rPr>
        <w:t>根据</w:t>
      </w:r>
      <w:r>
        <w:rPr>
          <w:rFonts w:hint="default" w:ascii="Times New Roman" w:hAnsi="Times New Roman" w:cs="Times New Roman"/>
          <w:bCs/>
          <w:color w:val="auto"/>
          <w:kern w:val="24"/>
          <w:sz w:val="24"/>
          <w:lang w:eastAsia="zh-CN"/>
        </w:rPr>
        <w:t>《哈尔滨市生态环境质量报告书（2022年）》（黑龙江省哈尔滨生态环境监测中心，2023年6月）</w:t>
      </w:r>
      <w:r>
        <w:rPr>
          <w:rFonts w:hint="default" w:ascii="Times New Roman" w:hAnsi="Times New Roman" w:cs="Times New Roman"/>
          <w:bCs/>
          <w:color w:val="auto"/>
          <w:kern w:val="24"/>
          <w:sz w:val="24"/>
        </w:rPr>
        <w:t>中可知</w:t>
      </w:r>
      <w:r>
        <w:rPr>
          <w:rFonts w:hint="default" w:ascii="Times New Roman" w:hAnsi="Times New Roman" w:cs="Times New Roman"/>
          <w:bCs/>
          <w:color w:val="auto"/>
          <w:kern w:val="24"/>
          <w:sz w:val="24"/>
          <w:lang w:eastAsia="zh-CN"/>
        </w:rPr>
        <w:t>蚂蚁河</w:t>
      </w:r>
      <w:r>
        <w:rPr>
          <w:rFonts w:hint="default" w:ascii="Times New Roman" w:hAnsi="Times New Roman" w:cs="Times New Roman"/>
          <w:bCs/>
          <w:color w:val="auto"/>
          <w:kern w:val="24"/>
          <w:sz w:val="24"/>
        </w:rPr>
        <w:t>水质目标为III类水体，</w:t>
      </w:r>
      <w:r>
        <w:rPr>
          <w:rFonts w:hint="eastAsia" w:cs="Times New Roman"/>
          <w:bCs/>
          <w:color w:val="auto"/>
          <w:kern w:val="24"/>
          <w:sz w:val="24"/>
          <w:lang w:val="en-US" w:eastAsia="zh-CN"/>
        </w:rPr>
        <w:t>2022年</w:t>
      </w:r>
      <w:r>
        <w:rPr>
          <w:rFonts w:hint="default" w:ascii="Times New Roman" w:hAnsi="Times New Roman" w:cs="Times New Roman"/>
          <w:bCs/>
          <w:color w:val="auto"/>
          <w:kern w:val="24"/>
          <w:sz w:val="24"/>
          <w:lang w:eastAsia="zh-CN"/>
        </w:rPr>
        <w:t>蚂蚁河口内监测断面水质达到《地表水环境质量标准》（GB3838-2002）Ⅲ类标准，达到考核目标Ⅲ类水质要求。</w:t>
      </w:r>
    </w:p>
    <w:p>
      <w:pPr>
        <w:spacing w:line="360" w:lineRule="auto"/>
        <w:ind w:firstLine="480" w:firstLineChars="200"/>
        <w:contextualSpacing/>
        <w:rPr>
          <w:color w:val="auto"/>
          <w:kern w:val="24"/>
          <w:sz w:val="24"/>
        </w:rPr>
      </w:pPr>
      <w:r>
        <w:rPr>
          <w:color w:val="auto"/>
          <w:kern w:val="24"/>
          <w:sz w:val="24"/>
        </w:rPr>
        <w:t>（3）声环境：</w:t>
      </w:r>
      <w:r>
        <w:rPr>
          <w:rFonts w:hint="eastAsia"/>
          <w:color w:val="auto"/>
          <w:kern w:val="24"/>
          <w:sz w:val="24"/>
        </w:rPr>
        <w:t>本项目</w:t>
      </w:r>
      <w:r>
        <w:rPr>
          <w:color w:val="auto"/>
          <w:kern w:val="24"/>
          <w:sz w:val="24"/>
        </w:rPr>
        <w:t>厂界声环境执行《声环境质量标准》（GB3096-2008）中的</w:t>
      </w:r>
      <w:r>
        <w:rPr>
          <w:rFonts w:hint="eastAsia"/>
          <w:color w:val="auto"/>
          <w:kern w:val="24"/>
          <w:sz w:val="24"/>
        </w:rPr>
        <w:t>2</w:t>
      </w:r>
      <w:r>
        <w:rPr>
          <w:color w:val="auto"/>
          <w:kern w:val="24"/>
          <w:sz w:val="24"/>
        </w:rPr>
        <w:t>类标准。</w:t>
      </w:r>
    </w:p>
    <w:p>
      <w:pPr>
        <w:pStyle w:val="74"/>
        <w:adjustRightInd/>
        <w:snapToGrid/>
        <w:contextualSpacing/>
        <w:jc w:val="both"/>
        <w:rPr>
          <w:rFonts w:ascii="Times New Roman" w:hAnsi="Times New Roman" w:eastAsia="宋体" w:cs="Times New Roman"/>
          <w:color w:val="auto"/>
          <w:kern w:val="24"/>
        </w:rPr>
      </w:pPr>
      <w:r>
        <w:rPr>
          <w:rFonts w:ascii="Times New Roman" w:hAnsi="Times New Roman" w:eastAsia="宋体" w:cs="Times New Roman"/>
          <w:color w:val="auto"/>
          <w:kern w:val="24"/>
        </w:rPr>
        <w:t>（4）地下水环境：本项目所在区域地下水执行《地下水质量标准》（GB/T14848-2017）中</w:t>
      </w:r>
      <w:r>
        <w:rPr>
          <w:rFonts w:ascii="Times New Roman" w:hAnsi="Times New Roman" w:eastAsia="宋体" w:cs="Times New Roman"/>
          <w:color w:val="auto"/>
          <w:kern w:val="24"/>
        </w:rPr>
        <w:fldChar w:fldCharType="begin"/>
      </w:r>
      <w:r>
        <w:rPr>
          <w:rFonts w:ascii="Times New Roman" w:hAnsi="Times New Roman" w:eastAsia="宋体" w:cs="Times New Roman"/>
          <w:color w:val="auto"/>
          <w:kern w:val="24"/>
        </w:rPr>
        <w:instrText xml:space="preserve"> = 3 \* ROMAN </w:instrText>
      </w:r>
      <w:r>
        <w:rPr>
          <w:rFonts w:ascii="Times New Roman" w:hAnsi="Times New Roman" w:eastAsia="宋体" w:cs="Times New Roman"/>
          <w:color w:val="auto"/>
          <w:kern w:val="24"/>
        </w:rPr>
        <w:fldChar w:fldCharType="separate"/>
      </w:r>
      <w:r>
        <w:rPr>
          <w:rFonts w:ascii="Times New Roman" w:hAnsi="Times New Roman" w:eastAsia="宋体" w:cs="Times New Roman"/>
          <w:color w:val="auto"/>
          <w:kern w:val="24"/>
        </w:rPr>
        <w:t>III</w:t>
      </w:r>
      <w:r>
        <w:rPr>
          <w:rFonts w:ascii="Times New Roman" w:hAnsi="Times New Roman" w:eastAsia="宋体" w:cs="Times New Roman"/>
          <w:color w:val="auto"/>
          <w:kern w:val="24"/>
        </w:rPr>
        <w:fldChar w:fldCharType="end"/>
      </w:r>
      <w:r>
        <w:rPr>
          <w:rFonts w:ascii="Times New Roman" w:hAnsi="Times New Roman" w:eastAsia="宋体" w:cs="Times New Roman"/>
          <w:color w:val="auto"/>
          <w:kern w:val="24"/>
        </w:rPr>
        <w:t>类标准。</w:t>
      </w:r>
    </w:p>
    <w:p>
      <w:pPr>
        <w:spacing w:line="360" w:lineRule="auto"/>
        <w:jc w:val="left"/>
        <w:outlineLvl w:val="1"/>
        <w:rPr>
          <w:b/>
          <w:bCs/>
          <w:color w:val="auto"/>
          <w:kern w:val="44"/>
          <w:sz w:val="30"/>
          <w:szCs w:val="30"/>
        </w:rPr>
      </w:pPr>
      <w:bookmarkStart w:id="21" w:name="_Toc23911"/>
      <w:r>
        <w:rPr>
          <w:b/>
          <w:bCs/>
          <w:color w:val="auto"/>
          <w:kern w:val="44"/>
          <w:sz w:val="30"/>
          <w:szCs w:val="30"/>
        </w:rPr>
        <w:t>1.5关注的主要环境问题及环境影响</w:t>
      </w:r>
      <w:bookmarkEnd w:id="21"/>
    </w:p>
    <w:p>
      <w:pPr>
        <w:pStyle w:val="74"/>
        <w:adjustRightInd/>
        <w:snapToGrid/>
        <w:contextualSpacing/>
        <w:jc w:val="both"/>
        <w:rPr>
          <w:rFonts w:ascii="Times New Roman" w:hAnsi="Times New Roman" w:eastAsia="宋体" w:cs="Times New Roman"/>
          <w:color w:val="auto"/>
        </w:rPr>
      </w:pPr>
      <w:bookmarkStart w:id="22" w:name="_Toc479252801"/>
      <w:r>
        <w:rPr>
          <w:rFonts w:ascii="Times New Roman" w:hAnsi="Times New Roman" w:eastAsia="宋体" w:cs="Times New Roman"/>
          <w:color w:val="auto"/>
        </w:rPr>
        <w:t>根据《建设项目环境影响评价技术导则  总纲》（HJ2. 1-2016）的要求，本评价的主要内容包括概述、总则、建设项目工程分析、环境现状调查与评价、环境影响预测与评价、环境保护措施及其可行性论证、环境影响经济损益分析、环境管理与监测计划、环境影响评价结论和附表、附图和附件等内容。</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根据项目特点及当地环境质量现状，以工程分析为基础，以环境质量现状及预测影响分析、污染防治对策分析为重点评价专题，兼顾其它专题。根据项目特点，本项目潜在的主要环境影响如下：</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（1）施工期对环境的影响主要是：</w:t>
      </w:r>
    </w:p>
    <w:p>
      <w:pPr>
        <w:pStyle w:val="74"/>
        <w:adjustRightInd/>
        <w:snapToGrid/>
        <w:contextualSpacing/>
        <w:jc w:val="both"/>
        <w:rPr>
          <w:rFonts w:ascii="Times New Roman" w:hAnsi="Times New Roman" w:eastAsia="宋体" w:cs="Times New Roman"/>
          <w:bCs/>
          <w:color w:val="auto"/>
        </w:rPr>
      </w:pPr>
      <w:r>
        <w:rPr>
          <w:rFonts w:hint="eastAsia" w:ascii="Times New Roman" w:hAnsi="Times New Roman" w:eastAsia="宋体" w:cs="Times New Roman"/>
          <w:color w:val="auto"/>
        </w:rPr>
        <w:t>本项目为新建项目，土建工程量较多，</w:t>
      </w:r>
      <w:r>
        <w:rPr>
          <w:rFonts w:hint="eastAsia" w:ascii="Times New Roman" w:hAnsi="Times New Roman" w:eastAsia="宋体" w:cs="Times New Roman"/>
          <w:color w:val="auto"/>
          <w:lang w:val="en-US" w:eastAsia="zh-CN"/>
        </w:rPr>
        <w:t>主要建设内容为屠宰车间、急宰间、待宰间，</w:t>
      </w:r>
      <w:r>
        <w:rPr>
          <w:rFonts w:ascii="Times New Roman" w:hAnsi="Times New Roman" w:eastAsia="宋体" w:cs="Times New Roman"/>
          <w:bCs/>
          <w:color w:val="auto"/>
        </w:rPr>
        <w:t>施工过程中</w:t>
      </w:r>
      <w:r>
        <w:rPr>
          <w:rFonts w:hint="eastAsia" w:ascii="Times New Roman" w:hAnsi="Times New Roman" w:eastAsia="宋体" w:cs="Times New Roman"/>
          <w:bCs/>
          <w:color w:val="auto"/>
        </w:rPr>
        <w:t>主要污染为施工场地噪声、粉尘、施工废物和施工人员产生的生活污水及生活垃圾。</w:t>
      </w:r>
    </w:p>
    <w:p>
      <w:pPr>
        <w:pStyle w:val="74"/>
        <w:adjustRightInd/>
        <w:snapToGrid/>
        <w:contextualSpacing/>
        <w:jc w:val="both"/>
        <w:rPr>
          <w:rFonts w:ascii="Times New Roman" w:hAnsi="Times New Roman" w:eastAsia="宋体" w:cs="Times New Roman"/>
          <w:bCs/>
          <w:color w:val="auto"/>
        </w:rPr>
      </w:pPr>
      <w:r>
        <w:rPr>
          <w:rFonts w:ascii="Times New Roman" w:hAnsi="Times New Roman" w:eastAsia="宋体" w:cs="Times New Roman"/>
          <w:bCs/>
          <w:color w:val="auto"/>
        </w:rPr>
        <w:t>①废气</w:t>
      </w:r>
    </w:p>
    <w:p>
      <w:pPr>
        <w:pStyle w:val="74"/>
        <w:adjustRightInd/>
        <w:snapToGrid/>
        <w:contextualSpacing/>
        <w:jc w:val="both"/>
        <w:rPr>
          <w:rFonts w:ascii="Times New Roman" w:hAnsi="Times New Roman" w:eastAsia="宋体" w:cs="Times New Roman"/>
          <w:bCs/>
          <w:color w:val="auto"/>
        </w:rPr>
      </w:pPr>
      <w:r>
        <w:rPr>
          <w:rFonts w:ascii="Times New Roman" w:hAnsi="Times New Roman" w:eastAsia="宋体" w:cs="Times New Roman"/>
          <w:bCs/>
          <w:color w:val="auto"/>
        </w:rPr>
        <w:t>对整个施工期而言，施工过程中对环境造成影响较为突出的是扬尘污染。通过采取减少露天堆放和</w:t>
      </w:r>
      <w:r>
        <w:rPr>
          <w:rFonts w:hint="eastAsia" w:ascii="Times New Roman" w:hAnsi="Times New Roman" w:eastAsia="宋体" w:cs="Times New Roman"/>
          <w:bCs/>
          <w:color w:val="auto"/>
        </w:rPr>
        <w:t>洒水降尘</w:t>
      </w:r>
      <w:r>
        <w:rPr>
          <w:rFonts w:ascii="Times New Roman" w:hAnsi="Times New Roman" w:eastAsia="宋体" w:cs="Times New Roman"/>
          <w:bCs/>
          <w:color w:val="auto"/>
        </w:rPr>
        <w:t>等措施后，风力起尘对环境的影响较小</w:t>
      </w:r>
      <w:r>
        <w:rPr>
          <w:rFonts w:hint="eastAsia" w:ascii="Times New Roman" w:hAnsi="Times New Roman" w:eastAsia="宋体" w:cs="Times New Roman"/>
          <w:bCs/>
          <w:color w:val="auto"/>
        </w:rPr>
        <w:t>，</w:t>
      </w:r>
      <w:r>
        <w:rPr>
          <w:rFonts w:ascii="Times New Roman" w:hAnsi="Times New Roman" w:eastAsia="宋体" w:cs="Times New Roman"/>
          <w:bCs/>
          <w:color w:val="auto"/>
        </w:rPr>
        <w:t>厂界颗粒物浓度满足《大气污染物综合排放标准》（GB16297-1996）表2无组织排放监控浓度限值要求。</w:t>
      </w:r>
    </w:p>
    <w:p>
      <w:pPr>
        <w:pStyle w:val="74"/>
        <w:adjustRightInd/>
        <w:snapToGrid/>
        <w:contextualSpacing/>
        <w:jc w:val="both"/>
        <w:rPr>
          <w:rFonts w:ascii="Times New Roman" w:hAnsi="Times New Roman" w:eastAsia="宋体" w:cs="Times New Roman"/>
          <w:bCs/>
          <w:color w:val="auto"/>
        </w:rPr>
      </w:pPr>
      <w:r>
        <w:rPr>
          <w:rFonts w:ascii="Times New Roman" w:hAnsi="Times New Roman" w:eastAsia="宋体" w:cs="Times New Roman"/>
          <w:bCs/>
          <w:color w:val="auto"/>
        </w:rPr>
        <w:t>②废水</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施工废水主要来源于机械设备及运输车辆冲洗废水。施工现场设置沉淀池，</w:t>
      </w:r>
      <w:r>
        <w:rPr>
          <w:rFonts w:hint="eastAsia" w:ascii="Times New Roman" w:hAnsi="Times New Roman" w:eastAsia="宋体" w:cs="Times New Roman"/>
          <w:color w:val="auto"/>
        </w:rPr>
        <w:t>施工</w:t>
      </w:r>
      <w:r>
        <w:rPr>
          <w:rFonts w:ascii="Times New Roman" w:hAnsi="Times New Roman" w:eastAsia="宋体" w:cs="Times New Roman"/>
          <w:color w:val="auto"/>
        </w:rPr>
        <w:t>废水</w:t>
      </w:r>
      <w:r>
        <w:rPr>
          <w:rFonts w:hint="eastAsia" w:ascii="Times New Roman" w:hAnsi="Times New Roman" w:eastAsia="宋体" w:cs="Times New Roman"/>
          <w:color w:val="auto"/>
        </w:rPr>
        <w:t>经</w:t>
      </w:r>
      <w:r>
        <w:rPr>
          <w:rFonts w:ascii="Times New Roman" w:hAnsi="Times New Roman" w:eastAsia="宋体" w:cs="Times New Roman"/>
          <w:color w:val="auto"/>
        </w:rPr>
        <w:t>沉淀后</w:t>
      </w:r>
      <w:r>
        <w:rPr>
          <w:rFonts w:hint="eastAsia" w:ascii="Times New Roman" w:hAnsi="Times New Roman" w:eastAsia="宋体" w:cs="Times New Roman"/>
          <w:color w:val="auto"/>
        </w:rPr>
        <w:t>用于</w:t>
      </w:r>
      <w:r>
        <w:rPr>
          <w:rFonts w:ascii="Times New Roman" w:hAnsi="Times New Roman" w:eastAsia="宋体" w:cs="Times New Roman"/>
          <w:color w:val="auto"/>
        </w:rPr>
        <w:t>场地降尘，不外排。本项目施工人员产生的生活污水排入临时建设的防渗旱厕，定期清掏，外运堆肥。</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③噪声</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施工期的噪声主要可分为机械噪声、施工作业噪声和施工车辆噪声。本项目施工期间通过采取距离衰减，夜间不施工等措施后，不会对周围环境造成明显影响，其施工场界声环境可满足《建筑施工场界环境噪声排放标准》（GB12523-2011）要求。</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④固废</w:t>
      </w:r>
    </w:p>
    <w:p>
      <w:pPr>
        <w:pStyle w:val="74"/>
        <w:contextualSpacing/>
        <w:rPr>
          <w:color w:val="auto"/>
        </w:rPr>
      </w:pPr>
      <w:r>
        <w:rPr>
          <w:rFonts w:ascii="Times New Roman" w:hAnsi="Times New Roman" w:eastAsia="宋体" w:cs="Times New Roman"/>
          <w:color w:val="auto"/>
        </w:rPr>
        <w:t>施工期产生的固体废弃物主要是</w:t>
      </w:r>
      <w:r>
        <w:rPr>
          <w:rFonts w:hint="eastAsia" w:ascii="Times New Roman" w:hAnsi="Times New Roman" w:eastAsia="宋体" w:cs="Times New Roman"/>
          <w:color w:val="auto"/>
        </w:rPr>
        <w:t>施工废物</w:t>
      </w:r>
      <w:r>
        <w:rPr>
          <w:rFonts w:ascii="Times New Roman" w:hAnsi="Times New Roman" w:eastAsia="宋体" w:cs="Times New Roman"/>
          <w:color w:val="auto"/>
        </w:rPr>
        <w:t>及施工人员生活垃圾。</w:t>
      </w:r>
      <w:r>
        <w:rPr>
          <w:rFonts w:hint="eastAsia" w:ascii="Times New Roman" w:hAnsi="Times New Roman" w:eastAsia="宋体" w:cs="Times New Roman"/>
          <w:color w:val="auto"/>
        </w:rPr>
        <w:t>施工废物</w:t>
      </w:r>
      <w:r>
        <w:rPr>
          <w:rFonts w:ascii="Times New Roman" w:hAnsi="Times New Roman" w:eastAsia="宋体" w:cs="Times New Roman"/>
          <w:color w:val="auto"/>
        </w:rPr>
        <w:t>主要包括平整场地</w:t>
      </w:r>
      <w:r>
        <w:rPr>
          <w:rFonts w:hint="eastAsia" w:ascii="Times New Roman" w:hAnsi="Times New Roman" w:eastAsia="宋体" w:cs="Times New Roman"/>
          <w:color w:val="auto"/>
        </w:rPr>
        <w:t>和地基开挖</w:t>
      </w:r>
      <w:r>
        <w:rPr>
          <w:rFonts w:ascii="Times New Roman" w:hAnsi="Times New Roman" w:eastAsia="宋体" w:cs="Times New Roman"/>
          <w:color w:val="auto"/>
        </w:rPr>
        <w:t>产生的</w:t>
      </w:r>
      <w:r>
        <w:rPr>
          <w:rFonts w:hint="eastAsia" w:ascii="Times New Roman" w:hAnsi="Times New Roman" w:eastAsia="宋体" w:cs="Times New Roman"/>
          <w:color w:val="auto"/>
        </w:rPr>
        <w:t>少量</w:t>
      </w:r>
      <w:r>
        <w:rPr>
          <w:rFonts w:ascii="Times New Roman" w:hAnsi="Times New Roman" w:eastAsia="宋体" w:cs="Times New Roman"/>
          <w:color w:val="auto"/>
        </w:rPr>
        <w:t>弃土弃渣</w:t>
      </w:r>
      <w:r>
        <w:rPr>
          <w:rFonts w:hint="eastAsia" w:ascii="Times New Roman" w:hAnsi="Times New Roman" w:eastAsia="宋体" w:cs="Times New Roman"/>
          <w:color w:val="auto"/>
        </w:rPr>
        <w:t>、</w:t>
      </w:r>
      <w:r>
        <w:rPr>
          <w:rFonts w:ascii="Times New Roman" w:hAnsi="Times New Roman" w:eastAsia="宋体" w:cs="Times New Roman"/>
          <w:color w:val="auto"/>
        </w:rPr>
        <w:t>建筑</w:t>
      </w:r>
      <w:r>
        <w:rPr>
          <w:rFonts w:hint="eastAsia" w:ascii="Times New Roman" w:hAnsi="Times New Roman" w:eastAsia="宋体" w:cs="Times New Roman"/>
          <w:color w:val="auto"/>
        </w:rPr>
        <w:t>垃圾</w:t>
      </w:r>
      <w:r>
        <w:rPr>
          <w:rFonts w:ascii="Times New Roman" w:hAnsi="Times New Roman" w:eastAsia="宋体" w:cs="Times New Roman"/>
          <w:color w:val="auto"/>
        </w:rPr>
        <w:t>等。</w:t>
      </w:r>
      <w:r>
        <w:rPr>
          <w:color w:val="auto"/>
        </w:rPr>
        <w:t>生活垃圾集中收集，由市政部门统一处理。对可再利用的建筑废料，应进行回收利用，以节省资源。多余废弃的砂、砾石可结合修路利用；除可回收利用外建筑垃圾应运输到环境保护管理部门指定的地点进行填埋，最大程度减小对环境的影响。本项目产生的土方主要为土地平整及</w:t>
      </w:r>
      <w:r>
        <w:rPr>
          <w:rFonts w:hint="eastAsia"/>
          <w:color w:val="auto"/>
          <w:lang w:val="en-US" w:eastAsia="zh-CN"/>
        </w:rPr>
        <w:t>车间</w:t>
      </w:r>
      <w:r>
        <w:rPr>
          <w:color w:val="auto"/>
        </w:rPr>
        <w:t>修建时产生的少许土方，除回填</w:t>
      </w:r>
      <w:r>
        <w:rPr>
          <w:rFonts w:hint="eastAsia"/>
          <w:color w:val="auto"/>
        </w:rPr>
        <w:t>、</w:t>
      </w:r>
      <w:r>
        <w:rPr>
          <w:color w:val="auto"/>
        </w:rPr>
        <w:t>平整场地外，挖方的表土用于场区绿化，无弃土产生。</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（2）营运期对环境的影响主要是：</w:t>
      </w:r>
    </w:p>
    <w:p>
      <w:pPr>
        <w:pStyle w:val="74"/>
        <w:adjustRightInd/>
        <w:snapToGrid/>
        <w:contextualSpacing/>
        <w:jc w:val="both"/>
        <w:rPr>
          <w:rFonts w:ascii="Times New Roman" w:hAnsi="Times New Roman" w:eastAsia="宋体" w:cs="Times New Roman"/>
          <w:bCs/>
          <w:color w:val="auto"/>
        </w:rPr>
      </w:pPr>
      <w:r>
        <w:rPr>
          <w:rFonts w:ascii="Times New Roman" w:hAnsi="Times New Roman" w:eastAsia="宋体" w:cs="Times New Roman"/>
          <w:bCs/>
          <w:color w:val="auto"/>
        </w:rPr>
        <w:t>①废气</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本项目营运期废气主要为</w:t>
      </w:r>
      <w:r>
        <w:rPr>
          <w:rFonts w:hint="eastAsia" w:ascii="Times New Roman" w:hAnsi="Times New Roman" w:eastAsia="宋体" w:cs="Times New Roman"/>
          <w:color w:val="auto"/>
        </w:rPr>
        <w:t>待宰间、屠宰车间及污水处理站排放的恶臭废气，主要污染物为</w:t>
      </w:r>
      <w:r>
        <w:rPr>
          <w:rFonts w:ascii="Times New Roman" w:hAnsi="Times New Roman" w:eastAsia="宋体" w:cs="Times New Roman"/>
          <w:color w:val="auto"/>
        </w:rPr>
        <w:t>NH</w:t>
      </w:r>
      <w:r>
        <w:rPr>
          <w:rFonts w:ascii="Times New Roman" w:hAnsi="Times New Roman" w:eastAsia="宋体" w:cs="Times New Roman"/>
          <w:color w:val="auto"/>
          <w:vertAlign w:val="subscript"/>
        </w:rPr>
        <w:t>3</w:t>
      </w:r>
      <w:r>
        <w:rPr>
          <w:rFonts w:ascii="Times New Roman" w:hAnsi="Times New Roman" w:eastAsia="宋体" w:cs="Times New Roman"/>
          <w:color w:val="auto"/>
        </w:rPr>
        <w:t>、H</w:t>
      </w:r>
      <w:r>
        <w:rPr>
          <w:rFonts w:ascii="Times New Roman" w:hAnsi="Times New Roman" w:eastAsia="宋体" w:cs="Times New Roman"/>
          <w:color w:val="auto"/>
          <w:vertAlign w:val="subscript"/>
        </w:rPr>
        <w:t>2</w:t>
      </w:r>
      <w:r>
        <w:rPr>
          <w:rFonts w:ascii="Times New Roman" w:hAnsi="Times New Roman" w:eastAsia="宋体" w:cs="Times New Roman"/>
          <w:color w:val="auto"/>
        </w:rPr>
        <w:t>S</w:t>
      </w:r>
      <w:r>
        <w:rPr>
          <w:rFonts w:hint="eastAsia" w:ascii="Times New Roman" w:hAnsi="Times New Roman" w:eastAsia="宋体" w:cs="Times New Roman"/>
          <w:color w:val="auto"/>
        </w:rPr>
        <w:t>、臭气浓度</w:t>
      </w:r>
      <w:r>
        <w:rPr>
          <w:rFonts w:ascii="Times New Roman" w:hAnsi="Times New Roman" w:eastAsia="宋体" w:cs="Times New Roman"/>
          <w:color w:val="auto"/>
        </w:rPr>
        <w:t>；食堂产生的油烟</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锅炉烟气（颗粒物、二氧化硫、氮氧化物）</w:t>
      </w:r>
      <w:r>
        <w:rPr>
          <w:rFonts w:ascii="Times New Roman" w:hAnsi="Times New Roman" w:eastAsia="宋体" w:cs="Times New Roman"/>
          <w:color w:val="auto"/>
        </w:rPr>
        <w:t>。项目重点分析废气源强、治理措施的可行性及对周边大气环境的影响。</w:t>
      </w:r>
    </w:p>
    <w:p>
      <w:pPr>
        <w:spacing w:line="360" w:lineRule="auto"/>
        <w:ind w:firstLine="480" w:firstLineChars="200"/>
        <w:rPr>
          <w:bCs/>
          <w:color w:val="auto"/>
          <w:sz w:val="24"/>
          <w:highlight w:val="none"/>
        </w:rPr>
      </w:pPr>
      <w:r>
        <w:rPr>
          <w:rFonts w:hint="eastAsia"/>
          <w:bCs/>
          <w:color w:val="auto"/>
          <w:sz w:val="24"/>
          <w:highlight w:val="none"/>
        </w:rPr>
        <w:t>a屠宰车间产生的</w:t>
      </w:r>
      <w:r>
        <w:rPr>
          <w:bCs/>
          <w:color w:val="auto"/>
          <w:sz w:val="24"/>
          <w:highlight w:val="none"/>
        </w:rPr>
        <w:t>氨、H</w:t>
      </w:r>
      <w:r>
        <w:rPr>
          <w:bCs/>
          <w:color w:val="auto"/>
          <w:sz w:val="24"/>
          <w:highlight w:val="none"/>
          <w:vertAlign w:val="subscript"/>
        </w:rPr>
        <w:t>2</w:t>
      </w:r>
      <w:r>
        <w:rPr>
          <w:bCs/>
          <w:color w:val="auto"/>
          <w:sz w:val="24"/>
          <w:highlight w:val="none"/>
        </w:rPr>
        <w:t>S、臭气浓度经负压集中收集后，通过活性炭吸附净化后由15m高排气筒（</w:t>
      </w:r>
      <w:r>
        <w:rPr>
          <w:rFonts w:hint="eastAsia"/>
          <w:bCs/>
          <w:color w:val="auto"/>
          <w:sz w:val="24"/>
          <w:highlight w:val="none"/>
        </w:rPr>
        <w:t>DA001</w:t>
      </w:r>
      <w:r>
        <w:rPr>
          <w:bCs/>
          <w:color w:val="auto"/>
          <w:sz w:val="24"/>
          <w:highlight w:val="none"/>
        </w:rPr>
        <w:t>）排放，收集率约</w:t>
      </w:r>
      <w:r>
        <w:rPr>
          <w:rFonts w:hint="eastAsia"/>
          <w:bCs/>
          <w:color w:val="auto"/>
          <w:sz w:val="24"/>
          <w:highlight w:val="none"/>
        </w:rPr>
        <w:t>80</w:t>
      </w:r>
      <w:r>
        <w:rPr>
          <w:bCs/>
          <w:color w:val="auto"/>
          <w:sz w:val="24"/>
          <w:highlight w:val="none"/>
        </w:rPr>
        <w:t>%左右，恶臭气体净化率不低于70%。</w:t>
      </w:r>
    </w:p>
    <w:p>
      <w:pPr>
        <w:spacing w:line="360" w:lineRule="auto"/>
        <w:ind w:firstLine="480" w:firstLineChars="200"/>
        <w:rPr>
          <w:bCs/>
          <w:color w:val="auto"/>
          <w:sz w:val="24"/>
        </w:rPr>
      </w:pPr>
      <w:r>
        <w:rPr>
          <w:rFonts w:hint="eastAsia"/>
          <w:bCs/>
          <w:color w:val="auto"/>
          <w:sz w:val="24"/>
        </w:rPr>
        <w:t>b</w:t>
      </w:r>
      <w:r>
        <w:rPr>
          <w:rFonts w:hint="default" w:ascii="Times New Roman" w:hAnsi="Times New Roman" w:cs="Times New Roman"/>
          <w:bCs/>
          <w:color w:val="auto"/>
          <w:sz w:val="24"/>
        </w:rPr>
        <w:t>污水处理站整体封闭，产生的恶臭气体经负压集中收集后，通过活性炭吸附净化后由15m高排气筒（DA002）排放，收集率约80%左右，恶臭气体净化率不低于70%。</w:t>
      </w:r>
    </w:p>
    <w:p>
      <w:pPr>
        <w:spacing w:line="360" w:lineRule="auto"/>
        <w:ind w:firstLine="480" w:firstLineChars="200"/>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c待宰间</w:t>
      </w:r>
      <w:r>
        <w:rPr>
          <w:rFonts w:ascii="Times New Roman" w:hAnsi="Times New Roman" w:eastAsia="宋体" w:cs="Times New Roman"/>
          <w:color w:val="auto"/>
          <w:kern w:val="2"/>
          <w:sz w:val="24"/>
          <w:szCs w:val="24"/>
          <w:lang w:val="en-US" w:eastAsia="zh-CN" w:bidi="ar-SA"/>
        </w:rPr>
        <w:t>及时清扫，并投加或喷洒除臭剂，产生的氨、H</w:t>
      </w:r>
      <w:r>
        <w:rPr>
          <w:rFonts w:ascii="Times New Roman" w:hAnsi="Times New Roman" w:eastAsia="宋体" w:cs="Times New Roman"/>
          <w:color w:val="auto"/>
          <w:kern w:val="2"/>
          <w:sz w:val="24"/>
          <w:szCs w:val="24"/>
          <w:vertAlign w:val="subscript"/>
          <w:lang w:val="en-US" w:eastAsia="zh-CN" w:bidi="ar-SA"/>
        </w:rPr>
        <w:t>2</w:t>
      </w:r>
      <w:r>
        <w:rPr>
          <w:rFonts w:ascii="Times New Roman" w:hAnsi="Times New Roman" w:eastAsia="宋体" w:cs="Times New Roman"/>
          <w:color w:val="auto"/>
          <w:kern w:val="2"/>
          <w:sz w:val="24"/>
          <w:szCs w:val="24"/>
          <w:lang w:val="en-US" w:eastAsia="zh-CN" w:bidi="ar-SA"/>
        </w:rPr>
        <w:t>S、臭气浓度经负压集中收集后，通过活性炭吸附净化后由15m高排气筒（</w:t>
      </w:r>
      <w:r>
        <w:rPr>
          <w:rFonts w:hint="eastAsia" w:ascii="Times New Roman" w:hAnsi="Times New Roman" w:eastAsia="宋体" w:cs="Times New Roman"/>
          <w:color w:val="auto"/>
          <w:kern w:val="2"/>
          <w:sz w:val="24"/>
          <w:szCs w:val="24"/>
          <w:lang w:val="en-US" w:eastAsia="zh-CN" w:bidi="ar-SA"/>
        </w:rPr>
        <w:t>DA003</w:t>
      </w:r>
      <w:r>
        <w:rPr>
          <w:rFonts w:ascii="Times New Roman" w:hAnsi="Times New Roman" w:eastAsia="宋体" w:cs="Times New Roman"/>
          <w:color w:val="auto"/>
          <w:kern w:val="2"/>
          <w:sz w:val="24"/>
          <w:szCs w:val="24"/>
          <w:lang w:val="en-US" w:eastAsia="zh-CN" w:bidi="ar-SA"/>
        </w:rPr>
        <w:t>）排放，收集率约</w:t>
      </w:r>
      <w:r>
        <w:rPr>
          <w:rFonts w:hint="eastAsia" w:ascii="Times New Roman" w:hAnsi="Times New Roman" w:eastAsia="宋体" w:cs="Times New Roman"/>
          <w:color w:val="auto"/>
          <w:kern w:val="2"/>
          <w:sz w:val="24"/>
          <w:szCs w:val="24"/>
          <w:lang w:val="en-US" w:eastAsia="zh-CN" w:bidi="ar-SA"/>
        </w:rPr>
        <w:t>80</w:t>
      </w:r>
      <w:r>
        <w:rPr>
          <w:rFonts w:ascii="Times New Roman" w:hAnsi="Times New Roman" w:eastAsia="宋体" w:cs="Times New Roman"/>
          <w:color w:val="auto"/>
          <w:kern w:val="2"/>
          <w:sz w:val="24"/>
          <w:szCs w:val="24"/>
          <w:lang w:val="en-US" w:eastAsia="zh-CN" w:bidi="ar-SA"/>
        </w:rPr>
        <w:t>%左右，恶臭气体净化率不低于70%。</w:t>
      </w:r>
    </w:p>
    <w:p>
      <w:pPr>
        <w:pStyle w:val="74"/>
        <w:adjustRightInd/>
        <w:snapToGrid/>
        <w:contextualSpacing/>
        <w:jc w:val="both"/>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d</w:t>
      </w:r>
      <w:r>
        <w:rPr>
          <w:rFonts w:ascii="Times New Roman" w:hAnsi="Times New Roman" w:eastAsia="宋体" w:cs="Times New Roman"/>
          <w:color w:val="auto"/>
          <w:kern w:val="2"/>
          <w:sz w:val="24"/>
          <w:szCs w:val="24"/>
          <w:lang w:val="en-US" w:eastAsia="zh-CN" w:bidi="ar-SA"/>
        </w:rPr>
        <w:t>食堂油烟经油烟净化器处理后经高于楼顶的专用烟道（</w:t>
      </w:r>
      <w:r>
        <w:rPr>
          <w:rFonts w:hint="eastAsia" w:ascii="Times New Roman" w:hAnsi="Times New Roman" w:eastAsia="宋体" w:cs="Times New Roman"/>
          <w:color w:val="auto"/>
          <w:kern w:val="2"/>
          <w:sz w:val="24"/>
          <w:szCs w:val="24"/>
          <w:lang w:val="en-US" w:eastAsia="zh-CN" w:bidi="ar-SA"/>
        </w:rPr>
        <w:t>DA004</w:t>
      </w:r>
      <w:r>
        <w:rPr>
          <w:rFonts w:ascii="Times New Roman" w:hAnsi="Times New Roman" w:eastAsia="宋体" w:cs="Times New Roman"/>
          <w:color w:val="auto"/>
          <w:kern w:val="2"/>
          <w:sz w:val="24"/>
          <w:szCs w:val="24"/>
          <w:lang w:val="en-US" w:eastAsia="zh-CN" w:bidi="ar-SA"/>
        </w:rPr>
        <w:t>）排放，净化去除效率</w:t>
      </w:r>
      <w:r>
        <w:rPr>
          <w:rFonts w:hint="eastAsia" w:ascii="Times New Roman" w:hAnsi="Times New Roman" w:eastAsia="宋体" w:cs="Times New Roman"/>
          <w:color w:val="auto"/>
          <w:kern w:val="2"/>
          <w:sz w:val="24"/>
          <w:szCs w:val="24"/>
          <w:lang w:val="en-US" w:eastAsia="zh-CN" w:bidi="ar-SA"/>
        </w:rPr>
        <w:t>60</w:t>
      </w:r>
      <w:r>
        <w:rPr>
          <w:rFonts w:ascii="Times New Roman" w:hAnsi="Times New Roman" w:eastAsia="宋体" w:cs="Times New Roman"/>
          <w:color w:val="auto"/>
          <w:kern w:val="2"/>
          <w:sz w:val="24"/>
          <w:szCs w:val="24"/>
          <w:lang w:val="en-US" w:eastAsia="zh-CN" w:bidi="ar-SA"/>
        </w:rPr>
        <w:t>%。</w:t>
      </w:r>
    </w:p>
    <w:p>
      <w:pPr>
        <w:pStyle w:val="74"/>
        <w:adjustRightInd/>
        <w:snapToGrid/>
        <w:contextualSpacing/>
        <w:jc w:val="both"/>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e</w:t>
      </w:r>
      <w:r>
        <w:rPr>
          <w:rFonts w:hint="default" w:ascii="Times New Roman" w:hAnsi="Times New Roman" w:eastAsia="宋体" w:cs="Times New Roman"/>
          <w:color w:val="auto"/>
          <w:kern w:val="2"/>
          <w:sz w:val="24"/>
          <w:szCs w:val="24"/>
          <w:lang w:val="en-US" w:eastAsia="zh-CN" w:bidi="ar-SA"/>
        </w:rPr>
        <w:t>本项目生活热源由1台</w:t>
      </w:r>
      <w:r>
        <w:rPr>
          <w:rFonts w:hint="eastAsia" w:ascii="Times New Roman" w:hAnsi="Times New Roman" w:eastAsia="宋体" w:cs="Times New Roman"/>
          <w:color w:val="auto"/>
          <w:kern w:val="2"/>
          <w:sz w:val="24"/>
          <w:szCs w:val="24"/>
          <w:lang w:val="en-US" w:eastAsia="zh-CN" w:bidi="ar-SA"/>
        </w:rPr>
        <w:t>2.1MW</w:t>
      </w:r>
      <w:r>
        <w:rPr>
          <w:rFonts w:hint="default" w:ascii="Times New Roman" w:hAnsi="Times New Roman" w:eastAsia="宋体" w:cs="Times New Roman"/>
          <w:color w:val="auto"/>
          <w:kern w:val="2"/>
          <w:sz w:val="24"/>
          <w:szCs w:val="24"/>
          <w:lang w:val="en-US" w:eastAsia="zh-CN" w:bidi="ar-SA"/>
        </w:rPr>
        <w:t>生物质热水锅炉供应，产生的烟气经布袋除尘器处理后，经</w:t>
      </w:r>
      <w:r>
        <w:rPr>
          <w:rFonts w:hint="eastAsia" w:ascii="Times New Roman" w:hAnsi="Times New Roman" w:eastAsia="宋体" w:cs="Times New Roman"/>
          <w:color w:val="auto"/>
          <w:kern w:val="2"/>
          <w:sz w:val="24"/>
          <w:szCs w:val="24"/>
          <w:lang w:val="en-US" w:eastAsia="zh-CN" w:bidi="ar-SA"/>
        </w:rPr>
        <w:t>30m</w:t>
      </w:r>
      <w:r>
        <w:rPr>
          <w:rFonts w:hint="default" w:ascii="Times New Roman" w:hAnsi="Times New Roman" w:eastAsia="宋体" w:cs="Times New Roman"/>
          <w:color w:val="auto"/>
          <w:kern w:val="2"/>
          <w:sz w:val="24"/>
          <w:szCs w:val="24"/>
          <w:lang w:val="en-US" w:eastAsia="zh-CN" w:bidi="ar-SA"/>
        </w:rPr>
        <w:t>高烟囱</w:t>
      </w:r>
      <w:r>
        <w:rPr>
          <w:rFonts w:hint="eastAsia" w:ascii="Times New Roman" w:hAnsi="Times New Roman" w:eastAsia="宋体" w:cs="Times New Roman"/>
          <w:color w:val="auto"/>
          <w:kern w:val="2"/>
          <w:sz w:val="24"/>
          <w:szCs w:val="24"/>
          <w:lang w:val="en-US" w:eastAsia="zh-CN" w:bidi="ar-SA"/>
        </w:rPr>
        <w:t>（DA005）</w:t>
      </w:r>
      <w:r>
        <w:rPr>
          <w:rFonts w:hint="default" w:ascii="Times New Roman" w:hAnsi="Times New Roman" w:eastAsia="宋体" w:cs="Times New Roman"/>
          <w:color w:val="auto"/>
          <w:kern w:val="2"/>
          <w:sz w:val="24"/>
          <w:szCs w:val="24"/>
          <w:lang w:val="en-US" w:eastAsia="zh-CN" w:bidi="ar-SA"/>
        </w:rPr>
        <w:t>排放，排放的污染物为颗粒物、SO</w:t>
      </w:r>
      <w:r>
        <w:rPr>
          <w:rFonts w:hint="default" w:ascii="Times New Roman" w:hAnsi="Times New Roman" w:eastAsia="宋体" w:cs="Times New Roman"/>
          <w:color w:val="auto"/>
          <w:kern w:val="2"/>
          <w:sz w:val="24"/>
          <w:szCs w:val="24"/>
          <w:vertAlign w:val="subscript"/>
          <w:lang w:val="en-US" w:eastAsia="zh-CN" w:bidi="ar-SA"/>
        </w:rPr>
        <w:t>2</w:t>
      </w:r>
      <w:r>
        <w:rPr>
          <w:rFonts w:hint="default" w:ascii="Times New Roman" w:hAnsi="Times New Roman" w:eastAsia="宋体" w:cs="Times New Roman"/>
          <w:color w:val="auto"/>
          <w:kern w:val="2"/>
          <w:sz w:val="24"/>
          <w:szCs w:val="24"/>
          <w:lang w:val="en-US" w:eastAsia="zh-CN" w:bidi="ar-SA"/>
        </w:rPr>
        <w:t>、NO</w:t>
      </w:r>
      <w:r>
        <w:rPr>
          <w:rFonts w:hint="default" w:ascii="Times New Roman" w:hAnsi="Times New Roman" w:eastAsia="宋体" w:cs="Times New Roman"/>
          <w:color w:val="auto"/>
          <w:kern w:val="2"/>
          <w:sz w:val="24"/>
          <w:szCs w:val="24"/>
          <w:vertAlign w:val="subscript"/>
          <w:lang w:val="en-US" w:eastAsia="zh-CN" w:bidi="ar-SA"/>
        </w:rPr>
        <w:t>X</w:t>
      </w:r>
      <w:r>
        <w:rPr>
          <w:rFonts w:hint="default" w:ascii="Times New Roman" w:hAnsi="Times New Roman" w:eastAsia="宋体" w:cs="Times New Roman"/>
          <w:color w:val="auto"/>
          <w:kern w:val="2"/>
          <w:sz w:val="24"/>
          <w:szCs w:val="24"/>
          <w:lang w:val="en-US" w:eastAsia="zh-CN" w:bidi="ar-SA"/>
        </w:rPr>
        <w:t>。</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kern w:val="2"/>
          <w:sz w:val="24"/>
          <w:szCs w:val="24"/>
          <w:lang w:val="en-US" w:eastAsia="zh-CN" w:bidi="ar-SA"/>
        </w:rPr>
        <w:t>经采取治理措施后，本项目恶臭气体排放满足《恶臭污染物排放标准》</w:t>
      </w:r>
      <w:r>
        <w:rPr>
          <w:rFonts w:ascii="Times New Roman" w:hAnsi="Times New Roman" w:eastAsia="宋体" w:cs="Times New Roman"/>
          <w:color w:val="auto"/>
        </w:rPr>
        <w:t>(GB14554-93)</w:t>
      </w:r>
      <w:r>
        <w:rPr>
          <w:rFonts w:hint="eastAsia" w:ascii="Times New Roman" w:hAnsi="Times New Roman" w:eastAsia="宋体" w:cs="Times New Roman"/>
          <w:color w:val="auto"/>
        </w:rPr>
        <w:t>表1及表2</w:t>
      </w:r>
      <w:r>
        <w:rPr>
          <w:rFonts w:ascii="Times New Roman" w:hAnsi="Times New Roman" w:eastAsia="宋体" w:cs="Times New Roman"/>
          <w:color w:val="auto"/>
        </w:rPr>
        <w:t>要求；</w:t>
      </w:r>
      <w:r>
        <w:rPr>
          <w:rFonts w:hint="eastAsia" w:ascii="Times New Roman" w:hAnsi="Times New Roman" w:eastAsia="宋体" w:cs="Times New Roman"/>
          <w:color w:val="auto"/>
        </w:rPr>
        <w:t>食堂油烟满足</w:t>
      </w:r>
      <w:r>
        <w:rPr>
          <w:rFonts w:ascii="Times New Roman" w:hAnsi="Times New Roman" w:eastAsia="宋体" w:cs="Times New Roman"/>
          <w:color w:val="auto"/>
        </w:rPr>
        <w:t>《饮食业油烟排放标准（试行）》（GB18483-2001）中小型食堂油烟的标准限值要求。</w:t>
      </w:r>
      <w:r>
        <w:rPr>
          <w:rFonts w:hint="eastAsia" w:ascii="Times New Roman" w:hAnsi="Times New Roman" w:eastAsia="宋体" w:cs="Times New Roman"/>
          <w:color w:val="auto"/>
          <w:lang w:val="en-US" w:eastAsia="zh-CN"/>
        </w:rPr>
        <w:t>锅炉执行《锅炉大气污染物排放标准》（GB13271-2014）表3中“燃煤锅炉”大气污染物特别排放标准。</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bCs/>
          <w:color w:val="auto"/>
        </w:rPr>
        <w:t>②</w:t>
      </w:r>
      <w:r>
        <w:rPr>
          <w:rFonts w:ascii="Times New Roman" w:hAnsi="Times New Roman" w:eastAsia="宋体" w:cs="Times New Roman"/>
          <w:color w:val="auto"/>
        </w:rPr>
        <w:t>废水</w:t>
      </w:r>
    </w:p>
    <w:p>
      <w:pPr>
        <w:pStyle w:val="74"/>
        <w:adjustRightInd/>
        <w:snapToGrid/>
        <w:contextualSpacing/>
        <w:jc w:val="both"/>
        <w:rPr>
          <w:rFonts w:ascii="Times New Roman" w:hAnsi="Times New Roman" w:eastAsia="宋体" w:cs="Times New Roman"/>
          <w:color w:val="auto"/>
        </w:rPr>
      </w:pPr>
      <w:r>
        <w:rPr>
          <w:rFonts w:hint="eastAsia" w:ascii="Times New Roman" w:hAnsi="Times New Roman" w:eastAsia="宋体" w:cs="Times New Roman"/>
          <w:color w:val="auto"/>
        </w:rPr>
        <w:t>本项目污水主要包括生活污水（含食堂废水）和生产废水，主要水污染物为pH、</w:t>
      </w:r>
      <w:r>
        <w:rPr>
          <w:rFonts w:ascii="Times New Roman" w:hAnsi="Times New Roman" w:eastAsia="宋体" w:cs="Times New Roman"/>
          <w:color w:val="auto"/>
        </w:rPr>
        <w:t>COD、</w:t>
      </w:r>
      <w:r>
        <w:rPr>
          <w:rFonts w:hint="eastAsia" w:ascii="Times New Roman" w:hAnsi="Times New Roman" w:eastAsia="宋体" w:cs="Times New Roman"/>
          <w:color w:val="auto"/>
        </w:rPr>
        <w:t>BOD</w:t>
      </w:r>
      <w:r>
        <w:rPr>
          <w:rFonts w:hint="eastAsia" w:ascii="Times New Roman" w:hAnsi="Times New Roman" w:eastAsia="宋体" w:cs="Times New Roman"/>
          <w:color w:val="auto"/>
          <w:vertAlign w:val="subscript"/>
        </w:rPr>
        <w:t>5</w:t>
      </w:r>
      <w:r>
        <w:rPr>
          <w:rFonts w:hint="eastAsia" w:ascii="Times New Roman" w:hAnsi="Times New Roman" w:eastAsia="宋体" w:cs="Times New Roman"/>
          <w:color w:val="auto"/>
        </w:rPr>
        <w:t>、SS、动植物油、</w:t>
      </w:r>
      <w:r>
        <w:rPr>
          <w:rFonts w:ascii="Times New Roman" w:hAnsi="Times New Roman" w:eastAsia="宋体" w:cs="Times New Roman"/>
          <w:color w:val="auto"/>
        </w:rPr>
        <w:t>NH</w:t>
      </w:r>
      <w:r>
        <w:rPr>
          <w:rFonts w:ascii="Times New Roman" w:hAnsi="Times New Roman" w:eastAsia="宋体" w:cs="Times New Roman"/>
          <w:color w:val="auto"/>
          <w:vertAlign w:val="subscript"/>
        </w:rPr>
        <w:t>3</w:t>
      </w:r>
      <w:r>
        <w:rPr>
          <w:rFonts w:ascii="Times New Roman" w:hAnsi="Times New Roman" w:eastAsia="宋体" w:cs="Times New Roman"/>
          <w:color w:val="auto"/>
        </w:rPr>
        <w:t>-N</w:t>
      </w:r>
      <w:r>
        <w:rPr>
          <w:rFonts w:hint="eastAsia" w:ascii="Times New Roman" w:hAnsi="Times New Roman" w:eastAsia="宋体" w:cs="Times New Roman"/>
          <w:color w:val="auto"/>
        </w:rPr>
        <w:t>、</w:t>
      </w:r>
      <w:r>
        <w:rPr>
          <w:rFonts w:hint="eastAsia" w:ascii="Times New Roman" w:hAnsi="Times New Roman" w:eastAsia="宋体" w:cs="Times New Roman"/>
          <w:bCs/>
          <w:color w:val="auto"/>
        </w:rPr>
        <w:t>大肠菌群数，</w:t>
      </w:r>
      <w:r>
        <w:rPr>
          <w:rFonts w:ascii="Times New Roman" w:hAnsi="Times New Roman" w:eastAsia="宋体" w:cs="Times New Roman"/>
          <w:bCs/>
          <w:color w:val="auto"/>
        </w:rPr>
        <w:t>本工程污水处理站设计规模为</w:t>
      </w:r>
      <w:r>
        <w:rPr>
          <w:rFonts w:hint="eastAsia" w:ascii="Times New Roman" w:hAnsi="Times New Roman" w:eastAsia="宋体" w:cs="Times New Roman"/>
          <w:bCs/>
          <w:color w:val="auto"/>
          <w:lang w:val="en-US" w:eastAsia="zh-CN"/>
        </w:rPr>
        <w:t>70</w:t>
      </w:r>
      <w:r>
        <w:rPr>
          <w:rFonts w:ascii="Times New Roman" w:hAnsi="Times New Roman" w:eastAsia="宋体" w:cs="Times New Roman"/>
          <w:bCs/>
          <w:color w:val="auto"/>
        </w:rPr>
        <w:t>m</w:t>
      </w:r>
      <w:r>
        <w:rPr>
          <w:rFonts w:ascii="Times New Roman" w:hAnsi="Times New Roman" w:eastAsia="宋体" w:cs="Times New Roman"/>
          <w:bCs/>
          <w:color w:val="auto"/>
          <w:vertAlign w:val="superscript"/>
        </w:rPr>
        <w:t>3</w:t>
      </w:r>
      <w:r>
        <w:rPr>
          <w:rFonts w:ascii="Times New Roman" w:hAnsi="Times New Roman" w:eastAsia="宋体" w:cs="Times New Roman"/>
          <w:bCs/>
          <w:color w:val="auto"/>
        </w:rPr>
        <w:t>/d，污水处理工艺为“格栅+</w:t>
      </w:r>
      <w:r>
        <w:rPr>
          <w:rFonts w:ascii="Times New Roman" w:hAnsi="Times New Roman" w:eastAsia="宋体" w:cs="Times New Roman"/>
          <w:color w:val="auto"/>
          <w:kern w:val="24"/>
        </w:rPr>
        <w:t>隔油沉砂+气浮+水解酸化+生物接触氧化+</w:t>
      </w:r>
      <w:r>
        <w:rPr>
          <w:rFonts w:hint="eastAsia" w:ascii="Times New Roman" w:hAnsi="Times New Roman" w:eastAsia="宋体" w:cs="Times New Roman"/>
          <w:color w:val="auto"/>
          <w:kern w:val="24"/>
        </w:rPr>
        <w:t>二沉池+</w:t>
      </w:r>
      <w:r>
        <w:rPr>
          <w:rFonts w:ascii="Times New Roman" w:hAnsi="Times New Roman" w:eastAsia="宋体" w:cs="Times New Roman"/>
          <w:color w:val="auto"/>
          <w:kern w:val="24"/>
        </w:rPr>
        <w:t>消毒</w:t>
      </w:r>
      <w:r>
        <w:rPr>
          <w:rFonts w:hint="eastAsia" w:ascii="Times New Roman" w:hAnsi="Times New Roman" w:eastAsia="宋体" w:cs="Times New Roman"/>
          <w:color w:val="auto"/>
          <w:kern w:val="24"/>
        </w:rPr>
        <w:t>池</w:t>
      </w:r>
      <w:r>
        <w:rPr>
          <w:rFonts w:ascii="Times New Roman" w:hAnsi="Times New Roman" w:eastAsia="宋体" w:cs="Times New Roman"/>
          <w:bCs/>
          <w:color w:val="auto"/>
        </w:rPr>
        <w:t>”处理工艺。本项目产生的废水全部进入污水处理站处理，处理后废水同时满足《肉类加工工业水污染物排放标准》（GB13457-92）表3三级畜类屠宰加工标准限值，</w:t>
      </w:r>
      <w:r>
        <w:rPr>
          <w:rFonts w:hint="eastAsia" w:ascii="Times New Roman" w:hAnsi="Times New Roman" w:eastAsia="宋体" w:cs="Times New Roman"/>
          <w:bCs/>
          <w:color w:val="auto"/>
        </w:rPr>
        <w:t>暂存</w:t>
      </w:r>
      <w:r>
        <w:rPr>
          <w:rFonts w:ascii="Times New Roman" w:hAnsi="Times New Roman" w:eastAsia="宋体" w:cs="Times New Roman"/>
          <w:bCs/>
          <w:color w:val="auto"/>
        </w:rPr>
        <w:t>于贮水池，</w:t>
      </w:r>
      <w:r>
        <w:rPr>
          <w:rFonts w:hint="eastAsia" w:ascii="Times New Roman" w:hAnsi="Times New Roman" w:eastAsia="宋体" w:cs="Times New Roman"/>
          <w:bCs/>
          <w:color w:val="auto"/>
        </w:rPr>
        <w:t>每天</w:t>
      </w:r>
      <w:r>
        <w:rPr>
          <w:rFonts w:ascii="Times New Roman" w:hAnsi="Times New Roman" w:eastAsia="宋体" w:cs="Times New Roman"/>
          <w:bCs/>
          <w:color w:val="auto"/>
        </w:rPr>
        <w:t>采用专用罐车</w:t>
      </w:r>
      <w:r>
        <w:rPr>
          <w:rFonts w:hint="eastAsia" w:ascii="Times New Roman" w:hAnsi="Times New Roman" w:eastAsia="宋体" w:cs="Times New Roman"/>
          <w:bCs/>
          <w:color w:val="auto"/>
        </w:rPr>
        <w:t>运至</w:t>
      </w:r>
      <w:r>
        <w:rPr>
          <w:rFonts w:hint="eastAsia" w:ascii="Times New Roman" w:hAnsi="Times New Roman" w:eastAsia="宋体" w:cs="Times New Roman"/>
          <w:bCs/>
          <w:color w:val="auto"/>
          <w:lang w:eastAsia="zh-CN"/>
        </w:rPr>
        <w:t>尚志污水处理厂</w:t>
      </w:r>
      <w:r>
        <w:rPr>
          <w:rFonts w:hint="eastAsia" w:ascii="Times New Roman" w:hAnsi="Times New Roman" w:eastAsia="宋体" w:cs="Times New Roman"/>
          <w:bCs/>
          <w:color w:val="auto"/>
        </w:rPr>
        <w:t>，经</w:t>
      </w:r>
      <w:r>
        <w:rPr>
          <w:rFonts w:hint="eastAsia" w:ascii="Times New Roman" w:hAnsi="Times New Roman" w:eastAsia="宋体" w:cs="Times New Roman"/>
          <w:bCs/>
          <w:color w:val="auto"/>
          <w:lang w:eastAsia="zh-CN"/>
        </w:rPr>
        <w:t>尚志污水处理厂</w:t>
      </w:r>
      <w:r>
        <w:rPr>
          <w:rFonts w:hint="eastAsia" w:ascii="Times New Roman" w:hAnsi="Times New Roman" w:eastAsia="宋体" w:cs="Times New Roman"/>
          <w:bCs/>
          <w:color w:val="auto"/>
        </w:rPr>
        <w:t>处理后达标后排放，对地表水体影响小。</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③噪声</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本项目主要噪声源是</w:t>
      </w:r>
      <w:r>
        <w:rPr>
          <w:rFonts w:hint="eastAsia" w:ascii="Times New Roman" w:hAnsi="Times New Roman" w:eastAsia="宋体" w:cs="Times New Roman"/>
          <w:color w:val="auto"/>
        </w:rPr>
        <w:t>制冷压缩机、屠宰分割设备、给水泵、污泥泵、风机</w:t>
      </w:r>
      <w:r>
        <w:rPr>
          <w:rFonts w:ascii="Times New Roman" w:hAnsi="Times New Roman" w:eastAsia="宋体" w:cs="Times New Roman"/>
          <w:color w:val="auto"/>
        </w:rPr>
        <w:t>等设备噪声。</w:t>
      </w:r>
      <w:r>
        <w:rPr>
          <w:rFonts w:hint="eastAsia" w:ascii="Times New Roman" w:hAnsi="Times New Roman" w:eastAsia="宋体" w:cs="Times New Roman"/>
          <w:color w:val="auto"/>
        </w:rPr>
        <w:t>通过</w:t>
      </w:r>
      <w:r>
        <w:rPr>
          <w:rFonts w:ascii="Times New Roman" w:hAnsi="Times New Roman" w:eastAsia="宋体" w:cs="Times New Roman"/>
          <w:color w:val="auto"/>
        </w:rPr>
        <w:t>选用低噪声设备，并采取</w:t>
      </w:r>
      <w:r>
        <w:rPr>
          <w:rFonts w:hint="eastAsia" w:ascii="Times New Roman" w:hAnsi="Times New Roman" w:eastAsia="宋体" w:cs="Times New Roman"/>
          <w:color w:val="auto"/>
        </w:rPr>
        <w:t>消声、减震等措施后，厂界噪声可以满足《工业企业厂界环境噪声排放标准》（GB12348-2008）表1中2类标准。</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④固体废物</w:t>
      </w:r>
    </w:p>
    <w:p>
      <w:pPr>
        <w:pStyle w:val="74"/>
        <w:adjustRightInd/>
        <w:snapToGrid/>
        <w:contextualSpacing/>
        <w:jc w:val="both"/>
        <w:rPr>
          <w:rFonts w:ascii="Times New Roman" w:hAnsi="Times New Roman" w:eastAsia="宋体" w:cs="Times New Roman"/>
          <w:color w:val="FF0000"/>
        </w:rPr>
      </w:pPr>
      <w:r>
        <w:rPr>
          <w:rFonts w:ascii="Times New Roman" w:hAnsi="Times New Roman" w:eastAsia="宋体" w:cs="Times New Roman"/>
          <w:bCs/>
          <w:color w:val="auto"/>
        </w:rPr>
        <w:t>本项目粪便</w:t>
      </w:r>
      <w:r>
        <w:rPr>
          <w:rFonts w:hint="eastAsia" w:ascii="Times New Roman" w:hAnsi="Times New Roman" w:eastAsia="宋体" w:cs="Times New Roman"/>
          <w:bCs/>
          <w:color w:val="auto"/>
        </w:rPr>
        <w:t>暂存于待宰间内储粪池内，日产日清，使用密闭运输车运走作为有机肥原料外卖。检疫废物（HW01）</w:t>
      </w:r>
      <w:r>
        <w:rPr>
          <w:rFonts w:ascii="Times New Roman" w:hAnsi="Times New Roman" w:eastAsia="宋体" w:cs="Times New Roman"/>
          <w:bCs/>
          <w:color w:val="auto"/>
        </w:rPr>
        <w:t>单独收集，用</w:t>
      </w:r>
      <w:r>
        <w:rPr>
          <w:rFonts w:hint="eastAsia" w:ascii="Times New Roman" w:hAnsi="Times New Roman" w:eastAsia="宋体" w:cs="Times New Roman"/>
          <w:bCs/>
          <w:color w:val="auto"/>
        </w:rPr>
        <w:t>有</w:t>
      </w:r>
      <w:r>
        <w:rPr>
          <w:rFonts w:ascii="Times New Roman" w:hAnsi="Times New Roman" w:eastAsia="宋体" w:cs="Times New Roman"/>
          <w:bCs/>
          <w:color w:val="auto"/>
        </w:rPr>
        <w:t>明显标识的</w:t>
      </w:r>
      <w:r>
        <w:rPr>
          <w:rFonts w:hint="eastAsia" w:ascii="Times New Roman" w:hAnsi="Times New Roman" w:eastAsia="宋体" w:cs="Times New Roman"/>
          <w:bCs/>
          <w:color w:val="auto"/>
        </w:rPr>
        <w:t>塑料袋</w:t>
      </w:r>
      <w:r>
        <w:rPr>
          <w:rFonts w:ascii="Times New Roman" w:hAnsi="Times New Roman" w:eastAsia="宋体" w:cs="Times New Roman"/>
          <w:bCs/>
          <w:color w:val="auto"/>
        </w:rPr>
        <w:t>盛装，暂存于</w:t>
      </w:r>
      <w:r>
        <w:rPr>
          <w:rFonts w:hint="eastAsia" w:ascii="Times New Roman" w:hAnsi="Times New Roman" w:eastAsia="宋体" w:cs="Times New Roman"/>
          <w:bCs/>
          <w:color w:val="auto"/>
          <w:lang w:eastAsia="zh-CN"/>
        </w:rPr>
        <w:t>危险废物贮存点</w:t>
      </w:r>
      <w:r>
        <w:rPr>
          <w:rFonts w:ascii="Times New Roman" w:hAnsi="Times New Roman" w:eastAsia="宋体" w:cs="Times New Roman"/>
          <w:bCs/>
          <w:color w:val="auto"/>
        </w:rPr>
        <w:t>，</w:t>
      </w:r>
      <w:r>
        <w:rPr>
          <w:rFonts w:hint="eastAsia" w:ascii="Times New Roman" w:hAnsi="Times New Roman" w:eastAsia="宋体" w:cs="Times New Roman"/>
          <w:bCs/>
          <w:color w:val="auto"/>
        </w:rPr>
        <w:t>交</w:t>
      </w:r>
      <w:r>
        <w:rPr>
          <w:rFonts w:ascii="Times New Roman" w:hAnsi="Times New Roman" w:eastAsia="宋体" w:cs="Times New Roman"/>
          <w:bCs/>
          <w:color w:val="auto"/>
        </w:rPr>
        <w:t>由有资质单位进行处置。不可</w:t>
      </w:r>
      <w:r>
        <w:rPr>
          <w:rFonts w:hint="eastAsia" w:ascii="Times New Roman" w:hAnsi="Times New Roman" w:eastAsia="宋体" w:cs="Times New Roman"/>
          <w:bCs/>
          <w:color w:val="auto"/>
        </w:rPr>
        <w:t>食用</w:t>
      </w:r>
      <w:r>
        <w:rPr>
          <w:rFonts w:ascii="Times New Roman" w:hAnsi="Times New Roman" w:eastAsia="宋体" w:cs="Times New Roman"/>
          <w:bCs/>
          <w:color w:val="auto"/>
        </w:rPr>
        <w:t>内脏</w:t>
      </w:r>
      <w:r>
        <w:rPr>
          <w:rFonts w:hint="eastAsia" w:ascii="Times New Roman" w:hAnsi="Times New Roman" w:eastAsia="宋体" w:cs="Times New Roman"/>
          <w:bCs/>
          <w:color w:val="auto"/>
        </w:rPr>
        <w:t>、检疫不合格肉牛及病死牛委托</w:t>
      </w:r>
      <w:r>
        <w:rPr>
          <w:rFonts w:hint="eastAsia" w:ascii="Times New Roman" w:hAnsi="Times New Roman" w:eastAsia="宋体" w:cs="Times New Roman"/>
          <w:bCs/>
          <w:color w:val="auto"/>
          <w:lang w:eastAsia="zh-CN"/>
        </w:rPr>
        <w:t>无害化处理有限公司</w:t>
      </w:r>
      <w:r>
        <w:rPr>
          <w:rFonts w:hint="eastAsia" w:ascii="Times New Roman" w:hAnsi="Times New Roman" w:eastAsia="宋体" w:cs="Times New Roman"/>
          <w:bCs/>
          <w:color w:val="auto"/>
        </w:rPr>
        <w:t>处理。</w:t>
      </w:r>
      <w:r>
        <w:rPr>
          <w:rFonts w:ascii="Times New Roman" w:hAnsi="Times New Roman" w:eastAsia="宋体" w:cs="Times New Roman"/>
          <w:bCs/>
          <w:color w:val="auto"/>
        </w:rPr>
        <w:t>生活垃圾由市政部门统一处理。</w:t>
      </w:r>
      <w:r>
        <w:rPr>
          <w:rFonts w:hint="eastAsia"/>
          <w:bCs/>
          <w:color w:val="auto"/>
          <w:sz w:val="24"/>
        </w:rPr>
        <w:t>废活性炭</w:t>
      </w:r>
      <w:r>
        <w:rPr>
          <w:rFonts w:hint="eastAsia"/>
          <w:bCs/>
          <w:color w:val="auto"/>
          <w:sz w:val="24"/>
          <w:lang w:val="en-US" w:eastAsia="zh-CN"/>
        </w:rPr>
        <w:t>交由厂家再生利用。</w:t>
      </w:r>
      <w:r>
        <w:rPr>
          <w:rFonts w:ascii="Times New Roman" w:hAnsi="Times New Roman" w:eastAsia="宋体" w:cs="Times New Roman"/>
          <w:bCs/>
          <w:color w:val="auto"/>
        </w:rPr>
        <w:t>废弃包装物集中收集，外售综合利用。污泥及栅渣采用压滤机脱水后，</w:t>
      </w:r>
      <w:r>
        <w:rPr>
          <w:rFonts w:hint="eastAsia" w:ascii="Times New Roman" w:hAnsi="Times New Roman" w:eastAsia="宋体" w:cs="Times New Roman"/>
          <w:bCs/>
          <w:color w:val="auto"/>
        </w:rPr>
        <w:t>送生活垃圾填埋场处理，压滤废水返回污水处理工艺。</w:t>
      </w:r>
      <w:r>
        <w:rPr>
          <w:rFonts w:ascii="Times New Roman" w:hAnsi="Times New Roman" w:eastAsia="宋体" w:cs="Times New Roman"/>
          <w:bCs/>
          <w:color w:val="auto"/>
        </w:rPr>
        <w:t>食堂餐馀垃圾交由符合规定的回收处置单位统一回收处置</w:t>
      </w:r>
      <w:r>
        <w:rPr>
          <w:rFonts w:ascii="Times New Roman" w:hAnsi="Times New Roman" w:eastAsia="宋体" w:cs="Times New Roman"/>
          <w:bCs/>
          <w:color w:val="auto"/>
          <w:highlight w:val="none"/>
        </w:rPr>
        <w:t>；食堂废油脂按</w:t>
      </w:r>
      <w:r>
        <w:rPr>
          <w:rFonts w:hint="eastAsia" w:ascii="Times New Roman" w:hAnsi="Times New Roman" w:eastAsia="宋体" w:cs="Times New Roman"/>
          <w:bCs/>
          <w:color w:val="auto"/>
          <w:highlight w:val="none"/>
          <w:lang w:eastAsia="zh-CN"/>
        </w:rPr>
        <w:t>《哈尔滨市城市餐厨废弃物管理办法》</w:t>
      </w:r>
      <w:r>
        <w:rPr>
          <w:rFonts w:ascii="Times New Roman" w:hAnsi="Times New Roman" w:eastAsia="宋体" w:cs="Times New Roman"/>
          <w:bCs/>
          <w:color w:val="auto"/>
          <w:highlight w:val="none"/>
        </w:rPr>
        <w:t>处置。屠宰车间</w:t>
      </w:r>
      <w:r>
        <w:rPr>
          <w:rFonts w:hint="eastAsia" w:ascii="Times New Roman" w:hAnsi="Times New Roman" w:eastAsia="宋体" w:cs="Times New Roman"/>
          <w:bCs/>
          <w:color w:val="auto"/>
          <w:highlight w:val="none"/>
        </w:rPr>
        <w:t>产生的</w:t>
      </w:r>
      <w:r>
        <w:rPr>
          <w:rFonts w:ascii="Times New Roman" w:hAnsi="Times New Roman" w:eastAsia="宋体" w:cs="Times New Roman"/>
          <w:bCs/>
          <w:color w:val="auto"/>
          <w:highlight w:val="none"/>
        </w:rPr>
        <w:t>肠胃内容物同粪便</w:t>
      </w:r>
      <w:r>
        <w:rPr>
          <w:rFonts w:hint="eastAsia" w:ascii="Times New Roman" w:hAnsi="Times New Roman" w:eastAsia="宋体" w:cs="Times New Roman"/>
          <w:bCs/>
          <w:color w:val="auto"/>
          <w:highlight w:val="none"/>
        </w:rPr>
        <w:t>使用密闭运输车运走作为有机肥原料外卖。污水处理站废油</w:t>
      </w:r>
      <w:r>
        <w:rPr>
          <w:rFonts w:hint="eastAsia" w:ascii="Times New Roman" w:hAnsi="Times New Roman" w:eastAsia="宋体" w:cs="Times New Roman"/>
          <w:bCs/>
          <w:color w:val="auto"/>
        </w:rPr>
        <w:t>脂交由有资质单位处置</w:t>
      </w:r>
      <w:r>
        <w:rPr>
          <w:rFonts w:ascii="Times New Roman" w:hAnsi="Times New Roman" w:eastAsia="宋体" w:cs="Times New Roman"/>
          <w:bCs/>
          <w:color w:val="auto"/>
        </w:rPr>
        <w:t>。</w:t>
      </w:r>
      <w:r>
        <w:rPr>
          <w:rFonts w:hint="eastAsia"/>
          <w:bCs/>
          <w:color w:val="auto"/>
          <w:sz w:val="24"/>
          <w:lang w:val="en-US" w:eastAsia="zh-CN"/>
        </w:rPr>
        <w:t>锅炉房软化水设备产生的废离子交换树脂由厂家回收；废布袋由除尘器厂家回收利用；锅炉产生灰渣暂存于锅炉房内灰渣间，收集后袋装密封暂存，外售用于生产有机肥。</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⑤地下水</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本项目对厂区进行分区防渗：</w:t>
      </w:r>
    </w:p>
    <w:p>
      <w:pPr>
        <w:spacing w:line="360" w:lineRule="auto"/>
        <w:ind w:firstLine="480" w:firstLineChars="200"/>
        <w:rPr>
          <w:bCs/>
          <w:color w:val="auto"/>
          <w:sz w:val="24"/>
        </w:rPr>
      </w:pPr>
      <w:r>
        <w:rPr>
          <w:bCs/>
          <w:color w:val="auto"/>
          <w:sz w:val="24"/>
        </w:rPr>
        <w:t>重点防渗区：</w:t>
      </w:r>
      <w:r>
        <w:rPr>
          <w:rFonts w:hint="eastAsia"/>
          <w:bCs/>
          <w:color w:val="auto"/>
          <w:sz w:val="24"/>
          <w:lang w:eastAsia="zh-CN"/>
        </w:rPr>
        <w:t>危险废物贮存点</w:t>
      </w:r>
      <w:r>
        <w:rPr>
          <w:bCs/>
          <w:color w:val="auto"/>
          <w:sz w:val="24"/>
          <w:lang w:val="en-GB"/>
        </w:rPr>
        <w:t>地面和墙裙</w:t>
      </w:r>
      <w:r>
        <w:rPr>
          <w:bCs/>
          <w:color w:val="auto"/>
          <w:sz w:val="24"/>
        </w:rPr>
        <w:t>采用至少1m厚粘土层（渗透系数K≤10</w:t>
      </w:r>
      <w:r>
        <w:rPr>
          <w:bCs/>
          <w:color w:val="auto"/>
          <w:sz w:val="24"/>
          <w:vertAlign w:val="superscript"/>
        </w:rPr>
        <w:t>-7</w:t>
      </w:r>
      <w:r>
        <w:rPr>
          <w:bCs/>
          <w:color w:val="auto"/>
          <w:sz w:val="24"/>
        </w:rPr>
        <w:t>cm/s）或2mm厚高密度聚乙烯或至少2mm厚的其他人工材料（渗透系数K≤10</w:t>
      </w:r>
      <w:r>
        <w:rPr>
          <w:bCs/>
          <w:color w:val="auto"/>
          <w:sz w:val="24"/>
          <w:vertAlign w:val="superscript"/>
        </w:rPr>
        <w:t>-10</w:t>
      </w:r>
      <w:r>
        <w:rPr>
          <w:bCs/>
          <w:color w:val="auto"/>
          <w:sz w:val="24"/>
        </w:rPr>
        <w:t>cm/s）。</w:t>
      </w:r>
    </w:p>
    <w:p>
      <w:pPr>
        <w:spacing w:line="360" w:lineRule="auto"/>
        <w:ind w:firstLine="480" w:firstLineChars="200"/>
        <w:rPr>
          <w:bCs/>
          <w:color w:val="auto"/>
          <w:sz w:val="24"/>
        </w:rPr>
      </w:pPr>
      <w:r>
        <w:rPr>
          <w:bCs/>
          <w:color w:val="auto"/>
          <w:sz w:val="24"/>
        </w:rPr>
        <w:t>一般防渗区：</w:t>
      </w:r>
      <w:r>
        <w:rPr>
          <w:rFonts w:hint="eastAsia"/>
          <w:bCs/>
          <w:color w:val="auto"/>
          <w:sz w:val="24"/>
        </w:rPr>
        <w:t>待宰间、</w:t>
      </w:r>
      <w:r>
        <w:rPr>
          <w:rFonts w:hint="eastAsia"/>
          <w:bCs/>
          <w:color w:val="auto"/>
          <w:sz w:val="24"/>
          <w:lang w:val="en-US" w:eastAsia="zh-CN"/>
        </w:rPr>
        <w:t>急宰间、</w:t>
      </w:r>
      <w:r>
        <w:rPr>
          <w:rFonts w:hint="eastAsia"/>
          <w:bCs/>
          <w:color w:val="auto"/>
          <w:sz w:val="24"/>
        </w:rPr>
        <w:t>屠宰车间、</w:t>
      </w:r>
      <w:r>
        <w:rPr>
          <w:bCs/>
          <w:color w:val="auto"/>
          <w:sz w:val="24"/>
          <w:lang w:val="en-GB"/>
        </w:rPr>
        <w:t>冷库、</w:t>
      </w:r>
      <w:r>
        <w:rPr>
          <w:bCs/>
          <w:color w:val="auto"/>
          <w:sz w:val="24"/>
        </w:rPr>
        <w:t>污水处理站、贮水池、事故池池体及</w:t>
      </w:r>
      <w:r>
        <w:rPr>
          <w:bCs/>
          <w:color w:val="auto"/>
          <w:sz w:val="24"/>
          <w:lang w:val="en-GB"/>
        </w:rPr>
        <w:t>地面基础防渗，防渗层为至少1m厚粘土层或2mm厚高密度聚乙烯，需满足等效黏土防渗层Mb≥1.5m，K≤1×10</w:t>
      </w:r>
      <w:r>
        <w:rPr>
          <w:bCs/>
          <w:color w:val="auto"/>
          <w:sz w:val="24"/>
          <w:vertAlign w:val="superscript"/>
          <w:lang w:val="en-GB"/>
        </w:rPr>
        <w:t>-7</w:t>
      </w:r>
      <w:r>
        <w:rPr>
          <w:bCs/>
          <w:color w:val="auto"/>
          <w:sz w:val="24"/>
          <w:lang w:val="en-GB"/>
        </w:rPr>
        <w:t>cm/s的要求。</w:t>
      </w:r>
    </w:p>
    <w:p>
      <w:pPr>
        <w:spacing w:line="360" w:lineRule="auto"/>
        <w:ind w:firstLine="480" w:firstLineChars="200"/>
        <w:rPr>
          <w:bCs/>
          <w:color w:val="auto"/>
          <w:sz w:val="24"/>
        </w:rPr>
      </w:pPr>
      <w:r>
        <w:rPr>
          <w:bCs/>
          <w:color w:val="auto"/>
          <w:sz w:val="24"/>
        </w:rPr>
        <w:t>简单防渗区：</w:t>
      </w:r>
      <w:r>
        <w:rPr>
          <w:rFonts w:hint="eastAsia"/>
          <w:bCs/>
          <w:color w:val="auto"/>
          <w:sz w:val="24"/>
          <w:lang w:val="en-GB" w:eastAsia="zh-CN"/>
        </w:rPr>
        <w:t>办公楼</w:t>
      </w:r>
      <w:r>
        <w:rPr>
          <w:bCs/>
          <w:color w:val="auto"/>
          <w:sz w:val="24"/>
          <w:lang w:val="en-GB"/>
        </w:rPr>
        <w:t>、库房等</w:t>
      </w:r>
      <w:r>
        <w:rPr>
          <w:bCs/>
          <w:color w:val="auto"/>
          <w:sz w:val="24"/>
        </w:rPr>
        <w:t>对其地面采用混凝土进行一般地面硬化。</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bCs/>
          <w:color w:val="auto"/>
        </w:rPr>
        <w:t>在厂区</w:t>
      </w:r>
      <w:r>
        <w:rPr>
          <w:rFonts w:hint="eastAsia" w:ascii="Times New Roman" w:hAnsi="Times New Roman" w:eastAsia="宋体" w:cs="Times New Roman"/>
          <w:bCs/>
          <w:color w:val="auto"/>
          <w:lang w:eastAsia="zh-CN"/>
        </w:rPr>
        <w:t>东侧</w:t>
      </w:r>
      <w:r>
        <w:rPr>
          <w:rFonts w:ascii="Times New Roman" w:hAnsi="Times New Roman" w:eastAsia="宋体" w:cs="Times New Roman"/>
          <w:bCs/>
          <w:color w:val="auto"/>
        </w:rPr>
        <w:t>设置1口地下水跟踪监控井。为最大限度地减轻对区域地下水的影响，项目采取分区防渗措施，设置监测井定期监测，可防范污染物渗漏污染地下水环境。</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⑥环境风险</w:t>
      </w:r>
    </w:p>
    <w:p>
      <w:pPr>
        <w:pStyle w:val="74"/>
        <w:contextualSpacing/>
        <w:rPr>
          <w:color w:val="auto"/>
        </w:rPr>
      </w:pPr>
      <w:r>
        <w:rPr>
          <w:rFonts w:ascii="Times New Roman" w:hAnsi="Times New Roman" w:eastAsia="宋体" w:cs="Times New Roman"/>
          <w:color w:val="auto"/>
        </w:rPr>
        <w:t>本项目涉及的环境风险物质主要是污水处理站消毒工序用到的次氯酸钠</w:t>
      </w:r>
      <w:r>
        <w:rPr>
          <w:rFonts w:hint="eastAsia" w:ascii="Times New Roman" w:hAnsi="Times New Roman" w:eastAsia="宋体" w:cs="Times New Roman"/>
          <w:color w:val="auto"/>
          <w:lang w:val="en-US" w:eastAsia="zh-CN"/>
        </w:rPr>
        <w:t>及制冷剂液氨</w:t>
      </w:r>
      <w:r>
        <w:rPr>
          <w:rFonts w:ascii="Times New Roman" w:hAnsi="Times New Roman" w:eastAsia="宋体" w:cs="Times New Roman"/>
          <w:color w:val="auto"/>
        </w:rPr>
        <w:t>，</w:t>
      </w:r>
      <w:r>
        <w:rPr>
          <w:color w:val="auto"/>
        </w:rPr>
        <w:t>通过采取风险防范措施，项目环境风险处于可接受水平。</w:t>
      </w:r>
    </w:p>
    <w:p>
      <w:pPr>
        <w:spacing w:line="360" w:lineRule="auto"/>
        <w:jc w:val="left"/>
        <w:outlineLvl w:val="1"/>
        <w:rPr>
          <w:b/>
          <w:bCs/>
          <w:color w:val="auto"/>
          <w:kern w:val="44"/>
          <w:sz w:val="30"/>
          <w:szCs w:val="30"/>
        </w:rPr>
      </w:pPr>
      <w:bookmarkStart w:id="23" w:name="_Toc9471"/>
      <w:r>
        <w:rPr>
          <w:b/>
          <w:bCs/>
          <w:color w:val="auto"/>
          <w:kern w:val="44"/>
          <w:sz w:val="30"/>
          <w:szCs w:val="30"/>
        </w:rPr>
        <w:t>1.6环境影响评价主要结论</w:t>
      </w:r>
      <w:bookmarkEnd w:id="22"/>
      <w:bookmarkEnd w:id="23"/>
    </w:p>
    <w:p>
      <w:pPr>
        <w:pStyle w:val="74"/>
        <w:adjustRightInd/>
        <w:snapToGrid/>
        <w:rPr>
          <w:rFonts w:ascii="Times New Roman" w:hAnsi="Times New Roman" w:eastAsia="宋体" w:cs="Times New Roman"/>
          <w:color w:val="auto"/>
        </w:rPr>
      </w:pPr>
      <w:r>
        <w:rPr>
          <w:rFonts w:ascii="Times New Roman" w:hAnsi="Times New Roman" w:eastAsia="宋体" w:cs="Times New Roman"/>
          <w:color w:val="auto"/>
        </w:rPr>
        <w:t>本项目建设符合国家相关产业政策要求，该项目的建成投产，有利于促进地区经济发展，充分发挥了资源优势，具有良好的经济效益。本评价针对</w:t>
      </w:r>
      <w:r>
        <w:rPr>
          <w:rFonts w:hint="eastAsia" w:ascii="Times New Roman" w:hAnsi="Times New Roman" w:eastAsia="宋体" w:cs="Times New Roman"/>
          <w:color w:val="auto"/>
        </w:rPr>
        <w:t>项目</w:t>
      </w:r>
      <w:r>
        <w:rPr>
          <w:rFonts w:ascii="Times New Roman" w:hAnsi="Times New Roman" w:eastAsia="宋体" w:cs="Times New Roman"/>
          <w:color w:val="auto"/>
        </w:rPr>
        <w:t>特点，提出了切实可行的污染防治措施，将工程开发建设及运行对环境的影响减少到最低程度。</w:t>
      </w:r>
      <w:r>
        <w:rPr>
          <w:rFonts w:ascii="Times New Roman" w:hAnsi="Times New Roman" w:eastAsia="宋体" w:cs="Times New Roman"/>
          <w:color w:val="auto"/>
          <w:szCs w:val="22"/>
        </w:rPr>
        <w:t>项目通过对环境空气、声环境、水环境、固体废物等各项环境因素有效的防治，通过加强环境管理及环境监测，最大限度的减少对环境影响。</w:t>
      </w:r>
      <w:r>
        <w:rPr>
          <w:rFonts w:ascii="Times New Roman" w:hAnsi="Times New Roman" w:eastAsia="宋体" w:cs="Times New Roman"/>
          <w:color w:val="auto"/>
        </w:rPr>
        <w:t>因此，本项目的实施实现了环境效益、社会效益和经济效益的统一，符合当地的环境保护规划和经济发展规划，在做好本报告中提出的各项环保措施的前提下，从环保角度而言，项目建设可行。</w:t>
      </w:r>
    </w:p>
    <w:p>
      <w:pPr>
        <w:rPr>
          <w:color w:val="FF0000"/>
        </w:rPr>
        <w:sectPr>
          <w:footerReference r:id="rId9"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widowControl/>
        <w:tabs>
          <w:tab w:val="left" w:leader="middleDot" w:pos="7371"/>
        </w:tabs>
        <w:spacing w:line="360" w:lineRule="auto"/>
        <w:jc w:val="left"/>
        <w:outlineLvl w:val="0"/>
        <w:rPr>
          <w:b/>
          <w:color w:val="auto"/>
          <w:kern w:val="0"/>
          <w:sz w:val="32"/>
          <w:szCs w:val="32"/>
        </w:rPr>
      </w:pPr>
      <w:bookmarkStart w:id="24" w:name="_Toc29833"/>
      <w:bookmarkStart w:id="25" w:name="_Toc479252802"/>
      <w:r>
        <w:rPr>
          <w:b/>
          <w:color w:val="auto"/>
          <w:kern w:val="0"/>
          <w:sz w:val="32"/>
          <w:szCs w:val="32"/>
        </w:rPr>
        <w:t>2总则</w:t>
      </w:r>
      <w:bookmarkEnd w:id="24"/>
      <w:bookmarkEnd w:id="25"/>
    </w:p>
    <w:p>
      <w:pPr>
        <w:spacing w:line="360" w:lineRule="auto"/>
        <w:jc w:val="left"/>
        <w:outlineLvl w:val="1"/>
        <w:rPr>
          <w:b/>
          <w:bCs/>
          <w:color w:val="auto"/>
          <w:kern w:val="44"/>
          <w:sz w:val="30"/>
          <w:szCs w:val="30"/>
        </w:rPr>
      </w:pPr>
      <w:bookmarkStart w:id="26" w:name="_Toc3236"/>
      <w:bookmarkStart w:id="27" w:name="_Toc479252803"/>
      <w:r>
        <w:rPr>
          <w:b/>
          <w:bCs/>
          <w:color w:val="auto"/>
          <w:kern w:val="44"/>
          <w:sz w:val="30"/>
          <w:szCs w:val="30"/>
        </w:rPr>
        <w:t>2.1编制依据</w:t>
      </w:r>
      <w:bookmarkEnd w:id="26"/>
      <w:bookmarkEnd w:id="27"/>
    </w:p>
    <w:p>
      <w:pPr>
        <w:pStyle w:val="5"/>
        <w:spacing w:before="0" w:after="0" w:line="360" w:lineRule="auto"/>
        <w:ind w:firstLine="0" w:firstLineChars="0"/>
        <w:rPr>
          <w:rFonts w:ascii="Times New Roman" w:hAnsi="Times New Roman" w:cs="Times New Roman"/>
          <w:b/>
          <w:color w:val="auto"/>
          <w:sz w:val="28"/>
          <w:szCs w:val="28"/>
        </w:rPr>
      </w:pPr>
      <w:bookmarkStart w:id="28" w:name="_Toc11758465"/>
      <w:r>
        <w:rPr>
          <w:rFonts w:ascii="Times New Roman" w:hAnsi="Times New Roman" w:cs="Times New Roman"/>
          <w:b/>
          <w:color w:val="auto"/>
          <w:sz w:val="28"/>
          <w:szCs w:val="28"/>
        </w:rPr>
        <w:t>2.1.1相关法律、法规</w:t>
      </w:r>
      <w:bookmarkEnd w:id="28"/>
    </w:p>
    <w:p>
      <w:pPr>
        <w:spacing w:line="360" w:lineRule="auto"/>
        <w:rPr>
          <w:snapToGrid w:val="0"/>
          <w:color w:val="auto"/>
          <w:kern w:val="0"/>
          <w:sz w:val="24"/>
        </w:rPr>
      </w:pPr>
      <w:bookmarkStart w:id="29" w:name="_Toc524431281"/>
      <w:bookmarkStart w:id="30" w:name="_Toc15991627"/>
      <w:bookmarkStart w:id="31" w:name="_Toc233779584"/>
      <w:r>
        <w:rPr>
          <w:snapToGrid w:val="0"/>
          <w:color w:val="auto"/>
          <w:kern w:val="0"/>
          <w:sz w:val="24"/>
        </w:rPr>
        <w:t>（1）《中华人民共和国环境保护法》，2015年1月1日；</w:t>
      </w:r>
    </w:p>
    <w:p>
      <w:pPr>
        <w:spacing w:line="360" w:lineRule="auto"/>
        <w:rPr>
          <w:snapToGrid w:val="0"/>
          <w:color w:val="auto"/>
          <w:kern w:val="0"/>
          <w:sz w:val="24"/>
        </w:rPr>
      </w:pPr>
      <w:r>
        <w:rPr>
          <w:snapToGrid w:val="0"/>
          <w:color w:val="auto"/>
          <w:kern w:val="0"/>
          <w:sz w:val="24"/>
        </w:rPr>
        <w:t>（2）《中华人民共和国环境影响评价法》（修订），2018年12月29日；</w:t>
      </w:r>
    </w:p>
    <w:p>
      <w:pPr>
        <w:spacing w:line="360" w:lineRule="auto"/>
        <w:rPr>
          <w:snapToGrid w:val="0"/>
          <w:color w:val="auto"/>
          <w:kern w:val="0"/>
          <w:sz w:val="24"/>
        </w:rPr>
      </w:pPr>
      <w:r>
        <w:rPr>
          <w:snapToGrid w:val="0"/>
          <w:color w:val="auto"/>
          <w:kern w:val="0"/>
          <w:sz w:val="24"/>
        </w:rPr>
        <w:t>（3）《中华人民共和国大气污染防治法》（2018修正），2018年10月26日；</w:t>
      </w:r>
    </w:p>
    <w:p>
      <w:pPr>
        <w:spacing w:line="360" w:lineRule="auto"/>
        <w:rPr>
          <w:snapToGrid w:val="0"/>
          <w:color w:val="auto"/>
          <w:kern w:val="0"/>
          <w:sz w:val="24"/>
        </w:rPr>
      </w:pPr>
      <w:r>
        <w:rPr>
          <w:snapToGrid w:val="0"/>
          <w:color w:val="auto"/>
          <w:kern w:val="0"/>
          <w:sz w:val="24"/>
        </w:rPr>
        <w:t>（4）《中华人民共和国水污染防治法》，2018年1月1日；</w:t>
      </w:r>
    </w:p>
    <w:p>
      <w:pPr>
        <w:spacing w:line="360" w:lineRule="auto"/>
        <w:rPr>
          <w:snapToGrid w:val="0"/>
          <w:color w:val="auto"/>
          <w:kern w:val="0"/>
          <w:sz w:val="24"/>
        </w:rPr>
      </w:pPr>
      <w:r>
        <w:rPr>
          <w:snapToGrid w:val="0"/>
          <w:color w:val="auto"/>
          <w:kern w:val="0"/>
          <w:sz w:val="24"/>
        </w:rPr>
        <w:t>（5）《</w:t>
      </w:r>
      <w:r>
        <w:rPr>
          <w:bCs/>
          <w:snapToGrid w:val="0"/>
          <w:color w:val="auto"/>
          <w:kern w:val="0"/>
          <w:sz w:val="24"/>
        </w:rPr>
        <w:t>中华人民共和国噪声污染防治法</w:t>
      </w:r>
      <w:r>
        <w:rPr>
          <w:snapToGrid w:val="0"/>
          <w:color w:val="auto"/>
          <w:kern w:val="0"/>
          <w:sz w:val="24"/>
        </w:rPr>
        <w:t>》，20</w:t>
      </w:r>
      <w:r>
        <w:rPr>
          <w:rFonts w:hint="eastAsia"/>
          <w:snapToGrid w:val="0"/>
          <w:color w:val="auto"/>
          <w:kern w:val="0"/>
          <w:sz w:val="24"/>
        </w:rPr>
        <w:t>22</w:t>
      </w:r>
      <w:r>
        <w:rPr>
          <w:snapToGrid w:val="0"/>
          <w:color w:val="auto"/>
          <w:kern w:val="0"/>
          <w:sz w:val="24"/>
        </w:rPr>
        <w:t>年</w:t>
      </w:r>
      <w:r>
        <w:rPr>
          <w:rFonts w:hint="eastAsia"/>
          <w:snapToGrid w:val="0"/>
          <w:color w:val="auto"/>
          <w:kern w:val="0"/>
          <w:sz w:val="24"/>
        </w:rPr>
        <w:t>6</w:t>
      </w:r>
      <w:r>
        <w:rPr>
          <w:snapToGrid w:val="0"/>
          <w:color w:val="auto"/>
          <w:kern w:val="0"/>
          <w:sz w:val="24"/>
        </w:rPr>
        <w:t>月</w:t>
      </w:r>
      <w:r>
        <w:rPr>
          <w:rFonts w:hint="eastAsia"/>
          <w:snapToGrid w:val="0"/>
          <w:color w:val="auto"/>
          <w:kern w:val="0"/>
          <w:sz w:val="24"/>
        </w:rPr>
        <w:t>5</w:t>
      </w:r>
      <w:r>
        <w:rPr>
          <w:snapToGrid w:val="0"/>
          <w:color w:val="auto"/>
          <w:kern w:val="0"/>
          <w:sz w:val="24"/>
        </w:rPr>
        <w:t>日；</w:t>
      </w:r>
    </w:p>
    <w:p>
      <w:pPr>
        <w:spacing w:line="360" w:lineRule="auto"/>
        <w:rPr>
          <w:snapToGrid w:val="0"/>
          <w:color w:val="auto"/>
          <w:kern w:val="0"/>
          <w:sz w:val="24"/>
        </w:rPr>
      </w:pPr>
      <w:r>
        <w:rPr>
          <w:snapToGrid w:val="0"/>
          <w:color w:val="auto"/>
          <w:kern w:val="0"/>
          <w:sz w:val="24"/>
        </w:rPr>
        <w:t>（6）《中华人民共和国土壤污染防治法》，2019年1月1日；</w:t>
      </w:r>
    </w:p>
    <w:p>
      <w:pPr>
        <w:spacing w:line="360" w:lineRule="auto"/>
        <w:rPr>
          <w:snapToGrid w:val="0"/>
          <w:color w:val="auto"/>
          <w:kern w:val="0"/>
          <w:sz w:val="24"/>
        </w:rPr>
      </w:pPr>
      <w:r>
        <w:rPr>
          <w:snapToGrid w:val="0"/>
          <w:color w:val="auto"/>
          <w:kern w:val="0"/>
          <w:sz w:val="24"/>
        </w:rPr>
        <w:t>（7）《中华人民共和国固体废物污染环境防治法》，2020年9月1日；</w:t>
      </w:r>
    </w:p>
    <w:p>
      <w:pPr>
        <w:spacing w:line="360" w:lineRule="auto"/>
        <w:rPr>
          <w:snapToGrid w:val="0"/>
          <w:color w:val="auto"/>
          <w:kern w:val="0"/>
          <w:sz w:val="24"/>
        </w:rPr>
      </w:pPr>
      <w:r>
        <w:rPr>
          <w:snapToGrid w:val="0"/>
          <w:color w:val="auto"/>
          <w:kern w:val="0"/>
          <w:sz w:val="24"/>
        </w:rPr>
        <w:t>（</w:t>
      </w:r>
      <w:r>
        <w:rPr>
          <w:rFonts w:hint="eastAsia"/>
          <w:snapToGrid w:val="0"/>
          <w:color w:val="auto"/>
          <w:kern w:val="0"/>
          <w:sz w:val="24"/>
        </w:rPr>
        <w:t>8</w:t>
      </w:r>
      <w:r>
        <w:rPr>
          <w:snapToGrid w:val="0"/>
          <w:color w:val="auto"/>
          <w:kern w:val="0"/>
          <w:sz w:val="24"/>
        </w:rPr>
        <w:t>）《中华人民共和国清洁生产促进法》，2012年7月1日；</w:t>
      </w:r>
    </w:p>
    <w:p>
      <w:pPr>
        <w:spacing w:line="360" w:lineRule="auto"/>
        <w:rPr>
          <w:snapToGrid w:val="0"/>
          <w:color w:val="auto"/>
          <w:kern w:val="0"/>
          <w:sz w:val="24"/>
        </w:rPr>
      </w:pPr>
      <w:r>
        <w:rPr>
          <w:snapToGrid w:val="0"/>
          <w:color w:val="auto"/>
          <w:kern w:val="0"/>
          <w:sz w:val="24"/>
        </w:rPr>
        <w:t>（</w:t>
      </w:r>
      <w:r>
        <w:rPr>
          <w:rFonts w:hint="eastAsia"/>
          <w:snapToGrid w:val="0"/>
          <w:color w:val="auto"/>
          <w:kern w:val="0"/>
          <w:sz w:val="24"/>
        </w:rPr>
        <w:t>9</w:t>
      </w:r>
      <w:r>
        <w:rPr>
          <w:snapToGrid w:val="0"/>
          <w:color w:val="auto"/>
          <w:kern w:val="0"/>
          <w:sz w:val="24"/>
        </w:rPr>
        <w:t>）国务院第682号令《建设项目环境保护管理条例》，2017年10月1日；</w:t>
      </w:r>
    </w:p>
    <w:p>
      <w:pPr>
        <w:spacing w:line="360" w:lineRule="auto"/>
        <w:rPr>
          <w:snapToGrid w:val="0"/>
          <w:color w:val="auto"/>
          <w:kern w:val="0"/>
          <w:sz w:val="24"/>
        </w:rPr>
      </w:pPr>
      <w:r>
        <w:rPr>
          <w:snapToGrid w:val="0"/>
          <w:color w:val="auto"/>
          <w:kern w:val="0"/>
          <w:sz w:val="24"/>
        </w:rPr>
        <w:t>（1</w:t>
      </w:r>
      <w:r>
        <w:rPr>
          <w:rFonts w:hint="eastAsia"/>
          <w:snapToGrid w:val="0"/>
          <w:color w:val="auto"/>
          <w:kern w:val="0"/>
          <w:sz w:val="24"/>
        </w:rPr>
        <w:t>0</w:t>
      </w:r>
      <w:r>
        <w:rPr>
          <w:snapToGrid w:val="0"/>
          <w:color w:val="auto"/>
          <w:kern w:val="0"/>
          <w:sz w:val="24"/>
        </w:rPr>
        <w:t>）国发（2005）39号《国务院关于落实科学发展观加强环境保护的决定》，2005年12月3日；</w:t>
      </w:r>
    </w:p>
    <w:p>
      <w:pPr>
        <w:spacing w:line="360" w:lineRule="auto"/>
        <w:rPr>
          <w:snapToGrid w:val="0"/>
          <w:color w:val="auto"/>
          <w:kern w:val="0"/>
          <w:sz w:val="24"/>
        </w:rPr>
      </w:pPr>
      <w:r>
        <w:rPr>
          <w:snapToGrid w:val="0"/>
          <w:color w:val="auto"/>
          <w:kern w:val="0"/>
          <w:sz w:val="24"/>
        </w:rPr>
        <w:t>（1</w:t>
      </w:r>
      <w:r>
        <w:rPr>
          <w:rFonts w:hint="eastAsia"/>
          <w:snapToGrid w:val="0"/>
          <w:color w:val="auto"/>
          <w:kern w:val="0"/>
          <w:sz w:val="24"/>
        </w:rPr>
        <w:t>1</w:t>
      </w:r>
      <w:r>
        <w:rPr>
          <w:snapToGrid w:val="0"/>
          <w:color w:val="auto"/>
          <w:kern w:val="0"/>
          <w:sz w:val="24"/>
        </w:rPr>
        <w:t>）《建设项目环境影响评价分类管理名录（2021年版）》（生态环境部部令第16号）2021.01.01；</w:t>
      </w:r>
    </w:p>
    <w:p>
      <w:pPr>
        <w:spacing w:line="360" w:lineRule="auto"/>
        <w:rPr>
          <w:snapToGrid w:val="0"/>
          <w:color w:val="auto"/>
          <w:kern w:val="0"/>
          <w:sz w:val="24"/>
        </w:rPr>
      </w:pPr>
      <w:r>
        <w:rPr>
          <w:snapToGrid w:val="0"/>
          <w:color w:val="auto"/>
          <w:kern w:val="0"/>
          <w:sz w:val="24"/>
        </w:rPr>
        <w:t>（1</w:t>
      </w:r>
      <w:r>
        <w:rPr>
          <w:rFonts w:hint="eastAsia"/>
          <w:snapToGrid w:val="0"/>
          <w:color w:val="auto"/>
          <w:kern w:val="0"/>
          <w:sz w:val="24"/>
        </w:rPr>
        <w:t>2</w:t>
      </w:r>
      <w:r>
        <w:rPr>
          <w:snapToGrid w:val="0"/>
          <w:color w:val="auto"/>
          <w:kern w:val="0"/>
          <w:sz w:val="24"/>
        </w:rPr>
        <w:t>）《大气污染防治行动计划》（国务院）2013年9月10日；</w:t>
      </w:r>
    </w:p>
    <w:p>
      <w:pPr>
        <w:spacing w:line="360" w:lineRule="auto"/>
        <w:rPr>
          <w:snapToGrid w:val="0"/>
          <w:color w:val="auto"/>
          <w:kern w:val="0"/>
          <w:sz w:val="24"/>
        </w:rPr>
      </w:pPr>
      <w:r>
        <w:rPr>
          <w:snapToGrid w:val="0"/>
          <w:color w:val="auto"/>
          <w:kern w:val="0"/>
          <w:sz w:val="24"/>
        </w:rPr>
        <w:t>（1</w:t>
      </w:r>
      <w:r>
        <w:rPr>
          <w:rFonts w:hint="eastAsia"/>
          <w:snapToGrid w:val="0"/>
          <w:color w:val="auto"/>
          <w:kern w:val="0"/>
          <w:sz w:val="24"/>
        </w:rPr>
        <w:t>3</w:t>
      </w:r>
      <w:r>
        <w:rPr>
          <w:snapToGrid w:val="0"/>
          <w:color w:val="auto"/>
          <w:kern w:val="0"/>
          <w:sz w:val="24"/>
        </w:rPr>
        <w:t>）《水污染防治行动计划》（国务院）2015年4月16日；</w:t>
      </w:r>
    </w:p>
    <w:p>
      <w:pPr>
        <w:spacing w:line="360" w:lineRule="auto"/>
        <w:rPr>
          <w:snapToGrid w:val="0"/>
          <w:color w:val="auto"/>
          <w:kern w:val="0"/>
          <w:sz w:val="24"/>
        </w:rPr>
      </w:pPr>
      <w:r>
        <w:rPr>
          <w:snapToGrid w:val="0"/>
          <w:color w:val="auto"/>
          <w:kern w:val="0"/>
          <w:sz w:val="24"/>
        </w:rPr>
        <w:t>（1</w:t>
      </w:r>
      <w:r>
        <w:rPr>
          <w:rFonts w:hint="eastAsia"/>
          <w:snapToGrid w:val="0"/>
          <w:color w:val="auto"/>
          <w:kern w:val="0"/>
          <w:sz w:val="24"/>
        </w:rPr>
        <w:t>4</w:t>
      </w:r>
      <w:r>
        <w:rPr>
          <w:snapToGrid w:val="0"/>
          <w:color w:val="auto"/>
          <w:kern w:val="0"/>
          <w:sz w:val="24"/>
        </w:rPr>
        <w:t>）《土壤污染防治行动计划》（国务院）2016年5月28日；</w:t>
      </w:r>
    </w:p>
    <w:p>
      <w:pPr>
        <w:spacing w:line="360" w:lineRule="auto"/>
        <w:rPr>
          <w:snapToGrid w:val="0"/>
          <w:color w:val="auto"/>
          <w:kern w:val="0"/>
          <w:sz w:val="24"/>
        </w:rPr>
      </w:pPr>
      <w:r>
        <w:rPr>
          <w:snapToGrid w:val="0"/>
          <w:color w:val="auto"/>
          <w:kern w:val="0"/>
          <w:sz w:val="24"/>
        </w:rPr>
        <w:t>（1</w:t>
      </w:r>
      <w:r>
        <w:rPr>
          <w:rFonts w:hint="eastAsia"/>
          <w:snapToGrid w:val="0"/>
          <w:color w:val="auto"/>
          <w:kern w:val="0"/>
          <w:sz w:val="24"/>
        </w:rPr>
        <w:t>5</w:t>
      </w:r>
      <w:r>
        <w:rPr>
          <w:snapToGrid w:val="0"/>
          <w:color w:val="auto"/>
          <w:kern w:val="0"/>
          <w:sz w:val="24"/>
        </w:rPr>
        <w:t>）《黑龙江省人民政府关于印发黑龙江省大气污染防治行动计划实施细则的通知》（黑政发[2014]1号），2014年1月26日；</w:t>
      </w:r>
    </w:p>
    <w:p>
      <w:pPr>
        <w:spacing w:line="360" w:lineRule="auto"/>
        <w:rPr>
          <w:snapToGrid w:val="0"/>
          <w:color w:val="auto"/>
          <w:kern w:val="0"/>
          <w:sz w:val="24"/>
        </w:rPr>
      </w:pPr>
      <w:r>
        <w:rPr>
          <w:snapToGrid w:val="0"/>
          <w:color w:val="auto"/>
          <w:kern w:val="0"/>
          <w:sz w:val="24"/>
        </w:rPr>
        <w:t>（</w:t>
      </w:r>
      <w:r>
        <w:rPr>
          <w:rFonts w:hint="eastAsia"/>
          <w:snapToGrid w:val="0"/>
          <w:color w:val="auto"/>
          <w:kern w:val="0"/>
          <w:sz w:val="24"/>
        </w:rPr>
        <w:t>16</w:t>
      </w:r>
      <w:r>
        <w:rPr>
          <w:snapToGrid w:val="0"/>
          <w:color w:val="auto"/>
          <w:kern w:val="0"/>
          <w:sz w:val="24"/>
        </w:rPr>
        <w:t>）《哈尔滨市水污染防治工作方案》（哈政发[2016]9号）；</w:t>
      </w:r>
    </w:p>
    <w:p>
      <w:pPr>
        <w:spacing w:line="360" w:lineRule="auto"/>
        <w:rPr>
          <w:snapToGrid w:val="0"/>
          <w:color w:val="auto"/>
          <w:kern w:val="0"/>
          <w:sz w:val="24"/>
        </w:rPr>
      </w:pPr>
      <w:r>
        <w:rPr>
          <w:snapToGrid w:val="0"/>
          <w:color w:val="auto"/>
          <w:kern w:val="0"/>
          <w:sz w:val="24"/>
        </w:rPr>
        <w:t>（</w:t>
      </w:r>
      <w:r>
        <w:rPr>
          <w:rFonts w:hint="eastAsia"/>
          <w:snapToGrid w:val="0"/>
          <w:color w:val="auto"/>
          <w:kern w:val="0"/>
          <w:sz w:val="24"/>
        </w:rPr>
        <w:t>17</w:t>
      </w:r>
      <w:r>
        <w:rPr>
          <w:snapToGrid w:val="0"/>
          <w:color w:val="auto"/>
          <w:kern w:val="0"/>
          <w:sz w:val="24"/>
        </w:rPr>
        <w:t>）《黑龙江省土壤污染防治实施方案》（黑政发[2016]46号）</w:t>
      </w:r>
      <w:r>
        <w:rPr>
          <w:rFonts w:hint="eastAsia"/>
          <w:snapToGrid w:val="0"/>
          <w:color w:val="auto"/>
          <w:kern w:val="0"/>
          <w:sz w:val="24"/>
        </w:rPr>
        <w:t>；</w:t>
      </w:r>
    </w:p>
    <w:p>
      <w:pPr>
        <w:spacing w:line="360" w:lineRule="auto"/>
        <w:rPr>
          <w:snapToGrid w:val="0"/>
          <w:color w:val="auto"/>
          <w:kern w:val="0"/>
          <w:sz w:val="24"/>
        </w:rPr>
      </w:pPr>
      <w:r>
        <w:rPr>
          <w:rFonts w:hint="eastAsia"/>
          <w:snapToGrid w:val="0"/>
          <w:color w:val="auto"/>
          <w:kern w:val="0"/>
          <w:sz w:val="24"/>
        </w:rPr>
        <w:t>（18）</w:t>
      </w:r>
      <w:r>
        <w:rPr>
          <w:snapToGrid w:val="0"/>
          <w:color w:val="auto"/>
          <w:kern w:val="0"/>
          <w:sz w:val="24"/>
        </w:rPr>
        <w:t>《环境影响评价公众参与办法》</w:t>
      </w:r>
      <w:r>
        <w:rPr>
          <w:rFonts w:hint="eastAsia"/>
          <w:snapToGrid w:val="0"/>
          <w:color w:val="auto"/>
          <w:kern w:val="0"/>
          <w:sz w:val="24"/>
        </w:rPr>
        <w:t>（</w:t>
      </w:r>
      <w:r>
        <w:rPr>
          <w:snapToGrid w:val="0"/>
          <w:color w:val="auto"/>
          <w:kern w:val="0"/>
          <w:sz w:val="24"/>
        </w:rPr>
        <w:t>2018 年生态环境部令第4号，2019年 1月1日</w:t>
      </w:r>
      <w:r>
        <w:rPr>
          <w:rFonts w:hint="eastAsia"/>
          <w:snapToGrid w:val="0"/>
          <w:color w:val="auto"/>
          <w:kern w:val="0"/>
          <w:sz w:val="24"/>
        </w:rPr>
        <w:t>）</w:t>
      </w:r>
      <w:r>
        <w:rPr>
          <w:snapToGrid w:val="0"/>
          <w:color w:val="auto"/>
          <w:kern w:val="0"/>
          <w:sz w:val="24"/>
        </w:rPr>
        <w:t>；</w:t>
      </w:r>
    </w:p>
    <w:p>
      <w:pPr>
        <w:spacing w:line="360" w:lineRule="auto"/>
        <w:rPr>
          <w:snapToGrid w:val="0"/>
          <w:color w:val="auto"/>
          <w:kern w:val="0"/>
          <w:sz w:val="24"/>
        </w:rPr>
      </w:pPr>
      <w:r>
        <w:rPr>
          <w:snapToGrid w:val="0"/>
          <w:color w:val="auto"/>
          <w:kern w:val="0"/>
          <w:sz w:val="24"/>
        </w:rPr>
        <w:t>（</w:t>
      </w:r>
      <w:r>
        <w:rPr>
          <w:rFonts w:hint="eastAsia"/>
          <w:snapToGrid w:val="0"/>
          <w:color w:val="auto"/>
          <w:kern w:val="0"/>
          <w:sz w:val="24"/>
        </w:rPr>
        <w:t>19</w:t>
      </w:r>
      <w:r>
        <w:rPr>
          <w:snapToGrid w:val="0"/>
          <w:color w:val="auto"/>
          <w:kern w:val="0"/>
          <w:sz w:val="24"/>
        </w:rPr>
        <w:t>）关于发布《环境影响评价公众参与办法》配套文件的公告</w:t>
      </w:r>
      <w:r>
        <w:rPr>
          <w:rFonts w:hint="eastAsia"/>
          <w:snapToGrid w:val="0"/>
          <w:color w:val="auto"/>
          <w:kern w:val="0"/>
          <w:sz w:val="24"/>
        </w:rPr>
        <w:t>（</w:t>
      </w:r>
      <w:r>
        <w:rPr>
          <w:snapToGrid w:val="0"/>
          <w:color w:val="auto"/>
          <w:kern w:val="0"/>
          <w:sz w:val="24"/>
        </w:rPr>
        <w:t>公告 2018 第 48 号</w:t>
      </w:r>
      <w:r>
        <w:rPr>
          <w:rFonts w:hint="eastAsia"/>
          <w:snapToGrid w:val="0"/>
          <w:color w:val="auto"/>
          <w:kern w:val="0"/>
          <w:sz w:val="24"/>
        </w:rPr>
        <w:t>）</w:t>
      </w:r>
      <w:r>
        <w:rPr>
          <w:snapToGrid w:val="0"/>
          <w:color w:val="auto"/>
          <w:kern w:val="0"/>
          <w:sz w:val="24"/>
        </w:rPr>
        <w:t>；</w:t>
      </w:r>
    </w:p>
    <w:p>
      <w:pPr>
        <w:spacing w:line="360" w:lineRule="auto"/>
        <w:rPr>
          <w:snapToGrid w:val="0"/>
          <w:color w:val="auto"/>
          <w:kern w:val="0"/>
          <w:sz w:val="24"/>
        </w:rPr>
      </w:pPr>
      <w:r>
        <w:rPr>
          <w:rFonts w:hint="eastAsia"/>
          <w:snapToGrid w:val="0"/>
          <w:color w:val="auto"/>
          <w:kern w:val="0"/>
          <w:sz w:val="24"/>
        </w:rPr>
        <w:t>（20）</w:t>
      </w:r>
      <w:r>
        <w:rPr>
          <w:snapToGrid w:val="0"/>
          <w:color w:val="auto"/>
          <w:kern w:val="0"/>
          <w:sz w:val="24"/>
        </w:rPr>
        <w:t>农业农村部关于调整动物防疫条件审查有关规定的通知</w:t>
      </w:r>
      <w:r>
        <w:rPr>
          <w:rFonts w:hint="eastAsia"/>
          <w:snapToGrid w:val="0"/>
          <w:color w:val="auto"/>
          <w:kern w:val="0"/>
          <w:sz w:val="24"/>
        </w:rPr>
        <w:t>（</w:t>
      </w:r>
      <w:r>
        <w:rPr>
          <w:snapToGrid w:val="0"/>
          <w:color w:val="auto"/>
          <w:kern w:val="0"/>
          <w:sz w:val="24"/>
        </w:rPr>
        <w:t>农牧发 〔2019〕42 号</w:t>
      </w:r>
      <w:r>
        <w:rPr>
          <w:rFonts w:hint="eastAsia"/>
          <w:snapToGrid w:val="0"/>
          <w:color w:val="auto"/>
          <w:kern w:val="0"/>
          <w:sz w:val="24"/>
        </w:rPr>
        <w:t>）</w:t>
      </w:r>
      <w:r>
        <w:rPr>
          <w:snapToGrid w:val="0"/>
          <w:color w:val="auto"/>
          <w:kern w:val="0"/>
          <w:sz w:val="24"/>
        </w:rPr>
        <w:t>；</w:t>
      </w:r>
    </w:p>
    <w:p>
      <w:pPr>
        <w:spacing w:line="360" w:lineRule="auto"/>
        <w:rPr>
          <w:snapToGrid w:val="0"/>
          <w:color w:val="auto"/>
          <w:kern w:val="0"/>
          <w:sz w:val="24"/>
        </w:rPr>
      </w:pPr>
      <w:r>
        <w:rPr>
          <w:rFonts w:hint="eastAsia"/>
          <w:snapToGrid w:val="0"/>
          <w:color w:val="auto"/>
          <w:kern w:val="0"/>
          <w:sz w:val="24"/>
        </w:rPr>
        <w:t>（21）</w:t>
      </w:r>
      <w:r>
        <w:rPr>
          <w:snapToGrid w:val="0"/>
          <w:color w:val="auto"/>
          <w:kern w:val="0"/>
          <w:sz w:val="24"/>
        </w:rPr>
        <w:t>《哈尔滨市土壤污染防治工作方案》（哈政规〔2017〕35号）；</w:t>
      </w:r>
    </w:p>
    <w:p>
      <w:pPr>
        <w:spacing w:line="360" w:lineRule="auto"/>
        <w:rPr>
          <w:snapToGrid w:val="0"/>
          <w:color w:val="auto"/>
          <w:kern w:val="0"/>
          <w:sz w:val="24"/>
        </w:rPr>
      </w:pPr>
      <w:r>
        <w:rPr>
          <w:rFonts w:hint="eastAsia"/>
          <w:snapToGrid w:val="0"/>
          <w:color w:val="auto"/>
          <w:kern w:val="0"/>
          <w:sz w:val="24"/>
        </w:rPr>
        <w:t>（22）</w:t>
      </w:r>
      <w:r>
        <w:rPr>
          <w:snapToGrid w:val="0"/>
          <w:color w:val="auto"/>
          <w:kern w:val="0"/>
          <w:sz w:val="24"/>
        </w:rPr>
        <w:t>《哈尔滨市人民政府关于实施“三线一单”生态环境分区管控的意见》（哈政规〔2021〕7 号）；</w:t>
      </w:r>
    </w:p>
    <w:p>
      <w:pPr>
        <w:spacing w:line="360" w:lineRule="auto"/>
        <w:rPr>
          <w:snapToGrid w:val="0"/>
          <w:color w:val="auto"/>
          <w:kern w:val="0"/>
          <w:sz w:val="24"/>
        </w:rPr>
      </w:pPr>
      <w:r>
        <w:rPr>
          <w:rFonts w:hint="eastAsia"/>
          <w:snapToGrid w:val="0"/>
          <w:color w:val="auto"/>
          <w:kern w:val="0"/>
          <w:sz w:val="24"/>
        </w:rPr>
        <w:t>（23）《排污许可管理条例》（国令第736号）；</w:t>
      </w:r>
    </w:p>
    <w:p>
      <w:pPr>
        <w:spacing w:line="360" w:lineRule="auto"/>
        <w:rPr>
          <w:snapToGrid w:val="0"/>
          <w:color w:val="auto"/>
          <w:kern w:val="0"/>
          <w:sz w:val="24"/>
        </w:rPr>
      </w:pPr>
      <w:r>
        <w:rPr>
          <w:snapToGrid w:val="0"/>
          <w:color w:val="auto"/>
          <w:kern w:val="0"/>
          <w:sz w:val="24"/>
        </w:rPr>
        <w:t>（</w:t>
      </w:r>
      <w:r>
        <w:rPr>
          <w:rFonts w:hint="eastAsia"/>
          <w:snapToGrid w:val="0"/>
          <w:color w:val="auto"/>
          <w:kern w:val="0"/>
          <w:sz w:val="24"/>
        </w:rPr>
        <w:t>24</w:t>
      </w:r>
      <w:r>
        <w:rPr>
          <w:snapToGrid w:val="0"/>
          <w:color w:val="auto"/>
          <w:kern w:val="0"/>
          <w:sz w:val="24"/>
        </w:rPr>
        <w:t>）</w:t>
      </w:r>
      <w:r>
        <w:rPr>
          <w:rFonts w:hint="eastAsia"/>
          <w:snapToGrid w:val="0"/>
          <w:color w:val="auto"/>
          <w:kern w:val="0"/>
          <w:sz w:val="24"/>
        </w:rPr>
        <w:t>《黑龙江省“十四五”生态环境保护规划》。</w:t>
      </w:r>
    </w:p>
    <w:p>
      <w:pPr>
        <w:pStyle w:val="5"/>
        <w:spacing w:before="0" w:after="0" w:line="360" w:lineRule="auto"/>
        <w:ind w:firstLine="0" w:firstLineChars="0"/>
        <w:contextualSpacing/>
        <w:rPr>
          <w:rFonts w:ascii="Times New Roman" w:hAnsi="Times New Roman" w:cs="Times New Roman"/>
          <w:b/>
          <w:color w:val="auto"/>
          <w:sz w:val="28"/>
          <w:szCs w:val="28"/>
        </w:rPr>
      </w:pPr>
      <w:r>
        <w:rPr>
          <w:rFonts w:ascii="Times New Roman" w:hAnsi="Times New Roman" w:cs="Times New Roman"/>
          <w:b/>
          <w:color w:val="auto"/>
          <w:sz w:val="28"/>
          <w:szCs w:val="28"/>
        </w:rPr>
        <w:t>2.1.2相关技术规范</w:t>
      </w:r>
      <w:bookmarkEnd w:id="29"/>
      <w:bookmarkEnd w:id="30"/>
    </w:p>
    <w:p>
      <w:pPr>
        <w:spacing w:line="360" w:lineRule="auto"/>
        <w:rPr>
          <w:rFonts w:eastAsiaTheme="minorEastAsia"/>
          <w:snapToGrid w:val="0"/>
          <w:color w:val="auto"/>
          <w:kern w:val="0"/>
          <w:sz w:val="24"/>
        </w:rPr>
      </w:pPr>
      <w:r>
        <w:rPr>
          <w:rFonts w:eastAsiaTheme="minorEastAsia"/>
          <w:snapToGrid w:val="0"/>
          <w:color w:val="auto"/>
          <w:kern w:val="0"/>
          <w:sz w:val="24"/>
        </w:rPr>
        <w:t>（1）《建设项目环境影响评价技术导则</w:t>
      </w:r>
      <w:r>
        <w:rPr>
          <w:rFonts w:hint="eastAsia" w:eastAsiaTheme="minorEastAsia"/>
          <w:snapToGrid w:val="0"/>
          <w:color w:val="auto"/>
          <w:kern w:val="0"/>
          <w:sz w:val="24"/>
        </w:rPr>
        <w:t xml:space="preserve"> </w:t>
      </w:r>
      <w:r>
        <w:rPr>
          <w:rFonts w:eastAsiaTheme="minorEastAsia"/>
          <w:snapToGrid w:val="0"/>
          <w:color w:val="auto"/>
          <w:kern w:val="0"/>
          <w:sz w:val="24"/>
        </w:rPr>
        <w:t>总纲》(HJ2.1-2016)；</w:t>
      </w:r>
    </w:p>
    <w:p>
      <w:pPr>
        <w:spacing w:line="360" w:lineRule="auto"/>
        <w:rPr>
          <w:rFonts w:eastAsiaTheme="minorEastAsia"/>
          <w:snapToGrid w:val="0"/>
          <w:color w:val="auto"/>
          <w:kern w:val="0"/>
          <w:sz w:val="24"/>
        </w:rPr>
      </w:pPr>
      <w:r>
        <w:rPr>
          <w:rFonts w:eastAsiaTheme="minorEastAsia"/>
          <w:snapToGrid w:val="0"/>
          <w:color w:val="auto"/>
          <w:kern w:val="0"/>
          <w:sz w:val="24"/>
        </w:rPr>
        <w:t>（2）《环境影响评价技术导则</w:t>
      </w:r>
      <w:r>
        <w:rPr>
          <w:rFonts w:hint="eastAsia" w:eastAsiaTheme="minorEastAsia"/>
          <w:snapToGrid w:val="0"/>
          <w:color w:val="auto"/>
          <w:kern w:val="0"/>
          <w:sz w:val="24"/>
        </w:rPr>
        <w:t xml:space="preserve"> </w:t>
      </w:r>
      <w:r>
        <w:rPr>
          <w:rFonts w:eastAsiaTheme="minorEastAsia"/>
          <w:snapToGrid w:val="0"/>
          <w:color w:val="auto"/>
          <w:kern w:val="0"/>
          <w:sz w:val="24"/>
        </w:rPr>
        <w:t>大气环境》(HJ2.2-2018)；</w:t>
      </w:r>
    </w:p>
    <w:p>
      <w:pPr>
        <w:spacing w:line="360" w:lineRule="auto"/>
        <w:rPr>
          <w:rFonts w:eastAsiaTheme="minorEastAsia"/>
          <w:snapToGrid w:val="0"/>
          <w:color w:val="auto"/>
          <w:kern w:val="0"/>
          <w:sz w:val="24"/>
        </w:rPr>
      </w:pPr>
      <w:r>
        <w:rPr>
          <w:rFonts w:eastAsiaTheme="minorEastAsia"/>
          <w:snapToGrid w:val="0"/>
          <w:color w:val="auto"/>
          <w:kern w:val="0"/>
          <w:sz w:val="24"/>
        </w:rPr>
        <w:t>（3）《环境影响评价技术导则</w:t>
      </w:r>
      <w:r>
        <w:rPr>
          <w:rFonts w:hint="eastAsia" w:eastAsiaTheme="minorEastAsia"/>
          <w:snapToGrid w:val="0"/>
          <w:color w:val="auto"/>
          <w:kern w:val="0"/>
          <w:sz w:val="24"/>
        </w:rPr>
        <w:t xml:space="preserve"> </w:t>
      </w:r>
      <w:r>
        <w:rPr>
          <w:rFonts w:eastAsiaTheme="minorEastAsia"/>
          <w:snapToGrid w:val="0"/>
          <w:color w:val="auto"/>
          <w:kern w:val="0"/>
          <w:sz w:val="24"/>
        </w:rPr>
        <w:t>地表水环境》(HJ 2.3-2018)；</w:t>
      </w:r>
    </w:p>
    <w:p>
      <w:pPr>
        <w:spacing w:line="360" w:lineRule="auto"/>
        <w:rPr>
          <w:rFonts w:eastAsiaTheme="minorEastAsia"/>
          <w:snapToGrid w:val="0"/>
          <w:color w:val="auto"/>
          <w:kern w:val="0"/>
          <w:sz w:val="24"/>
        </w:rPr>
      </w:pPr>
      <w:r>
        <w:rPr>
          <w:rFonts w:eastAsiaTheme="minorEastAsia"/>
          <w:snapToGrid w:val="0"/>
          <w:color w:val="auto"/>
          <w:kern w:val="0"/>
          <w:sz w:val="24"/>
        </w:rPr>
        <w:t>（4）《环境影响评价技术导则</w:t>
      </w:r>
      <w:r>
        <w:rPr>
          <w:rFonts w:hint="eastAsia" w:eastAsiaTheme="minorEastAsia"/>
          <w:snapToGrid w:val="0"/>
          <w:color w:val="auto"/>
          <w:kern w:val="0"/>
          <w:sz w:val="24"/>
        </w:rPr>
        <w:t xml:space="preserve"> </w:t>
      </w:r>
      <w:r>
        <w:rPr>
          <w:rFonts w:eastAsiaTheme="minorEastAsia"/>
          <w:snapToGrid w:val="0"/>
          <w:color w:val="auto"/>
          <w:kern w:val="0"/>
          <w:sz w:val="24"/>
        </w:rPr>
        <w:t>声环境》(HJ2.4-20</w:t>
      </w:r>
      <w:r>
        <w:rPr>
          <w:rFonts w:hint="eastAsia" w:eastAsiaTheme="minorEastAsia"/>
          <w:snapToGrid w:val="0"/>
          <w:color w:val="auto"/>
          <w:kern w:val="0"/>
          <w:sz w:val="24"/>
        </w:rPr>
        <w:t>21</w:t>
      </w:r>
      <w:r>
        <w:rPr>
          <w:rFonts w:eastAsiaTheme="minorEastAsia"/>
          <w:snapToGrid w:val="0"/>
          <w:color w:val="auto"/>
          <w:kern w:val="0"/>
          <w:sz w:val="24"/>
        </w:rPr>
        <w:t>)；</w:t>
      </w:r>
    </w:p>
    <w:p>
      <w:pPr>
        <w:spacing w:line="360" w:lineRule="auto"/>
        <w:rPr>
          <w:rFonts w:eastAsiaTheme="minorEastAsia"/>
          <w:snapToGrid w:val="0"/>
          <w:color w:val="auto"/>
          <w:kern w:val="0"/>
          <w:sz w:val="24"/>
        </w:rPr>
      </w:pPr>
      <w:r>
        <w:rPr>
          <w:rFonts w:eastAsiaTheme="minorEastAsia"/>
          <w:snapToGrid w:val="0"/>
          <w:color w:val="auto"/>
          <w:kern w:val="0"/>
          <w:sz w:val="24"/>
        </w:rPr>
        <w:t>（5）《环境影响评价技术导则</w:t>
      </w:r>
      <w:r>
        <w:rPr>
          <w:rFonts w:hint="eastAsia" w:eastAsiaTheme="minorEastAsia"/>
          <w:snapToGrid w:val="0"/>
          <w:color w:val="auto"/>
          <w:kern w:val="0"/>
          <w:sz w:val="24"/>
        </w:rPr>
        <w:t xml:space="preserve"> </w:t>
      </w:r>
      <w:r>
        <w:rPr>
          <w:rFonts w:eastAsiaTheme="minorEastAsia"/>
          <w:snapToGrid w:val="0"/>
          <w:color w:val="auto"/>
          <w:kern w:val="0"/>
          <w:sz w:val="24"/>
        </w:rPr>
        <w:t>地下水环境》(HJ610-2016)；</w:t>
      </w:r>
    </w:p>
    <w:p>
      <w:pPr>
        <w:spacing w:line="360" w:lineRule="auto"/>
        <w:rPr>
          <w:rFonts w:eastAsiaTheme="minorEastAsia"/>
          <w:snapToGrid w:val="0"/>
          <w:color w:val="auto"/>
          <w:kern w:val="0"/>
          <w:sz w:val="24"/>
        </w:rPr>
      </w:pPr>
      <w:r>
        <w:rPr>
          <w:rFonts w:eastAsiaTheme="minorEastAsia"/>
          <w:snapToGrid w:val="0"/>
          <w:color w:val="auto"/>
          <w:kern w:val="0"/>
          <w:sz w:val="24"/>
        </w:rPr>
        <w:t>（6）《环境影响评价技术导则</w:t>
      </w:r>
      <w:r>
        <w:rPr>
          <w:rFonts w:hint="eastAsia" w:eastAsiaTheme="minorEastAsia"/>
          <w:snapToGrid w:val="0"/>
          <w:color w:val="auto"/>
          <w:kern w:val="0"/>
          <w:sz w:val="24"/>
        </w:rPr>
        <w:t xml:space="preserve"> </w:t>
      </w:r>
      <w:r>
        <w:rPr>
          <w:rFonts w:eastAsiaTheme="minorEastAsia"/>
          <w:snapToGrid w:val="0"/>
          <w:color w:val="auto"/>
          <w:kern w:val="0"/>
          <w:sz w:val="24"/>
        </w:rPr>
        <w:t>生态影响》(HJ19-20</w:t>
      </w:r>
      <w:r>
        <w:rPr>
          <w:rFonts w:hint="eastAsia" w:eastAsiaTheme="minorEastAsia"/>
          <w:snapToGrid w:val="0"/>
          <w:color w:val="auto"/>
          <w:kern w:val="0"/>
          <w:sz w:val="24"/>
        </w:rPr>
        <w:t>22</w:t>
      </w:r>
      <w:r>
        <w:rPr>
          <w:rFonts w:eastAsiaTheme="minorEastAsia"/>
          <w:snapToGrid w:val="0"/>
          <w:color w:val="auto"/>
          <w:kern w:val="0"/>
          <w:sz w:val="24"/>
        </w:rPr>
        <w:t>)；</w:t>
      </w:r>
    </w:p>
    <w:p>
      <w:pPr>
        <w:spacing w:line="360" w:lineRule="auto"/>
        <w:rPr>
          <w:rFonts w:eastAsiaTheme="minorEastAsia"/>
          <w:snapToGrid w:val="0"/>
          <w:color w:val="auto"/>
          <w:kern w:val="0"/>
          <w:sz w:val="24"/>
        </w:rPr>
      </w:pPr>
      <w:r>
        <w:rPr>
          <w:rFonts w:eastAsiaTheme="minorEastAsia"/>
          <w:snapToGrid w:val="0"/>
          <w:color w:val="auto"/>
          <w:kern w:val="0"/>
          <w:sz w:val="24"/>
        </w:rPr>
        <w:t>（7）《环境影响评价技术导则</w:t>
      </w:r>
      <w:r>
        <w:rPr>
          <w:rFonts w:hint="eastAsia" w:eastAsiaTheme="minorEastAsia"/>
          <w:snapToGrid w:val="0"/>
          <w:color w:val="auto"/>
          <w:kern w:val="0"/>
          <w:sz w:val="24"/>
        </w:rPr>
        <w:t xml:space="preserve"> </w:t>
      </w:r>
      <w:r>
        <w:rPr>
          <w:rFonts w:eastAsiaTheme="minorEastAsia"/>
          <w:snapToGrid w:val="0"/>
          <w:color w:val="auto"/>
          <w:kern w:val="0"/>
          <w:sz w:val="24"/>
        </w:rPr>
        <w:t>土壤环境（试行）》（HJ964-2018）；</w:t>
      </w:r>
    </w:p>
    <w:p>
      <w:pPr>
        <w:spacing w:line="360" w:lineRule="auto"/>
        <w:rPr>
          <w:rFonts w:eastAsiaTheme="minorEastAsia"/>
          <w:snapToGrid w:val="0"/>
          <w:color w:val="auto"/>
          <w:kern w:val="0"/>
          <w:sz w:val="24"/>
        </w:rPr>
      </w:pPr>
      <w:r>
        <w:rPr>
          <w:rFonts w:eastAsiaTheme="minorEastAsia"/>
          <w:snapToGrid w:val="0"/>
          <w:color w:val="auto"/>
          <w:kern w:val="0"/>
          <w:sz w:val="24"/>
        </w:rPr>
        <w:t>（8）《建设项目环境风险评价技术导则》（HJ169-2018）；</w:t>
      </w:r>
    </w:p>
    <w:p>
      <w:pPr>
        <w:spacing w:line="360" w:lineRule="auto"/>
        <w:rPr>
          <w:rFonts w:eastAsiaTheme="minorEastAsia"/>
          <w:snapToGrid w:val="0"/>
          <w:color w:val="auto"/>
          <w:sz w:val="24"/>
        </w:rPr>
      </w:pPr>
      <w:r>
        <w:rPr>
          <w:rFonts w:eastAsiaTheme="minorEastAsia"/>
          <w:snapToGrid w:val="0"/>
          <w:color w:val="auto"/>
          <w:sz w:val="24"/>
        </w:rPr>
        <w:t>（</w:t>
      </w:r>
      <w:r>
        <w:rPr>
          <w:rFonts w:hint="eastAsia" w:eastAsiaTheme="minorEastAsia"/>
          <w:snapToGrid w:val="0"/>
          <w:color w:val="auto"/>
          <w:sz w:val="24"/>
        </w:rPr>
        <w:t>9</w:t>
      </w:r>
      <w:r>
        <w:rPr>
          <w:rFonts w:eastAsiaTheme="minorEastAsia"/>
          <w:snapToGrid w:val="0"/>
          <w:color w:val="auto"/>
          <w:sz w:val="24"/>
        </w:rPr>
        <w:t>）《病死及病害动物无害化处理技术规范》（农医发[2017]25号）；</w:t>
      </w:r>
    </w:p>
    <w:p>
      <w:pPr>
        <w:spacing w:line="360" w:lineRule="auto"/>
        <w:rPr>
          <w:rFonts w:eastAsiaTheme="minorEastAsia"/>
          <w:snapToGrid w:val="0"/>
          <w:color w:val="auto"/>
          <w:sz w:val="24"/>
        </w:rPr>
      </w:pPr>
      <w:r>
        <w:rPr>
          <w:rFonts w:eastAsiaTheme="minorEastAsia"/>
          <w:snapToGrid w:val="0"/>
          <w:color w:val="auto"/>
          <w:sz w:val="24"/>
        </w:rPr>
        <w:t>（1</w:t>
      </w:r>
      <w:r>
        <w:rPr>
          <w:rFonts w:hint="eastAsia" w:eastAsiaTheme="minorEastAsia"/>
          <w:snapToGrid w:val="0"/>
          <w:color w:val="auto"/>
          <w:sz w:val="24"/>
        </w:rPr>
        <w:t>0</w:t>
      </w:r>
      <w:r>
        <w:rPr>
          <w:rFonts w:eastAsiaTheme="minorEastAsia"/>
          <w:snapToGrid w:val="0"/>
          <w:color w:val="auto"/>
          <w:sz w:val="24"/>
        </w:rPr>
        <w:t>）《建筑设计防火规范》（GB50016-</w:t>
      </w:r>
      <w:r>
        <w:rPr>
          <w:rFonts w:eastAsiaTheme="minorEastAsia"/>
          <w:snapToGrid w:val="0"/>
          <w:color w:val="auto"/>
          <w:sz w:val="24"/>
          <w:highlight w:val="none"/>
        </w:rPr>
        <w:t>2014）</w:t>
      </w:r>
      <w:r>
        <w:rPr>
          <w:rFonts w:hint="eastAsia" w:eastAsiaTheme="minorEastAsia"/>
          <w:snapToGrid w:val="0"/>
          <w:color w:val="auto"/>
          <w:sz w:val="24"/>
          <w:highlight w:val="none"/>
          <w:lang w:eastAsia="zh-CN"/>
        </w:rPr>
        <w:t>（</w:t>
      </w:r>
      <w:r>
        <w:rPr>
          <w:rFonts w:hint="eastAsia" w:eastAsiaTheme="minorEastAsia"/>
          <w:snapToGrid w:val="0"/>
          <w:color w:val="auto"/>
          <w:sz w:val="24"/>
          <w:highlight w:val="none"/>
          <w:lang w:val="en-US" w:eastAsia="zh-CN"/>
        </w:rPr>
        <w:t>2018年版</w:t>
      </w:r>
      <w:r>
        <w:rPr>
          <w:rFonts w:hint="eastAsia" w:eastAsiaTheme="minorEastAsia"/>
          <w:snapToGrid w:val="0"/>
          <w:color w:val="auto"/>
          <w:sz w:val="24"/>
          <w:highlight w:val="none"/>
          <w:lang w:eastAsia="zh-CN"/>
        </w:rPr>
        <w:t>）</w:t>
      </w:r>
      <w:r>
        <w:rPr>
          <w:rFonts w:eastAsiaTheme="minorEastAsia"/>
          <w:snapToGrid w:val="0"/>
          <w:color w:val="auto"/>
          <w:sz w:val="24"/>
          <w:highlight w:val="none"/>
        </w:rPr>
        <w:t>；</w:t>
      </w:r>
    </w:p>
    <w:p>
      <w:pPr>
        <w:spacing w:line="360" w:lineRule="auto"/>
        <w:rPr>
          <w:rFonts w:eastAsiaTheme="minorEastAsia"/>
          <w:color w:val="auto"/>
          <w:kern w:val="0"/>
          <w:sz w:val="24"/>
        </w:rPr>
      </w:pPr>
      <w:r>
        <w:rPr>
          <w:rFonts w:eastAsiaTheme="minorEastAsia"/>
          <w:snapToGrid w:val="0"/>
          <w:color w:val="auto"/>
          <w:kern w:val="0"/>
          <w:sz w:val="24"/>
        </w:rPr>
        <w:t>（1</w:t>
      </w:r>
      <w:r>
        <w:rPr>
          <w:rFonts w:hint="eastAsia" w:eastAsiaTheme="minorEastAsia"/>
          <w:snapToGrid w:val="0"/>
          <w:color w:val="auto"/>
          <w:kern w:val="0"/>
          <w:sz w:val="24"/>
        </w:rPr>
        <w:t>1</w:t>
      </w:r>
      <w:r>
        <w:rPr>
          <w:rFonts w:eastAsiaTheme="minorEastAsia"/>
          <w:snapToGrid w:val="0"/>
          <w:color w:val="auto"/>
          <w:kern w:val="0"/>
          <w:sz w:val="24"/>
        </w:rPr>
        <w:t>）</w:t>
      </w:r>
      <w:r>
        <w:rPr>
          <w:rFonts w:hint="eastAsia" w:eastAsiaTheme="minorEastAsia"/>
          <w:snapToGrid w:val="0"/>
          <w:color w:val="auto"/>
          <w:kern w:val="0"/>
          <w:sz w:val="24"/>
        </w:rPr>
        <w:t>《排污许可证申请与核发技术规范农副食品加工工业-屠宰及肉类加工工业》（HJ860.3-2018）</w:t>
      </w:r>
      <w:r>
        <w:rPr>
          <w:rFonts w:eastAsiaTheme="minorEastAsia"/>
          <w:snapToGrid w:val="0"/>
          <w:color w:val="auto"/>
          <w:kern w:val="0"/>
          <w:sz w:val="24"/>
        </w:rPr>
        <w:t>；</w:t>
      </w:r>
    </w:p>
    <w:p>
      <w:pPr>
        <w:spacing w:line="360" w:lineRule="auto"/>
        <w:rPr>
          <w:rFonts w:eastAsiaTheme="minorEastAsia"/>
          <w:snapToGrid w:val="0"/>
          <w:color w:val="auto"/>
          <w:kern w:val="0"/>
          <w:sz w:val="24"/>
        </w:rPr>
      </w:pPr>
      <w:r>
        <w:rPr>
          <w:rFonts w:eastAsiaTheme="minorEastAsia"/>
          <w:snapToGrid w:val="0"/>
          <w:color w:val="auto"/>
          <w:kern w:val="0"/>
          <w:sz w:val="24"/>
        </w:rPr>
        <w:t>（</w:t>
      </w:r>
      <w:r>
        <w:rPr>
          <w:rFonts w:hint="eastAsia" w:eastAsiaTheme="minorEastAsia"/>
          <w:snapToGrid w:val="0"/>
          <w:color w:val="auto"/>
          <w:kern w:val="0"/>
          <w:sz w:val="24"/>
        </w:rPr>
        <w:t>12</w:t>
      </w:r>
      <w:r>
        <w:rPr>
          <w:rFonts w:eastAsiaTheme="minorEastAsia"/>
          <w:snapToGrid w:val="0"/>
          <w:color w:val="auto"/>
          <w:kern w:val="0"/>
          <w:sz w:val="24"/>
        </w:rPr>
        <w:t>）《排污单位自行监测技术指南总则》（HJ 819-2017）；</w:t>
      </w:r>
    </w:p>
    <w:p>
      <w:pPr>
        <w:spacing w:line="360" w:lineRule="auto"/>
        <w:rPr>
          <w:rFonts w:eastAsiaTheme="minorEastAsia"/>
          <w:snapToGrid w:val="0"/>
          <w:color w:val="auto"/>
          <w:kern w:val="0"/>
          <w:sz w:val="24"/>
        </w:rPr>
      </w:pPr>
      <w:r>
        <w:rPr>
          <w:rFonts w:hint="eastAsia" w:eastAsiaTheme="minorEastAsia"/>
          <w:snapToGrid w:val="0"/>
          <w:color w:val="auto"/>
          <w:kern w:val="0"/>
          <w:sz w:val="24"/>
        </w:rPr>
        <w:t>（13）《排污单位自行监测技术指南 农副食品加工业》（HJ986-2018）</w:t>
      </w:r>
    </w:p>
    <w:p>
      <w:pPr>
        <w:spacing w:line="360" w:lineRule="auto"/>
        <w:rPr>
          <w:rFonts w:eastAsiaTheme="minorEastAsia"/>
          <w:snapToGrid w:val="0"/>
          <w:color w:val="auto"/>
          <w:kern w:val="0"/>
          <w:sz w:val="24"/>
        </w:rPr>
      </w:pPr>
      <w:r>
        <w:rPr>
          <w:rFonts w:eastAsiaTheme="minorEastAsia"/>
          <w:snapToGrid w:val="0"/>
          <w:color w:val="auto"/>
          <w:kern w:val="0"/>
          <w:sz w:val="24"/>
        </w:rPr>
        <w:t>（</w:t>
      </w:r>
      <w:r>
        <w:rPr>
          <w:rFonts w:hint="eastAsia" w:eastAsiaTheme="minorEastAsia"/>
          <w:snapToGrid w:val="0"/>
          <w:color w:val="auto"/>
          <w:kern w:val="0"/>
          <w:sz w:val="24"/>
        </w:rPr>
        <w:t>14</w:t>
      </w:r>
      <w:r>
        <w:rPr>
          <w:rFonts w:eastAsiaTheme="minorEastAsia"/>
          <w:snapToGrid w:val="0"/>
          <w:color w:val="auto"/>
          <w:kern w:val="0"/>
          <w:sz w:val="24"/>
        </w:rPr>
        <w:t>）</w:t>
      </w:r>
      <w:r>
        <w:rPr>
          <w:rFonts w:hint="eastAsia" w:eastAsiaTheme="minorEastAsia"/>
          <w:snapToGrid w:val="0"/>
          <w:color w:val="auto"/>
          <w:kern w:val="0"/>
          <w:sz w:val="24"/>
        </w:rPr>
        <w:t>《屠宰与肉类加工废水治理工程技术规范》（HJ2004-2010）；</w:t>
      </w:r>
    </w:p>
    <w:p>
      <w:pPr>
        <w:spacing w:line="360" w:lineRule="auto"/>
        <w:rPr>
          <w:rFonts w:eastAsiaTheme="minorEastAsia"/>
          <w:snapToGrid w:val="0"/>
          <w:color w:val="auto"/>
          <w:kern w:val="0"/>
          <w:sz w:val="24"/>
        </w:rPr>
      </w:pPr>
      <w:r>
        <w:rPr>
          <w:rFonts w:hint="eastAsia" w:eastAsiaTheme="minorEastAsia"/>
          <w:snapToGrid w:val="0"/>
          <w:color w:val="auto"/>
          <w:kern w:val="0"/>
          <w:sz w:val="24"/>
        </w:rPr>
        <w:t>（15）</w:t>
      </w:r>
      <w:r>
        <w:rPr>
          <w:rFonts w:eastAsiaTheme="minorEastAsia"/>
          <w:snapToGrid w:val="0"/>
          <w:color w:val="auto"/>
          <w:kern w:val="0"/>
          <w:sz w:val="24"/>
        </w:rPr>
        <w:t>《</w:t>
      </w:r>
      <w:r>
        <w:rPr>
          <w:rFonts w:hint="eastAsia" w:eastAsiaTheme="minorEastAsia"/>
          <w:snapToGrid w:val="0"/>
          <w:color w:val="auto"/>
          <w:kern w:val="0"/>
          <w:sz w:val="24"/>
        </w:rPr>
        <w:t>牛羊屠宰与分割车间设计规范</w:t>
      </w:r>
      <w:r>
        <w:rPr>
          <w:rFonts w:eastAsiaTheme="minorEastAsia"/>
          <w:snapToGrid w:val="0"/>
          <w:color w:val="auto"/>
          <w:kern w:val="0"/>
          <w:sz w:val="24"/>
        </w:rPr>
        <w:t>》（GB 51225-2017）</w:t>
      </w:r>
      <w:r>
        <w:rPr>
          <w:rFonts w:hint="eastAsia" w:eastAsiaTheme="minorEastAsia"/>
          <w:snapToGrid w:val="0"/>
          <w:color w:val="auto"/>
          <w:kern w:val="0"/>
          <w:sz w:val="24"/>
        </w:rPr>
        <w:t>；</w:t>
      </w:r>
    </w:p>
    <w:p>
      <w:pPr>
        <w:spacing w:line="360" w:lineRule="auto"/>
        <w:rPr>
          <w:rFonts w:eastAsiaTheme="minorEastAsia"/>
          <w:snapToGrid w:val="0"/>
          <w:color w:val="auto"/>
          <w:kern w:val="0"/>
          <w:sz w:val="24"/>
        </w:rPr>
      </w:pPr>
      <w:r>
        <w:rPr>
          <w:rFonts w:hint="eastAsia" w:eastAsiaTheme="minorEastAsia"/>
          <w:snapToGrid w:val="0"/>
          <w:color w:val="auto"/>
          <w:kern w:val="0"/>
          <w:sz w:val="24"/>
        </w:rPr>
        <w:t>（16）《屠宰及肉类加工业污染防治可行技术指南》（</w:t>
      </w:r>
      <w:r>
        <w:rPr>
          <w:rFonts w:eastAsiaTheme="minorEastAsia"/>
          <w:snapToGrid w:val="0"/>
          <w:color w:val="auto"/>
          <w:kern w:val="0"/>
          <w:sz w:val="24"/>
        </w:rPr>
        <w:t>HJ 1285—2023</w:t>
      </w:r>
      <w:r>
        <w:rPr>
          <w:rFonts w:hint="eastAsia" w:eastAsiaTheme="minorEastAsia"/>
          <w:snapToGrid w:val="0"/>
          <w:color w:val="auto"/>
          <w:kern w:val="0"/>
          <w:sz w:val="24"/>
        </w:rPr>
        <w:t>）。</w:t>
      </w:r>
    </w:p>
    <w:p>
      <w:pPr>
        <w:pStyle w:val="5"/>
        <w:spacing w:before="0" w:after="0" w:line="360" w:lineRule="auto"/>
        <w:ind w:firstLine="0" w:firstLineChars="0"/>
        <w:contextualSpacing/>
        <w:rPr>
          <w:rFonts w:ascii="Times New Roman" w:hAnsi="Times New Roman" w:cs="Times New Roman"/>
          <w:b/>
          <w:color w:val="auto"/>
          <w:sz w:val="28"/>
          <w:szCs w:val="28"/>
        </w:rPr>
      </w:pPr>
      <w:bookmarkStart w:id="32" w:name="_Toc15991628"/>
      <w:bookmarkStart w:id="33" w:name="_Toc524431282"/>
      <w:r>
        <w:rPr>
          <w:rFonts w:ascii="Times New Roman" w:hAnsi="Times New Roman" w:cs="Times New Roman"/>
          <w:b/>
          <w:color w:val="auto"/>
          <w:sz w:val="28"/>
          <w:szCs w:val="28"/>
        </w:rPr>
        <w:t>2.1.3相关文件</w:t>
      </w:r>
      <w:bookmarkEnd w:id="32"/>
      <w:bookmarkEnd w:id="33"/>
    </w:p>
    <w:bookmarkEnd w:id="31"/>
    <w:p>
      <w:pPr>
        <w:pStyle w:val="74"/>
        <w:adjustRightInd/>
        <w:snapToGrid/>
        <w:ind w:firstLine="0" w:firstLineChars="0"/>
        <w:contextualSpacing/>
        <w:jc w:val="both"/>
        <w:rPr>
          <w:rFonts w:ascii="Times New Roman" w:hAnsi="Times New Roman" w:eastAsia="宋体" w:cs="Times New Roman"/>
          <w:snapToGrid w:val="0"/>
          <w:color w:val="auto"/>
        </w:rPr>
      </w:pPr>
      <w:r>
        <w:rPr>
          <w:rFonts w:ascii="Times New Roman" w:hAnsi="Times New Roman" w:eastAsia="宋体" w:cs="Times New Roman"/>
          <w:snapToGrid w:val="0"/>
          <w:color w:val="auto"/>
        </w:rPr>
        <w:t>（1）国家发展改革委</w:t>
      </w:r>
      <w:r>
        <w:rPr>
          <w:rFonts w:hint="eastAsia" w:ascii="Times New Roman" w:hAnsi="Times New Roman" w:eastAsia="宋体" w:cs="Times New Roman"/>
          <w:snapToGrid w:val="0"/>
          <w:color w:val="auto"/>
          <w:lang w:eastAsia="zh-CN"/>
        </w:rPr>
        <w:t>《产业结构调整指导目录》（2024年本）</w:t>
      </w:r>
      <w:r>
        <w:rPr>
          <w:rFonts w:ascii="Times New Roman" w:hAnsi="Times New Roman" w:eastAsia="宋体" w:cs="Times New Roman"/>
          <w:snapToGrid w:val="0"/>
          <w:color w:val="auto"/>
        </w:rPr>
        <w:t>；</w:t>
      </w:r>
    </w:p>
    <w:p>
      <w:pPr>
        <w:pStyle w:val="74"/>
        <w:adjustRightInd/>
        <w:snapToGrid/>
        <w:ind w:firstLine="0" w:firstLineChars="0"/>
        <w:contextualSpacing/>
        <w:jc w:val="both"/>
        <w:rPr>
          <w:rFonts w:ascii="Times New Roman" w:hAnsi="Times New Roman" w:eastAsia="宋体" w:cs="Times New Roman"/>
          <w:snapToGrid w:val="0"/>
          <w:color w:val="auto"/>
        </w:rPr>
      </w:pPr>
      <w:r>
        <w:rPr>
          <w:rFonts w:hint="eastAsia" w:ascii="Times New Roman" w:hAnsi="Times New Roman" w:eastAsia="宋体" w:cs="Times New Roman"/>
          <w:snapToGrid w:val="0"/>
          <w:color w:val="auto"/>
        </w:rPr>
        <w:t>（2）环境质量检测报告；</w:t>
      </w:r>
    </w:p>
    <w:p>
      <w:pPr>
        <w:pStyle w:val="74"/>
        <w:adjustRightInd/>
        <w:snapToGrid/>
        <w:ind w:firstLine="0" w:firstLineChars="0"/>
        <w:contextualSpacing/>
        <w:jc w:val="both"/>
        <w:rPr>
          <w:rFonts w:ascii="Times New Roman" w:hAnsi="Times New Roman" w:eastAsia="宋体" w:cs="Times New Roman"/>
          <w:snapToGrid w:val="0"/>
          <w:color w:val="auto"/>
        </w:rPr>
      </w:pPr>
      <w:r>
        <w:rPr>
          <w:rFonts w:hint="eastAsia" w:ascii="Times New Roman" w:hAnsi="Times New Roman" w:eastAsia="宋体" w:cs="Times New Roman"/>
          <w:snapToGrid w:val="0"/>
          <w:color w:val="auto"/>
        </w:rPr>
        <w:t>（3）</w:t>
      </w:r>
      <w:r>
        <w:rPr>
          <w:rFonts w:hint="eastAsia" w:ascii="Times New Roman" w:hAnsi="Times New Roman" w:eastAsia="宋体" w:cs="Times New Roman"/>
          <w:snapToGrid w:val="0"/>
          <w:color w:val="auto"/>
          <w:lang w:eastAsia="zh-CN"/>
        </w:rPr>
        <w:t>黑龙江阿穆屠宰有限公司</w:t>
      </w:r>
      <w:r>
        <w:rPr>
          <w:rFonts w:hint="eastAsia" w:ascii="Times New Roman" w:hAnsi="Times New Roman" w:eastAsia="宋体" w:cs="Times New Roman"/>
          <w:snapToGrid w:val="0"/>
          <w:color w:val="auto"/>
        </w:rPr>
        <w:t>委托</w:t>
      </w:r>
      <w:r>
        <w:rPr>
          <w:rFonts w:hint="eastAsia" w:ascii="Times New Roman" w:hAnsi="Times New Roman" w:eastAsia="宋体" w:cs="Times New Roman"/>
          <w:snapToGrid w:val="0"/>
          <w:color w:val="auto"/>
          <w:lang w:eastAsia="zh-CN"/>
        </w:rPr>
        <w:t>黑龙江辰瀚环境保护有限公司</w:t>
      </w:r>
      <w:r>
        <w:rPr>
          <w:rFonts w:hint="eastAsia" w:ascii="Times New Roman" w:hAnsi="Times New Roman" w:eastAsia="宋体" w:cs="Times New Roman"/>
          <w:snapToGrid w:val="0"/>
          <w:color w:val="auto"/>
        </w:rPr>
        <w:t>编制《</w:t>
      </w:r>
      <w:r>
        <w:rPr>
          <w:rFonts w:hint="eastAsia" w:ascii="Times New Roman" w:hAnsi="Times New Roman" w:eastAsia="宋体" w:cs="Times New Roman"/>
          <w:snapToGrid w:val="0"/>
          <w:color w:val="auto"/>
          <w:lang w:eastAsia="zh-CN"/>
        </w:rPr>
        <w:t>黑龙江省哈尔滨市尚志市黑龙江省龙源工贸集团有限公司黑龙江阿穆屠宰有限公司肉牛屠宰厂建设项目</w:t>
      </w:r>
      <w:r>
        <w:rPr>
          <w:rFonts w:hint="eastAsia" w:ascii="Times New Roman" w:hAnsi="Times New Roman" w:eastAsia="宋体" w:cs="Times New Roman"/>
          <w:snapToGrid w:val="0"/>
          <w:color w:val="auto"/>
        </w:rPr>
        <w:t>》技术咨询合同书</w:t>
      </w:r>
      <w:r>
        <w:rPr>
          <w:rFonts w:ascii="Times New Roman" w:hAnsi="Times New Roman" w:eastAsia="宋体" w:cs="Times New Roman"/>
          <w:snapToGrid w:val="0"/>
          <w:color w:val="auto"/>
        </w:rPr>
        <w:t>；</w:t>
      </w:r>
    </w:p>
    <w:p>
      <w:pPr>
        <w:pStyle w:val="74"/>
        <w:adjustRightInd/>
        <w:snapToGrid/>
        <w:ind w:firstLine="0" w:firstLineChars="0"/>
        <w:contextualSpacing/>
        <w:jc w:val="both"/>
        <w:rPr>
          <w:rFonts w:ascii="Times New Roman" w:hAnsi="Times New Roman" w:eastAsia="宋体" w:cs="Times New Roman"/>
          <w:snapToGrid w:val="0"/>
          <w:color w:val="auto"/>
        </w:rPr>
      </w:pPr>
      <w:r>
        <w:rPr>
          <w:rFonts w:hint="eastAsia" w:ascii="Times New Roman" w:hAnsi="Times New Roman" w:eastAsia="宋体" w:cs="Times New Roman"/>
          <w:snapToGrid w:val="0"/>
          <w:color w:val="auto"/>
        </w:rPr>
        <w:t>（4）</w:t>
      </w:r>
      <w:r>
        <w:rPr>
          <w:rFonts w:hint="eastAsia" w:ascii="Calibri" w:hAnsi="Calibri" w:eastAsia="宋体" w:cs="Times New Roman"/>
          <w:color w:val="auto"/>
        </w:rPr>
        <w:t>建设单位提供的其他资料</w:t>
      </w:r>
      <w:r>
        <w:rPr>
          <w:rFonts w:hint="eastAsia"/>
          <w:color w:val="auto"/>
        </w:rPr>
        <w:t>。</w:t>
      </w:r>
    </w:p>
    <w:p>
      <w:pPr>
        <w:spacing w:line="360" w:lineRule="auto"/>
        <w:contextualSpacing/>
        <w:jc w:val="left"/>
        <w:outlineLvl w:val="1"/>
        <w:rPr>
          <w:b/>
          <w:bCs/>
          <w:color w:val="auto"/>
          <w:kern w:val="44"/>
          <w:sz w:val="30"/>
          <w:szCs w:val="30"/>
        </w:rPr>
      </w:pPr>
      <w:bookmarkStart w:id="34" w:name="_Toc797"/>
      <w:r>
        <w:rPr>
          <w:b/>
          <w:bCs/>
          <w:color w:val="auto"/>
          <w:kern w:val="44"/>
          <w:sz w:val="30"/>
          <w:szCs w:val="30"/>
        </w:rPr>
        <w:t>2.2环境影响因素识别与评价因子筛选</w:t>
      </w:r>
      <w:bookmarkEnd w:id="34"/>
    </w:p>
    <w:p>
      <w:pPr>
        <w:pStyle w:val="5"/>
        <w:spacing w:before="0" w:after="0" w:line="360" w:lineRule="auto"/>
        <w:ind w:firstLine="0" w:firstLineChars="0"/>
        <w:contextualSpacing/>
        <w:rPr>
          <w:rFonts w:ascii="Times New Roman" w:hAnsi="Times New Roman" w:cs="Times New Roman"/>
          <w:b/>
          <w:color w:val="auto"/>
          <w:sz w:val="28"/>
          <w:szCs w:val="28"/>
        </w:rPr>
      </w:pPr>
      <w:r>
        <w:rPr>
          <w:rFonts w:ascii="Times New Roman" w:hAnsi="Times New Roman" w:cs="Times New Roman"/>
          <w:b/>
          <w:color w:val="auto"/>
          <w:sz w:val="28"/>
          <w:szCs w:val="28"/>
        </w:rPr>
        <w:t>2.2.1环境影响因素识别</w:t>
      </w:r>
    </w:p>
    <w:p>
      <w:pPr>
        <w:spacing w:line="360" w:lineRule="auto"/>
        <w:ind w:firstLine="424" w:firstLineChars="177"/>
        <w:rPr>
          <w:color w:val="auto"/>
          <w:sz w:val="24"/>
        </w:rPr>
      </w:pPr>
      <w:r>
        <w:rPr>
          <w:color w:val="auto"/>
          <w:sz w:val="24"/>
        </w:rPr>
        <w:t>根据本项目的排污特点及污染源分析，本项目环境影响因素如下：</w:t>
      </w:r>
    </w:p>
    <w:p>
      <w:pPr>
        <w:spacing w:line="360" w:lineRule="auto"/>
        <w:ind w:firstLine="482" w:firstLineChars="200"/>
        <w:rPr>
          <w:b/>
          <w:bCs/>
          <w:snapToGrid w:val="0"/>
          <w:color w:val="auto"/>
          <w:kern w:val="0"/>
          <w:sz w:val="24"/>
        </w:rPr>
      </w:pPr>
      <w:r>
        <w:rPr>
          <w:b/>
          <w:bCs/>
          <w:snapToGrid w:val="0"/>
          <w:color w:val="auto"/>
          <w:kern w:val="0"/>
          <w:sz w:val="24"/>
        </w:rPr>
        <w:t>施工期：</w:t>
      </w:r>
    </w:p>
    <w:p>
      <w:pPr>
        <w:spacing w:line="360" w:lineRule="auto"/>
        <w:ind w:firstLine="480" w:firstLineChars="200"/>
        <w:rPr>
          <w:snapToGrid w:val="0"/>
          <w:color w:val="auto"/>
          <w:kern w:val="0"/>
          <w:sz w:val="24"/>
        </w:rPr>
      </w:pPr>
      <w:r>
        <w:rPr>
          <w:snapToGrid w:val="0"/>
          <w:color w:val="auto"/>
          <w:kern w:val="0"/>
          <w:sz w:val="24"/>
        </w:rPr>
        <w:t>（1）施工过程中机械噪声、施工作业噪声和施工车辆等噪声，会对周围声环境产生一定影响；</w:t>
      </w:r>
    </w:p>
    <w:p>
      <w:pPr>
        <w:spacing w:line="360" w:lineRule="auto"/>
        <w:ind w:firstLine="480" w:firstLineChars="200"/>
        <w:rPr>
          <w:snapToGrid w:val="0"/>
          <w:color w:val="auto"/>
          <w:kern w:val="0"/>
          <w:sz w:val="24"/>
        </w:rPr>
      </w:pPr>
      <w:r>
        <w:rPr>
          <w:snapToGrid w:val="0"/>
          <w:color w:val="auto"/>
          <w:kern w:val="0"/>
          <w:sz w:val="24"/>
        </w:rPr>
        <w:t>（2）施工期产生的生活污水、机械设备及运输车辆冲洗废水，若不进行妥善处理，将对周边地表水环境产生不良影响</w:t>
      </w:r>
      <w:r>
        <w:rPr>
          <w:rFonts w:hint="eastAsia"/>
          <w:snapToGrid w:val="0"/>
          <w:color w:val="auto"/>
          <w:kern w:val="0"/>
          <w:sz w:val="24"/>
        </w:rPr>
        <w:t>；</w:t>
      </w:r>
    </w:p>
    <w:p>
      <w:pPr>
        <w:spacing w:line="360" w:lineRule="auto"/>
        <w:ind w:firstLine="480" w:firstLineChars="200"/>
        <w:rPr>
          <w:snapToGrid w:val="0"/>
          <w:color w:val="auto"/>
          <w:kern w:val="0"/>
          <w:sz w:val="24"/>
        </w:rPr>
      </w:pPr>
      <w:r>
        <w:rPr>
          <w:snapToGrid w:val="0"/>
          <w:color w:val="auto"/>
          <w:kern w:val="0"/>
          <w:sz w:val="24"/>
        </w:rPr>
        <w:t>（3）施工人员生活垃圾、</w:t>
      </w:r>
      <w:r>
        <w:rPr>
          <w:rFonts w:hint="eastAsia"/>
          <w:snapToGrid w:val="0"/>
          <w:color w:val="auto"/>
          <w:kern w:val="0"/>
          <w:sz w:val="24"/>
        </w:rPr>
        <w:t>施工废物</w:t>
      </w:r>
      <w:r>
        <w:rPr>
          <w:snapToGrid w:val="0"/>
          <w:color w:val="auto"/>
          <w:kern w:val="0"/>
          <w:sz w:val="24"/>
        </w:rPr>
        <w:t>如不妥善处置，将对周围环境造成影响；</w:t>
      </w:r>
    </w:p>
    <w:p>
      <w:pPr>
        <w:spacing w:line="360" w:lineRule="auto"/>
        <w:ind w:firstLine="480" w:firstLineChars="200"/>
        <w:rPr>
          <w:snapToGrid w:val="0"/>
          <w:color w:val="auto"/>
          <w:kern w:val="0"/>
          <w:sz w:val="24"/>
        </w:rPr>
      </w:pPr>
      <w:r>
        <w:rPr>
          <w:snapToGrid w:val="0"/>
          <w:color w:val="auto"/>
          <w:kern w:val="0"/>
          <w:sz w:val="24"/>
        </w:rPr>
        <w:t>（4）</w:t>
      </w:r>
      <w:r>
        <w:rPr>
          <w:snapToGrid w:val="0"/>
          <w:color w:val="auto"/>
          <w:kern w:val="0"/>
          <w:sz w:val="24"/>
          <w:lang w:val="zh-CN"/>
        </w:rPr>
        <w:t>施工活动、机械及施工车辆产生的废气对周边大气环境产生的影响。</w:t>
      </w:r>
    </w:p>
    <w:p>
      <w:pPr>
        <w:spacing w:line="360" w:lineRule="auto"/>
        <w:ind w:firstLine="482" w:firstLineChars="200"/>
        <w:rPr>
          <w:b/>
          <w:bCs/>
          <w:snapToGrid w:val="0"/>
          <w:color w:val="auto"/>
          <w:kern w:val="0"/>
          <w:sz w:val="24"/>
        </w:rPr>
      </w:pPr>
      <w:r>
        <w:rPr>
          <w:b/>
          <w:bCs/>
          <w:snapToGrid w:val="0"/>
          <w:color w:val="auto"/>
          <w:kern w:val="0"/>
          <w:sz w:val="24"/>
        </w:rPr>
        <w:t>运营期：</w:t>
      </w:r>
    </w:p>
    <w:p>
      <w:pPr>
        <w:spacing w:line="360" w:lineRule="auto"/>
        <w:ind w:firstLine="480" w:firstLineChars="200"/>
        <w:rPr>
          <w:snapToGrid w:val="0"/>
          <w:color w:val="FF0000"/>
          <w:kern w:val="0"/>
          <w:sz w:val="24"/>
        </w:rPr>
      </w:pPr>
      <w:r>
        <w:rPr>
          <w:snapToGrid w:val="0"/>
          <w:color w:val="auto"/>
          <w:kern w:val="0"/>
          <w:sz w:val="24"/>
        </w:rPr>
        <w:t>（1）待宰</w:t>
      </w:r>
      <w:r>
        <w:rPr>
          <w:rFonts w:hint="eastAsia"/>
          <w:snapToGrid w:val="0"/>
          <w:color w:val="auto"/>
          <w:kern w:val="0"/>
          <w:sz w:val="24"/>
        </w:rPr>
        <w:t>间、屠宰车间、污水处理站产生的恶臭气体、食堂油烟</w:t>
      </w:r>
      <w:r>
        <w:rPr>
          <w:rFonts w:hint="eastAsia"/>
          <w:snapToGrid w:val="0"/>
          <w:color w:val="auto"/>
          <w:kern w:val="0"/>
          <w:sz w:val="24"/>
          <w:lang w:eastAsia="zh-CN"/>
        </w:rPr>
        <w:t>、</w:t>
      </w:r>
      <w:r>
        <w:rPr>
          <w:rFonts w:hint="eastAsia"/>
          <w:snapToGrid w:val="0"/>
          <w:color w:val="auto"/>
          <w:kern w:val="0"/>
          <w:sz w:val="24"/>
          <w:lang w:val="en-US" w:eastAsia="zh-CN"/>
        </w:rPr>
        <w:t>锅炉烟气</w:t>
      </w:r>
      <w:r>
        <w:rPr>
          <w:snapToGrid w:val="0"/>
          <w:color w:val="auto"/>
          <w:kern w:val="0"/>
          <w:sz w:val="24"/>
        </w:rPr>
        <w:t>对周边环境的影响。</w:t>
      </w:r>
    </w:p>
    <w:p>
      <w:pPr>
        <w:spacing w:line="360" w:lineRule="auto"/>
        <w:ind w:firstLine="480" w:firstLineChars="200"/>
        <w:rPr>
          <w:snapToGrid w:val="0"/>
          <w:color w:val="auto"/>
          <w:kern w:val="0"/>
          <w:sz w:val="24"/>
        </w:rPr>
      </w:pPr>
      <w:bookmarkStart w:id="35" w:name="_Toc4168"/>
      <w:r>
        <w:rPr>
          <w:snapToGrid w:val="0"/>
          <w:color w:val="auto"/>
          <w:kern w:val="0"/>
          <w:sz w:val="24"/>
        </w:rPr>
        <w:t>（2）生产废水、生活污水对水环境的影响。</w:t>
      </w:r>
      <w:bookmarkEnd w:id="35"/>
    </w:p>
    <w:p>
      <w:pPr>
        <w:spacing w:line="360" w:lineRule="auto"/>
        <w:ind w:firstLine="480" w:firstLineChars="200"/>
        <w:rPr>
          <w:color w:val="auto"/>
          <w:sz w:val="24"/>
        </w:rPr>
      </w:pPr>
      <w:r>
        <w:rPr>
          <w:snapToGrid w:val="0"/>
          <w:color w:val="auto"/>
          <w:kern w:val="0"/>
          <w:sz w:val="24"/>
        </w:rPr>
        <w:t>（3）</w:t>
      </w:r>
      <w:r>
        <w:rPr>
          <w:color w:val="auto"/>
          <w:sz w:val="24"/>
        </w:rPr>
        <w:t>待宰</w:t>
      </w:r>
      <w:r>
        <w:rPr>
          <w:rFonts w:hint="eastAsia"/>
          <w:color w:val="auto"/>
          <w:sz w:val="24"/>
        </w:rPr>
        <w:t>间</w:t>
      </w:r>
      <w:r>
        <w:rPr>
          <w:color w:val="auto"/>
          <w:sz w:val="24"/>
        </w:rPr>
        <w:t>产生的</w:t>
      </w:r>
      <w:r>
        <w:rPr>
          <w:rFonts w:hint="eastAsia"/>
          <w:color w:val="auto"/>
          <w:sz w:val="24"/>
        </w:rPr>
        <w:t>粪便</w:t>
      </w:r>
      <w:r>
        <w:rPr>
          <w:color w:val="auto"/>
          <w:sz w:val="24"/>
        </w:rPr>
        <w:t>；检疫间产生的</w:t>
      </w:r>
      <w:r>
        <w:rPr>
          <w:rFonts w:hint="eastAsia"/>
          <w:bCs/>
          <w:color w:val="auto"/>
          <w:sz w:val="24"/>
        </w:rPr>
        <w:t>检疫废物（HW01）；包装过程产生的</w:t>
      </w:r>
      <w:r>
        <w:rPr>
          <w:bCs/>
          <w:color w:val="auto"/>
          <w:sz w:val="24"/>
        </w:rPr>
        <w:t>废弃包装物</w:t>
      </w:r>
      <w:r>
        <w:rPr>
          <w:rFonts w:hint="eastAsia"/>
          <w:bCs/>
          <w:color w:val="auto"/>
          <w:sz w:val="24"/>
        </w:rPr>
        <w:t>；检疫不合格肉牛及病死牛；员工生活产生的</w:t>
      </w:r>
      <w:r>
        <w:rPr>
          <w:bCs/>
          <w:color w:val="auto"/>
          <w:sz w:val="24"/>
        </w:rPr>
        <w:t>生活垃圾；恶臭治理设施产生的废活性炭；污水处理站产生的污泥、栅渣、废油脂；食堂产生的食堂</w:t>
      </w:r>
      <w:r>
        <w:rPr>
          <w:rFonts w:hint="eastAsia"/>
          <w:bCs/>
          <w:color w:val="auto"/>
          <w:sz w:val="24"/>
        </w:rPr>
        <w:t>餐余</w:t>
      </w:r>
      <w:r>
        <w:rPr>
          <w:bCs/>
          <w:color w:val="auto"/>
          <w:sz w:val="24"/>
        </w:rPr>
        <w:t>垃圾及废油脂；屠宰车间产生的肠胃内容物及不可食用内脏</w:t>
      </w:r>
      <w:r>
        <w:rPr>
          <w:rFonts w:hint="eastAsia"/>
          <w:bCs/>
          <w:color w:val="auto"/>
          <w:sz w:val="24"/>
          <w:lang w:eastAsia="zh-CN"/>
        </w:rPr>
        <w:t>；</w:t>
      </w:r>
      <w:r>
        <w:rPr>
          <w:rFonts w:hint="eastAsia"/>
          <w:bCs/>
          <w:color w:val="auto"/>
          <w:sz w:val="24"/>
          <w:lang w:val="en-US" w:eastAsia="zh-CN"/>
        </w:rPr>
        <w:t>锅炉软化水制备产生的废离子交换树脂、锅炉灰渣（含布袋除尘器收尘）、废布袋</w:t>
      </w:r>
      <w:r>
        <w:rPr>
          <w:bCs/>
          <w:color w:val="auto"/>
          <w:sz w:val="24"/>
        </w:rPr>
        <w:t>。</w:t>
      </w:r>
      <w:r>
        <w:rPr>
          <w:snapToGrid w:val="0"/>
          <w:color w:val="auto"/>
          <w:kern w:val="0"/>
          <w:sz w:val="24"/>
        </w:rPr>
        <w:t>固体废物对周边环境产生影响。</w:t>
      </w:r>
    </w:p>
    <w:p>
      <w:pPr>
        <w:spacing w:line="360" w:lineRule="auto"/>
        <w:ind w:firstLine="480" w:firstLineChars="200"/>
        <w:rPr>
          <w:b/>
          <w:bCs/>
          <w:color w:val="auto"/>
          <w:spacing w:val="6"/>
          <w:szCs w:val="21"/>
        </w:rPr>
      </w:pPr>
      <w:r>
        <w:rPr>
          <w:snapToGrid w:val="0"/>
          <w:color w:val="auto"/>
          <w:kern w:val="0"/>
          <w:sz w:val="24"/>
        </w:rPr>
        <w:t>（4）</w:t>
      </w:r>
      <w:r>
        <w:rPr>
          <w:rFonts w:hint="eastAsia"/>
          <w:snapToGrid w:val="0"/>
          <w:color w:val="auto"/>
          <w:kern w:val="0"/>
          <w:sz w:val="24"/>
        </w:rPr>
        <w:t>制冷压缩机、屠宰分割设备、给水泵、污泥泵、风机</w:t>
      </w:r>
      <w:r>
        <w:rPr>
          <w:snapToGrid w:val="0"/>
          <w:color w:val="auto"/>
          <w:kern w:val="0"/>
          <w:sz w:val="24"/>
        </w:rPr>
        <w:t>等对周边声环境影响。</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4"/>
        </w:rPr>
      </w:pPr>
      <w:r>
        <w:rPr>
          <w:b/>
          <w:bCs/>
          <w:color w:val="auto"/>
          <w:sz w:val="24"/>
        </w:rPr>
        <w:t>2-</w:t>
      </w:r>
      <w:r>
        <w:rPr>
          <w:rFonts w:hint="eastAsia"/>
          <w:b/>
          <w:bCs/>
          <w:color w:val="auto"/>
          <w:sz w:val="24"/>
        </w:rPr>
        <w:t>2</w:t>
      </w:r>
      <w:r>
        <w:rPr>
          <w:b/>
          <w:bCs/>
          <w:color w:val="auto"/>
          <w:sz w:val="24"/>
        </w:rPr>
        <w:t>-1  环境影响因素识别矩阵</w:t>
      </w:r>
    </w:p>
    <w:tbl>
      <w:tblPr>
        <w:tblStyle w:val="728"/>
        <w:tblW w:w="8561"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855"/>
        <w:gridCol w:w="1347"/>
        <w:gridCol w:w="899"/>
        <w:gridCol w:w="900"/>
        <w:gridCol w:w="899"/>
        <w:gridCol w:w="900"/>
        <w:gridCol w:w="899"/>
        <w:gridCol w:w="899"/>
        <w:gridCol w:w="963"/>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2202" w:type="dxa"/>
            <w:gridSpan w:val="2"/>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项目</w:t>
            </w:r>
          </w:p>
        </w:tc>
        <w:tc>
          <w:tcPr>
            <w:tcW w:w="6359" w:type="dxa"/>
            <w:gridSpan w:val="7"/>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工程引起的环境影响及影响程度</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atLeast"/>
          <w:jc w:val="center"/>
        </w:trPr>
        <w:tc>
          <w:tcPr>
            <w:tcW w:w="2202" w:type="dxa"/>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大气</w:t>
            </w:r>
          </w:p>
        </w:tc>
        <w:tc>
          <w:tcPr>
            <w:tcW w:w="9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地表水</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地下水</w:t>
            </w:r>
          </w:p>
        </w:tc>
        <w:tc>
          <w:tcPr>
            <w:tcW w:w="9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声环境</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土壤</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生态</w:t>
            </w:r>
          </w:p>
        </w:tc>
        <w:tc>
          <w:tcPr>
            <w:tcW w:w="9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环境风险</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4" w:hRule="atLeast"/>
          <w:jc w:val="center"/>
        </w:trPr>
        <w:tc>
          <w:tcPr>
            <w:tcW w:w="85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kern w:val="0"/>
                <w:sz w:val="21"/>
                <w:szCs w:val="21"/>
                <w:lang w:val="en-US" w:eastAsia="zh-CN"/>
              </w:rPr>
            </w:pPr>
            <w:r>
              <w:rPr>
                <w:rFonts w:hint="eastAsia"/>
                <w:color w:val="auto"/>
                <w:kern w:val="0"/>
                <w:sz w:val="21"/>
                <w:szCs w:val="21"/>
                <w:lang w:val="en-US" w:eastAsia="zh-CN"/>
              </w:rPr>
              <w:t>施工期</w:t>
            </w:r>
          </w:p>
        </w:tc>
        <w:tc>
          <w:tcPr>
            <w:tcW w:w="13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土建施工</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- 1D</w:t>
            </w:r>
          </w:p>
        </w:tc>
        <w:tc>
          <w:tcPr>
            <w:tcW w:w="9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- 1D</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9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- 1D</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9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4" w:hRule="atLeast"/>
          <w:jc w:val="center"/>
        </w:trPr>
        <w:tc>
          <w:tcPr>
            <w:tcW w:w="855" w:type="dxa"/>
            <w:vMerge w:val="continue"/>
            <w:tcBorders>
              <w:tl2br w:val="nil"/>
              <w:tr2bl w:val="nil"/>
            </w:tcBorders>
            <w:textDirection w:val="tbRlV"/>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13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装饰及设备安装</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9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9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- 1D</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9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855" w:type="dxa"/>
            <w:vMerge w:val="continue"/>
            <w:tcBorders>
              <w:tl2br w:val="nil"/>
              <w:tr2bl w:val="nil"/>
            </w:tcBorders>
            <w:textDirection w:val="tbRlV"/>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13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施工人员活动</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9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- 1D</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9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- 1D</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9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4" w:hRule="atLeast"/>
          <w:jc w:val="center"/>
        </w:trPr>
        <w:tc>
          <w:tcPr>
            <w:tcW w:w="855" w:type="dxa"/>
            <w:vMerge w:val="restart"/>
            <w:tcBorders>
              <w:tl2br w:val="nil"/>
              <w:tr2bl w:val="nil"/>
            </w:tcBorders>
            <w:textDirection w:val="tbRlV"/>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营运期</w:t>
            </w:r>
          </w:p>
        </w:tc>
        <w:tc>
          <w:tcPr>
            <w:tcW w:w="13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仓储及运输</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9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9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- 1C</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9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- 1C</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5" w:hRule="atLeast"/>
          <w:jc w:val="center"/>
        </w:trPr>
        <w:tc>
          <w:tcPr>
            <w:tcW w:w="855" w:type="dxa"/>
            <w:vMerge w:val="continue"/>
            <w:tcBorders>
              <w:tl2br w:val="nil"/>
              <w:tr2bl w:val="nil"/>
            </w:tcBorders>
            <w:textDirection w:val="tbRlV"/>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13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生产过程</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- 1C</w:t>
            </w:r>
          </w:p>
        </w:tc>
        <w:tc>
          <w:tcPr>
            <w:tcW w:w="9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- 1C</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- 1C</w:t>
            </w:r>
          </w:p>
        </w:tc>
        <w:tc>
          <w:tcPr>
            <w:tcW w:w="9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- 1C</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- 1C</w:t>
            </w:r>
          </w:p>
        </w:tc>
        <w:tc>
          <w:tcPr>
            <w:tcW w:w="9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- 1C</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855" w:type="dxa"/>
            <w:vMerge w:val="continue"/>
            <w:tcBorders>
              <w:tl2br w:val="nil"/>
              <w:tr2bl w:val="nil"/>
            </w:tcBorders>
            <w:textDirection w:val="tbRlV"/>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13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员工生活</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9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- 1C</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9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r>
              <w:rPr>
                <w:color w:val="auto"/>
                <w:kern w:val="0"/>
                <w:sz w:val="21"/>
                <w:szCs w:val="21"/>
              </w:rPr>
              <w:t>- 1C</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c>
          <w:tcPr>
            <w:tcW w:w="9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sz w:val="21"/>
                <w:szCs w:val="21"/>
              </w:rPr>
            </w:pPr>
          </w:p>
        </w:tc>
      </w:tr>
    </w:tbl>
    <w:p>
      <w:pPr>
        <w:keepNext w:val="0"/>
        <w:keepLines w:val="0"/>
        <w:pageBreakBefore w:val="0"/>
        <w:widowControl w:val="0"/>
        <w:kinsoku/>
        <w:wordWrap/>
        <w:overflowPunct/>
        <w:topLinePunct w:val="0"/>
        <w:autoSpaceDE/>
        <w:autoSpaceDN/>
        <w:bidi w:val="0"/>
        <w:adjustRightInd/>
        <w:snapToGrid/>
        <w:textAlignment w:val="auto"/>
        <w:rPr>
          <w:b/>
          <w:bCs/>
          <w:color w:val="auto"/>
          <w:sz w:val="18"/>
          <w:szCs w:val="18"/>
        </w:rPr>
      </w:pPr>
      <w:r>
        <w:rPr>
          <w:b/>
          <w:bCs/>
          <w:color w:val="auto"/>
          <w:sz w:val="18"/>
          <w:szCs w:val="18"/>
        </w:rPr>
        <w:t>注：1.表中“＋”表示正影响，“－”表示负影响；</w:t>
      </w:r>
    </w:p>
    <w:p>
      <w:pPr>
        <w:rPr>
          <w:b/>
          <w:bCs/>
          <w:color w:val="auto"/>
          <w:sz w:val="18"/>
          <w:szCs w:val="18"/>
        </w:rPr>
      </w:pPr>
      <w:r>
        <w:rPr>
          <w:b/>
          <w:bCs/>
          <w:color w:val="auto"/>
          <w:sz w:val="18"/>
          <w:szCs w:val="18"/>
        </w:rPr>
        <w:t>2.表中数字表示影响的相对程度，“1”表示影响较小，“2”表示影响中等，“3”表示影响较大；</w:t>
      </w:r>
    </w:p>
    <w:p>
      <w:pPr>
        <w:spacing w:line="360" w:lineRule="auto"/>
        <w:rPr>
          <w:color w:val="auto"/>
          <w:sz w:val="24"/>
        </w:rPr>
      </w:pPr>
      <w:bookmarkStart w:id="36" w:name="_Toc23092"/>
      <w:bookmarkStart w:id="37" w:name="_Toc4103"/>
      <w:r>
        <w:rPr>
          <w:b/>
          <w:bCs/>
          <w:snapToGrid w:val="0"/>
          <w:color w:val="auto"/>
          <w:kern w:val="0"/>
          <w:szCs w:val="21"/>
        </w:rPr>
        <w:t>3.表中“D”表示短期影响，“C”表示长期影响。</w:t>
      </w:r>
      <w:bookmarkEnd w:id="36"/>
      <w:bookmarkEnd w:id="37"/>
    </w:p>
    <w:p>
      <w:pPr>
        <w:pStyle w:val="5"/>
        <w:spacing w:before="0" w:after="0" w:line="360" w:lineRule="auto"/>
        <w:ind w:firstLine="0" w:firstLineChars="0"/>
        <w:contextualSpacing/>
        <w:rPr>
          <w:rFonts w:ascii="Times New Roman" w:hAnsi="Times New Roman" w:cs="Times New Roman"/>
          <w:b/>
          <w:color w:val="auto"/>
          <w:sz w:val="28"/>
          <w:szCs w:val="28"/>
        </w:rPr>
      </w:pPr>
      <w:r>
        <w:rPr>
          <w:rFonts w:ascii="Times New Roman" w:hAnsi="Times New Roman" w:cs="Times New Roman"/>
          <w:b/>
          <w:color w:val="auto"/>
          <w:sz w:val="28"/>
          <w:szCs w:val="28"/>
        </w:rPr>
        <w:t>2.2.2评价因子筛选</w:t>
      </w:r>
    </w:p>
    <w:p>
      <w:pPr>
        <w:spacing w:line="360" w:lineRule="auto"/>
        <w:ind w:firstLine="424" w:firstLineChars="177"/>
        <w:rPr>
          <w:color w:val="auto"/>
          <w:sz w:val="24"/>
        </w:rPr>
      </w:pPr>
      <w:r>
        <w:rPr>
          <w:color w:val="auto"/>
          <w:sz w:val="24"/>
        </w:rPr>
        <w:t>根据本项目周边环境及项目特征，确定本项目评价现状因子和预测评价因子，具体见表2-2-2。</w:t>
      </w:r>
    </w:p>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b/>
          <w:color w:val="auto"/>
          <w:kern w:val="0"/>
          <w:sz w:val="24"/>
        </w:rPr>
      </w:pPr>
      <w:r>
        <w:rPr>
          <w:b/>
          <w:color w:val="auto"/>
          <w:kern w:val="0"/>
          <w:sz w:val="24"/>
        </w:rPr>
        <w:t>表2-2-2本项目环境影响评价因子筛选结果</w:t>
      </w:r>
    </w:p>
    <w:tbl>
      <w:tblPr>
        <w:tblStyle w:val="46"/>
        <w:tblW w:w="825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23"/>
        <w:gridCol w:w="709"/>
        <w:gridCol w:w="1134"/>
        <w:gridCol w:w="558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3" w:hRule="atLeast"/>
          <w:jc w:val="center"/>
        </w:trPr>
        <w:tc>
          <w:tcPr>
            <w:tcW w:w="823" w:type="dxa"/>
            <w:vAlign w:val="center"/>
          </w:tcPr>
          <w:p>
            <w:pPr>
              <w:snapToGrid w:val="0"/>
              <w:jc w:val="center"/>
              <w:rPr>
                <w:rFonts w:eastAsiaTheme="minorEastAsia"/>
                <w:color w:val="auto"/>
                <w:kern w:val="0"/>
                <w:szCs w:val="21"/>
              </w:rPr>
            </w:pPr>
            <w:r>
              <w:rPr>
                <w:rFonts w:hAnsiTheme="minorEastAsia" w:eastAsiaTheme="minorEastAsia"/>
                <w:color w:val="auto"/>
                <w:kern w:val="0"/>
                <w:szCs w:val="21"/>
              </w:rPr>
              <w:t>评价阶段</w:t>
            </w:r>
          </w:p>
        </w:tc>
        <w:tc>
          <w:tcPr>
            <w:tcW w:w="709" w:type="dxa"/>
            <w:vAlign w:val="center"/>
          </w:tcPr>
          <w:p>
            <w:pPr>
              <w:snapToGrid w:val="0"/>
              <w:jc w:val="center"/>
              <w:rPr>
                <w:rFonts w:eastAsiaTheme="minorEastAsia"/>
                <w:color w:val="auto"/>
                <w:kern w:val="0"/>
                <w:szCs w:val="21"/>
              </w:rPr>
            </w:pPr>
            <w:r>
              <w:rPr>
                <w:rFonts w:hAnsiTheme="minorEastAsia" w:eastAsiaTheme="minorEastAsia"/>
                <w:color w:val="auto"/>
                <w:kern w:val="0"/>
                <w:szCs w:val="21"/>
              </w:rPr>
              <w:t>环境要素</w:t>
            </w:r>
          </w:p>
        </w:tc>
        <w:tc>
          <w:tcPr>
            <w:tcW w:w="1134" w:type="dxa"/>
            <w:vAlign w:val="center"/>
          </w:tcPr>
          <w:p>
            <w:pPr>
              <w:snapToGrid w:val="0"/>
              <w:jc w:val="center"/>
              <w:rPr>
                <w:rFonts w:eastAsiaTheme="minorEastAsia"/>
                <w:color w:val="auto"/>
                <w:kern w:val="0"/>
                <w:szCs w:val="21"/>
              </w:rPr>
            </w:pPr>
            <w:r>
              <w:rPr>
                <w:rFonts w:hAnsiTheme="minorEastAsia" w:eastAsiaTheme="minorEastAsia"/>
                <w:color w:val="auto"/>
                <w:kern w:val="0"/>
                <w:szCs w:val="21"/>
              </w:rPr>
              <w:t>评价类别</w:t>
            </w:r>
          </w:p>
        </w:tc>
        <w:tc>
          <w:tcPr>
            <w:tcW w:w="5584" w:type="dxa"/>
            <w:vAlign w:val="center"/>
          </w:tcPr>
          <w:p>
            <w:pPr>
              <w:snapToGrid w:val="0"/>
              <w:jc w:val="center"/>
              <w:rPr>
                <w:rFonts w:eastAsiaTheme="minorEastAsia"/>
                <w:color w:val="auto"/>
                <w:kern w:val="0"/>
                <w:szCs w:val="21"/>
              </w:rPr>
            </w:pPr>
            <w:r>
              <w:rPr>
                <w:rFonts w:hAnsiTheme="minorEastAsia" w:eastAsiaTheme="minorEastAsia"/>
                <w:color w:val="auto"/>
                <w:kern w:val="0"/>
                <w:szCs w:val="21"/>
              </w:rPr>
              <w:t>评价因子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23" w:type="dxa"/>
            <w:vMerge w:val="restart"/>
            <w:vAlign w:val="center"/>
          </w:tcPr>
          <w:p>
            <w:pPr>
              <w:snapToGrid w:val="0"/>
              <w:jc w:val="center"/>
              <w:rPr>
                <w:rFonts w:eastAsiaTheme="minorEastAsia"/>
                <w:color w:val="auto"/>
                <w:kern w:val="0"/>
                <w:szCs w:val="21"/>
              </w:rPr>
            </w:pPr>
            <w:r>
              <w:rPr>
                <w:rFonts w:hAnsiTheme="minorEastAsia" w:eastAsiaTheme="minorEastAsia"/>
                <w:color w:val="auto"/>
                <w:kern w:val="0"/>
                <w:szCs w:val="21"/>
              </w:rPr>
              <w:t>营运期</w:t>
            </w:r>
          </w:p>
        </w:tc>
        <w:tc>
          <w:tcPr>
            <w:tcW w:w="709" w:type="dxa"/>
            <w:vMerge w:val="restart"/>
            <w:vAlign w:val="center"/>
          </w:tcPr>
          <w:p>
            <w:pPr>
              <w:snapToGrid w:val="0"/>
              <w:jc w:val="center"/>
              <w:rPr>
                <w:rFonts w:eastAsiaTheme="minorEastAsia"/>
                <w:color w:val="auto"/>
                <w:kern w:val="0"/>
                <w:szCs w:val="21"/>
              </w:rPr>
            </w:pPr>
            <w:r>
              <w:rPr>
                <w:rFonts w:hAnsiTheme="minorEastAsia" w:eastAsiaTheme="minorEastAsia"/>
                <w:color w:val="auto"/>
                <w:kern w:val="0"/>
                <w:szCs w:val="21"/>
              </w:rPr>
              <w:t>环境空气</w:t>
            </w:r>
          </w:p>
        </w:tc>
        <w:tc>
          <w:tcPr>
            <w:tcW w:w="1134" w:type="dxa"/>
            <w:vAlign w:val="center"/>
          </w:tcPr>
          <w:p>
            <w:pPr>
              <w:snapToGrid w:val="0"/>
              <w:jc w:val="center"/>
              <w:rPr>
                <w:rFonts w:eastAsiaTheme="minorEastAsia"/>
                <w:color w:val="auto"/>
                <w:kern w:val="0"/>
                <w:szCs w:val="21"/>
              </w:rPr>
            </w:pPr>
            <w:r>
              <w:rPr>
                <w:rFonts w:hAnsiTheme="minorEastAsia" w:eastAsiaTheme="minorEastAsia"/>
                <w:color w:val="auto"/>
                <w:kern w:val="0"/>
                <w:szCs w:val="21"/>
              </w:rPr>
              <w:t>现状评价</w:t>
            </w:r>
          </w:p>
        </w:tc>
        <w:tc>
          <w:tcPr>
            <w:tcW w:w="5584" w:type="dxa"/>
            <w:vAlign w:val="center"/>
          </w:tcPr>
          <w:p>
            <w:pPr>
              <w:snapToGrid w:val="0"/>
              <w:jc w:val="center"/>
              <w:rPr>
                <w:rFonts w:hint="default" w:eastAsiaTheme="minorEastAsia"/>
                <w:color w:val="auto"/>
                <w:spacing w:val="22"/>
                <w:kern w:val="0"/>
                <w:szCs w:val="21"/>
                <w:lang w:val="en-US" w:eastAsia="zh-CN"/>
              </w:rPr>
            </w:pPr>
            <w:r>
              <w:rPr>
                <w:rFonts w:eastAsiaTheme="minorEastAsia"/>
                <w:color w:val="auto"/>
                <w:spacing w:val="22"/>
                <w:kern w:val="0"/>
                <w:szCs w:val="21"/>
              </w:rPr>
              <w:t>PM</w:t>
            </w:r>
            <w:r>
              <w:rPr>
                <w:rFonts w:eastAsiaTheme="minorEastAsia"/>
                <w:color w:val="auto"/>
                <w:spacing w:val="22"/>
                <w:kern w:val="0"/>
                <w:szCs w:val="21"/>
                <w:vertAlign w:val="subscript"/>
              </w:rPr>
              <w:t>10</w:t>
            </w:r>
            <w:r>
              <w:rPr>
                <w:rFonts w:hAnsiTheme="minorEastAsia" w:eastAsiaTheme="minorEastAsia"/>
                <w:color w:val="auto"/>
                <w:spacing w:val="22"/>
                <w:kern w:val="0"/>
                <w:szCs w:val="21"/>
              </w:rPr>
              <w:t>、</w:t>
            </w:r>
            <w:r>
              <w:rPr>
                <w:rFonts w:eastAsiaTheme="minorEastAsia"/>
                <w:color w:val="auto"/>
                <w:spacing w:val="22"/>
                <w:kern w:val="0"/>
                <w:szCs w:val="21"/>
              </w:rPr>
              <w:t>PM</w:t>
            </w:r>
            <w:r>
              <w:rPr>
                <w:rFonts w:eastAsiaTheme="minorEastAsia"/>
                <w:color w:val="auto"/>
                <w:spacing w:val="22"/>
                <w:kern w:val="0"/>
                <w:szCs w:val="21"/>
                <w:vertAlign w:val="subscript"/>
              </w:rPr>
              <w:t>2.5</w:t>
            </w:r>
            <w:r>
              <w:rPr>
                <w:rFonts w:hAnsiTheme="minorEastAsia" w:eastAsiaTheme="minorEastAsia"/>
                <w:color w:val="auto"/>
                <w:spacing w:val="22"/>
                <w:kern w:val="0"/>
                <w:szCs w:val="21"/>
              </w:rPr>
              <w:t>、</w:t>
            </w:r>
            <w:r>
              <w:rPr>
                <w:rFonts w:eastAsiaTheme="minorEastAsia"/>
                <w:color w:val="auto"/>
                <w:spacing w:val="22"/>
                <w:kern w:val="0"/>
                <w:szCs w:val="21"/>
              </w:rPr>
              <w:t>NO</w:t>
            </w:r>
            <w:r>
              <w:rPr>
                <w:rFonts w:eastAsiaTheme="minorEastAsia"/>
                <w:color w:val="auto"/>
                <w:spacing w:val="22"/>
                <w:kern w:val="0"/>
                <w:szCs w:val="21"/>
                <w:vertAlign w:val="subscript"/>
              </w:rPr>
              <w:t>2</w:t>
            </w:r>
            <w:r>
              <w:rPr>
                <w:rFonts w:hAnsiTheme="minorEastAsia" w:eastAsiaTheme="minorEastAsia"/>
                <w:color w:val="auto"/>
                <w:spacing w:val="22"/>
                <w:kern w:val="0"/>
                <w:szCs w:val="21"/>
              </w:rPr>
              <w:t>、</w:t>
            </w:r>
            <w:r>
              <w:rPr>
                <w:rFonts w:eastAsiaTheme="minorEastAsia"/>
                <w:color w:val="auto"/>
                <w:spacing w:val="22"/>
                <w:kern w:val="0"/>
                <w:szCs w:val="21"/>
              </w:rPr>
              <w:t>SO</w:t>
            </w:r>
            <w:r>
              <w:rPr>
                <w:rFonts w:eastAsiaTheme="minorEastAsia"/>
                <w:color w:val="auto"/>
                <w:spacing w:val="22"/>
                <w:kern w:val="0"/>
                <w:szCs w:val="21"/>
                <w:vertAlign w:val="subscript"/>
              </w:rPr>
              <w:t>2</w:t>
            </w:r>
            <w:r>
              <w:rPr>
                <w:rFonts w:hAnsiTheme="minorEastAsia" w:eastAsiaTheme="minorEastAsia"/>
                <w:color w:val="auto"/>
                <w:spacing w:val="22"/>
                <w:kern w:val="0"/>
                <w:szCs w:val="21"/>
              </w:rPr>
              <w:t>、</w:t>
            </w:r>
            <w:r>
              <w:rPr>
                <w:rFonts w:eastAsiaTheme="minorEastAsia"/>
                <w:color w:val="auto"/>
                <w:spacing w:val="22"/>
                <w:kern w:val="0"/>
                <w:szCs w:val="21"/>
              </w:rPr>
              <w:t>CO</w:t>
            </w:r>
            <w:r>
              <w:rPr>
                <w:rFonts w:hAnsiTheme="minorEastAsia" w:eastAsiaTheme="minorEastAsia"/>
                <w:color w:val="auto"/>
                <w:spacing w:val="22"/>
                <w:kern w:val="0"/>
                <w:szCs w:val="21"/>
              </w:rPr>
              <w:t>、</w:t>
            </w:r>
            <w:r>
              <w:rPr>
                <w:rFonts w:eastAsiaTheme="minorEastAsia"/>
                <w:color w:val="auto"/>
                <w:spacing w:val="22"/>
                <w:kern w:val="0"/>
                <w:szCs w:val="21"/>
              </w:rPr>
              <w:t>O</w:t>
            </w:r>
            <w:r>
              <w:rPr>
                <w:rFonts w:eastAsiaTheme="minorEastAsia"/>
                <w:color w:val="auto"/>
                <w:spacing w:val="22"/>
                <w:kern w:val="0"/>
                <w:szCs w:val="21"/>
                <w:vertAlign w:val="subscript"/>
              </w:rPr>
              <w:t>3</w:t>
            </w:r>
            <w:r>
              <w:rPr>
                <w:rFonts w:hAnsiTheme="minorEastAsia" w:eastAsiaTheme="minorEastAsia"/>
                <w:color w:val="auto"/>
                <w:spacing w:val="22"/>
                <w:kern w:val="0"/>
                <w:szCs w:val="21"/>
              </w:rPr>
              <w:t>、</w:t>
            </w:r>
            <w:r>
              <w:rPr>
                <w:rFonts w:eastAsiaTheme="minorEastAsia"/>
                <w:color w:val="auto"/>
                <w:spacing w:val="22"/>
                <w:kern w:val="0"/>
                <w:szCs w:val="21"/>
              </w:rPr>
              <w:t>NH</w:t>
            </w:r>
            <w:r>
              <w:rPr>
                <w:rFonts w:eastAsiaTheme="minorEastAsia"/>
                <w:color w:val="auto"/>
                <w:spacing w:val="22"/>
                <w:kern w:val="0"/>
                <w:szCs w:val="21"/>
                <w:vertAlign w:val="subscript"/>
              </w:rPr>
              <w:t>3</w:t>
            </w:r>
            <w:r>
              <w:rPr>
                <w:rFonts w:hAnsiTheme="minorEastAsia" w:eastAsiaTheme="minorEastAsia"/>
                <w:color w:val="auto"/>
                <w:spacing w:val="22"/>
                <w:kern w:val="0"/>
                <w:szCs w:val="21"/>
              </w:rPr>
              <w:t>、</w:t>
            </w:r>
            <w:r>
              <w:rPr>
                <w:rFonts w:eastAsiaTheme="minorEastAsia"/>
                <w:color w:val="auto"/>
                <w:spacing w:val="22"/>
                <w:kern w:val="0"/>
                <w:szCs w:val="21"/>
              </w:rPr>
              <w:t>H</w:t>
            </w:r>
            <w:r>
              <w:rPr>
                <w:rFonts w:eastAsiaTheme="minorEastAsia"/>
                <w:color w:val="auto"/>
                <w:spacing w:val="22"/>
                <w:kern w:val="0"/>
                <w:szCs w:val="21"/>
                <w:vertAlign w:val="subscript"/>
              </w:rPr>
              <w:t>2</w:t>
            </w:r>
            <w:r>
              <w:rPr>
                <w:rFonts w:eastAsiaTheme="minorEastAsia"/>
                <w:color w:val="auto"/>
                <w:spacing w:val="22"/>
                <w:kern w:val="0"/>
                <w:szCs w:val="21"/>
              </w:rPr>
              <w:t>S</w:t>
            </w:r>
            <w:r>
              <w:rPr>
                <w:rFonts w:hint="eastAsia" w:eastAsiaTheme="minorEastAsia"/>
                <w:color w:val="auto"/>
                <w:spacing w:val="22"/>
                <w:kern w:val="0"/>
                <w:szCs w:val="21"/>
                <w:lang w:eastAsia="zh-CN"/>
              </w:rPr>
              <w:t>、</w:t>
            </w:r>
            <w:r>
              <w:rPr>
                <w:rFonts w:hint="eastAsia" w:eastAsiaTheme="minorEastAsia"/>
                <w:color w:val="auto"/>
                <w:spacing w:val="22"/>
                <w:kern w:val="0"/>
                <w:szCs w:val="21"/>
                <w:lang w:val="en-US" w:eastAsia="zh-CN"/>
              </w:rPr>
              <w:t>TSP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23" w:type="dxa"/>
            <w:vMerge w:val="continue"/>
            <w:vAlign w:val="center"/>
          </w:tcPr>
          <w:p>
            <w:pPr>
              <w:widowControl/>
              <w:jc w:val="center"/>
              <w:rPr>
                <w:rFonts w:eastAsiaTheme="minorEastAsia"/>
                <w:color w:val="auto"/>
                <w:kern w:val="0"/>
                <w:szCs w:val="21"/>
              </w:rPr>
            </w:pPr>
          </w:p>
        </w:tc>
        <w:tc>
          <w:tcPr>
            <w:tcW w:w="709" w:type="dxa"/>
            <w:vMerge w:val="continue"/>
            <w:vAlign w:val="center"/>
          </w:tcPr>
          <w:p>
            <w:pPr>
              <w:widowControl/>
              <w:jc w:val="center"/>
              <w:rPr>
                <w:rFonts w:eastAsiaTheme="minorEastAsia"/>
                <w:color w:val="auto"/>
                <w:kern w:val="0"/>
                <w:szCs w:val="21"/>
              </w:rPr>
            </w:pPr>
          </w:p>
        </w:tc>
        <w:tc>
          <w:tcPr>
            <w:tcW w:w="1134" w:type="dxa"/>
            <w:vAlign w:val="center"/>
          </w:tcPr>
          <w:p>
            <w:pPr>
              <w:snapToGrid w:val="0"/>
              <w:jc w:val="center"/>
              <w:rPr>
                <w:rFonts w:eastAsiaTheme="minorEastAsia"/>
                <w:color w:val="auto"/>
                <w:kern w:val="0"/>
                <w:szCs w:val="21"/>
              </w:rPr>
            </w:pPr>
            <w:r>
              <w:rPr>
                <w:rFonts w:hAnsiTheme="minorEastAsia" w:eastAsiaTheme="minorEastAsia"/>
                <w:color w:val="auto"/>
                <w:kern w:val="0"/>
                <w:szCs w:val="21"/>
              </w:rPr>
              <w:t>影响评价</w:t>
            </w:r>
          </w:p>
        </w:tc>
        <w:tc>
          <w:tcPr>
            <w:tcW w:w="5584" w:type="dxa"/>
            <w:vAlign w:val="center"/>
          </w:tcPr>
          <w:p>
            <w:pPr>
              <w:snapToGrid w:val="0"/>
              <w:jc w:val="center"/>
              <w:rPr>
                <w:rFonts w:hint="default" w:eastAsiaTheme="minorEastAsia"/>
                <w:color w:val="auto"/>
                <w:spacing w:val="22"/>
                <w:kern w:val="0"/>
                <w:szCs w:val="21"/>
                <w:lang w:val="en-US" w:eastAsia="zh-CN"/>
              </w:rPr>
            </w:pPr>
            <w:r>
              <w:rPr>
                <w:rFonts w:eastAsiaTheme="minorEastAsia"/>
                <w:color w:val="auto"/>
                <w:spacing w:val="22"/>
                <w:kern w:val="0"/>
                <w:szCs w:val="21"/>
              </w:rPr>
              <w:t>H</w:t>
            </w:r>
            <w:r>
              <w:rPr>
                <w:rFonts w:eastAsiaTheme="minorEastAsia"/>
                <w:color w:val="auto"/>
                <w:spacing w:val="22"/>
                <w:kern w:val="0"/>
                <w:szCs w:val="21"/>
                <w:vertAlign w:val="subscript"/>
              </w:rPr>
              <w:t>2</w:t>
            </w:r>
            <w:r>
              <w:rPr>
                <w:rFonts w:eastAsiaTheme="minorEastAsia"/>
                <w:color w:val="auto"/>
                <w:spacing w:val="22"/>
                <w:kern w:val="0"/>
                <w:szCs w:val="21"/>
              </w:rPr>
              <w:t>S</w:t>
            </w:r>
            <w:r>
              <w:rPr>
                <w:rFonts w:hAnsiTheme="minorEastAsia" w:eastAsiaTheme="minorEastAsia"/>
                <w:color w:val="auto"/>
                <w:spacing w:val="22"/>
                <w:kern w:val="0"/>
                <w:szCs w:val="21"/>
              </w:rPr>
              <w:t>、氨、臭气浓度、油烟</w:t>
            </w:r>
            <w:r>
              <w:rPr>
                <w:rFonts w:hint="eastAsia" w:hAnsiTheme="minorEastAsia" w:eastAsiaTheme="minorEastAsia"/>
                <w:color w:val="auto"/>
                <w:spacing w:val="22"/>
                <w:kern w:val="0"/>
                <w:szCs w:val="21"/>
                <w:lang w:eastAsia="zh-CN"/>
              </w:rPr>
              <w:t>、</w:t>
            </w:r>
            <w:r>
              <w:rPr>
                <w:rFonts w:hint="eastAsia" w:hAnsiTheme="minorEastAsia" w:eastAsiaTheme="minorEastAsia"/>
                <w:color w:val="auto"/>
                <w:spacing w:val="22"/>
                <w:kern w:val="0"/>
                <w:szCs w:val="21"/>
                <w:lang w:val="en-US" w:eastAsia="zh-CN"/>
              </w:rPr>
              <w:t>SO</w:t>
            </w:r>
            <w:r>
              <w:rPr>
                <w:rFonts w:hint="eastAsia" w:hAnsiTheme="minorEastAsia" w:eastAsiaTheme="minorEastAsia"/>
                <w:color w:val="auto"/>
                <w:spacing w:val="22"/>
                <w:kern w:val="0"/>
                <w:szCs w:val="21"/>
                <w:vertAlign w:val="subscript"/>
                <w:lang w:val="en-US" w:eastAsia="zh-CN"/>
              </w:rPr>
              <w:t>2</w:t>
            </w:r>
            <w:r>
              <w:rPr>
                <w:rFonts w:hint="eastAsia" w:hAnsiTheme="minorEastAsia" w:eastAsiaTheme="minorEastAsia"/>
                <w:color w:val="auto"/>
                <w:spacing w:val="22"/>
                <w:kern w:val="0"/>
                <w:szCs w:val="21"/>
                <w:lang w:val="en-US" w:eastAsia="zh-CN"/>
              </w:rPr>
              <w:t>、NOx、颗粒物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23" w:type="dxa"/>
            <w:vMerge w:val="continue"/>
            <w:vAlign w:val="center"/>
          </w:tcPr>
          <w:p>
            <w:pPr>
              <w:widowControl/>
              <w:jc w:val="center"/>
              <w:rPr>
                <w:rFonts w:eastAsiaTheme="minorEastAsia"/>
                <w:color w:val="auto"/>
                <w:kern w:val="0"/>
                <w:szCs w:val="21"/>
              </w:rPr>
            </w:pPr>
          </w:p>
        </w:tc>
        <w:tc>
          <w:tcPr>
            <w:tcW w:w="709" w:type="dxa"/>
            <w:vMerge w:val="restart"/>
            <w:vAlign w:val="center"/>
          </w:tcPr>
          <w:p>
            <w:pPr>
              <w:snapToGrid w:val="0"/>
              <w:jc w:val="center"/>
              <w:rPr>
                <w:rFonts w:eastAsiaTheme="minorEastAsia"/>
                <w:color w:val="auto"/>
                <w:kern w:val="0"/>
                <w:szCs w:val="21"/>
              </w:rPr>
            </w:pPr>
            <w:r>
              <w:rPr>
                <w:rFonts w:hAnsiTheme="minorEastAsia" w:eastAsiaTheme="minorEastAsia"/>
                <w:color w:val="auto"/>
                <w:kern w:val="0"/>
                <w:szCs w:val="21"/>
              </w:rPr>
              <w:t>声环境</w:t>
            </w:r>
          </w:p>
        </w:tc>
        <w:tc>
          <w:tcPr>
            <w:tcW w:w="1134" w:type="dxa"/>
            <w:vAlign w:val="center"/>
          </w:tcPr>
          <w:p>
            <w:pPr>
              <w:snapToGrid w:val="0"/>
              <w:jc w:val="center"/>
              <w:rPr>
                <w:rFonts w:eastAsiaTheme="minorEastAsia"/>
                <w:color w:val="auto"/>
                <w:kern w:val="0"/>
                <w:szCs w:val="21"/>
              </w:rPr>
            </w:pPr>
            <w:r>
              <w:rPr>
                <w:rFonts w:hAnsiTheme="minorEastAsia" w:eastAsiaTheme="minorEastAsia"/>
                <w:color w:val="auto"/>
                <w:kern w:val="0"/>
                <w:szCs w:val="21"/>
              </w:rPr>
              <w:t>现状评价</w:t>
            </w:r>
          </w:p>
        </w:tc>
        <w:tc>
          <w:tcPr>
            <w:tcW w:w="5584" w:type="dxa"/>
            <w:vMerge w:val="restart"/>
            <w:vAlign w:val="center"/>
          </w:tcPr>
          <w:p>
            <w:pPr>
              <w:snapToGrid w:val="0"/>
              <w:jc w:val="center"/>
              <w:rPr>
                <w:rFonts w:eastAsiaTheme="minorEastAsia"/>
                <w:color w:val="auto"/>
                <w:spacing w:val="22"/>
                <w:kern w:val="0"/>
                <w:szCs w:val="21"/>
              </w:rPr>
            </w:pPr>
            <w:r>
              <w:rPr>
                <w:rFonts w:hAnsiTheme="minorEastAsia" w:eastAsiaTheme="minorEastAsia"/>
                <w:snapToGrid w:val="0"/>
                <w:color w:val="auto"/>
                <w:kern w:val="0"/>
                <w:lang w:val="zh-CN"/>
              </w:rPr>
              <w:t>等效连续</w:t>
            </w:r>
            <w:r>
              <w:rPr>
                <w:rFonts w:eastAsiaTheme="minorEastAsia"/>
                <w:snapToGrid w:val="0"/>
                <w:color w:val="auto"/>
                <w:kern w:val="0"/>
                <w:lang w:val="zh-CN"/>
              </w:rPr>
              <w:t>A</w:t>
            </w:r>
            <w:r>
              <w:rPr>
                <w:rFonts w:hAnsiTheme="minorEastAsia" w:eastAsiaTheme="minorEastAsia"/>
                <w:snapToGrid w:val="0"/>
                <w:color w:val="auto"/>
                <w:kern w:val="0"/>
                <w:lang w:val="zh-CN"/>
              </w:rPr>
              <w:t>声级</w:t>
            </w:r>
            <w:r>
              <w:rPr>
                <w:rFonts w:eastAsiaTheme="minorEastAsia"/>
                <w:snapToGrid w:val="0"/>
                <w:color w:val="auto"/>
                <w:kern w:val="0"/>
                <w:lang w:val="zh-CN"/>
              </w:rPr>
              <w:t>Leq</w:t>
            </w:r>
            <w:r>
              <w:rPr>
                <w:rFonts w:hAnsiTheme="minorEastAsia" w:eastAsiaTheme="minorEastAsia"/>
                <w:snapToGrid w:val="0"/>
                <w:color w:val="auto"/>
                <w:kern w:val="0"/>
                <w:lang w:val="zh-CN"/>
              </w:rPr>
              <w:t>（</w:t>
            </w:r>
            <w:r>
              <w:rPr>
                <w:rFonts w:eastAsiaTheme="minorEastAsia"/>
                <w:snapToGrid w:val="0"/>
                <w:color w:val="auto"/>
                <w:kern w:val="0"/>
                <w:lang w:val="zh-CN"/>
              </w:rPr>
              <w:t>A</w:t>
            </w:r>
            <w:r>
              <w:rPr>
                <w:rFonts w:hAnsiTheme="minorEastAsia" w:eastAsiaTheme="minorEastAsia"/>
                <w:snapToGrid w:val="0"/>
                <w:color w:val="auto"/>
                <w:kern w:val="0"/>
                <w:lang w:val="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3" w:hRule="atLeast"/>
          <w:jc w:val="center"/>
        </w:trPr>
        <w:tc>
          <w:tcPr>
            <w:tcW w:w="823" w:type="dxa"/>
            <w:vMerge w:val="continue"/>
            <w:vAlign w:val="center"/>
          </w:tcPr>
          <w:p>
            <w:pPr>
              <w:widowControl/>
              <w:jc w:val="center"/>
              <w:rPr>
                <w:rFonts w:eastAsiaTheme="minorEastAsia"/>
                <w:color w:val="auto"/>
                <w:kern w:val="0"/>
                <w:szCs w:val="21"/>
              </w:rPr>
            </w:pPr>
          </w:p>
        </w:tc>
        <w:tc>
          <w:tcPr>
            <w:tcW w:w="709" w:type="dxa"/>
            <w:vMerge w:val="continue"/>
            <w:vAlign w:val="center"/>
          </w:tcPr>
          <w:p>
            <w:pPr>
              <w:widowControl/>
              <w:jc w:val="center"/>
              <w:rPr>
                <w:rFonts w:eastAsiaTheme="minorEastAsia"/>
                <w:color w:val="auto"/>
                <w:kern w:val="0"/>
                <w:szCs w:val="21"/>
              </w:rPr>
            </w:pPr>
          </w:p>
        </w:tc>
        <w:tc>
          <w:tcPr>
            <w:tcW w:w="1134" w:type="dxa"/>
            <w:vAlign w:val="center"/>
          </w:tcPr>
          <w:p>
            <w:pPr>
              <w:snapToGrid w:val="0"/>
              <w:jc w:val="center"/>
              <w:rPr>
                <w:rFonts w:eastAsiaTheme="minorEastAsia"/>
                <w:color w:val="auto"/>
                <w:kern w:val="0"/>
                <w:szCs w:val="21"/>
              </w:rPr>
            </w:pPr>
            <w:r>
              <w:rPr>
                <w:rFonts w:hAnsiTheme="minorEastAsia" w:eastAsiaTheme="minorEastAsia"/>
                <w:color w:val="auto"/>
                <w:kern w:val="0"/>
                <w:szCs w:val="21"/>
              </w:rPr>
              <w:t>预测分析</w:t>
            </w:r>
          </w:p>
        </w:tc>
        <w:tc>
          <w:tcPr>
            <w:tcW w:w="5584" w:type="dxa"/>
            <w:vMerge w:val="continue"/>
            <w:vAlign w:val="center"/>
          </w:tcPr>
          <w:p>
            <w:pPr>
              <w:widowControl/>
              <w:jc w:val="center"/>
              <w:rPr>
                <w:rFonts w:eastAsiaTheme="minorEastAsia"/>
                <w:color w:val="auto"/>
                <w:spacing w:val="22"/>
                <w:kern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23" w:type="dxa"/>
            <w:vMerge w:val="continue"/>
            <w:vAlign w:val="center"/>
          </w:tcPr>
          <w:p>
            <w:pPr>
              <w:widowControl/>
              <w:jc w:val="center"/>
              <w:rPr>
                <w:rFonts w:eastAsiaTheme="minorEastAsia"/>
                <w:color w:val="auto"/>
                <w:kern w:val="0"/>
                <w:szCs w:val="21"/>
              </w:rPr>
            </w:pPr>
          </w:p>
        </w:tc>
        <w:tc>
          <w:tcPr>
            <w:tcW w:w="709" w:type="dxa"/>
            <w:vMerge w:val="restart"/>
            <w:vAlign w:val="center"/>
          </w:tcPr>
          <w:p>
            <w:pPr>
              <w:snapToGrid w:val="0"/>
              <w:jc w:val="center"/>
              <w:rPr>
                <w:rFonts w:eastAsiaTheme="minorEastAsia"/>
                <w:color w:val="auto"/>
                <w:kern w:val="0"/>
                <w:szCs w:val="21"/>
              </w:rPr>
            </w:pPr>
            <w:r>
              <w:rPr>
                <w:rFonts w:hAnsiTheme="minorEastAsia" w:eastAsiaTheme="minorEastAsia"/>
                <w:color w:val="auto"/>
                <w:kern w:val="0"/>
                <w:szCs w:val="21"/>
              </w:rPr>
              <w:t>地表水</w:t>
            </w:r>
          </w:p>
        </w:tc>
        <w:tc>
          <w:tcPr>
            <w:tcW w:w="1134" w:type="dxa"/>
            <w:vAlign w:val="center"/>
          </w:tcPr>
          <w:p>
            <w:pPr>
              <w:snapToGrid w:val="0"/>
              <w:jc w:val="center"/>
              <w:rPr>
                <w:rFonts w:eastAsiaTheme="minorEastAsia"/>
                <w:color w:val="auto"/>
                <w:kern w:val="0"/>
                <w:szCs w:val="21"/>
              </w:rPr>
            </w:pPr>
            <w:r>
              <w:rPr>
                <w:rFonts w:hAnsiTheme="minorEastAsia" w:eastAsiaTheme="minorEastAsia"/>
                <w:color w:val="auto"/>
                <w:kern w:val="0"/>
                <w:szCs w:val="21"/>
              </w:rPr>
              <w:t>现状评价</w:t>
            </w:r>
          </w:p>
        </w:tc>
        <w:tc>
          <w:tcPr>
            <w:tcW w:w="5584" w:type="dxa"/>
            <w:vAlign w:val="center"/>
          </w:tcPr>
          <w:p>
            <w:pPr>
              <w:snapToGrid w:val="0"/>
              <w:jc w:val="center"/>
              <w:rPr>
                <w:rFonts w:hint="eastAsia" w:eastAsiaTheme="minorEastAsia"/>
                <w:color w:val="auto"/>
                <w:kern w:val="0"/>
                <w:szCs w:val="21"/>
                <w:lang w:eastAsia="zh-CN"/>
              </w:rPr>
            </w:pPr>
            <w:r>
              <w:rPr>
                <w:rFonts w:eastAsiaTheme="minorEastAsia"/>
                <w:snapToGrid w:val="0"/>
                <w:color w:val="auto"/>
                <w:kern w:val="0"/>
              </w:rPr>
              <w:t>pH</w:t>
            </w:r>
            <w:r>
              <w:rPr>
                <w:rFonts w:hAnsiTheme="minorEastAsia" w:eastAsiaTheme="minorEastAsia"/>
                <w:snapToGrid w:val="0"/>
                <w:color w:val="auto"/>
                <w:kern w:val="0"/>
              </w:rPr>
              <w:t>、溶解氧、</w:t>
            </w:r>
            <w:r>
              <w:rPr>
                <w:rFonts w:eastAsiaTheme="minorEastAsia"/>
                <w:snapToGrid w:val="0"/>
                <w:color w:val="auto"/>
                <w:kern w:val="0"/>
              </w:rPr>
              <w:t>COD</w:t>
            </w:r>
            <w:r>
              <w:rPr>
                <w:rFonts w:hAnsiTheme="minorEastAsia" w:eastAsiaTheme="minorEastAsia"/>
                <w:snapToGrid w:val="0"/>
                <w:color w:val="auto"/>
                <w:kern w:val="0"/>
              </w:rPr>
              <w:t>、高锰酸盐指数、</w:t>
            </w:r>
            <w:r>
              <w:rPr>
                <w:rFonts w:eastAsiaTheme="minorEastAsia"/>
                <w:snapToGrid w:val="0"/>
                <w:color w:val="auto"/>
                <w:kern w:val="0"/>
              </w:rPr>
              <w:t>BOD</w:t>
            </w:r>
            <w:r>
              <w:rPr>
                <w:rFonts w:eastAsiaTheme="minorEastAsia"/>
                <w:snapToGrid w:val="0"/>
                <w:color w:val="auto"/>
                <w:kern w:val="0"/>
                <w:vertAlign w:val="subscript"/>
              </w:rPr>
              <w:t>5</w:t>
            </w:r>
            <w:r>
              <w:rPr>
                <w:rFonts w:hAnsiTheme="minorEastAsia" w:eastAsiaTheme="minorEastAsia"/>
                <w:snapToGrid w:val="0"/>
                <w:color w:val="auto"/>
                <w:kern w:val="0"/>
              </w:rPr>
              <w:t>、氨氮、总氮、</w:t>
            </w:r>
            <w:r>
              <w:rPr>
                <w:rFonts w:eastAsiaTheme="minorEastAsia"/>
                <w:snapToGrid w:val="0"/>
                <w:color w:val="auto"/>
                <w:kern w:val="0"/>
              </w:rPr>
              <w:t>SS</w:t>
            </w:r>
            <w:r>
              <w:rPr>
                <w:rFonts w:hAnsiTheme="minorEastAsia" w:eastAsiaTheme="minorEastAsia"/>
                <w:snapToGrid w:val="0"/>
                <w:color w:val="auto"/>
                <w:kern w:val="0"/>
              </w:rPr>
              <w:t>、总磷、粪大肠菌群</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23" w:type="dxa"/>
            <w:vMerge w:val="continue"/>
            <w:vAlign w:val="center"/>
          </w:tcPr>
          <w:p>
            <w:pPr>
              <w:widowControl/>
              <w:jc w:val="center"/>
              <w:rPr>
                <w:rFonts w:eastAsiaTheme="minorEastAsia"/>
                <w:color w:val="FF0000"/>
                <w:kern w:val="0"/>
                <w:szCs w:val="21"/>
              </w:rPr>
            </w:pPr>
          </w:p>
        </w:tc>
        <w:tc>
          <w:tcPr>
            <w:tcW w:w="709" w:type="dxa"/>
            <w:vMerge w:val="continue"/>
            <w:vAlign w:val="center"/>
          </w:tcPr>
          <w:p>
            <w:pPr>
              <w:widowControl/>
              <w:jc w:val="center"/>
              <w:rPr>
                <w:rFonts w:eastAsiaTheme="minorEastAsia"/>
                <w:color w:val="auto"/>
                <w:kern w:val="0"/>
                <w:szCs w:val="21"/>
              </w:rPr>
            </w:pPr>
          </w:p>
        </w:tc>
        <w:tc>
          <w:tcPr>
            <w:tcW w:w="1134" w:type="dxa"/>
            <w:vAlign w:val="center"/>
          </w:tcPr>
          <w:p>
            <w:pPr>
              <w:snapToGrid w:val="0"/>
              <w:jc w:val="center"/>
              <w:rPr>
                <w:rFonts w:eastAsiaTheme="minorEastAsia"/>
                <w:color w:val="auto"/>
                <w:kern w:val="0"/>
                <w:szCs w:val="21"/>
              </w:rPr>
            </w:pPr>
            <w:r>
              <w:rPr>
                <w:rFonts w:hAnsiTheme="minorEastAsia" w:eastAsiaTheme="minorEastAsia"/>
                <w:color w:val="auto"/>
                <w:kern w:val="0"/>
                <w:szCs w:val="21"/>
              </w:rPr>
              <w:t>影响分析</w:t>
            </w:r>
          </w:p>
        </w:tc>
        <w:tc>
          <w:tcPr>
            <w:tcW w:w="5584" w:type="dxa"/>
            <w:vAlign w:val="center"/>
          </w:tcPr>
          <w:p>
            <w:pPr>
              <w:snapToGrid w:val="0"/>
              <w:jc w:val="center"/>
              <w:rPr>
                <w:rFonts w:eastAsiaTheme="minorEastAsia"/>
                <w:color w:val="auto"/>
                <w:kern w:val="0"/>
                <w:szCs w:val="21"/>
              </w:rPr>
            </w:pPr>
            <w:r>
              <w:rPr>
                <w:rFonts w:eastAsiaTheme="minorEastAsia"/>
                <w:bCs/>
                <w:snapToGrid w:val="0"/>
                <w:color w:val="auto"/>
                <w:kern w:val="0"/>
              </w:rPr>
              <w:t>pH</w:t>
            </w:r>
            <w:r>
              <w:rPr>
                <w:rFonts w:hAnsiTheme="minorEastAsia" w:eastAsiaTheme="minorEastAsia"/>
                <w:bCs/>
                <w:snapToGrid w:val="0"/>
                <w:color w:val="auto"/>
                <w:kern w:val="0"/>
              </w:rPr>
              <w:t>、</w:t>
            </w:r>
            <w:r>
              <w:rPr>
                <w:rFonts w:eastAsiaTheme="minorEastAsia"/>
                <w:bCs/>
                <w:snapToGrid w:val="0"/>
                <w:color w:val="auto"/>
                <w:kern w:val="0"/>
              </w:rPr>
              <w:t>COD</w:t>
            </w:r>
            <w:r>
              <w:rPr>
                <w:rFonts w:hAnsiTheme="minorEastAsia" w:eastAsiaTheme="minorEastAsia"/>
                <w:bCs/>
                <w:snapToGrid w:val="0"/>
                <w:color w:val="auto"/>
                <w:kern w:val="0"/>
              </w:rPr>
              <w:t>、</w:t>
            </w:r>
            <w:r>
              <w:rPr>
                <w:rFonts w:eastAsiaTheme="minorEastAsia"/>
                <w:bCs/>
                <w:snapToGrid w:val="0"/>
                <w:color w:val="auto"/>
                <w:kern w:val="0"/>
              </w:rPr>
              <w:t>BOD</w:t>
            </w:r>
            <w:r>
              <w:rPr>
                <w:rFonts w:eastAsiaTheme="minorEastAsia"/>
                <w:bCs/>
                <w:snapToGrid w:val="0"/>
                <w:color w:val="auto"/>
                <w:kern w:val="0"/>
                <w:vertAlign w:val="subscript"/>
              </w:rPr>
              <w:t>5</w:t>
            </w:r>
            <w:r>
              <w:rPr>
                <w:rFonts w:hAnsiTheme="minorEastAsia" w:eastAsiaTheme="minorEastAsia"/>
                <w:bCs/>
                <w:snapToGrid w:val="0"/>
                <w:color w:val="auto"/>
                <w:kern w:val="0"/>
              </w:rPr>
              <w:t>、</w:t>
            </w:r>
            <w:r>
              <w:rPr>
                <w:rFonts w:eastAsiaTheme="minorEastAsia"/>
                <w:bCs/>
                <w:snapToGrid w:val="0"/>
                <w:color w:val="auto"/>
                <w:kern w:val="0"/>
              </w:rPr>
              <w:t>SS</w:t>
            </w:r>
            <w:r>
              <w:rPr>
                <w:rFonts w:hAnsiTheme="minorEastAsia" w:eastAsiaTheme="minorEastAsia"/>
                <w:bCs/>
                <w:snapToGrid w:val="0"/>
                <w:color w:val="auto"/>
                <w:kern w:val="0"/>
              </w:rPr>
              <w:t>、动植物油、</w:t>
            </w:r>
            <w:r>
              <w:rPr>
                <w:rFonts w:eastAsiaTheme="minorEastAsia"/>
                <w:bCs/>
                <w:snapToGrid w:val="0"/>
                <w:color w:val="auto"/>
                <w:kern w:val="0"/>
              </w:rPr>
              <w:t>NH</w:t>
            </w:r>
            <w:r>
              <w:rPr>
                <w:rFonts w:eastAsiaTheme="minorEastAsia"/>
                <w:bCs/>
                <w:snapToGrid w:val="0"/>
                <w:color w:val="auto"/>
                <w:kern w:val="0"/>
                <w:vertAlign w:val="subscript"/>
              </w:rPr>
              <w:t>3</w:t>
            </w:r>
            <w:r>
              <w:rPr>
                <w:rFonts w:eastAsiaTheme="minorEastAsia"/>
                <w:bCs/>
                <w:snapToGrid w:val="0"/>
                <w:color w:val="auto"/>
                <w:kern w:val="0"/>
              </w:rPr>
              <w:t>-N</w:t>
            </w:r>
            <w:r>
              <w:rPr>
                <w:rFonts w:hAnsiTheme="minorEastAsia" w:eastAsiaTheme="minorEastAsia"/>
                <w:bCs/>
                <w:snapToGrid w:val="0"/>
                <w:color w:val="auto"/>
                <w:kern w:val="0"/>
              </w:rPr>
              <w:t>、大肠菌群数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23" w:type="dxa"/>
            <w:vMerge w:val="continue"/>
            <w:vAlign w:val="center"/>
          </w:tcPr>
          <w:p>
            <w:pPr>
              <w:jc w:val="center"/>
              <w:rPr>
                <w:rFonts w:eastAsiaTheme="minorEastAsia"/>
                <w:color w:val="FF0000"/>
                <w:kern w:val="0"/>
                <w:szCs w:val="21"/>
              </w:rPr>
            </w:pPr>
          </w:p>
        </w:tc>
        <w:tc>
          <w:tcPr>
            <w:tcW w:w="709" w:type="dxa"/>
            <w:vMerge w:val="restart"/>
            <w:vAlign w:val="center"/>
          </w:tcPr>
          <w:p>
            <w:pPr>
              <w:snapToGrid w:val="0"/>
              <w:jc w:val="center"/>
              <w:rPr>
                <w:rFonts w:eastAsiaTheme="minorEastAsia"/>
                <w:color w:val="auto"/>
                <w:kern w:val="0"/>
                <w:szCs w:val="21"/>
              </w:rPr>
            </w:pPr>
            <w:r>
              <w:rPr>
                <w:rFonts w:hAnsiTheme="minorEastAsia" w:eastAsiaTheme="minorEastAsia"/>
                <w:color w:val="auto"/>
                <w:kern w:val="0"/>
                <w:szCs w:val="21"/>
              </w:rPr>
              <w:t>地下水</w:t>
            </w:r>
          </w:p>
        </w:tc>
        <w:tc>
          <w:tcPr>
            <w:tcW w:w="1134" w:type="dxa"/>
            <w:vAlign w:val="center"/>
          </w:tcPr>
          <w:p>
            <w:pPr>
              <w:snapToGrid w:val="0"/>
              <w:jc w:val="center"/>
              <w:rPr>
                <w:rFonts w:eastAsiaTheme="minorEastAsia"/>
                <w:color w:val="auto"/>
                <w:kern w:val="0"/>
                <w:szCs w:val="21"/>
              </w:rPr>
            </w:pPr>
            <w:r>
              <w:rPr>
                <w:rFonts w:hAnsiTheme="minorEastAsia" w:eastAsiaTheme="minorEastAsia"/>
                <w:color w:val="auto"/>
                <w:kern w:val="0"/>
                <w:szCs w:val="21"/>
              </w:rPr>
              <w:t>现状评价</w:t>
            </w:r>
          </w:p>
        </w:tc>
        <w:tc>
          <w:tcPr>
            <w:tcW w:w="5584" w:type="dxa"/>
            <w:vAlign w:val="center"/>
          </w:tcPr>
          <w:p>
            <w:pPr>
              <w:snapToGrid w:val="0"/>
              <w:jc w:val="center"/>
              <w:rPr>
                <w:rFonts w:eastAsiaTheme="minorEastAsia"/>
                <w:color w:val="auto"/>
                <w:kern w:val="0"/>
                <w:szCs w:val="21"/>
              </w:rPr>
            </w:pPr>
            <w:r>
              <w:rPr>
                <w:rFonts w:eastAsiaTheme="minorEastAsia"/>
                <w:bCs/>
                <w:color w:val="auto"/>
                <w:kern w:val="0"/>
              </w:rPr>
              <w:t>pH</w:t>
            </w:r>
            <w:r>
              <w:rPr>
                <w:rFonts w:hAnsiTheme="minorEastAsia" w:eastAsiaTheme="minorEastAsia"/>
                <w:bCs/>
                <w:color w:val="auto"/>
                <w:kern w:val="0"/>
              </w:rPr>
              <w:t>、总硬度、溶解性总固体、硫酸盐、氯化物、挥发性酚类、</w:t>
            </w:r>
            <w:r>
              <w:rPr>
                <w:rFonts w:hint="eastAsia" w:hAnsiTheme="minorEastAsia" w:eastAsiaTheme="minorEastAsia"/>
                <w:bCs/>
                <w:color w:val="auto"/>
                <w:kern w:val="0"/>
              </w:rPr>
              <w:t>耗氧量</w:t>
            </w:r>
            <w:r>
              <w:rPr>
                <w:rFonts w:hAnsiTheme="minorEastAsia" w:eastAsiaTheme="minorEastAsia"/>
                <w:bCs/>
                <w:color w:val="auto"/>
                <w:kern w:val="0"/>
              </w:rPr>
              <w:t>、硝酸盐、亚硝酸盐、氨氮、六价铬、氰化物、总大肠菌群、细菌总数、铁、锰、砷、汞、铅、氟、镉；</w:t>
            </w:r>
            <w:r>
              <w:rPr>
                <w:rFonts w:eastAsiaTheme="minorEastAsia"/>
                <w:bCs/>
                <w:color w:val="auto"/>
                <w:kern w:val="0"/>
              </w:rPr>
              <w:t>K</w:t>
            </w:r>
            <w:r>
              <w:rPr>
                <w:rFonts w:eastAsiaTheme="minorEastAsia"/>
                <w:bCs/>
                <w:color w:val="auto"/>
                <w:kern w:val="0"/>
                <w:vertAlign w:val="superscript"/>
              </w:rPr>
              <w:t>+</w:t>
            </w:r>
            <w:r>
              <w:rPr>
                <w:rFonts w:hAnsiTheme="minorEastAsia" w:eastAsiaTheme="minorEastAsia"/>
                <w:bCs/>
                <w:color w:val="auto"/>
                <w:kern w:val="0"/>
              </w:rPr>
              <w:t>、</w:t>
            </w:r>
            <w:r>
              <w:rPr>
                <w:rFonts w:eastAsiaTheme="minorEastAsia"/>
                <w:bCs/>
                <w:color w:val="auto"/>
                <w:kern w:val="0"/>
              </w:rPr>
              <w:t>Na</w:t>
            </w:r>
            <w:r>
              <w:rPr>
                <w:rFonts w:eastAsiaTheme="minorEastAsia"/>
                <w:bCs/>
                <w:color w:val="auto"/>
                <w:kern w:val="0"/>
                <w:vertAlign w:val="superscript"/>
              </w:rPr>
              <w:t>+</w:t>
            </w:r>
            <w:r>
              <w:rPr>
                <w:rFonts w:hAnsiTheme="minorEastAsia" w:eastAsiaTheme="minorEastAsia"/>
                <w:bCs/>
                <w:color w:val="auto"/>
                <w:kern w:val="0"/>
              </w:rPr>
              <w:t>、</w:t>
            </w:r>
            <w:r>
              <w:rPr>
                <w:rFonts w:eastAsiaTheme="minorEastAsia"/>
                <w:bCs/>
                <w:color w:val="auto"/>
                <w:kern w:val="0"/>
              </w:rPr>
              <w:t>Ca</w:t>
            </w:r>
            <w:r>
              <w:rPr>
                <w:rFonts w:eastAsiaTheme="minorEastAsia"/>
                <w:bCs/>
                <w:color w:val="auto"/>
                <w:kern w:val="0"/>
                <w:vertAlign w:val="superscript"/>
              </w:rPr>
              <w:t>+</w:t>
            </w:r>
            <w:r>
              <w:rPr>
                <w:rFonts w:hAnsiTheme="minorEastAsia" w:eastAsiaTheme="minorEastAsia"/>
                <w:bCs/>
                <w:color w:val="auto"/>
                <w:kern w:val="0"/>
              </w:rPr>
              <w:t>、</w:t>
            </w:r>
            <w:r>
              <w:rPr>
                <w:rFonts w:eastAsiaTheme="minorEastAsia"/>
                <w:bCs/>
                <w:color w:val="auto"/>
                <w:kern w:val="0"/>
              </w:rPr>
              <w:t>Mg</w:t>
            </w:r>
            <w:r>
              <w:rPr>
                <w:rFonts w:eastAsiaTheme="minorEastAsia"/>
                <w:bCs/>
                <w:color w:val="auto"/>
                <w:kern w:val="0"/>
                <w:vertAlign w:val="superscript"/>
              </w:rPr>
              <w:t>2+</w:t>
            </w:r>
            <w:r>
              <w:rPr>
                <w:rFonts w:hAnsiTheme="minorEastAsia" w:eastAsiaTheme="minorEastAsia"/>
                <w:bCs/>
                <w:color w:val="auto"/>
                <w:kern w:val="0"/>
              </w:rPr>
              <w:t>、</w:t>
            </w:r>
            <w:r>
              <w:rPr>
                <w:rFonts w:eastAsiaTheme="minorEastAsia"/>
                <w:bCs/>
                <w:color w:val="auto"/>
                <w:kern w:val="0"/>
              </w:rPr>
              <w:t>CO3</w:t>
            </w:r>
            <w:r>
              <w:rPr>
                <w:rFonts w:eastAsiaTheme="minorEastAsia"/>
                <w:bCs/>
                <w:color w:val="auto"/>
                <w:kern w:val="0"/>
                <w:vertAlign w:val="superscript"/>
              </w:rPr>
              <w:t>2-</w:t>
            </w:r>
            <w:r>
              <w:rPr>
                <w:rFonts w:hAnsiTheme="minorEastAsia" w:eastAsiaTheme="minorEastAsia"/>
                <w:bCs/>
                <w:color w:val="auto"/>
                <w:kern w:val="0"/>
              </w:rPr>
              <w:t>、</w:t>
            </w:r>
            <w:r>
              <w:rPr>
                <w:rFonts w:eastAsiaTheme="minorEastAsia"/>
                <w:bCs/>
                <w:color w:val="auto"/>
                <w:kern w:val="0"/>
              </w:rPr>
              <w:t>HCO</w:t>
            </w:r>
            <w:r>
              <w:rPr>
                <w:rFonts w:eastAsiaTheme="minorEastAsia"/>
                <w:bCs/>
                <w:color w:val="auto"/>
                <w:kern w:val="0"/>
                <w:vertAlign w:val="superscript"/>
              </w:rPr>
              <w:t>3-</w:t>
            </w:r>
            <w:r>
              <w:rPr>
                <w:rFonts w:hAnsiTheme="minorEastAsia" w:eastAsiaTheme="minorEastAsia"/>
                <w:bCs/>
                <w:color w:val="auto"/>
                <w:kern w:val="0"/>
              </w:rPr>
              <w:t>、</w:t>
            </w:r>
            <w:r>
              <w:rPr>
                <w:rFonts w:eastAsiaTheme="minorEastAsia"/>
                <w:bCs/>
                <w:color w:val="auto"/>
                <w:kern w:val="0"/>
              </w:rPr>
              <w:t>Cl-</w:t>
            </w:r>
            <w:r>
              <w:rPr>
                <w:rFonts w:hAnsiTheme="minorEastAsia" w:eastAsiaTheme="minorEastAsia"/>
                <w:bCs/>
                <w:color w:val="auto"/>
                <w:kern w:val="0"/>
              </w:rPr>
              <w:t>、</w:t>
            </w:r>
            <w:r>
              <w:rPr>
                <w:rFonts w:eastAsiaTheme="minorEastAsia"/>
                <w:bCs/>
                <w:color w:val="auto"/>
                <w:kern w:val="0"/>
              </w:rPr>
              <w:t>SO4</w:t>
            </w:r>
            <w:r>
              <w:rPr>
                <w:rFonts w:eastAsiaTheme="minorEastAsia"/>
                <w:bCs/>
                <w:color w:val="auto"/>
                <w:kern w:val="0"/>
                <w:vertAlign w:val="superscript"/>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23" w:type="dxa"/>
            <w:vMerge w:val="continue"/>
            <w:vAlign w:val="center"/>
          </w:tcPr>
          <w:p>
            <w:pPr>
              <w:jc w:val="center"/>
              <w:rPr>
                <w:rFonts w:eastAsiaTheme="minorEastAsia"/>
                <w:color w:val="FF0000"/>
                <w:kern w:val="0"/>
                <w:szCs w:val="21"/>
              </w:rPr>
            </w:pPr>
          </w:p>
        </w:tc>
        <w:tc>
          <w:tcPr>
            <w:tcW w:w="709" w:type="dxa"/>
            <w:vMerge w:val="continue"/>
            <w:vAlign w:val="center"/>
          </w:tcPr>
          <w:p>
            <w:pPr>
              <w:widowControl/>
              <w:jc w:val="center"/>
              <w:rPr>
                <w:rFonts w:eastAsiaTheme="minorEastAsia"/>
                <w:color w:val="auto"/>
                <w:kern w:val="0"/>
                <w:szCs w:val="21"/>
              </w:rPr>
            </w:pPr>
          </w:p>
        </w:tc>
        <w:tc>
          <w:tcPr>
            <w:tcW w:w="1134" w:type="dxa"/>
            <w:vAlign w:val="center"/>
          </w:tcPr>
          <w:p>
            <w:pPr>
              <w:snapToGrid w:val="0"/>
              <w:jc w:val="center"/>
              <w:rPr>
                <w:rFonts w:eastAsiaTheme="minorEastAsia"/>
                <w:color w:val="auto"/>
                <w:kern w:val="0"/>
                <w:szCs w:val="21"/>
              </w:rPr>
            </w:pPr>
            <w:r>
              <w:rPr>
                <w:rFonts w:hAnsiTheme="minorEastAsia" w:eastAsiaTheme="minorEastAsia"/>
                <w:color w:val="auto"/>
                <w:kern w:val="0"/>
                <w:szCs w:val="21"/>
              </w:rPr>
              <w:t>预测分析</w:t>
            </w:r>
          </w:p>
        </w:tc>
        <w:tc>
          <w:tcPr>
            <w:tcW w:w="5584" w:type="dxa"/>
            <w:vAlign w:val="center"/>
          </w:tcPr>
          <w:p>
            <w:pPr>
              <w:snapToGrid w:val="0"/>
              <w:jc w:val="center"/>
              <w:rPr>
                <w:rFonts w:eastAsiaTheme="minorEastAsia"/>
                <w:color w:val="auto"/>
                <w:kern w:val="0"/>
                <w:szCs w:val="21"/>
              </w:rPr>
            </w:pPr>
            <w:r>
              <w:rPr>
                <w:rFonts w:eastAsiaTheme="minorEastAsia"/>
                <w:bCs/>
                <w:color w:val="auto"/>
                <w:kern w:val="0"/>
                <w:szCs w:val="21"/>
              </w:rPr>
              <w:t>COD</w:t>
            </w:r>
            <w:r>
              <w:rPr>
                <w:rFonts w:hAnsiTheme="minorEastAsia" w:eastAsiaTheme="minorEastAsia"/>
                <w:color w:val="auto"/>
                <w:kern w:val="0"/>
                <w:szCs w:val="21"/>
              </w:rPr>
              <w:t>、氨氮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23" w:type="dxa"/>
            <w:vMerge w:val="continue"/>
            <w:vAlign w:val="center"/>
          </w:tcPr>
          <w:p>
            <w:pPr>
              <w:jc w:val="center"/>
              <w:rPr>
                <w:rFonts w:eastAsiaTheme="minorEastAsia"/>
                <w:color w:val="FF0000"/>
                <w:kern w:val="0"/>
                <w:szCs w:val="21"/>
              </w:rPr>
            </w:pPr>
          </w:p>
        </w:tc>
        <w:tc>
          <w:tcPr>
            <w:tcW w:w="709" w:type="dxa"/>
            <w:vAlign w:val="center"/>
          </w:tcPr>
          <w:p>
            <w:pPr>
              <w:snapToGrid w:val="0"/>
              <w:jc w:val="center"/>
              <w:rPr>
                <w:rFonts w:eastAsiaTheme="minorEastAsia"/>
                <w:color w:val="auto"/>
                <w:kern w:val="0"/>
                <w:szCs w:val="21"/>
              </w:rPr>
            </w:pPr>
            <w:r>
              <w:rPr>
                <w:rFonts w:hAnsiTheme="minorEastAsia" w:eastAsiaTheme="minorEastAsia"/>
                <w:color w:val="auto"/>
                <w:kern w:val="0"/>
                <w:szCs w:val="21"/>
              </w:rPr>
              <w:t>固体废物</w:t>
            </w:r>
          </w:p>
        </w:tc>
        <w:tc>
          <w:tcPr>
            <w:tcW w:w="1134" w:type="dxa"/>
            <w:vAlign w:val="center"/>
          </w:tcPr>
          <w:p>
            <w:pPr>
              <w:snapToGrid w:val="0"/>
              <w:jc w:val="center"/>
              <w:rPr>
                <w:rFonts w:eastAsiaTheme="minorEastAsia"/>
                <w:color w:val="auto"/>
                <w:kern w:val="0"/>
                <w:szCs w:val="21"/>
              </w:rPr>
            </w:pPr>
            <w:r>
              <w:rPr>
                <w:rFonts w:hAnsiTheme="minorEastAsia" w:eastAsiaTheme="minorEastAsia"/>
                <w:color w:val="auto"/>
                <w:kern w:val="0"/>
                <w:szCs w:val="21"/>
              </w:rPr>
              <w:t>影响分析</w:t>
            </w:r>
          </w:p>
        </w:tc>
        <w:tc>
          <w:tcPr>
            <w:tcW w:w="5584" w:type="dxa"/>
            <w:vAlign w:val="center"/>
          </w:tcPr>
          <w:p>
            <w:pPr>
              <w:snapToGrid w:val="0"/>
              <w:jc w:val="center"/>
              <w:rPr>
                <w:rFonts w:eastAsiaTheme="minorEastAsia"/>
                <w:color w:val="auto"/>
                <w:kern w:val="0"/>
                <w:szCs w:val="21"/>
              </w:rPr>
            </w:pPr>
            <w:r>
              <w:rPr>
                <w:rFonts w:eastAsiaTheme="minorEastAsia"/>
                <w:bCs/>
                <w:color w:val="auto"/>
                <w:kern w:val="0"/>
              </w:rPr>
              <w:t>生活垃圾、粪便、不合格肉牛及病死牛、检疫废物（HW01）、废活性炭、废弃包装物、肠胃内容物、不可</w:t>
            </w:r>
            <w:r>
              <w:rPr>
                <w:rFonts w:hint="eastAsia" w:eastAsiaTheme="minorEastAsia"/>
                <w:bCs/>
                <w:color w:val="auto"/>
                <w:kern w:val="0"/>
              </w:rPr>
              <w:t>食用</w:t>
            </w:r>
            <w:r>
              <w:rPr>
                <w:rFonts w:eastAsiaTheme="minorEastAsia"/>
                <w:bCs/>
                <w:color w:val="auto"/>
                <w:kern w:val="0"/>
              </w:rPr>
              <w:t>内脏、污泥、栅渣、食堂餐余垃圾及废油脂（含污水处理站废油脂）</w:t>
            </w:r>
            <w:r>
              <w:rPr>
                <w:rFonts w:hint="eastAsia" w:eastAsiaTheme="minorEastAsia"/>
                <w:bCs/>
                <w:color w:val="auto"/>
                <w:kern w:val="0"/>
                <w:lang w:eastAsia="zh-CN"/>
              </w:rPr>
              <w:t>、</w:t>
            </w:r>
            <w:r>
              <w:rPr>
                <w:rFonts w:hint="eastAsia" w:eastAsiaTheme="minorEastAsia"/>
                <w:bCs/>
                <w:color w:val="auto"/>
                <w:kern w:val="0"/>
                <w:lang w:val="en-US" w:eastAsia="zh-CN"/>
              </w:rPr>
              <w:t>锅炉软化水制备产生的废离子交换树脂、锅炉灰渣（含布袋除尘器收尘）、废布袋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23" w:type="dxa"/>
            <w:vMerge w:val="continue"/>
            <w:vAlign w:val="center"/>
          </w:tcPr>
          <w:p>
            <w:pPr>
              <w:jc w:val="center"/>
              <w:rPr>
                <w:rFonts w:eastAsiaTheme="minorEastAsia"/>
                <w:color w:val="FF0000"/>
                <w:kern w:val="0"/>
                <w:szCs w:val="21"/>
              </w:rPr>
            </w:pPr>
          </w:p>
        </w:tc>
        <w:tc>
          <w:tcPr>
            <w:tcW w:w="709" w:type="dxa"/>
            <w:vAlign w:val="center"/>
          </w:tcPr>
          <w:p>
            <w:pPr>
              <w:snapToGrid w:val="0"/>
              <w:jc w:val="center"/>
              <w:rPr>
                <w:rFonts w:hAnsiTheme="minorEastAsia" w:eastAsiaTheme="minorEastAsia"/>
                <w:color w:val="auto"/>
                <w:kern w:val="0"/>
                <w:szCs w:val="21"/>
              </w:rPr>
            </w:pPr>
            <w:r>
              <w:rPr>
                <w:rFonts w:hAnsiTheme="minorEastAsia" w:eastAsiaTheme="minorEastAsia"/>
                <w:color w:val="auto"/>
                <w:kern w:val="0"/>
                <w:szCs w:val="21"/>
              </w:rPr>
              <w:t>环境风险</w:t>
            </w:r>
          </w:p>
        </w:tc>
        <w:tc>
          <w:tcPr>
            <w:tcW w:w="1134" w:type="dxa"/>
            <w:vAlign w:val="center"/>
          </w:tcPr>
          <w:p>
            <w:pPr>
              <w:jc w:val="center"/>
              <w:rPr>
                <w:color w:val="auto"/>
                <w:kern w:val="10"/>
                <w:szCs w:val="21"/>
              </w:rPr>
            </w:pPr>
            <w:r>
              <w:rPr>
                <w:rFonts w:hint="eastAsia"/>
                <w:color w:val="auto"/>
                <w:kern w:val="10"/>
                <w:szCs w:val="21"/>
              </w:rPr>
              <w:t>影响分析</w:t>
            </w:r>
          </w:p>
        </w:tc>
        <w:tc>
          <w:tcPr>
            <w:tcW w:w="5584" w:type="dxa"/>
            <w:vAlign w:val="center"/>
          </w:tcPr>
          <w:p>
            <w:pPr>
              <w:jc w:val="center"/>
              <w:rPr>
                <w:rFonts w:hint="default" w:eastAsia="宋体"/>
                <w:color w:val="auto"/>
                <w:szCs w:val="21"/>
                <w:lang w:val="en-US" w:eastAsia="zh-CN"/>
              </w:rPr>
            </w:pPr>
            <w:r>
              <w:rPr>
                <w:rFonts w:hint="eastAsia"/>
                <w:color w:val="auto"/>
                <w:szCs w:val="21"/>
              </w:rPr>
              <w:t>次氯酸钠</w:t>
            </w:r>
            <w:r>
              <w:rPr>
                <w:rFonts w:hint="eastAsia"/>
                <w:color w:val="auto"/>
                <w:szCs w:val="21"/>
                <w:lang w:eastAsia="zh-CN"/>
              </w:rPr>
              <w:t>、</w:t>
            </w:r>
            <w:r>
              <w:rPr>
                <w:rFonts w:hint="eastAsia"/>
                <w:color w:val="auto"/>
                <w:szCs w:val="21"/>
                <w:lang w:val="en-US" w:eastAsia="zh-CN"/>
              </w:rPr>
              <w:t>液氨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23" w:type="dxa"/>
            <w:vMerge w:val="continue"/>
            <w:vAlign w:val="center"/>
          </w:tcPr>
          <w:p>
            <w:pPr>
              <w:jc w:val="center"/>
              <w:rPr>
                <w:rFonts w:eastAsiaTheme="minorEastAsia"/>
                <w:color w:val="FF0000"/>
                <w:kern w:val="0"/>
                <w:szCs w:val="21"/>
              </w:rPr>
            </w:pPr>
          </w:p>
        </w:tc>
        <w:tc>
          <w:tcPr>
            <w:tcW w:w="709" w:type="dxa"/>
            <w:vMerge w:val="restart"/>
            <w:vAlign w:val="center"/>
          </w:tcPr>
          <w:p>
            <w:pPr>
              <w:snapToGrid w:val="0"/>
              <w:jc w:val="center"/>
              <w:rPr>
                <w:rFonts w:hAnsiTheme="minorEastAsia" w:eastAsiaTheme="minorEastAsia"/>
                <w:color w:val="auto"/>
                <w:kern w:val="0"/>
                <w:szCs w:val="21"/>
              </w:rPr>
            </w:pPr>
            <w:r>
              <w:rPr>
                <w:rFonts w:hAnsiTheme="minorEastAsia" w:eastAsiaTheme="minorEastAsia"/>
                <w:color w:val="auto"/>
                <w:kern w:val="0"/>
                <w:szCs w:val="21"/>
              </w:rPr>
              <w:t>生态环境</w:t>
            </w:r>
          </w:p>
        </w:tc>
        <w:tc>
          <w:tcPr>
            <w:tcW w:w="1134" w:type="dxa"/>
            <w:vAlign w:val="center"/>
          </w:tcPr>
          <w:p>
            <w:pPr>
              <w:snapToGrid w:val="0"/>
              <w:jc w:val="center"/>
              <w:rPr>
                <w:rFonts w:eastAsiaTheme="minorEastAsia"/>
                <w:color w:val="auto"/>
                <w:kern w:val="0"/>
                <w:szCs w:val="21"/>
              </w:rPr>
            </w:pPr>
            <w:r>
              <w:rPr>
                <w:rFonts w:hAnsiTheme="minorEastAsia" w:eastAsiaTheme="minorEastAsia"/>
                <w:color w:val="auto"/>
                <w:kern w:val="0"/>
                <w:szCs w:val="21"/>
              </w:rPr>
              <w:t>现状评价</w:t>
            </w:r>
          </w:p>
        </w:tc>
        <w:tc>
          <w:tcPr>
            <w:tcW w:w="5584" w:type="dxa"/>
            <w:vAlign w:val="center"/>
          </w:tcPr>
          <w:p>
            <w:pPr>
              <w:snapToGrid w:val="0"/>
              <w:jc w:val="center"/>
              <w:rPr>
                <w:rFonts w:eastAsiaTheme="minorEastAsia"/>
                <w:bCs/>
                <w:color w:val="auto"/>
                <w:kern w:val="0"/>
              </w:rPr>
            </w:pPr>
            <w:r>
              <w:rPr>
                <w:rFonts w:eastAsiaTheme="minorEastAsia"/>
                <w:bCs/>
                <w:color w:val="auto"/>
                <w:kern w:val="0"/>
              </w:rPr>
              <w:t>评价范围内占地及植被类型、动植物数量及分布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23" w:type="dxa"/>
            <w:vMerge w:val="continue"/>
            <w:vAlign w:val="center"/>
          </w:tcPr>
          <w:p>
            <w:pPr>
              <w:jc w:val="center"/>
              <w:rPr>
                <w:rFonts w:eastAsiaTheme="minorEastAsia"/>
                <w:color w:val="FF0000"/>
                <w:kern w:val="0"/>
                <w:szCs w:val="21"/>
              </w:rPr>
            </w:pPr>
          </w:p>
        </w:tc>
        <w:tc>
          <w:tcPr>
            <w:tcW w:w="709" w:type="dxa"/>
            <w:vMerge w:val="continue"/>
            <w:vAlign w:val="center"/>
          </w:tcPr>
          <w:p>
            <w:pPr>
              <w:snapToGrid w:val="0"/>
              <w:jc w:val="center"/>
              <w:rPr>
                <w:rFonts w:hAnsiTheme="minorEastAsia" w:eastAsiaTheme="minorEastAsia"/>
                <w:color w:val="auto"/>
                <w:kern w:val="0"/>
                <w:szCs w:val="21"/>
              </w:rPr>
            </w:pPr>
          </w:p>
        </w:tc>
        <w:tc>
          <w:tcPr>
            <w:tcW w:w="1134" w:type="dxa"/>
            <w:vAlign w:val="center"/>
          </w:tcPr>
          <w:p>
            <w:pPr>
              <w:snapToGrid w:val="0"/>
              <w:jc w:val="center"/>
              <w:rPr>
                <w:rFonts w:eastAsiaTheme="minorEastAsia"/>
                <w:color w:val="auto"/>
                <w:kern w:val="0"/>
                <w:szCs w:val="21"/>
              </w:rPr>
            </w:pPr>
            <w:r>
              <w:rPr>
                <w:rFonts w:hAnsiTheme="minorEastAsia" w:eastAsiaTheme="minorEastAsia"/>
                <w:color w:val="auto"/>
                <w:kern w:val="0"/>
                <w:szCs w:val="21"/>
              </w:rPr>
              <w:t>预测分析</w:t>
            </w:r>
          </w:p>
        </w:tc>
        <w:tc>
          <w:tcPr>
            <w:tcW w:w="5584" w:type="dxa"/>
            <w:vAlign w:val="center"/>
          </w:tcPr>
          <w:p>
            <w:pPr>
              <w:snapToGrid w:val="0"/>
              <w:jc w:val="center"/>
              <w:rPr>
                <w:rFonts w:eastAsiaTheme="minorEastAsia"/>
                <w:bCs/>
                <w:color w:val="auto"/>
                <w:kern w:val="0"/>
              </w:rPr>
            </w:pPr>
            <w:r>
              <w:rPr>
                <w:color w:val="auto"/>
                <w:kern w:val="10"/>
                <w:szCs w:val="21"/>
              </w:rPr>
              <w:t>占地影响</w:t>
            </w:r>
          </w:p>
        </w:tc>
      </w:tr>
    </w:tbl>
    <w:p>
      <w:pPr>
        <w:spacing w:line="360" w:lineRule="auto"/>
        <w:jc w:val="left"/>
        <w:outlineLvl w:val="1"/>
        <w:rPr>
          <w:b/>
          <w:bCs/>
          <w:color w:val="auto"/>
          <w:kern w:val="44"/>
          <w:sz w:val="30"/>
          <w:szCs w:val="30"/>
        </w:rPr>
      </w:pPr>
      <w:bookmarkStart w:id="38" w:name="_Toc15991632"/>
      <w:bookmarkStart w:id="39" w:name="_Toc10888"/>
      <w:r>
        <w:rPr>
          <w:b/>
          <w:bCs/>
          <w:color w:val="auto"/>
          <w:kern w:val="44"/>
          <w:sz w:val="30"/>
          <w:szCs w:val="30"/>
        </w:rPr>
        <w:t>2.3评价标准</w:t>
      </w:r>
      <w:bookmarkEnd w:id="38"/>
      <w:bookmarkEnd w:id="39"/>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2.3.1环境质量标准</w:t>
      </w:r>
    </w:p>
    <w:p>
      <w:pPr>
        <w:widowControl/>
        <w:spacing w:line="360" w:lineRule="auto"/>
        <w:ind w:firstLine="480" w:firstLineChars="200"/>
        <w:jc w:val="left"/>
        <w:rPr>
          <w:color w:val="auto"/>
          <w:kern w:val="0"/>
          <w:sz w:val="24"/>
        </w:rPr>
      </w:pPr>
      <w:r>
        <w:rPr>
          <w:color w:val="auto"/>
          <w:kern w:val="0"/>
          <w:sz w:val="24"/>
        </w:rPr>
        <w:t>环境质量标准见表2-3-1。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kern w:val="0"/>
          <w:sz w:val="24"/>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kern w:val="0"/>
          <w:sz w:val="24"/>
        </w:rPr>
      </w:pPr>
      <w:r>
        <w:rPr>
          <w:b/>
          <w:color w:val="auto"/>
          <w:kern w:val="0"/>
          <w:sz w:val="24"/>
        </w:rPr>
        <w:t>表2-3-1环境质量标准表</w:t>
      </w:r>
    </w:p>
    <w:tbl>
      <w:tblPr>
        <w:tblStyle w:val="46"/>
        <w:tblW w:w="834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27"/>
        <w:gridCol w:w="2693"/>
        <w:gridCol w:w="1279"/>
        <w:gridCol w:w="851"/>
        <w:gridCol w:w="1701"/>
        <w:gridCol w:w="280"/>
        <w:gridCol w:w="680"/>
        <w:gridCol w:w="48"/>
        <w:gridCol w:w="8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2"/>
          <w:wAfter w:w="136" w:type="dxa"/>
          <w:jc w:val="center"/>
        </w:trPr>
        <w:tc>
          <w:tcPr>
            <w:tcW w:w="727" w:type="dxa"/>
            <w:vMerge w:val="restart"/>
            <w:vAlign w:val="center"/>
          </w:tcPr>
          <w:p>
            <w:pPr>
              <w:snapToGrid w:val="0"/>
              <w:spacing w:line="0" w:lineRule="atLeast"/>
              <w:jc w:val="center"/>
              <w:rPr>
                <w:color w:val="auto"/>
                <w:kern w:val="0"/>
                <w:szCs w:val="21"/>
              </w:rPr>
            </w:pPr>
            <w:r>
              <w:rPr>
                <w:color w:val="auto"/>
                <w:kern w:val="0"/>
                <w:szCs w:val="21"/>
              </w:rPr>
              <w:t>环境要素</w:t>
            </w:r>
          </w:p>
        </w:tc>
        <w:tc>
          <w:tcPr>
            <w:tcW w:w="2693" w:type="dxa"/>
            <w:vMerge w:val="restart"/>
            <w:vAlign w:val="center"/>
          </w:tcPr>
          <w:p>
            <w:pPr>
              <w:snapToGrid w:val="0"/>
              <w:spacing w:line="0" w:lineRule="atLeast"/>
              <w:jc w:val="center"/>
              <w:rPr>
                <w:color w:val="auto"/>
                <w:kern w:val="0"/>
                <w:szCs w:val="21"/>
              </w:rPr>
            </w:pPr>
            <w:r>
              <w:rPr>
                <w:color w:val="auto"/>
                <w:kern w:val="0"/>
                <w:szCs w:val="21"/>
              </w:rPr>
              <w:t>标准名称及级（类）别</w:t>
            </w:r>
          </w:p>
        </w:tc>
        <w:tc>
          <w:tcPr>
            <w:tcW w:w="1279" w:type="dxa"/>
            <w:vMerge w:val="restart"/>
            <w:vAlign w:val="center"/>
          </w:tcPr>
          <w:p>
            <w:pPr>
              <w:snapToGrid w:val="0"/>
              <w:spacing w:line="0" w:lineRule="atLeast"/>
              <w:jc w:val="center"/>
              <w:rPr>
                <w:color w:val="auto"/>
                <w:kern w:val="0"/>
                <w:szCs w:val="21"/>
              </w:rPr>
            </w:pPr>
            <w:r>
              <w:rPr>
                <w:color w:val="auto"/>
                <w:kern w:val="0"/>
                <w:szCs w:val="21"/>
              </w:rPr>
              <w:t>项目</w:t>
            </w:r>
          </w:p>
        </w:tc>
        <w:tc>
          <w:tcPr>
            <w:tcW w:w="3512" w:type="dxa"/>
            <w:gridSpan w:val="4"/>
            <w:vAlign w:val="center"/>
          </w:tcPr>
          <w:p>
            <w:pPr>
              <w:snapToGrid w:val="0"/>
              <w:spacing w:line="0" w:lineRule="atLeast"/>
              <w:jc w:val="center"/>
              <w:rPr>
                <w:color w:val="auto"/>
                <w:kern w:val="0"/>
                <w:szCs w:val="21"/>
              </w:rPr>
            </w:pPr>
            <w:r>
              <w:rPr>
                <w:color w:val="auto"/>
                <w:kern w:val="0"/>
                <w:szCs w:val="21"/>
              </w:rP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2"/>
          <w:wAfter w:w="136" w:type="dxa"/>
          <w:trHeight w:val="60" w:hRule="atLeast"/>
          <w:jc w:val="center"/>
        </w:trPr>
        <w:tc>
          <w:tcPr>
            <w:tcW w:w="727" w:type="dxa"/>
            <w:vMerge w:val="continue"/>
            <w:vAlign w:val="center"/>
          </w:tcPr>
          <w:p>
            <w:pPr>
              <w:widowControl/>
              <w:jc w:val="left"/>
              <w:rPr>
                <w:color w:val="auto"/>
                <w:kern w:val="0"/>
                <w:szCs w:val="21"/>
              </w:rPr>
            </w:pPr>
          </w:p>
        </w:tc>
        <w:tc>
          <w:tcPr>
            <w:tcW w:w="2693" w:type="dxa"/>
            <w:vMerge w:val="continue"/>
            <w:vAlign w:val="center"/>
          </w:tcPr>
          <w:p>
            <w:pPr>
              <w:widowControl/>
              <w:jc w:val="left"/>
              <w:rPr>
                <w:color w:val="auto"/>
                <w:kern w:val="0"/>
                <w:szCs w:val="21"/>
              </w:rPr>
            </w:pPr>
          </w:p>
        </w:tc>
        <w:tc>
          <w:tcPr>
            <w:tcW w:w="1279" w:type="dxa"/>
            <w:vMerge w:val="continue"/>
            <w:vAlign w:val="center"/>
          </w:tcPr>
          <w:p>
            <w:pPr>
              <w:widowControl/>
              <w:jc w:val="left"/>
              <w:rPr>
                <w:color w:val="auto"/>
                <w:kern w:val="0"/>
                <w:szCs w:val="21"/>
              </w:rPr>
            </w:pPr>
          </w:p>
        </w:tc>
        <w:tc>
          <w:tcPr>
            <w:tcW w:w="851" w:type="dxa"/>
            <w:vAlign w:val="center"/>
          </w:tcPr>
          <w:p>
            <w:pPr>
              <w:snapToGrid w:val="0"/>
              <w:spacing w:line="0" w:lineRule="atLeast"/>
              <w:jc w:val="center"/>
              <w:rPr>
                <w:color w:val="auto"/>
                <w:kern w:val="0"/>
                <w:szCs w:val="21"/>
              </w:rPr>
            </w:pPr>
            <w:r>
              <w:rPr>
                <w:color w:val="auto"/>
                <w:kern w:val="0"/>
                <w:szCs w:val="21"/>
              </w:rPr>
              <w:t>单位</w:t>
            </w:r>
          </w:p>
        </w:tc>
        <w:tc>
          <w:tcPr>
            <w:tcW w:w="2661" w:type="dxa"/>
            <w:gridSpan w:val="3"/>
            <w:vAlign w:val="center"/>
          </w:tcPr>
          <w:p>
            <w:pPr>
              <w:snapToGrid w:val="0"/>
              <w:spacing w:line="0" w:lineRule="atLeast"/>
              <w:jc w:val="center"/>
              <w:rPr>
                <w:color w:val="auto"/>
                <w:kern w:val="0"/>
                <w:szCs w:val="21"/>
              </w:rPr>
            </w:pPr>
            <w:r>
              <w:rPr>
                <w:color w:val="auto"/>
                <w:kern w:val="0"/>
                <w:szCs w:val="21"/>
              </w:rPr>
              <w:t>数值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2"/>
          <w:wAfter w:w="136" w:type="dxa"/>
          <w:trHeight w:val="289" w:hRule="atLeast"/>
          <w:jc w:val="center"/>
        </w:trPr>
        <w:tc>
          <w:tcPr>
            <w:tcW w:w="727" w:type="dxa"/>
            <w:vMerge w:val="restart"/>
            <w:vAlign w:val="center"/>
          </w:tcPr>
          <w:p>
            <w:pPr>
              <w:snapToGrid w:val="0"/>
              <w:spacing w:line="0" w:lineRule="atLeast"/>
              <w:jc w:val="center"/>
              <w:rPr>
                <w:color w:val="auto"/>
                <w:kern w:val="0"/>
                <w:szCs w:val="21"/>
              </w:rPr>
            </w:pPr>
            <w:r>
              <w:rPr>
                <w:color w:val="auto"/>
                <w:kern w:val="0"/>
                <w:szCs w:val="21"/>
              </w:rPr>
              <w:t>环境空气</w:t>
            </w:r>
          </w:p>
        </w:tc>
        <w:tc>
          <w:tcPr>
            <w:tcW w:w="2693" w:type="dxa"/>
            <w:vMerge w:val="restart"/>
            <w:vAlign w:val="center"/>
          </w:tcPr>
          <w:p>
            <w:pPr>
              <w:snapToGrid w:val="0"/>
              <w:spacing w:line="0" w:lineRule="atLeast"/>
              <w:jc w:val="center"/>
              <w:rPr>
                <w:color w:val="auto"/>
                <w:kern w:val="0"/>
                <w:szCs w:val="21"/>
              </w:rPr>
            </w:pPr>
            <w:r>
              <w:rPr>
                <w:color w:val="auto"/>
                <w:kern w:val="0"/>
                <w:szCs w:val="21"/>
              </w:rPr>
              <w:t>《环境空气质量标准》（GB3095-2012）及修改单二级</w:t>
            </w:r>
          </w:p>
        </w:tc>
        <w:tc>
          <w:tcPr>
            <w:tcW w:w="1279" w:type="dxa"/>
            <w:vMerge w:val="restart"/>
            <w:vAlign w:val="center"/>
          </w:tcPr>
          <w:p>
            <w:pPr>
              <w:snapToGrid w:val="0"/>
              <w:spacing w:line="0" w:lineRule="atLeast"/>
              <w:jc w:val="center"/>
              <w:rPr>
                <w:color w:val="auto"/>
                <w:kern w:val="0"/>
                <w:szCs w:val="21"/>
              </w:rPr>
            </w:pPr>
            <w:r>
              <w:rPr>
                <w:color w:val="auto"/>
                <w:kern w:val="0"/>
                <w:szCs w:val="21"/>
              </w:rPr>
              <w:t>PM</w:t>
            </w:r>
            <w:r>
              <w:rPr>
                <w:color w:val="auto"/>
                <w:kern w:val="0"/>
                <w:szCs w:val="21"/>
                <w:vertAlign w:val="subscript"/>
              </w:rPr>
              <w:t>10</w:t>
            </w:r>
          </w:p>
        </w:tc>
        <w:tc>
          <w:tcPr>
            <w:tcW w:w="851" w:type="dxa"/>
            <w:vMerge w:val="restart"/>
            <w:vAlign w:val="center"/>
          </w:tcPr>
          <w:p>
            <w:pPr>
              <w:snapToGrid w:val="0"/>
              <w:spacing w:line="0" w:lineRule="atLeast"/>
              <w:jc w:val="center"/>
              <w:rPr>
                <w:color w:val="auto"/>
                <w:kern w:val="0"/>
                <w:szCs w:val="21"/>
              </w:rPr>
            </w:pPr>
            <w:r>
              <w:rPr>
                <w:color w:val="auto"/>
                <w:kern w:val="0"/>
                <w:szCs w:val="21"/>
              </w:rPr>
              <w:t>μg/m</w:t>
            </w:r>
            <w:r>
              <w:rPr>
                <w:color w:val="auto"/>
                <w:kern w:val="0"/>
                <w:szCs w:val="21"/>
                <w:vertAlign w:val="superscript"/>
              </w:rPr>
              <w:t>3</w:t>
            </w:r>
          </w:p>
        </w:tc>
        <w:tc>
          <w:tcPr>
            <w:tcW w:w="1981" w:type="dxa"/>
            <w:gridSpan w:val="2"/>
            <w:vAlign w:val="center"/>
          </w:tcPr>
          <w:p>
            <w:pPr>
              <w:snapToGrid w:val="0"/>
              <w:spacing w:line="0" w:lineRule="atLeast"/>
              <w:jc w:val="center"/>
              <w:rPr>
                <w:color w:val="auto"/>
                <w:kern w:val="0"/>
                <w:szCs w:val="21"/>
              </w:rPr>
            </w:pPr>
            <w:r>
              <w:rPr>
                <w:color w:val="auto"/>
                <w:kern w:val="0"/>
                <w:szCs w:val="21"/>
              </w:rPr>
              <w:t>24小时平均</w:t>
            </w:r>
          </w:p>
        </w:tc>
        <w:tc>
          <w:tcPr>
            <w:tcW w:w="680" w:type="dxa"/>
            <w:vAlign w:val="center"/>
          </w:tcPr>
          <w:p>
            <w:pPr>
              <w:snapToGrid w:val="0"/>
              <w:spacing w:line="0" w:lineRule="atLeast"/>
              <w:jc w:val="center"/>
              <w:rPr>
                <w:color w:val="auto"/>
                <w:kern w:val="0"/>
                <w:szCs w:val="21"/>
              </w:rPr>
            </w:pPr>
            <w:r>
              <w:rPr>
                <w:color w:val="auto"/>
                <w:kern w:val="0"/>
                <w:szCs w:val="21"/>
              </w:rPr>
              <w:t>150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2"/>
          <w:wAfter w:w="136" w:type="dxa"/>
          <w:jc w:val="center"/>
        </w:trPr>
        <w:tc>
          <w:tcPr>
            <w:tcW w:w="727" w:type="dxa"/>
            <w:vMerge w:val="continue"/>
            <w:vAlign w:val="center"/>
          </w:tcPr>
          <w:p>
            <w:pPr>
              <w:snapToGrid w:val="0"/>
              <w:spacing w:line="0" w:lineRule="atLeast"/>
              <w:jc w:val="center"/>
              <w:rPr>
                <w:color w:val="auto"/>
                <w:kern w:val="0"/>
                <w:szCs w:val="21"/>
              </w:rPr>
            </w:pPr>
          </w:p>
        </w:tc>
        <w:tc>
          <w:tcPr>
            <w:tcW w:w="2693" w:type="dxa"/>
            <w:vMerge w:val="continue"/>
            <w:vAlign w:val="center"/>
          </w:tcPr>
          <w:p>
            <w:pPr>
              <w:snapToGrid w:val="0"/>
              <w:spacing w:line="0" w:lineRule="atLeast"/>
              <w:jc w:val="center"/>
              <w:rPr>
                <w:color w:val="auto"/>
                <w:kern w:val="0"/>
                <w:szCs w:val="21"/>
              </w:rPr>
            </w:pPr>
          </w:p>
        </w:tc>
        <w:tc>
          <w:tcPr>
            <w:tcW w:w="1279" w:type="dxa"/>
            <w:vMerge w:val="continue"/>
            <w:vAlign w:val="center"/>
          </w:tcPr>
          <w:p>
            <w:pPr>
              <w:widowControl/>
              <w:jc w:val="left"/>
              <w:rPr>
                <w:color w:val="auto"/>
                <w:kern w:val="0"/>
                <w:szCs w:val="21"/>
              </w:rPr>
            </w:pPr>
          </w:p>
        </w:tc>
        <w:tc>
          <w:tcPr>
            <w:tcW w:w="851" w:type="dxa"/>
            <w:vMerge w:val="continue"/>
            <w:vAlign w:val="center"/>
          </w:tcPr>
          <w:p>
            <w:pPr>
              <w:widowControl/>
              <w:jc w:val="left"/>
              <w:rPr>
                <w:color w:val="auto"/>
                <w:kern w:val="0"/>
                <w:szCs w:val="21"/>
              </w:rPr>
            </w:pPr>
          </w:p>
        </w:tc>
        <w:tc>
          <w:tcPr>
            <w:tcW w:w="1981" w:type="dxa"/>
            <w:gridSpan w:val="2"/>
            <w:vAlign w:val="center"/>
          </w:tcPr>
          <w:p>
            <w:pPr>
              <w:snapToGrid w:val="0"/>
              <w:spacing w:line="0" w:lineRule="atLeast"/>
              <w:jc w:val="center"/>
              <w:rPr>
                <w:color w:val="auto"/>
                <w:kern w:val="0"/>
                <w:szCs w:val="21"/>
              </w:rPr>
            </w:pPr>
            <w:r>
              <w:rPr>
                <w:color w:val="auto"/>
                <w:kern w:val="0"/>
                <w:szCs w:val="21"/>
              </w:rPr>
              <w:t>年平均</w:t>
            </w:r>
          </w:p>
        </w:tc>
        <w:tc>
          <w:tcPr>
            <w:tcW w:w="680" w:type="dxa"/>
            <w:vAlign w:val="center"/>
          </w:tcPr>
          <w:p>
            <w:pPr>
              <w:snapToGrid w:val="0"/>
              <w:spacing w:line="0" w:lineRule="atLeast"/>
              <w:jc w:val="center"/>
              <w:rPr>
                <w:color w:val="auto"/>
                <w:kern w:val="0"/>
                <w:szCs w:val="21"/>
              </w:rPr>
            </w:pPr>
            <w:r>
              <w:rPr>
                <w:color w:val="auto"/>
                <w:kern w:val="0"/>
                <w:szCs w:val="21"/>
              </w:rPr>
              <w:t>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2"/>
          <w:wAfter w:w="136" w:type="dxa"/>
          <w:jc w:val="center"/>
        </w:trPr>
        <w:tc>
          <w:tcPr>
            <w:tcW w:w="727" w:type="dxa"/>
            <w:vMerge w:val="continue"/>
            <w:vAlign w:val="center"/>
          </w:tcPr>
          <w:p>
            <w:pPr>
              <w:snapToGrid w:val="0"/>
              <w:spacing w:line="0" w:lineRule="atLeast"/>
              <w:jc w:val="center"/>
              <w:rPr>
                <w:color w:val="auto"/>
                <w:kern w:val="0"/>
                <w:szCs w:val="21"/>
              </w:rPr>
            </w:pPr>
          </w:p>
        </w:tc>
        <w:tc>
          <w:tcPr>
            <w:tcW w:w="2693" w:type="dxa"/>
            <w:vMerge w:val="continue"/>
            <w:vAlign w:val="center"/>
          </w:tcPr>
          <w:p>
            <w:pPr>
              <w:snapToGrid w:val="0"/>
              <w:spacing w:line="0" w:lineRule="atLeast"/>
              <w:jc w:val="center"/>
              <w:rPr>
                <w:color w:val="auto"/>
                <w:kern w:val="0"/>
                <w:szCs w:val="21"/>
              </w:rPr>
            </w:pPr>
          </w:p>
        </w:tc>
        <w:tc>
          <w:tcPr>
            <w:tcW w:w="1279" w:type="dxa"/>
            <w:vMerge w:val="restart"/>
            <w:vAlign w:val="center"/>
          </w:tcPr>
          <w:p>
            <w:pPr>
              <w:widowControl/>
              <w:snapToGrid w:val="0"/>
              <w:spacing w:line="0" w:lineRule="atLeast"/>
              <w:jc w:val="center"/>
              <w:rPr>
                <w:color w:val="auto"/>
                <w:kern w:val="0"/>
                <w:szCs w:val="21"/>
              </w:rPr>
            </w:pPr>
            <w:r>
              <w:rPr>
                <w:color w:val="auto"/>
                <w:kern w:val="0"/>
                <w:szCs w:val="21"/>
              </w:rPr>
              <w:t>PM</w:t>
            </w:r>
            <w:r>
              <w:rPr>
                <w:color w:val="auto"/>
                <w:kern w:val="0"/>
                <w:szCs w:val="21"/>
                <w:vertAlign w:val="subscript"/>
              </w:rPr>
              <w:t>2.5</w:t>
            </w:r>
          </w:p>
        </w:tc>
        <w:tc>
          <w:tcPr>
            <w:tcW w:w="851" w:type="dxa"/>
            <w:vMerge w:val="continue"/>
            <w:vAlign w:val="center"/>
          </w:tcPr>
          <w:p>
            <w:pPr>
              <w:widowControl/>
              <w:jc w:val="left"/>
              <w:rPr>
                <w:color w:val="auto"/>
                <w:kern w:val="0"/>
                <w:szCs w:val="21"/>
              </w:rPr>
            </w:pPr>
          </w:p>
        </w:tc>
        <w:tc>
          <w:tcPr>
            <w:tcW w:w="1981" w:type="dxa"/>
            <w:gridSpan w:val="2"/>
            <w:vAlign w:val="center"/>
          </w:tcPr>
          <w:p>
            <w:pPr>
              <w:widowControl/>
              <w:adjustRightInd w:val="0"/>
              <w:spacing w:line="0" w:lineRule="atLeast"/>
              <w:jc w:val="center"/>
              <w:rPr>
                <w:color w:val="auto"/>
                <w:kern w:val="0"/>
                <w:szCs w:val="21"/>
              </w:rPr>
            </w:pPr>
            <w:r>
              <w:rPr>
                <w:color w:val="auto"/>
                <w:kern w:val="0"/>
                <w:szCs w:val="21"/>
              </w:rPr>
              <w:t>24小时平均</w:t>
            </w:r>
          </w:p>
        </w:tc>
        <w:tc>
          <w:tcPr>
            <w:tcW w:w="680" w:type="dxa"/>
            <w:vAlign w:val="center"/>
          </w:tcPr>
          <w:p>
            <w:pPr>
              <w:widowControl/>
              <w:adjustRightInd w:val="0"/>
              <w:spacing w:line="0" w:lineRule="atLeast"/>
              <w:jc w:val="center"/>
              <w:rPr>
                <w:color w:val="auto"/>
                <w:kern w:val="0"/>
                <w:szCs w:val="21"/>
              </w:rPr>
            </w:pPr>
            <w:r>
              <w:rPr>
                <w:color w:val="auto"/>
                <w:kern w:val="0"/>
                <w:szCs w:val="21"/>
              </w:rPr>
              <w:t>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2"/>
          <w:wAfter w:w="136" w:type="dxa"/>
          <w:jc w:val="center"/>
        </w:trPr>
        <w:tc>
          <w:tcPr>
            <w:tcW w:w="727" w:type="dxa"/>
            <w:vMerge w:val="continue"/>
            <w:vAlign w:val="center"/>
          </w:tcPr>
          <w:p>
            <w:pPr>
              <w:snapToGrid w:val="0"/>
              <w:spacing w:line="0" w:lineRule="atLeast"/>
              <w:jc w:val="center"/>
              <w:rPr>
                <w:color w:val="auto"/>
                <w:kern w:val="0"/>
                <w:szCs w:val="21"/>
              </w:rPr>
            </w:pPr>
          </w:p>
        </w:tc>
        <w:tc>
          <w:tcPr>
            <w:tcW w:w="2693" w:type="dxa"/>
            <w:vMerge w:val="continue"/>
            <w:vAlign w:val="center"/>
          </w:tcPr>
          <w:p>
            <w:pPr>
              <w:snapToGrid w:val="0"/>
              <w:spacing w:line="0" w:lineRule="atLeast"/>
              <w:jc w:val="center"/>
              <w:rPr>
                <w:color w:val="auto"/>
                <w:kern w:val="0"/>
                <w:szCs w:val="21"/>
              </w:rPr>
            </w:pPr>
          </w:p>
        </w:tc>
        <w:tc>
          <w:tcPr>
            <w:tcW w:w="1279" w:type="dxa"/>
            <w:vMerge w:val="continue"/>
            <w:vAlign w:val="center"/>
          </w:tcPr>
          <w:p>
            <w:pPr>
              <w:widowControl/>
              <w:jc w:val="left"/>
              <w:rPr>
                <w:color w:val="auto"/>
                <w:kern w:val="0"/>
                <w:szCs w:val="21"/>
              </w:rPr>
            </w:pPr>
          </w:p>
        </w:tc>
        <w:tc>
          <w:tcPr>
            <w:tcW w:w="851" w:type="dxa"/>
            <w:vMerge w:val="continue"/>
            <w:vAlign w:val="center"/>
          </w:tcPr>
          <w:p>
            <w:pPr>
              <w:widowControl/>
              <w:jc w:val="left"/>
              <w:rPr>
                <w:color w:val="auto"/>
                <w:kern w:val="0"/>
                <w:szCs w:val="21"/>
              </w:rPr>
            </w:pPr>
          </w:p>
        </w:tc>
        <w:tc>
          <w:tcPr>
            <w:tcW w:w="1981" w:type="dxa"/>
            <w:gridSpan w:val="2"/>
            <w:vAlign w:val="center"/>
          </w:tcPr>
          <w:p>
            <w:pPr>
              <w:widowControl/>
              <w:adjustRightInd w:val="0"/>
              <w:spacing w:line="0" w:lineRule="atLeast"/>
              <w:jc w:val="center"/>
              <w:rPr>
                <w:color w:val="auto"/>
                <w:kern w:val="0"/>
                <w:szCs w:val="21"/>
              </w:rPr>
            </w:pPr>
            <w:r>
              <w:rPr>
                <w:color w:val="auto"/>
                <w:kern w:val="0"/>
                <w:szCs w:val="21"/>
              </w:rPr>
              <w:t>年平均</w:t>
            </w:r>
          </w:p>
        </w:tc>
        <w:tc>
          <w:tcPr>
            <w:tcW w:w="680" w:type="dxa"/>
            <w:vAlign w:val="center"/>
          </w:tcPr>
          <w:p>
            <w:pPr>
              <w:widowControl/>
              <w:adjustRightInd w:val="0"/>
              <w:spacing w:line="0" w:lineRule="atLeast"/>
              <w:jc w:val="center"/>
              <w:rPr>
                <w:color w:val="auto"/>
                <w:kern w:val="0"/>
                <w:szCs w:val="21"/>
              </w:rPr>
            </w:pPr>
            <w:r>
              <w:rPr>
                <w:color w:val="auto"/>
                <w:kern w:val="0"/>
                <w:szCs w:val="21"/>
              </w:rPr>
              <w:t>35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2"/>
          <w:wAfter w:w="136" w:type="dxa"/>
          <w:jc w:val="center"/>
        </w:trPr>
        <w:tc>
          <w:tcPr>
            <w:tcW w:w="727" w:type="dxa"/>
            <w:vMerge w:val="continue"/>
            <w:vAlign w:val="center"/>
          </w:tcPr>
          <w:p>
            <w:pPr>
              <w:snapToGrid w:val="0"/>
              <w:spacing w:line="0" w:lineRule="atLeast"/>
              <w:jc w:val="center"/>
              <w:rPr>
                <w:color w:val="auto"/>
                <w:kern w:val="0"/>
                <w:szCs w:val="21"/>
              </w:rPr>
            </w:pPr>
          </w:p>
        </w:tc>
        <w:tc>
          <w:tcPr>
            <w:tcW w:w="2693" w:type="dxa"/>
            <w:vMerge w:val="continue"/>
            <w:vAlign w:val="center"/>
          </w:tcPr>
          <w:p>
            <w:pPr>
              <w:snapToGrid w:val="0"/>
              <w:spacing w:line="0" w:lineRule="atLeast"/>
              <w:jc w:val="center"/>
              <w:rPr>
                <w:color w:val="auto"/>
                <w:kern w:val="0"/>
                <w:szCs w:val="21"/>
              </w:rPr>
            </w:pPr>
          </w:p>
        </w:tc>
        <w:tc>
          <w:tcPr>
            <w:tcW w:w="1279" w:type="dxa"/>
            <w:vMerge w:val="restart"/>
            <w:vAlign w:val="center"/>
          </w:tcPr>
          <w:p>
            <w:pPr>
              <w:snapToGrid w:val="0"/>
              <w:spacing w:line="0" w:lineRule="atLeast"/>
              <w:jc w:val="center"/>
              <w:rPr>
                <w:color w:val="auto"/>
                <w:kern w:val="0"/>
                <w:szCs w:val="21"/>
              </w:rPr>
            </w:pPr>
            <w:r>
              <w:rPr>
                <w:color w:val="auto"/>
                <w:kern w:val="0"/>
                <w:szCs w:val="21"/>
              </w:rPr>
              <w:t>NO</w:t>
            </w:r>
            <w:r>
              <w:rPr>
                <w:color w:val="auto"/>
                <w:kern w:val="0"/>
                <w:szCs w:val="21"/>
                <w:vertAlign w:val="subscript"/>
              </w:rPr>
              <w:t>2</w:t>
            </w:r>
          </w:p>
        </w:tc>
        <w:tc>
          <w:tcPr>
            <w:tcW w:w="851" w:type="dxa"/>
            <w:vMerge w:val="continue"/>
            <w:vAlign w:val="center"/>
          </w:tcPr>
          <w:p>
            <w:pPr>
              <w:widowControl/>
              <w:jc w:val="center"/>
              <w:rPr>
                <w:color w:val="auto"/>
                <w:kern w:val="0"/>
                <w:szCs w:val="21"/>
              </w:rPr>
            </w:pPr>
          </w:p>
        </w:tc>
        <w:tc>
          <w:tcPr>
            <w:tcW w:w="1981" w:type="dxa"/>
            <w:gridSpan w:val="2"/>
            <w:vAlign w:val="center"/>
          </w:tcPr>
          <w:p>
            <w:pPr>
              <w:snapToGrid w:val="0"/>
              <w:spacing w:line="0" w:lineRule="atLeast"/>
              <w:jc w:val="center"/>
              <w:rPr>
                <w:color w:val="auto"/>
                <w:kern w:val="0"/>
                <w:szCs w:val="21"/>
              </w:rPr>
            </w:pPr>
            <w:r>
              <w:rPr>
                <w:color w:val="auto"/>
                <w:kern w:val="0"/>
                <w:szCs w:val="21"/>
              </w:rPr>
              <w:t>1小时平均</w:t>
            </w:r>
          </w:p>
        </w:tc>
        <w:tc>
          <w:tcPr>
            <w:tcW w:w="680" w:type="dxa"/>
            <w:vAlign w:val="center"/>
          </w:tcPr>
          <w:p>
            <w:pPr>
              <w:snapToGrid w:val="0"/>
              <w:spacing w:line="0" w:lineRule="atLeast"/>
              <w:jc w:val="center"/>
              <w:rPr>
                <w:color w:val="auto"/>
                <w:kern w:val="0"/>
                <w:szCs w:val="21"/>
              </w:rPr>
            </w:pPr>
            <w:r>
              <w:rPr>
                <w:color w:val="auto"/>
                <w:kern w:val="0"/>
                <w:szCs w:val="21"/>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2"/>
          <w:wAfter w:w="136" w:type="dxa"/>
          <w:jc w:val="center"/>
        </w:trPr>
        <w:tc>
          <w:tcPr>
            <w:tcW w:w="727" w:type="dxa"/>
            <w:vMerge w:val="continue"/>
            <w:vAlign w:val="center"/>
          </w:tcPr>
          <w:p>
            <w:pPr>
              <w:snapToGrid w:val="0"/>
              <w:spacing w:line="0" w:lineRule="atLeast"/>
              <w:jc w:val="center"/>
              <w:rPr>
                <w:color w:val="auto"/>
                <w:kern w:val="0"/>
                <w:szCs w:val="21"/>
              </w:rPr>
            </w:pPr>
          </w:p>
        </w:tc>
        <w:tc>
          <w:tcPr>
            <w:tcW w:w="2693" w:type="dxa"/>
            <w:vMerge w:val="continue"/>
            <w:vAlign w:val="center"/>
          </w:tcPr>
          <w:p>
            <w:pPr>
              <w:snapToGrid w:val="0"/>
              <w:spacing w:line="0" w:lineRule="atLeast"/>
              <w:jc w:val="center"/>
              <w:rPr>
                <w:color w:val="auto"/>
                <w:kern w:val="0"/>
                <w:szCs w:val="21"/>
              </w:rPr>
            </w:pPr>
          </w:p>
        </w:tc>
        <w:tc>
          <w:tcPr>
            <w:tcW w:w="1279" w:type="dxa"/>
            <w:vMerge w:val="continue"/>
            <w:vAlign w:val="center"/>
          </w:tcPr>
          <w:p>
            <w:pPr>
              <w:widowControl/>
              <w:jc w:val="left"/>
              <w:rPr>
                <w:color w:val="auto"/>
                <w:kern w:val="0"/>
                <w:szCs w:val="21"/>
              </w:rPr>
            </w:pPr>
          </w:p>
        </w:tc>
        <w:tc>
          <w:tcPr>
            <w:tcW w:w="851" w:type="dxa"/>
            <w:vMerge w:val="continue"/>
            <w:vAlign w:val="center"/>
          </w:tcPr>
          <w:p>
            <w:pPr>
              <w:widowControl/>
              <w:jc w:val="left"/>
              <w:rPr>
                <w:color w:val="auto"/>
                <w:kern w:val="0"/>
                <w:szCs w:val="21"/>
              </w:rPr>
            </w:pPr>
          </w:p>
        </w:tc>
        <w:tc>
          <w:tcPr>
            <w:tcW w:w="1981" w:type="dxa"/>
            <w:gridSpan w:val="2"/>
            <w:vAlign w:val="center"/>
          </w:tcPr>
          <w:p>
            <w:pPr>
              <w:snapToGrid w:val="0"/>
              <w:spacing w:line="0" w:lineRule="atLeast"/>
              <w:jc w:val="center"/>
              <w:rPr>
                <w:color w:val="auto"/>
                <w:kern w:val="0"/>
                <w:szCs w:val="21"/>
              </w:rPr>
            </w:pPr>
            <w:r>
              <w:rPr>
                <w:color w:val="auto"/>
                <w:kern w:val="0"/>
                <w:szCs w:val="21"/>
              </w:rPr>
              <w:t>24小时平均</w:t>
            </w:r>
          </w:p>
        </w:tc>
        <w:tc>
          <w:tcPr>
            <w:tcW w:w="680" w:type="dxa"/>
            <w:vAlign w:val="center"/>
          </w:tcPr>
          <w:p>
            <w:pPr>
              <w:snapToGrid w:val="0"/>
              <w:spacing w:line="0" w:lineRule="atLeast"/>
              <w:jc w:val="center"/>
              <w:rPr>
                <w:color w:val="auto"/>
                <w:kern w:val="0"/>
                <w:szCs w:val="21"/>
              </w:rPr>
            </w:pPr>
            <w:r>
              <w:rPr>
                <w:color w:val="auto"/>
                <w:kern w:val="0"/>
                <w:szCs w:val="21"/>
              </w:rPr>
              <w:t>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2"/>
          <w:wAfter w:w="136" w:type="dxa"/>
          <w:jc w:val="center"/>
        </w:trPr>
        <w:tc>
          <w:tcPr>
            <w:tcW w:w="727" w:type="dxa"/>
            <w:vMerge w:val="continue"/>
            <w:vAlign w:val="center"/>
          </w:tcPr>
          <w:p>
            <w:pPr>
              <w:snapToGrid w:val="0"/>
              <w:spacing w:line="0" w:lineRule="atLeast"/>
              <w:jc w:val="center"/>
              <w:rPr>
                <w:color w:val="auto"/>
                <w:kern w:val="0"/>
                <w:szCs w:val="21"/>
              </w:rPr>
            </w:pPr>
          </w:p>
        </w:tc>
        <w:tc>
          <w:tcPr>
            <w:tcW w:w="2693" w:type="dxa"/>
            <w:vMerge w:val="continue"/>
            <w:vAlign w:val="center"/>
          </w:tcPr>
          <w:p>
            <w:pPr>
              <w:snapToGrid w:val="0"/>
              <w:spacing w:line="0" w:lineRule="atLeast"/>
              <w:jc w:val="center"/>
              <w:rPr>
                <w:color w:val="auto"/>
                <w:kern w:val="0"/>
                <w:szCs w:val="21"/>
              </w:rPr>
            </w:pPr>
          </w:p>
        </w:tc>
        <w:tc>
          <w:tcPr>
            <w:tcW w:w="1279" w:type="dxa"/>
            <w:vMerge w:val="continue"/>
            <w:vAlign w:val="center"/>
          </w:tcPr>
          <w:p>
            <w:pPr>
              <w:widowControl/>
              <w:jc w:val="left"/>
              <w:rPr>
                <w:color w:val="auto"/>
                <w:kern w:val="0"/>
                <w:szCs w:val="21"/>
              </w:rPr>
            </w:pPr>
          </w:p>
        </w:tc>
        <w:tc>
          <w:tcPr>
            <w:tcW w:w="851" w:type="dxa"/>
            <w:vMerge w:val="continue"/>
            <w:vAlign w:val="center"/>
          </w:tcPr>
          <w:p>
            <w:pPr>
              <w:widowControl/>
              <w:jc w:val="left"/>
              <w:rPr>
                <w:color w:val="auto"/>
                <w:kern w:val="0"/>
                <w:szCs w:val="21"/>
              </w:rPr>
            </w:pPr>
          </w:p>
        </w:tc>
        <w:tc>
          <w:tcPr>
            <w:tcW w:w="1981" w:type="dxa"/>
            <w:gridSpan w:val="2"/>
            <w:vAlign w:val="center"/>
          </w:tcPr>
          <w:p>
            <w:pPr>
              <w:snapToGrid w:val="0"/>
              <w:spacing w:line="0" w:lineRule="atLeast"/>
              <w:jc w:val="center"/>
              <w:rPr>
                <w:color w:val="auto"/>
                <w:kern w:val="0"/>
                <w:szCs w:val="21"/>
              </w:rPr>
            </w:pPr>
            <w:r>
              <w:rPr>
                <w:color w:val="auto"/>
                <w:kern w:val="0"/>
                <w:szCs w:val="21"/>
              </w:rPr>
              <w:t>年平均</w:t>
            </w:r>
          </w:p>
        </w:tc>
        <w:tc>
          <w:tcPr>
            <w:tcW w:w="680" w:type="dxa"/>
            <w:vAlign w:val="center"/>
          </w:tcPr>
          <w:p>
            <w:pPr>
              <w:snapToGrid w:val="0"/>
              <w:spacing w:line="0" w:lineRule="atLeast"/>
              <w:jc w:val="center"/>
              <w:rPr>
                <w:color w:val="auto"/>
                <w:kern w:val="0"/>
                <w:szCs w:val="21"/>
              </w:rPr>
            </w:pPr>
            <w:r>
              <w:rPr>
                <w:color w:val="auto"/>
                <w:kern w:val="0"/>
                <w:szCs w:val="21"/>
              </w:rPr>
              <w:t>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2"/>
          <w:wAfter w:w="136" w:type="dxa"/>
          <w:trHeight w:val="98" w:hRule="atLeast"/>
          <w:jc w:val="center"/>
        </w:trPr>
        <w:tc>
          <w:tcPr>
            <w:tcW w:w="727" w:type="dxa"/>
            <w:vMerge w:val="continue"/>
            <w:vAlign w:val="center"/>
          </w:tcPr>
          <w:p>
            <w:pPr>
              <w:snapToGrid w:val="0"/>
              <w:spacing w:line="0" w:lineRule="atLeast"/>
              <w:jc w:val="center"/>
              <w:rPr>
                <w:color w:val="auto"/>
                <w:kern w:val="0"/>
                <w:szCs w:val="21"/>
              </w:rPr>
            </w:pPr>
          </w:p>
        </w:tc>
        <w:tc>
          <w:tcPr>
            <w:tcW w:w="2693" w:type="dxa"/>
            <w:vMerge w:val="continue"/>
            <w:vAlign w:val="center"/>
          </w:tcPr>
          <w:p>
            <w:pPr>
              <w:snapToGrid w:val="0"/>
              <w:spacing w:line="0" w:lineRule="atLeast"/>
              <w:jc w:val="center"/>
              <w:rPr>
                <w:color w:val="auto"/>
                <w:kern w:val="0"/>
                <w:szCs w:val="21"/>
              </w:rPr>
            </w:pPr>
          </w:p>
        </w:tc>
        <w:tc>
          <w:tcPr>
            <w:tcW w:w="1279" w:type="dxa"/>
            <w:vMerge w:val="restart"/>
            <w:vAlign w:val="center"/>
          </w:tcPr>
          <w:p>
            <w:pPr>
              <w:snapToGrid w:val="0"/>
              <w:spacing w:line="0" w:lineRule="atLeast"/>
              <w:jc w:val="center"/>
              <w:rPr>
                <w:color w:val="auto"/>
                <w:kern w:val="0"/>
                <w:szCs w:val="21"/>
              </w:rPr>
            </w:pPr>
            <w:r>
              <w:rPr>
                <w:color w:val="auto"/>
                <w:kern w:val="0"/>
                <w:szCs w:val="21"/>
              </w:rPr>
              <w:t>SO</w:t>
            </w:r>
            <w:r>
              <w:rPr>
                <w:color w:val="auto"/>
                <w:kern w:val="0"/>
                <w:szCs w:val="21"/>
                <w:vertAlign w:val="subscript"/>
              </w:rPr>
              <w:t>2</w:t>
            </w:r>
          </w:p>
        </w:tc>
        <w:tc>
          <w:tcPr>
            <w:tcW w:w="851" w:type="dxa"/>
            <w:vMerge w:val="restart"/>
            <w:vAlign w:val="center"/>
          </w:tcPr>
          <w:p>
            <w:pPr>
              <w:widowControl/>
              <w:jc w:val="center"/>
              <w:rPr>
                <w:color w:val="auto"/>
                <w:kern w:val="0"/>
                <w:szCs w:val="21"/>
              </w:rPr>
            </w:pPr>
            <w:r>
              <w:rPr>
                <w:color w:val="auto"/>
                <w:kern w:val="0"/>
                <w:szCs w:val="21"/>
              </w:rPr>
              <w:t>μg/m</w:t>
            </w:r>
            <w:r>
              <w:rPr>
                <w:color w:val="auto"/>
                <w:kern w:val="0"/>
                <w:szCs w:val="21"/>
                <w:vertAlign w:val="superscript"/>
              </w:rPr>
              <w:t>3</w:t>
            </w:r>
          </w:p>
        </w:tc>
        <w:tc>
          <w:tcPr>
            <w:tcW w:w="1981" w:type="dxa"/>
            <w:gridSpan w:val="2"/>
            <w:vAlign w:val="center"/>
          </w:tcPr>
          <w:p>
            <w:pPr>
              <w:snapToGrid w:val="0"/>
              <w:spacing w:line="0" w:lineRule="atLeast"/>
              <w:jc w:val="center"/>
              <w:rPr>
                <w:color w:val="auto"/>
                <w:kern w:val="0"/>
                <w:szCs w:val="21"/>
              </w:rPr>
            </w:pPr>
            <w:r>
              <w:rPr>
                <w:color w:val="auto"/>
                <w:kern w:val="0"/>
                <w:szCs w:val="21"/>
              </w:rPr>
              <w:t>1小时平均</w:t>
            </w:r>
          </w:p>
        </w:tc>
        <w:tc>
          <w:tcPr>
            <w:tcW w:w="680" w:type="dxa"/>
            <w:vAlign w:val="center"/>
          </w:tcPr>
          <w:p>
            <w:pPr>
              <w:snapToGrid w:val="0"/>
              <w:spacing w:line="0" w:lineRule="atLeast"/>
              <w:jc w:val="center"/>
              <w:rPr>
                <w:color w:val="auto"/>
                <w:kern w:val="0"/>
                <w:szCs w:val="21"/>
              </w:rPr>
            </w:pPr>
            <w:r>
              <w:rPr>
                <w:color w:val="auto"/>
                <w:kern w:val="0"/>
                <w:szCs w:val="21"/>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2"/>
          <w:wAfter w:w="136" w:type="dxa"/>
          <w:trHeight w:val="98" w:hRule="atLeast"/>
          <w:jc w:val="center"/>
        </w:trPr>
        <w:tc>
          <w:tcPr>
            <w:tcW w:w="727" w:type="dxa"/>
            <w:vMerge w:val="continue"/>
            <w:vAlign w:val="center"/>
          </w:tcPr>
          <w:p>
            <w:pPr>
              <w:widowControl/>
              <w:jc w:val="left"/>
              <w:rPr>
                <w:color w:val="auto"/>
                <w:kern w:val="0"/>
                <w:szCs w:val="21"/>
              </w:rPr>
            </w:pPr>
          </w:p>
        </w:tc>
        <w:tc>
          <w:tcPr>
            <w:tcW w:w="2693" w:type="dxa"/>
            <w:vMerge w:val="continue"/>
            <w:vAlign w:val="center"/>
          </w:tcPr>
          <w:p>
            <w:pPr>
              <w:widowControl/>
              <w:jc w:val="left"/>
              <w:rPr>
                <w:color w:val="auto"/>
                <w:kern w:val="0"/>
                <w:szCs w:val="21"/>
              </w:rPr>
            </w:pPr>
          </w:p>
        </w:tc>
        <w:tc>
          <w:tcPr>
            <w:tcW w:w="1279" w:type="dxa"/>
            <w:vMerge w:val="continue"/>
            <w:vAlign w:val="center"/>
          </w:tcPr>
          <w:p>
            <w:pPr>
              <w:widowControl/>
              <w:jc w:val="left"/>
              <w:rPr>
                <w:color w:val="auto"/>
                <w:kern w:val="0"/>
                <w:szCs w:val="21"/>
              </w:rPr>
            </w:pPr>
          </w:p>
        </w:tc>
        <w:tc>
          <w:tcPr>
            <w:tcW w:w="851" w:type="dxa"/>
            <w:vMerge w:val="continue"/>
            <w:vAlign w:val="center"/>
          </w:tcPr>
          <w:p>
            <w:pPr>
              <w:widowControl/>
              <w:jc w:val="left"/>
              <w:rPr>
                <w:color w:val="auto"/>
                <w:kern w:val="0"/>
                <w:szCs w:val="21"/>
              </w:rPr>
            </w:pPr>
          </w:p>
        </w:tc>
        <w:tc>
          <w:tcPr>
            <w:tcW w:w="1981" w:type="dxa"/>
            <w:gridSpan w:val="2"/>
            <w:vAlign w:val="center"/>
          </w:tcPr>
          <w:p>
            <w:pPr>
              <w:snapToGrid w:val="0"/>
              <w:spacing w:line="0" w:lineRule="atLeast"/>
              <w:jc w:val="center"/>
              <w:rPr>
                <w:color w:val="auto"/>
                <w:kern w:val="0"/>
                <w:szCs w:val="21"/>
              </w:rPr>
            </w:pPr>
            <w:r>
              <w:rPr>
                <w:color w:val="auto"/>
                <w:kern w:val="0"/>
                <w:szCs w:val="21"/>
              </w:rPr>
              <w:t>24小时平均</w:t>
            </w:r>
          </w:p>
        </w:tc>
        <w:tc>
          <w:tcPr>
            <w:tcW w:w="680" w:type="dxa"/>
            <w:vAlign w:val="center"/>
          </w:tcPr>
          <w:p>
            <w:pPr>
              <w:snapToGrid w:val="0"/>
              <w:spacing w:line="0" w:lineRule="atLeast"/>
              <w:jc w:val="center"/>
              <w:rPr>
                <w:color w:val="auto"/>
                <w:kern w:val="0"/>
                <w:szCs w:val="21"/>
              </w:rPr>
            </w:pPr>
            <w:r>
              <w:rPr>
                <w:color w:val="auto"/>
                <w:kern w:val="0"/>
                <w:szCs w:val="21"/>
              </w:rPr>
              <w:t>150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2"/>
          <w:wAfter w:w="136" w:type="dxa"/>
          <w:trHeight w:val="98" w:hRule="atLeast"/>
          <w:jc w:val="center"/>
        </w:trPr>
        <w:tc>
          <w:tcPr>
            <w:tcW w:w="727" w:type="dxa"/>
            <w:vMerge w:val="continue"/>
            <w:vAlign w:val="center"/>
          </w:tcPr>
          <w:p>
            <w:pPr>
              <w:widowControl/>
              <w:jc w:val="left"/>
              <w:rPr>
                <w:color w:val="auto"/>
                <w:kern w:val="0"/>
                <w:szCs w:val="21"/>
              </w:rPr>
            </w:pPr>
          </w:p>
        </w:tc>
        <w:tc>
          <w:tcPr>
            <w:tcW w:w="2693" w:type="dxa"/>
            <w:vMerge w:val="continue"/>
            <w:vAlign w:val="center"/>
          </w:tcPr>
          <w:p>
            <w:pPr>
              <w:widowControl/>
              <w:jc w:val="left"/>
              <w:rPr>
                <w:color w:val="auto"/>
                <w:kern w:val="0"/>
                <w:szCs w:val="21"/>
              </w:rPr>
            </w:pPr>
          </w:p>
        </w:tc>
        <w:tc>
          <w:tcPr>
            <w:tcW w:w="1279" w:type="dxa"/>
            <w:vMerge w:val="continue"/>
            <w:vAlign w:val="center"/>
          </w:tcPr>
          <w:p>
            <w:pPr>
              <w:widowControl/>
              <w:jc w:val="left"/>
              <w:rPr>
                <w:color w:val="auto"/>
                <w:kern w:val="0"/>
                <w:szCs w:val="21"/>
              </w:rPr>
            </w:pPr>
          </w:p>
        </w:tc>
        <w:tc>
          <w:tcPr>
            <w:tcW w:w="851" w:type="dxa"/>
            <w:vMerge w:val="continue"/>
            <w:vAlign w:val="center"/>
          </w:tcPr>
          <w:p>
            <w:pPr>
              <w:widowControl/>
              <w:jc w:val="left"/>
              <w:rPr>
                <w:color w:val="auto"/>
                <w:kern w:val="0"/>
                <w:szCs w:val="21"/>
              </w:rPr>
            </w:pPr>
          </w:p>
        </w:tc>
        <w:tc>
          <w:tcPr>
            <w:tcW w:w="1981" w:type="dxa"/>
            <w:gridSpan w:val="2"/>
            <w:vAlign w:val="center"/>
          </w:tcPr>
          <w:p>
            <w:pPr>
              <w:snapToGrid w:val="0"/>
              <w:spacing w:line="0" w:lineRule="atLeast"/>
              <w:jc w:val="center"/>
              <w:rPr>
                <w:color w:val="auto"/>
                <w:kern w:val="0"/>
                <w:szCs w:val="21"/>
              </w:rPr>
            </w:pPr>
            <w:r>
              <w:rPr>
                <w:color w:val="auto"/>
                <w:kern w:val="0"/>
                <w:szCs w:val="21"/>
              </w:rPr>
              <w:t>年平均</w:t>
            </w:r>
          </w:p>
        </w:tc>
        <w:tc>
          <w:tcPr>
            <w:tcW w:w="680" w:type="dxa"/>
            <w:vAlign w:val="center"/>
          </w:tcPr>
          <w:p>
            <w:pPr>
              <w:snapToGrid w:val="0"/>
              <w:spacing w:line="0" w:lineRule="atLeast"/>
              <w:jc w:val="center"/>
              <w:rPr>
                <w:color w:val="auto"/>
                <w:kern w:val="0"/>
                <w:szCs w:val="21"/>
              </w:rPr>
            </w:pPr>
            <w:r>
              <w:rPr>
                <w:color w:val="auto"/>
                <w:kern w:val="0"/>
                <w:szCs w:val="21"/>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2"/>
          <w:wAfter w:w="136" w:type="dxa"/>
          <w:trHeight w:val="98" w:hRule="atLeast"/>
          <w:jc w:val="center"/>
        </w:trPr>
        <w:tc>
          <w:tcPr>
            <w:tcW w:w="727" w:type="dxa"/>
            <w:vMerge w:val="continue"/>
            <w:vAlign w:val="center"/>
          </w:tcPr>
          <w:p>
            <w:pPr>
              <w:widowControl/>
              <w:jc w:val="left"/>
              <w:rPr>
                <w:color w:val="auto"/>
                <w:kern w:val="0"/>
                <w:szCs w:val="21"/>
              </w:rPr>
            </w:pPr>
          </w:p>
        </w:tc>
        <w:tc>
          <w:tcPr>
            <w:tcW w:w="2693" w:type="dxa"/>
            <w:vMerge w:val="continue"/>
            <w:vAlign w:val="center"/>
          </w:tcPr>
          <w:p>
            <w:pPr>
              <w:widowControl/>
              <w:jc w:val="left"/>
              <w:rPr>
                <w:color w:val="auto"/>
                <w:kern w:val="0"/>
                <w:szCs w:val="21"/>
              </w:rPr>
            </w:pPr>
          </w:p>
        </w:tc>
        <w:tc>
          <w:tcPr>
            <w:tcW w:w="1279" w:type="dxa"/>
            <w:vMerge w:val="restart"/>
            <w:vAlign w:val="center"/>
          </w:tcPr>
          <w:p>
            <w:pPr>
              <w:widowControl/>
              <w:snapToGrid w:val="0"/>
              <w:spacing w:line="0" w:lineRule="atLeast"/>
              <w:jc w:val="center"/>
              <w:rPr>
                <w:color w:val="auto"/>
                <w:kern w:val="0"/>
                <w:szCs w:val="21"/>
              </w:rPr>
            </w:pPr>
            <w:r>
              <w:rPr>
                <w:color w:val="auto"/>
                <w:kern w:val="0"/>
                <w:szCs w:val="21"/>
              </w:rPr>
              <w:t>O</w:t>
            </w:r>
            <w:r>
              <w:rPr>
                <w:color w:val="auto"/>
                <w:kern w:val="0"/>
                <w:szCs w:val="21"/>
                <w:vertAlign w:val="subscript"/>
              </w:rPr>
              <w:t>3</w:t>
            </w:r>
          </w:p>
        </w:tc>
        <w:tc>
          <w:tcPr>
            <w:tcW w:w="851" w:type="dxa"/>
            <w:vMerge w:val="continue"/>
            <w:vAlign w:val="center"/>
          </w:tcPr>
          <w:p>
            <w:pPr>
              <w:widowControl/>
              <w:jc w:val="left"/>
              <w:rPr>
                <w:color w:val="auto"/>
                <w:kern w:val="0"/>
                <w:szCs w:val="21"/>
              </w:rPr>
            </w:pPr>
          </w:p>
        </w:tc>
        <w:tc>
          <w:tcPr>
            <w:tcW w:w="1981" w:type="dxa"/>
            <w:gridSpan w:val="2"/>
            <w:vAlign w:val="center"/>
          </w:tcPr>
          <w:p>
            <w:pPr>
              <w:widowControl/>
              <w:adjustRightInd w:val="0"/>
              <w:spacing w:line="0" w:lineRule="atLeast"/>
              <w:jc w:val="center"/>
              <w:rPr>
                <w:color w:val="auto"/>
                <w:kern w:val="0"/>
                <w:szCs w:val="21"/>
              </w:rPr>
            </w:pPr>
            <w:r>
              <w:rPr>
                <w:color w:val="auto"/>
                <w:kern w:val="0"/>
                <w:szCs w:val="21"/>
              </w:rPr>
              <w:t>1小时平均</w:t>
            </w:r>
          </w:p>
        </w:tc>
        <w:tc>
          <w:tcPr>
            <w:tcW w:w="680" w:type="dxa"/>
            <w:vAlign w:val="center"/>
          </w:tcPr>
          <w:p>
            <w:pPr>
              <w:widowControl/>
              <w:adjustRightInd w:val="0"/>
              <w:spacing w:line="0" w:lineRule="atLeast"/>
              <w:jc w:val="center"/>
              <w:rPr>
                <w:color w:val="auto"/>
                <w:kern w:val="0"/>
                <w:szCs w:val="21"/>
              </w:rPr>
            </w:pPr>
            <w:r>
              <w:rPr>
                <w:color w:val="auto"/>
                <w:kern w:val="0"/>
                <w:szCs w:val="21"/>
              </w:rPr>
              <w:t>160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2"/>
          <w:wAfter w:w="136" w:type="dxa"/>
          <w:trHeight w:val="98" w:hRule="atLeast"/>
          <w:jc w:val="center"/>
        </w:trPr>
        <w:tc>
          <w:tcPr>
            <w:tcW w:w="727" w:type="dxa"/>
            <w:vMerge w:val="continue"/>
            <w:vAlign w:val="center"/>
          </w:tcPr>
          <w:p>
            <w:pPr>
              <w:widowControl/>
              <w:jc w:val="left"/>
              <w:rPr>
                <w:color w:val="auto"/>
                <w:kern w:val="0"/>
                <w:szCs w:val="21"/>
              </w:rPr>
            </w:pPr>
          </w:p>
        </w:tc>
        <w:tc>
          <w:tcPr>
            <w:tcW w:w="2693" w:type="dxa"/>
            <w:vMerge w:val="continue"/>
            <w:vAlign w:val="center"/>
          </w:tcPr>
          <w:p>
            <w:pPr>
              <w:widowControl/>
              <w:jc w:val="left"/>
              <w:rPr>
                <w:color w:val="auto"/>
                <w:kern w:val="0"/>
                <w:szCs w:val="21"/>
              </w:rPr>
            </w:pPr>
          </w:p>
        </w:tc>
        <w:tc>
          <w:tcPr>
            <w:tcW w:w="1279" w:type="dxa"/>
            <w:vMerge w:val="continue"/>
            <w:vAlign w:val="center"/>
          </w:tcPr>
          <w:p>
            <w:pPr>
              <w:widowControl/>
              <w:jc w:val="left"/>
              <w:rPr>
                <w:color w:val="auto"/>
                <w:kern w:val="0"/>
                <w:szCs w:val="21"/>
              </w:rPr>
            </w:pPr>
          </w:p>
        </w:tc>
        <w:tc>
          <w:tcPr>
            <w:tcW w:w="851" w:type="dxa"/>
            <w:vMerge w:val="continue"/>
            <w:vAlign w:val="center"/>
          </w:tcPr>
          <w:p>
            <w:pPr>
              <w:widowControl/>
              <w:jc w:val="left"/>
              <w:rPr>
                <w:color w:val="auto"/>
                <w:kern w:val="0"/>
                <w:szCs w:val="21"/>
              </w:rPr>
            </w:pPr>
          </w:p>
        </w:tc>
        <w:tc>
          <w:tcPr>
            <w:tcW w:w="1981" w:type="dxa"/>
            <w:gridSpan w:val="2"/>
            <w:vAlign w:val="center"/>
          </w:tcPr>
          <w:p>
            <w:pPr>
              <w:widowControl/>
              <w:adjustRightInd w:val="0"/>
              <w:spacing w:line="0" w:lineRule="atLeast"/>
              <w:jc w:val="center"/>
              <w:rPr>
                <w:color w:val="auto"/>
                <w:kern w:val="0"/>
                <w:szCs w:val="21"/>
              </w:rPr>
            </w:pPr>
            <w:r>
              <w:rPr>
                <w:color w:val="auto"/>
                <w:kern w:val="0"/>
                <w:szCs w:val="21"/>
              </w:rPr>
              <w:t>日最大8小时平均</w:t>
            </w:r>
          </w:p>
        </w:tc>
        <w:tc>
          <w:tcPr>
            <w:tcW w:w="680" w:type="dxa"/>
            <w:vAlign w:val="center"/>
          </w:tcPr>
          <w:p>
            <w:pPr>
              <w:widowControl/>
              <w:adjustRightInd w:val="0"/>
              <w:spacing w:line="0" w:lineRule="atLeast"/>
              <w:jc w:val="center"/>
              <w:rPr>
                <w:color w:val="auto"/>
                <w:kern w:val="0"/>
                <w:szCs w:val="21"/>
              </w:rPr>
            </w:pPr>
            <w:r>
              <w:rPr>
                <w:color w:val="auto"/>
                <w:kern w:val="0"/>
                <w:szCs w:val="21"/>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gridAfter w:val="2"/>
          <w:wAfter w:w="136" w:type="dxa"/>
          <w:trHeight w:val="98" w:hRule="atLeast"/>
          <w:jc w:val="center"/>
        </w:trPr>
        <w:tc>
          <w:tcPr>
            <w:tcW w:w="727" w:type="dxa"/>
            <w:vMerge w:val="continue"/>
            <w:vAlign w:val="center"/>
          </w:tcPr>
          <w:p>
            <w:pPr>
              <w:widowControl/>
              <w:jc w:val="left"/>
              <w:rPr>
                <w:color w:val="auto"/>
                <w:kern w:val="0"/>
                <w:szCs w:val="21"/>
              </w:rPr>
            </w:pPr>
          </w:p>
        </w:tc>
        <w:tc>
          <w:tcPr>
            <w:tcW w:w="2693" w:type="dxa"/>
            <w:vMerge w:val="continue"/>
            <w:vAlign w:val="center"/>
          </w:tcPr>
          <w:p>
            <w:pPr>
              <w:widowControl/>
              <w:jc w:val="left"/>
              <w:rPr>
                <w:color w:val="auto"/>
                <w:kern w:val="0"/>
                <w:szCs w:val="21"/>
              </w:rPr>
            </w:pPr>
          </w:p>
        </w:tc>
        <w:tc>
          <w:tcPr>
            <w:tcW w:w="1279" w:type="dxa"/>
            <w:vMerge w:val="restart"/>
            <w:vAlign w:val="center"/>
          </w:tcPr>
          <w:p>
            <w:pPr>
              <w:widowControl/>
              <w:snapToGrid w:val="0"/>
              <w:spacing w:line="0" w:lineRule="atLeast"/>
              <w:jc w:val="center"/>
              <w:rPr>
                <w:color w:val="auto"/>
                <w:kern w:val="0"/>
                <w:szCs w:val="21"/>
              </w:rPr>
            </w:pPr>
            <w:r>
              <w:rPr>
                <w:color w:val="auto"/>
                <w:kern w:val="0"/>
                <w:szCs w:val="21"/>
              </w:rPr>
              <w:t>CO</w:t>
            </w:r>
          </w:p>
        </w:tc>
        <w:tc>
          <w:tcPr>
            <w:tcW w:w="851" w:type="dxa"/>
            <w:vMerge w:val="restart"/>
            <w:vAlign w:val="center"/>
          </w:tcPr>
          <w:p>
            <w:pPr>
              <w:widowControl/>
              <w:snapToGrid w:val="0"/>
              <w:spacing w:line="0" w:lineRule="atLeast"/>
              <w:jc w:val="center"/>
              <w:rPr>
                <w:color w:val="auto"/>
                <w:kern w:val="0"/>
                <w:szCs w:val="21"/>
              </w:rPr>
            </w:pPr>
            <w:r>
              <w:rPr>
                <w:color w:val="auto"/>
                <w:kern w:val="0"/>
                <w:szCs w:val="21"/>
              </w:rPr>
              <w:t>mg/m</w:t>
            </w:r>
            <w:r>
              <w:rPr>
                <w:color w:val="auto"/>
                <w:kern w:val="0"/>
                <w:szCs w:val="21"/>
                <w:vertAlign w:val="superscript"/>
              </w:rPr>
              <w:t>3</w:t>
            </w:r>
          </w:p>
        </w:tc>
        <w:tc>
          <w:tcPr>
            <w:tcW w:w="1981" w:type="dxa"/>
            <w:gridSpan w:val="2"/>
            <w:vAlign w:val="center"/>
          </w:tcPr>
          <w:p>
            <w:pPr>
              <w:widowControl/>
              <w:adjustRightInd w:val="0"/>
              <w:spacing w:line="0" w:lineRule="atLeast"/>
              <w:jc w:val="center"/>
              <w:rPr>
                <w:color w:val="auto"/>
                <w:kern w:val="0"/>
                <w:szCs w:val="21"/>
              </w:rPr>
            </w:pPr>
            <w:r>
              <w:rPr>
                <w:color w:val="auto"/>
                <w:kern w:val="0"/>
                <w:szCs w:val="21"/>
              </w:rPr>
              <w:t>1小时平均</w:t>
            </w:r>
          </w:p>
        </w:tc>
        <w:tc>
          <w:tcPr>
            <w:tcW w:w="680" w:type="dxa"/>
            <w:vAlign w:val="center"/>
          </w:tcPr>
          <w:p>
            <w:pPr>
              <w:widowControl/>
              <w:adjustRightInd w:val="0"/>
              <w:spacing w:line="0" w:lineRule="atLeast"/>
              <w:jc w:val="center"/>
              <w:rPr>
                <w:color w:val="auto"/>
                <w:kern w:val="0"/>
                <w:szCs w:val="21"/>
              </w:rPr>
            </w:pPr>
            <w:r>
              <w:rPr>
                <w:color w:val="auto"/>
                <w:kern w:val="0"/>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2"/>
          <w:wAfter w:w="136" w:type="dxa"/>
          <w:trHeight w:val="98" w:hRule="atLeast"/>
          <w:jc w:val="center"/>
        </w:trPr>
        <w:tc>
          <w:tcPr>
            <w:tcW w:w="727" w:type="dxa"/>
            <w:vMerge w:val="continue"/>
            <w:vAlign w:val="center"/>
          </w:tcPr>
          <w:p>
            <w:pPr>
              <w:widowControl/>
              <w:jc w:val="left"/>
              <w:rPr>
                <w:color w:val="auto"/>
                <w:kern w:val="0"/>
                <w:szCs w:val="21"/>
              </w:rPr>
            </w:pPr>
          </w:p>
        </w:tc>
        <w:tc>
          <w:tcPr>
            <w:tcW w:w="2693" w:type="dxa"/>
            <w:vMerge w:val="continue"/>
            <w:vAlign w:val="center"/>
          </w:tcPr>
          <w:p>
            <w:pPr>
              <w:widowControl/>
              <w:jc w:val="left"/>
              <w:rPr>
                <w:color w:val="auto"/>
                <w:kern w:val="0"/>
                <w:szCs w:val="21"/>
              </w:rPr>
            </w:pPr>
          </w:p>
        </w:tc>
        <w:tc>
          <w:tcPr>
            <w:tcW w:w="1279" w:type="dxa"/>
            <w:vMerge w:val="continue"/>
            <w:vAlign w:val="center"/>
          </w:tcPr>
          <w:p>
            <w:pPr>
              <w:widowControl/>
              <w:jc w:val="left"/>
              <w:rPr>
                <w:color w:val="auto"/>
                <w:kern w:val="0"/>
                <w:szCs w:val="21"/>
              </w:rPr>
            </w:pPr>
          </w:p>
        </w:tc>
        <w:tc>
          <w:tcPr>
            <w:tcW w:w="851" w:type="dxa"/>
            <w:vMerge w:val="continue"/>
            <w:vAlign w:val="center"/>
          </w:tcPr>
          <w:p>
            <w:pPr>
              <w:widowControl/>
              <w:jc w:val="left"/>
              <w:rPr>
                <w:color w:val="auto"/>
                <w:kern w:val="0"/>
                <w:szCs w:val="21"/>
              </w:rPr>
            </w:pPr>
          </w:p>
        </w:tc>
        <w:tc>
          <w:tcPr>
            <w:tcW w:w="1981" w:type="dxa"/>
            <w:gridSpan w:val="2"/>
            <w:vAlign w:val="center"/>
          </w:tcPr>
          <w:p>
            <w:pPr>
              <w:widowControl/>
              <w:adjustRightInd w:val="0"/>
              <w:spacing w:line="0" w:lineRule="atLeast"/>
              <w:jc w:val="center"/>
              <w:rPr>
                <w:color w:val="auto"/>
                <w:kern w:val="0"/>
                <w:szCs w:val="21"/>
              </w:rPr>
            </w:pPr>
            <w:r>
              <w:rPr>
                <w:color w:val="auto"/>
                <w:kern w:val="0"/>
                <w:szCs w:val="21"/>
              </w:rPr>
              <w:t>24小时平均</w:t>
            </w:r>
          </w:p>
        </w:tc>
        <w:tc>
          <w:tcPr>
            <w:tcW w:w="680" w:type="dxa"/>
            <w:vAlign w:val="center"/>
          </w:tcPr>
          <w:p>
            <w:pPr>
              <w:widowControl/>
              <w:adjustRightInd w:val="0"/>
              <w:spacing w:line="0" w:lineRule="atLeast"/>
              <w:jc w:val="center"/>
              <w:rPr>
                <w:color w:val="auto"/>
                <w:kern w:val="0"/>
                <w:szCs w:val="21"/>
              </w:rPr>
            </w:pPr>
            <w:r>
              <w:rPr>
                <w:color w:val="auto"/>
                <w:kern w:val="0"/>
                <w:szCs w:val="21"/>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2"/>
          <w:wAfter w:w="136" w:type="dxa"/>
          <w:trHeight w:val="98" w:hRule="atLeast"/>
          <w:jc w:val="center"/>
        </w:trPr>
        <w:tc>
          <w:tcPr>
            <w:tcW w:w="727" w:type="dxa"/>
            <w:vMerge w:val="continue"/>
            <w:vAlign w:val="center"/>
          </w:tcPr>
          <w:p>
            <w:pPr>
              <w:widowControl/>
              <w:jc w:val="left"/>
              <w:rPr>
                <w:color w:val="auto"/>
                <w:kern w:val="0"/>
                <w:szCs w:val="21"/>
              </w:rPr>
            </w:pPr>
          </w:p>
        </w:tc>
        <w:tc>
          <w:tcPr>
            <w:tcW w:w="2693" w:type="dxa"/>
            <w:vMerge w:val="continue"/>
            <w:vAlign w:val="center"/>
          </w:tcPr>
          <w:p>
            <w:pPr>
              <w:widowControl/>
              <w:jc w:val="left"/>
              <w:rPr>
                <w:color w:val="auto"/>
                <w:kern w:val="0"/>
                <w:szCs w:val="21"/>
              </w:rPr>
            </w:pPr>
          </w:p>
        </w:tc>
        <w:tc>
          <w:tcPr>
            <w:tcW w:w="1279" w:type="dxa"/>
            <w:vMerge w:val="restart"/>
            <w:vAlign w:val="center"/>
          </w:tcPr>
          <w:p>
            <w:pPr>
              <w:widowControl/>
              <w:jc w:val="center"/>
              <w:rPr>
                <w:rFonts w:hint="eastAsia" w:eastAsia="宋体"/>
                <w:color w:val="auto"/>
                <w:kern w:val="0"/>
                <w:szCs w:val="21"/>
                <w:lang w:val="en-US" w:eastAsia="zh-CN"/>
              </w:rPr>
            </w:pPr>
            <w:r>
              <w:rPr>
                <w:rFonts w:hint="eastAsia"/>
                <w:color w:val="auto"/>
                <w:kern w:val="0"/>
                <w:szCs w:val="21"/>
                <w:lang w:val="en-US" w:eastAsia="zh-CN"/>
              </w:rPr>
              <w:t>TSP</w:t>
            </w:r>
          </w:p>
        </w:tc>
        <w:tc>
          <w:tcPr>
            <w:tcW w:w="851" w:type="dxa"/>
            <w:vMerge w:val="restart"/>
            <w:vAlign w:val="center"/>
          </w:tcPr>
          <w:p>
            <w:pPr>
              <w:widowControl/>
              <w:jc w:val="left"/>
              <w:rPr>
                <w:color w:val="auto"/>
                <w:kern w:val="0"/>
                <w:szCs w:val="21"/>
              </w:rPr>
            </w:pPr>
            <w:r>
              <w:rPr>
                <w:rFonts w:hint="default" w:ascii="Times New Roman" w:hAnsi="Times New Roman" w:eastAsia="宋体" w:cs="Times New Roman"/>
                <w:color w:val="auto"/>
                <w:kern w:val="21"/>
                <w:sz w:val="21"/>
                <w:szCs w:val="21"/>
                <w:highlight w:val="none"/>
                <w:u w:val="none"/>
              </w:rPr>
              <w:t>μg/m</w:t>
            </w:r>
            <w:r>
              <w:rPr>
                <w:rFonts w:hint="default" w:ascii="Times New Roman" w:hAnsi="Times New Roman" w:eastAsia="宋体" w:cs="Times New Roman"/>
                <w:color w:val="auto"/>
                <w:kern w:val="21"/>
                <w:sz w:val="21"/>
                <w:szCs w:val="21"/>
                <w:highlight w:val="none"/>
                <w:u w:val="none"/>
                <w:vertAlign w:val="superscript"/>
              </w:rPr>
              <w:t>3</w:t>
            </w:r>
          </w:p>
        </w:tc>
        <w:tc>
          <w:tcPr>
            <w:tcW w:w="1981" w:type="dxa"/>
            <w:gridSpan w:val="2"/>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Cs w:val="21"/>
              </w:rPr>
            </w:pPr>
            <w:r>
              <w:rPr>
                <w:rFonts w:hint="default" w:ascii="Times New Roman" w:hAnsi="Times New Roman" w:eastAsia="宋体" w:cs="Times New Roman"/>
                <w:color w:val="auto"/>
                <w:kern w:val="21"/>
                <w:sz w:val="21"/>
                <w:szCs w:val="21"/>
                <w:highlight w:val="none"/>
                <w:u w:val="none"/>
                <w:lang w:val="en-US" w:eastAsia="zh-CN"/>
              </w:rPr>
              <w:t>年平均</w:t>
            </w:r>
          </w:p>
        </w:tc>
        <w:tc>
          <w:tcPr>
            <w:tcW w:w="68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Cs w:val="21"/>
              </w:rPr>
            </w:pPr>
            <w:r>
              <w:rPr>
                <w:rFonts w:hint="default" w:ascii="Times New Roman" w:hAnsi="Times New Roman" w:eastAsia="宋体" w:cs="Times New Roman"/>
                <w:color w:val="auto"/>
                <w:kern w:val="21"/>
                <w:sz w:val="21"/>
                <w:szCs w:val="21"/>
                <w:highlight w:val="none"/>
                <w:u w:val="none"/>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2"/>
          <w:wAfter w:w="136" w:type="dxa"/>
          <w:trHeight w:val="98" w:hRule="atLeast"/>
          <w:jc w:val="center"/>
        </w:trPr>
        <w:tc>
          <w:tcPr>
            <w:tcW w:w="727" w:type="dxa"/>
            <w:vMerge w:val="continue"/>
            <w:vAlign w:val="center"/>
          </w:tcPr>
          <w:p>
            <w:pPr>
              <w:widowControl/>
              <w:jc w:val="left"/>
              <w:rPr>
                <w:color w:val="auto"/>
                <w:kern w:val="0"/>
                <w:szCs w:val="21"/>
              </w:rPr>
            </w:pPr>
          </w:p>
        </w:tc>
        <w:tc>
          <w:tcPr>
            <w:tcW w:w="2693" w:type="dxa"/>
            <w:vMerge w:val="continue"/>
            <w:vAlign w:val="center"/>
          </w:tcPr>
          <w:p>
            <w:pPr>
              <w:widowControl/>
              <w:jc w:val="left"/>
              <w:rPr>
                <w:color w:val="auto"/>
                <w:kern w:val="0"/>
                <w:szCs w:val="21"/>
              </w:rPr>
            </w:pPr>
          </w:p>
        </w:tc>
        <w:tc>
          <w:tcPr>
            <w:tcW w:w="1279" w:type="dxa"/>
            <w:vMerge w:val="continue"/>
            <w:vAlign w:val="center"/>
          </w:tcPr>
          <w:p>
            <w:pPr>
              <w:widowControl/>
              <w:jc w:val="center"/>
              <w:rPr>
                <w:rFonts w:hint="eastAsia" w:eastAsia="宋体"/>
                <w:color w:val="auto"/>
                <w:kern w:val="0"/>
                <w:szCs w:val="21"/>
                <w:lang w:val="en-US" w:eastAsia="zh-CN"/>
              </w:rPr>
            </w:pPr>
          </w:p>
        </w:tc>
        <w:tc>
          <w:tcPr>
            <w:tcW w:w="851" w:type="dxa"/>
            <w:vMerge w:val="continue"/>
            <w:vAlign w:val="center"/>
          </w:tcPr>
          <w:p>
            <w:pPr>
              <w:widowControl/>
              <w:jc w:val="left"/>
              <w:rPr>
                <w:color w:val="auto"/>
                <w:kern w:val="0"/>
                <w:szCs w:val="21"/>
              </w:rPr>
            </w:pPr>
          </w:p>
        </w:tc>
        <w:tc>
          <w:tcPr>
            <w:tcW w:w="1981" w:type="dxa"/>
            <w:gridSpan w:val="2"/>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Cs w:val="21"/>
              </w:rPr>
            </w:pPr>
            <w:r>
              <w:rPr>
                <w:rFonts w:hint="default" w:ascii="Times New Roman" w:hAnsi="Times New Roman" w:eastAsia="宋体" w:cs="Times New Roman"/>
                <w:color w:val="auto"/>
                <w:kern w:val="21"/>
                <w:sz w:val="21"/>
                <w:szCs w:val="21"/>
                <w:highlight w:val="none"/>
                <w:u w:val="none"/>
              </w:rPr>
              <w:t>24小时平均</w:t>
            </w:r>
          </w:p>
        </w:tc>
        <w:tc>
          <w:tcPr>
            <w:tcW w:w="68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Cs w:val="21"/>
              </w:rPr>
            </w:pPr>
            <w:r>
              <w:rPr>
                <w:rFonts w:hint="default" w:ascii="Times New Roman" w:hAnsi="Times New Roman" w:eastAsia="宋体" w:cs="Times New Roman"/>
                <w:color w:val="auto"/>
                <w:kern w:val="21"/>
                <w:sz w:val="21"/>
                <w:szCs w:val="21"/>
                <w:highlight w:val="none"/>
                <w:u w:val="none"/>
              </w:rPr>
              <w:t>300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2"/>
          <w:wAfter w:w="136" w:type="dxa"/>
          <w:trHeight w:val="395" w:hRule="atLeast"/>
          <w:jc w:val="center"/>
        </w:trPr>
        <w:tc>
          <w:tcPr>
            <w:tcW w:w="727" w:type="dxa"/>
            <w:vMerge w:val="continue"/>
            <w:vAlign w:val="center"/>
          </w:tcPr>
          <w:p>
            <w:pPr>
              <w:widowControl/>
              <w:jc w:val="left"/>
              <w:rPr>
                <w:color w:val="auto"/>
                <w:kern w:val="0"/>
                <w:szCs w:val="21"/>
              </w:rPr>
            </w:pPr>
          </w:p>
        </w:tc>
        <w:tc>
          <w:tcPr>
            <w:tcW w:w="2693" w:type="dxa"/>
            <w:vMerge w:val="restart"/>
            <w:vAlign w:val="center"/>
          </w:tcPr>
          <w:p>
            <w:pPr>
              <w:widowControl/>
              <w:jc w:val="center"/>
              <w:rPr>
                <w:color w:val="auto"/>
                <w:kern w:val="0"/>
                <w:szCs w:val="21"/>
              </w:rPr>
            </w:pPr>
            <w:r>
              <w:rPr>
                <w:color w:val="auto"/>
                <w:kern w:val="0"/>
                <w:szCs w:val="21"/>
              </w:rPr>
              <w:t>《环境影响评价技术导则大气环境》（HJ 2.2-2018）附录D标准</w:t>
            </w:r>
          </w:p>
        </w:tc>
        <w:tc>
          <w:tcPr>
            <w:tcW w:w="1279" w:type="dxa"/>
            <w:vAlign w:val="center"/>
          </w:tcPr>
          <w:p>
            <w:pPr>
              <w:widowControl/>
              <w:jc w:val="center"/>
              <w:rPr>
                <w:color w:val="auto"/>
                <w:kern w:val="0"/>
                <w:szCs w:val="21"/>
                <w:vertAlign w:val="subscript"/>
              </w:rPr>
            </w:pPr>
            <w:r>
              <w:rPr>
                <w:color w:val="auto"/>
                <w:kern w:val="0"/>
                <w:szCs w:val="21"/>
              </w:rPr>
              <w:t>NH</w:t>
            </w:r>
            <w:r>
              <w:rPr>
                <w:color w:val="auto"/>
                <w:kern w:val="0"/>
                <w:szCs w:val="21"/>
                <w:vertAlign w:val="subscript"/>
              </w:rPr>
              <w:t>3</w:t>
            </w:r>
          </w:p>
        </w:tc>
        <w:tc>
          <w:tcPr>
            <w:tcW w:w="851" w:type="dxa"/>
            <w:vMerge w:val="restart"/>
            <w:vAlign w:val="center"/>
          </w:tcPr>
          <w:p>
            <w:pPr>
              <w:widowControl/>
              <w:jc w:val="center"/>
              <w:rPr>
                <w:color w:val="auto"/>
                <w:kern w:val="0"/>
                <w:szCs w:val="21"/>
              </w:rPr>
            </w:pPr>
            <w:r>
              <w:rPr>
                <w:color w:val="auto"/>
                <w:kern w:val="0"/>
                <w:szCs w:val="21"/>
              </w:rPr>
              <w:t>μg/m</w:t>
            </w:r>
            <w:r>
              <w:rPr>
                <w:color w:val="auto"/>
                <w:kern w:val="0"/>
                <w:szCs w:val="21"/>
                <w:vertAlign w:val="superscript"/>
              </w:rPr>
              <w:t>3</w:t>
            </w:r>
          </w:p>
        </w:tc>
        <w:tc>
          <w:tcPr>
            <w:tcW w:w="1981" w:type="dxa"/>
            <w:gridSpan w:val="2"/>
            <w:vAlign w:val="center"/>
          </w:tcPr>
          <w:p>
            <w:pPr>
              <w:widowControl/>
              <w:adjustRightInd w:val="0"/>
              <w:spacing w:line="0" w:lineRule="atLeast"/>
              <w:jc w:val="center"/>
              <w:rPr>
                <w:color w:val="auto"/>
                <w:kern w:val="0"/>
                <w:szCs w:val="21"/>
              </w:rPr>
            </w:pPr>
            <w:r>
              <w:rPr>
                <w:color w:val="auto"/>
                <w:kern w:val="0"/>
                <w:szCs w:val="21"/>
              </w:rPr>
              <w:t>1小时平均</w:t>
            </w:r>
          </w:p>
        </w:tc>
        <w:tc>
          <w:tcPr>
            <w:tcW w:w="680" w:type="dxa"/>
            <w:vAlign w:val="center"/>
          </w:tcPr>
          <w:p>
            <w:pPr>
              <w:widowControl/>
              <w:adjustRightInd w:val="0"/>
              <w:spacing w:line="0" w:lineRule="atLeast"/>
              <w:jc w:val="center"/>
              <w:rPr>
                <w:color w:val="auto"/>
                <w:kern w:val="0"/>
                <w:szCs w:val="21"/>
              </w:rPr>
            </w:pPr>
            <w:r>
              <w:rPr>
                <w:color w:val="auto"/>
                <w:kern w:val="0"/>
                <w:szCs w:val="21"/>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2"/>
          <w:wAfter w:w="136" w:type="dxa"/>
          <w:trHeight w:val="98" w:hRule="atLeast"/>
          <w:jc w:val="center"/>
        </w:trPr>
        <w:tc>
          <w:tcPr>
            <w:tcW w:w="727" w:type="dxa"/>
            <w:vMerge w:val="continue"/>
            <w:vAlign w:val="center"/>
          </w:tcPr>
          <w:p>
            <w:pPr>
              <w:widowControl/>
              <w:jc w:val="left"/>
              <w:rPr>
                <w:color w:val="auto"/>
                <w:kern w:val="0"/>
                <w:szCs w:val="21"/>
              </w:rPr>
            </w:pPr>
          </w:p>
        </w:tc>
        <w:tc>
          <w:tcPr>
            <w:tcW w:w="2693" w:type="dxa"/>
            <w:vMerge w:val="continue"/>
            <w:vAlign w:val="center"/>
          </w:tcPr>
          <w:p>
            <w:pPr>
              <w:widowControl/>
              <w:jc w:val="left"/>
              <w:rPr>
                <w:color w:val="auto"/>
                <w:kern w:val="0"/>
                <w:szCs w:val="21"/>
              </w:rPr>
            </w:pPr>
          </w:p>
        </w:tc>
        <w:tc>
          <w:tcPr>
            <w:tcW w:w="1279" w:type="dxa"/>
            <w:vAlign w:val="center"/>
          </w:tcPr>
          <w:p>
            <w:pPr>
              <w:widowControl/>
              <w:jc w:val="center"/>
              <w:rPr>
                <w:color w:val="auto"/>
                <w:kern w:val="0"/>
                <w:szCs w:val="21"/>
              </w:rPr>
            </w:pPr>
            <w:r>
              <w:rPr>
                <w:color w:val="auto"/>
                <w:kern w:val="0"/>
                <w:szCs w:val="21"/>
              </w:rPr>
              <w:t>H</w:t>
            </w:r>
            <w:r>
              <w:rPr>
                <w:color w:val="auto"/>
                <w:kern w:val="0"/>
                <w:szCs w:val="21"/>
                <w:vertAlign w:val="subscript"/>
              </w:rPr>
              <w:t>2</w:t>
            </w:r>
            <w:r>
              <w:rPr>
                <w:color w:val="auto"/>
                <w:kern w:val="0"/>
                <w:szCs w:val="21"/>
              </w:rPr>
              <w:t>S</w:t>
            </w:r>
          </w:p>
        </w:tc>
        <w:tc>
          <w:tcPr>
            <w:tcW w:w="851" w:type="dxa"/>
            <w:vMerge w:val="continue"/>
            <w:vAlign w:val="center"/>
          </w:tcPr>
          <w:p>
            <w:pPr>
              <w:widowControl/>
              <w:jc w:val="left"/>
              <w:rPr>
                <w:color w:val="auto"/>
                <w:kern w:val="0"/>
                <w:szCs w:val="21"/>
              </w:rPr>
            </w:pPr>
          </w:p>
        </w:tc>
        <w:tc>
          <w:tcPr>
            <w:tcW w:w="1981" w:type="dxa"/>
            <w:gridSpan w:val="2"/>
            <w:vAlign w:val="center"/>
          </w:tcPr>
          <w:p>
            <w:pPr>
              <w:widowControl/>
              <w:adjustRightInd w:val="0"/>
              <w:spacing w:line="0" w:lineRule="atLeast"/>
              <w:jc w:val="center"/>
              <w:rPr>
                <w:color w:val="auto"/>
                <w:kern w:val="0"/>
                <w:szCs w:val="21"/>
              </w:rPr>
            </w:pPr>
            <w:r>
              <w:rPr>
                <w:color w:val="auto"/>
                <w:kern w:val="0"/>
                <w:szCs w:val="21"/>
              </w:rPr>
              <w:t>1小时平均</w:t>
            </w:r>
          </w:p>
        </w:tc>
        <w:tc>
          <w:tcPr>
            <w:tcW w:w="680" w:type="dxa"/>
            <w:vAlign w:val="center"/>
          </w:tcPr>
          <w:p>
            <w:pPr>
              <w:widowControl/>
              <w:adjustRightInd w:val="0"/>
              <w:spacing w:line="0" w:lineRule="atLeast"/>
              <w:jc w:val="center"/>
              <w:rPr>
                <w:color w:val="auto"/>
                <w:kern w:val="0"/>
                <w:szCs w:val="21"/>
              </w:rPr>
            </w:pPr>
            <w:r>
              <w:rPr>
                <w:color w:val="auto"/>
                <w:kern w:val="0"/>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restart"/>
            <w:vAlign w:val="center"/>
          </w:tcPr>
          <w:p>
            <w:pPr>
              <w:spacing w:line="0" w:lineRule="atLeast"/>
              <w:contextualSpacing/>
              <w:jc w:val="center"/>
              <w:rPr>
                <w:color w:val="auto"/>
                <w:kern w:val="0"/>
                <w:szCs w:val="21"/>
              </w:rPr>
            </w:pPr>
            <w:r>
              <w:rPr>
                <w:color w:val="auto"/>
                <w:kern w:val="0"/>
                <w:szCs w:val="21"/>
              </w:rPr>
              <w:t>地表水</w:t>
            </w:r>
          </w:p>
        </w:tc>
        <w:tc>
          <w:tcPr>
            <w:tcW w:w="2693" w:type="dxa"/>
            <w:vMerge w:val="restart"/>
            <w:vAlign w:val="center"/>
          </w:tcPr>
          <w:p>
            <w:pPr>
              <w:spacing w:line="0" w:lineRule="atLeast"/>
              <w:contextualSpacing/>
              <w:jc w:val="center"/>
              <w:rPr>
                <w:color w:val="auto"/>
                <w:kern w:val="0"/>
                <w:szCs w:val="21"/>
              </w:rPr>
            </w:pPr>
            <w:r>
              <w:rPr>
                <w:color w:val="auto"/>
                <w:kern w:val="0"/>
                <w:szCs w:val="21"/>
              </w:rPr>
              <w:t>《地表水环境质量标准》（GB3838-2002）Ⅲ类</w:t>
            </w:r>
          </w:p>
        </w:tc>
        <w:tc>
          <w:tcPr>
            <w:tcW w:w="1279" w:type="dxa"/>
            <w:vAlign w:val="center"/>
          </w:tcPr>
          <w:p>
            <w:pPr>
              <w:spacing w:line="0" w:lineRule="atLeast"/>
              <w:contextualSpacing/>
              <w:jc w:val="center"/>
              <w:rPr>
                <w:color w:val="auto"/>
                <w:kern w:val="0"/>
                <w:szCs w:val="21"/>
              </w:rPr>
            </w:pPr>
            <w:r>
              <w:rPr>
                <w:color w:val="auto"/>
                <w:kern w:val="0"/>
                <w:szCs w:val="21"/>
              </w:rPr>
              <w:t>pH</w:t>
            </w:r>
          </w:p>
        </w:tc>
        <w:tc>
          <w:tcPr>
            <w:tcW w:w="851" w:type="dxa"/>
            <w:vAlign w:val="center"/>
          </w:tcPr>
          <w:p>
            <w:pPr>
              <w:spacing w:line="0" w:lineRule="atLeast"/>
              <w:contextualSpacing/>
              <w:jc w:val="center"/>
              <w:rPr>
                <w:color w:val="auto"/>
                <w:kern w:val="0"/>
                <w:szCs w:val="21"/>
              </w:rPr>
            </w:pPr>
            <w:r>
              <w:rPr>
                <w:color w:val="auto"/>
                <w:kern w:val="0"/>
                <w:szCs w:val="21"/>
              </w:rPr>
              <w:t>无量纲</w:t>
            </w:r>
          </w:p>
        </w:tc>
        <w:tc>
          <w:tcPr>
            <w:tcW w:w="2797" w:type="dxa"/>
            <w:gridSpan w:val="5"/>
            <w:vAlign w:val="center"/>
          </w:tcPr>
          <w:p>
            <w:pPr>
              <w:spacing w:line="0" w:lineRule="atLeast"/>
              <w:contextualSpacing/>
              <w:jc w:val="center"/>
              <w:rPr>
                <w:color w:val="auto"/>
                <w:kern w:val="0"/>
                <w:szCs w:val="21"/>
              </w:rPr>
            </w:pPr>
            <w:r>
              <w:rPr>
                <w:color w:val="auto"/>
                <w:kern w:val="0"/>
                <w:szCs w:val="21"/>
              </w:rPr>
              <w:t>6~9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continue"/>
            <w:vAlign w:val="center"/>
          </w:tcPr>
          <w:p>
            <w:pPr>
              <w:widowControl/>
              <w:spacing w:line="0" w:lineRule="atLeast"/>
              <w:contextualSpacing/>
              <w:jc w:val="left"/>
              <w:rPr>
                <w:color w:val="auto"/>
                <w:kern w:val="0"/>
                <w:szCs w:val="21"/>
              </w:rPr>
            </w:pPr>
          </w:p>
        </w:tc>
        <w:tc>
          <w:tcPr>
            <w:tcW w:w="2693" w:type="dxa"/>
            <w:vMerge w:val="continue"/>
            <w:vAlign w:val="center"/>
          </w:tcPr>
          <w:p>
            <w:pPr>
              <w:widowControl/>
              <w:spacing w:line="0" w:lineRule="atLeast"/>
              <w:contextualSpacing/>
              <w:jc w:val="left"/>
              <w:rPr>
                <w:color w:val="auto"/>
                <w:kern w:val="0"/>
                <w:szCs w:val="21"/>
              </w:rPr>
            </w:pPr>
          </w:p>
        </w:tc>
        <w:tc>
          <w:tcPr>
            <w:tcW w:w="1279" w:type="dxa"/>
            <w:vAlign w:val="center"/>
          </w:tcPr>
          <w:p>
            <w:pPr>
              <w:spacing w:line="0" w:lineRule="atLeast"/>
              <w:contextualSpacing/>
              <w:jc w:val="center"/>
              <w:rPr>
                <w:color w:val="auto"/>
                <w:kern w:val="0"/>
                <w:szCs w:val="21"/>
              </w:rPr>
            </w:pPr>
            <w:r>
              <w:rPr>
                <w:color w:val="auto"/>
                <w:kern w:val="0"/>
                <w:szCs w:val="21"/>
              </w:rPr>
              <w:t>COD</w:t>
            </w:r>
          </w:p>
        </w:tc>
        <w:tc>
          <w:tcPr>
            <w:tcW w:w="851" w:type="dxa"/>
            <w:vMerge w:val="restart"/>
            <w:vAlign w:val="center"/>
          </w:tcPr>
          <w:p>
            <w:pPr>
              <w:spacing w:line="0" w:lineRule="atLeast"/>
              <w:contextualSpacing/>
              <w:jc w:val="center"/>
              <w:rPr>
                <w:color w:val="auto"/>
                <w:kern w:val="0"/>
                <w:szCs w:val="21"/>
              </w:rPr>
            </w:pPr>
            <w:r>
              <w:rPr>
                <w:color w:val="auto"/>
                <w:kern w:val="0"/>
                <w:szCs w:val="21"/>
              </w:rPr>
              <w:t>mg/L</w:t>
            </w:r>
          </w:p>
        </w:tc>
        <w:tc>
          <w:tcPr>
            <w:tcW w:w="2797" w:type="dxa"/>
            <w:gridSpan w:val="5"/>
            <w:vAlign w:val="center"/>
          </w:tcPr>
          <w:p>
            <w:pPr>
              <w:spacing w:line="0" w:lineRule="atLeast"/>
              <w:contextualSpacing/>
              <w:jc w:val="center"/>
              <w:rPr>
                <w:color w:val="auto"/>
                <w:kern w:val="0"/>
                <w:szCs w:val="21"/>
              </w:rPr>
            </w:pPr>
            <w:r>
              <w:rPr>
                <w:color w:val="auto"/>
                <w:szCs w:val="21"/>
              </w:rPr>
              <w:t>≤</w:t>
            </w:r>
            <w:r>
              <w:rPr>
                <w:rFonts w:hint="eastAsia"/>
                <w:color w:val="auto"/>
                <w:szCs w:val="21"/>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continue"/>
            <w:vAlign w:val="center"/>
          </w:tcPr>
          <w:p>
            <w:pPr>
              <w:widowControl/>
              <w:spacing w:line="0" w:lineRule="atLeast"/>
              <w:contextualSpacing/>
              <w:jc w:val="left"/>
              <w:rPr>
                <w:color w:val="auto"/>
                <w:kern w:val="0"/>
                <w:szCs w:val="21"/>
              </w:rPr>
            </w:pPr>
          </w:p>
        </w:tc>
        <w:tc>
          <w:tcPr>
            <w:tcW w:w="2693" w:type="dxa"/>
            <w:vMerge w:val="continue"/>
            <w:vAlign w:val="center"/>
          </w:tcPr>
          <w:p>
            <w:pPr>
              <w:widowControl/>
              <w:spacing w:line="0" w:lineRule="atLeast"/>
              <w:contextualSpacing/>
              <w:jc w:val="left"/>
              <w:rPr>
                <w:color w:val="auto"/>
                <w:kern w:val="0"/>
                <w:szCs w:val="21"/>
              </w:rPr>
            </w:pPr>
          </w:p>
        </w:tc>
        <w:tc>
          <w:tcPr>
            <w:tcW w:w="1279" w:type="dxa"/>
            <w:vAlign w:val="center"/>
          </w:tcPr>
          <w:p>
            <w:pPr>
              <w:spacing w:line="0" w:lineRule="atLeast"/>
              <w:contextualSpacing/>
              <w:jc w:val="center"/>
              <w:rPr>
                <w:color w:val="auto"/>
                <w:kern w:val="0"/>
                <w:szCs w:val="21"/>
              </w:rPr>
            </w:pPr>
            <w:r>
              <w:rPr>
                <w:color w:val="auto"/>
                <w:spacing w:val="22"/>
                <w:kern w:val="0"/>
                <w:szCs w:val="21"/>
              </w:rPr>
              <w:t>NH</w:t>
            </w:r>
            <w:r>
              <w:rPr>
                <w:color w:val="auto"/>
                <w:spacing w:val="22"/>
                <w:kern w:val="0"/>
                <w:szCs w:val="21"/>
                <w:vertAlign w:val="subscript"/>
              </w:rPr>
              <w:t>3</w:t>
            </w:r>
            <w:r>
              <w:rPr>
                <w:color w:val="auto"/>
                <w:spacing w:val="22"/>
                <w:kern w:val="0"/>
                <w:szCs w:val="21"/>
              </w:rPr>
              <w:t>-N</w:t>
            </w:r>
          </w:p>
        </w:tc>
        <w:tc>
          <w:tcPr>
            <w:tcW w:w="851" w:type="dxa"/>
            <w:vMerge w:val="continue"/>
            <w:vAlign w:val="center"/>
          </w:tcPr>
          <w:p>
            <w:pPr>
              <w:widowControl/>
              <w:spacing w:line="0" w:lineRule="atLeast"/>
              <w:contextualSpacing/>
              <w:jc w:val="left"/>
              <w:rPr>
                <w:color w:val="auto"/>
                <w:kern w:val="0"/>
                <w:szCs w:val="21"/>
              </w:rPr>
            </w:pPr>
          </w:p>
        </w:tc>
        <w:tc>
          <w:tcPr>
            <w:tcW w:w="2797" w:type="dxa"/>
            <w:gridSpan w:val="5"/>
            <w:vAlign w:val="center"/>
          </w:tcPr>
          <w:p>
            <w:pPr>
              <w:spacing w:line="0" w:lineRule="atLeast"/>
              <w:contextualSpacing/>
              <w:jc w:val="center"/>
              <w:rPr>
                <w:color w:val="auto"/>
                <w:kern w:val="0"/>
                <w:szCs w:val="21"/>
              </w:rPr>
            </w:pPr>
            <w:r>
              <w:rPr>
                <w:color w:val="auto"/>
                <w:szCs w:val="21"/>
              </w:rPr>
              <w:t>≤</w:t>
            </w:r>
            <w:r>
              <w:rPr>
                <w:rFonts w:hint="eastAsia"/>
                <w:color w:val="auto"/>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continue"/>
            <w:vAlign w:val="center"/>
          </w:tcPr>
          <w:p>
            <w:pPr>
              <w:widowControl/>
              <w:spacing w:line="0" w:lineRule="atLeast"/>
              <w:contextualSpacing/>
              <w:jc w:val="left"/>
              <w:rPr>
                <w:color w:val="auto"/>
                <w:kern w:val="0"/>
                <w:szCs w:val="21"/>
              </w:rPr>
            </w:pPr>
          </w:p>
        </w:tc>
        <w:tc>
          <w:tcPr>
            <w:tcW w:w="2693" w:type="dxa"/>
            <w:vMerge w:val="continue"/>
            <w:vAlign w:val="center"/>
          </w:tcPr>
          <w:p>
            <w:pPr>
              <w:widowControl/>
              <w:spacing w:line="0" w:lineRule="atLeast"/>
              <w:contextualSpacing/>
              <w:jc w:val="left"/>
              <w:rPr>
                <w:color w:val="auto"/>
                <w:kern w:val="0"/>
                <w:szCs w:val="21"/>
              </w:rPr>
            </w:pPr>
          </w:p>
        </w:tc>
        <w:tc>
          <w:tcPr>
            <w:tcW w:w="1279" w:type="dxa"/>
            <w:vAlign w:val="center"/>
          </w:tcPr>
          <w:p>
            <w:pPr>
              <w:autoSpaceDE w:val="0"/>
              <w:autoSpaceDN w:val="0"/>
              <w:spacing w:line="0" w:lineRule="atLeast"/>
              <w:contextualSpacing/>
              <w:jc w:val="center"/>
              <w:rPr>
                <w:color w:val="auto"/>
                <w:kern w:val="0"/>
                <w:szCs w:val="21"/>
              </w:rPr>
            </w:pPr>
            <w:r>
              <w:rPr>
                <w:color w:val="auto"/>
                <w:kern w:val="0"/>
                <w:szCs w:val="21"/>
              </w:rPr>
              <w:t>BOD</w:t>
            </w:r>
          </w:p>
        </w:tc>
        <w:tc>
          <w:tcPr>
            <w:tcW w:w="851" w:type="dxa"/>
            <w:vMerge w:val="continue"/>
            <w:vAlign w:val="center"/>
          </w:tcPr>
          <w:p>
            <w:pPr>
              <w:widowControl/>
              <w:spacing w:line="0" w:lineRule="atLeast"/>
              <w:contextualSpacing/>
              <w:jc w:val="left"/>
              <w:rPr>
                <w:color w:val="auto"/>
                <w:kern w:val="0"/>
                <w:szCs w:val="21"/>
              </w:rPr>
            </w:pPr>
          </w:p>
        </w:tc>
        <w:tc>
          <w:tcPr>
            <w:tcW w:w="2797" w:type="dxa"/>
            <w:gridSpan w:val="5"/>
            <w:vAlign w:val="center"/>
          </w:tcPr>
          <w:p>
            <w:pPr>
              <w:spacing w:line="0" w:lineRule="atLeast"/>
              <w:contextualSpacing/>
              <w:jc w:val="center"/>
              <w:rPr>
                <w:color w:val="auto"/>
                <w:kern w:val="0"/>
                <w:szCs w:val="21"/>
              </w:rPr>
            </w:pPr>
            <w:r>
              <w:rPr>
                <w:color w:val="auto"/>
                <w:szCs w:val="21"/>
              </w:rPr>
              <w:t>≤</w:t>
            </w:r>
            <w:r>
              <w:rPr>
                <w:rFonts w:hint="eastAsia"/>
                <w:color w:val="auto"/>
                <w:szCs w:val="21"/>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continue"/>
            <w:vAlign w:val="center"/>
          </w:tcPr>
          <w:p>
            <w:pPr>
              <w:widowControl/>
              <w:spacing w:line="0" w:lineRule="atLeast"/>
              <w:contextualSpacing/>
              <w:jc w:val="left"/>
              <w:rPr>
                <w:color w:val="auto"/>
                <w:kern w:val="0"/>
                <w:szCs w:val="21"/>
              </w:rPr>
            </w:pPr>
          </w:p>
        </w:tc>
        <w:tc>
          <w:tcPr>
            <w:tcW w:w="2693" w:type="dxa"/>
            <w:vMerge w:val="continue"/>
            <w:vAlign w:val="center"/>
          </w:tcPr>
          <w:p>
            <w:pPr>
              <w:widowControl/>
              <w:spacing w:line="0" w:lineRule="atLeast"/>
              <w:contextualSpacing/>
              <w:jc w:val="left"/>
              <w:rPr>
                <w:color w:val="auto"/>
                <w:kern w:val="0"/>
                <w:szCs w:val="21"/>
              </w:rPr>
            </w:pPr>
          </w:p>
        </w:tc>
        <w:tc>
          <w:tcPr>
            <w:tcW w:w="1279" w:type="dxa"/>
            <w:vAlign w:val="center"/>
          </w:tcPr>
          <w:p>
            <w:pPr>
              <w:autoSpaceDE w:val="0"/>
              <w:autoSpaceDN w:val="0"/>
              <w:spacing w:line="0" w:lineRule="atLeast"/>
              <w:contextualSpacing/>
              <w:jc w:val="center"/>
              <w:rPr>
                <w:color w:val="auto"/>
                <w:kern w:val="0"/>
                <w:szCs w:val="21"/>
              </w:rPr>
            </w:pPr>
            <w:r>
              <w:rPr>
                <w:color w:val="auto"/>
                <w:kern w:val="0"/>
                <w:szCs w:val="21"/>
              </w:rPr>
              <w:t>高锰酸盐指数</w:t>
            </w:r>
          </w:p>
        </w:tc>
        <w:tc>
          <w:tcPr>
            <w:tcW w:w="851" w:type="dxa"/>
            <w:vMerge w:val="continue"/>
            <w:vAlign w:val="center"/>
          </w:tcPr>
          <w:p>
            <w:pPr>
              <w:widowControl/>
              <w:spacing w:line="0" w:lineRule="atLeast"/>
              <w:contextualSpacing/>
              <w:jc w:val="left"/>
              <w:rPr>
                <w:color w:val="auto"/>
                <w:kern w:val="0"/>
                <w:szCs w:val="21"/>
              </w:rPr>
            </w:pPr>
          </w:p>
        </w:tc>
        <w:tc>
          <w:tcPr>
            <w:tcW w:w="2797" w:type="dxa"/>
            <w:gridSpan w:val="5"/>
            <w:vAlign w:val="center"/>
          </w:tcPr>
          <w:p>
            <w:pPr>
              <w:spacing w:line="0" w:lineRule="atLeast"/>
              <w:contextualSpacing/>
              <w:jc w:val="center"/>
              <w:rPr>
                <w:color w:val="auto"/>
                <w:szCs w:val="21"/>
              </w:rPr>
            </w:pPr>
            <w:r>
              <w:rPr>
                <w:color w:val="auto"/>
                <w:szCs w:val="21"/>
              </w:rPr>
              <w:t>≤</w:t>
            </w:r>
            <w:r>
              <w:rPr>
                <w:rFonts w:hint="eastAsia"/>
                <w:color w:val="auto"/>
                <w:szCs w:val="21"/>
              </w:rPr>
              <w:t>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continue"/>
            <w:vAlign w:val="center"/>
          </w:tcPr>
          <w:p>
            <w:pPr>
              <w:widowControl/>
              <w:spacing w:line="0" w:lineRule="atLeast"/>
              <w:contextualSpacing/>
              <w:jc w:val="left"/>
              <w:rPr>
                <w:color w:val="auto"/>
                <w:kern w:val="0"/>
                <w:szCs w:val="21"/>
              </w:rPr>
            </w:pPr>
          </w:p>
        </w:tc>
        <w:tc>
          <w:tcPr>
            <w:tcW w:w="2693" w:type="dxa"/>
            <w:vMerge w:val="continue"/>
            <w:vAlign w:val="center"/>
          </w:tcPr>
          <w:p>
            <w:pPr>
              <w:widowControl/>
              <w:spacing w:line="0" w:lineRule="atLeast"/>
              <w:contextualSpacing/>
              <w:jc w:val="left"/>
              <w:rPr>
                <w:color w:val="auto"/>
                <w:kern w:val="0"/>
                <w:szCs w:val="21"/>
              </w:rPr>
            </w:pPr>
          </w:p>
        </w:tc>
        <w:tc>
          <w:tcPr>
            <w:tcW w:w="1279" w:type="dxa"/>
            <w:vAlign w:val="center"/>
          </w:tcPr>
          <w:p>
            <w:pPr>
              <w:autoSpaceDE w:val="0"/>
              <w:autoSpaceDN w:val="0"/>
              <w:spacing w:line="0" w:lineRule="atLeast"/>
              <w:contextualSpacing/>
              <w:jc w:val="center"/>
              <w:rPr>
                <w:color w:val="auto"/>
                <w:kern w:val="0"/>
                <w:szCs w:val="21"/>
              </w:rPr>
            </w:pPr>
            <w:r>
              <w:rPr>
                <w:color w:val="auto"/>
                <w:kern w:val="0"/>
                <w:szCs w:val="21"/>
              </w:rPr>
              <w:t>总氮</w:t>
            </w:r>
          </w:p>
        </w:tc>
        <w:tc>
          <w:tcPr>
            <w:tcW w:w="851" w:type="dxa"/>
            <w:vMerge w:val="continue"/>
            <w:vAlign w:val="center"/>
          </w:tcPr>
          <w:p>
            <w:pPr>
              <w:widowControl/>
              <w:spacing w:line="0" w:lineRule="atLeast"/>
              <w:contextualSpacing/>
              <w:jc w:val="left"/>
              <w:rPr>
                <w:color w:val="auto"/>
                <w:kern w:val="0"/>
                <w:szCs w:val="21"/>
              </w:rPr>
            </w:pPr>
          </w:p>
        </w:tc>
        <w:tc>
          <w:tcPr>
            <w:tcW w:w="2797" w:type="dxa"/>
            <w:gridSpan w:val="5"/>
            <w:vAlign w:val="center"/>
          </w:tcPr>
          <w:p>
            <w:pPr>
              <w:spacing w:line="0" w:lineRule="atLeast"/>
              <w:contextualSpacing/>
              <w:jc w:val="center"/>
              <w:rPr>
                <w:color w:val="auto"/>
                <w:szCs w:val="21"/>
              </w:rPr>
            </w:pPr>
            <w:r>
              <w:rPr>
                <w:color w:val="auto"/>
                <w:szCs w:val="21"/>
              </w:rPr>
              <w:t>≤</w:t>
            </w:r>
            <w:r>
              <w:rPr>
                <w:rFonts w:hint="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continue"/>
            <w:vAlign w:val="center"/>
          </w:tcPr>
          <w:p>
            <w:pPr>
              <w:widowControl/>
              <w:spacing w:line="0" w:lineRule="atLeast"/>
              <w:contextualSpacing/>
              <w:jc w:val="left"/>
              <w:rPr>
                <w:color w:val="auto"/>
                <w:kern w:val="0"/>
                <w:szCs w:val="21"/>
              </w:rPr>
            </w:pPr>
          </w:p>
        </w:tc>
        <w:tc>
          <w:tcPr>
            <w:tcW w:w="2693" w:type="dxa"/>
            <w:vMerge w:val="continue"/>
            <w:vAlign w:val="center"/>
          </w:tcPr>
          <w:p>
            <w:pPr>
              <w:widowControl/>
              <w:spacing w:line="0" w:lineRule="atLeast"/>
              <w:contextualSpacing/>
              <w:jc w:val="left"/>
              <w:rPr>
                <w:color w:val="auto"/>
                <w:kern w:val="0"/>
                <w:szCs w:val="21"/>
              </w:rPr>
            </w:pPr>
          </w:p>
        </w:tc>
        <w:tc>
          <w:tcPr>
            <w:tcW w:w="1279" w:type="dxa"/>
            <w:vAlign w:val="center"/>
          </w:tcPr>
          <w:p>
            <w:pPr>
              <w:autoSpaceDE w:val="0"/>
              <w:autoSpaceDN w:val="0"/>
              <w:spacing w:line="0" w:lineRule="atLeast"/>
              <w:contextualSpacing/>
              <w:jc w:val="center"/>
              <w:rPr>
                <w:color w:val="auto"/>
                <w:kern w:val="0"/>
                <w:szCs w:val="21"/>
              </w:rPr>
            </w:pPr>
            <w:r>
              <w:rPr>
                <w:color w:val="auto"/>
                <w:kern w:val="0"/>
                <w:szCs w:val="21"/>
              </w:rPr>
              <w:t>粪大肠菌群（个</w:t>
            </w:r>
            <w:r>
              <w:rPr>
                <w:rFonts w:hint="eastAsia"/>
                <w:color w:val="auto"/>
                <w:kern w:val="0"/>
                <w:szCs w:val="21"/>
              </w:rPr>
              <w:t>/L</w:t>
            </w:r>
            <w:r>
              <w:rPr>
                <w:color w:val="auto"/>
                <w:kern w:val="0"/>
                <w:szCs w:val="21"/>
              </w:rPr>
              <w:t>）</w:t>
            </w:r>
          </w:p>
        </w:tc>
        <w:tc>
          <w:tcPr>
            <w:tcW w:w="851" w:type="dxa"/>
            <w:vMerge w:val="continue"/>
            <w:vAlign w:val="center"/>
          </w:tcPr>
          <w:p>
            <w:pPr>
              <w:widowControl/>
              <w:spacing w:line="0" w:lineRule="atLeast"/>
              <w:contextualSpacing/>
              <w:jc w:val="left"/>
              <w:rPr>
                <w:color w:val="auto"/>
                <w:kern w:val="0"/>
                <w:szCs w:val="21"/>
              </w:rPr>
            </w:pPr>
          </w:p>
        </w:tc>
        <w:tc>
          <w:tcPr>
            <w:tcW w:w="2797" w:type="dxa"/>
            <w:gridSpan w:val="5"/>
            <w:vAlign w:val="center"/>
          </w:tcPr>
          <w:p>
            <w:pPr>
              <w:spacing w:line="0" w:lineRule="atLeast"/>
              <w:contextualSpacing/>
              <w:jc w:val="center"/>
              <w:rPr>
                <w:color w:val="auto"/>
                <w:szCs w:val="21"/>
              </w:rPr>
            </w:pPr>
            <w:r>
              <w:rPr>
                <w:color w:val="auto"/>
                <w:szCs w:val="21"/>
              </w:rPr>
              <w:t>≤</w:t>
            </w:r>
            <w:r>
              <w:rPr>
                <w:rFonts w:hint="eastAsia"/>
                <w:color w:val="auto"/>
                <w:szCs w:val="21"/>
              </w:rPr>
              <w:t>10000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continue"/>
            <w:vAlign w:val="center"/>
          </w:tcPr>
          <w:p>
            <w:pPr>
              <w:widowControl/>
              <w:spacing w:line="0" w:lineRule="atLeast"/>
              <w:contextualSpacing/>
              <w:jc w:val="left"/>
              <w:rPr>
                <w:color w:val="auto"/>
                <w:kern w:val="0"/>
                <w:szCs w:val="21"/>
              </w:rPr>
            </w:pPr>
          </w:p>
        </w:tc>
        <w:tc>
          <w:tcPr>
            <w:tcW w:w="2693" w:type="dxa"/>
            <w:vMerge w:val="continue"/>
            <w:vAlign w:val="center"/>
          </w:tcPr>
          <w:p>
            <w:pPr>
              <w:widowControl/>
              <w:spacing w:line="0" w:lineRule="atLeast"/>
              <w:contextualSpacing/>
              <w:jc w:val="left"/>
              <w:rPr>
                <w:color w:val="auto"/>
                <w:kern w:val="0"/>
                <w:szCs w:val="21"/>
              </w:rPr>
            </w:pPr>
          </w:p>
        </w:tc>
        <w:tc>
          <w:tcPr>
            <w:tcW w:w="1279" w:type="dxa"/>
            <w:vAlign w:val="center"/>
          </w:tcPr>
          <w:p>
            <w:pPr>
              <w:autoSpaceDE w:val="0"/>
              <w:autoSpaceDN w:val="0"/>
              <w:spacing w:line="0" w:lineRule="atLeast"/>
              <w:contextualSpacing/>
              <w:jc w:val="center"/>
              <w:rPr>
                <w:color w:val="auto"/>
                <w:kern w:val="0"/>
                <w:szCs w:val="21"/>
              </w:rPr>
            </w:pPr>
            <w:r>
              <w:rPr>
                <w:color w:val="auto"/>
                <w:kern w:val="0"/>
                <w:szCs w:val="21"/>
              </w:rPr>
              <w:t>溶解氧</w:t>
            </w:r>
          </w:p>
        </w:tc>
        <w:tc>
          <w:tcPr>
            <w:tcW w:w="851" w:type="dxa"/>
            <w:vMerge w:val="continue"/>
            <w:vAlign w:val="center"/>
          </w:tcPr>
          <w:p>
            <w:pPr>
              <w:widowControl/>
              <w:spacing w:line="0" w:lineRule="atLeast"/>
              <w:contextualSpacing/>
              <w:jc w:val="left"/>
              <w:rPr>
                <w:color w:val="auto"/>
                <w:kern w:val="0"/>
                <w:szCs w:val="21"/>
              </w:rPr>
            </w:pPr>
          </w:p>
        </w:tc>
        <w:tc>
          <w:tcPr>
            <w:tcW w:w="2797" w:type="dxa"/>
            <w:gridSpan w:val="5"/>
            <w:vAlign w:val="center"/>
          </w:tcPr>
          <w:p>
            <w:pPr>
              <w:spacing w:line="0" w:lineRule="atLeast"/>
              <w:contextualSpacing/>
              <w:jc w:val="center"/>
              <w:rPr>
                <w:color w:val="auto"/>
                <w:kern w:val="0"/>
                <w:szCs w:val="21"/>
              </w:rPr>
            </w:pPr>
            <w:r>
              <w:rPr>
                <w:rFonts w:hint="eastAsia"/>
                <w:color w:val="auto"/>
                <w:szCs w:val="21"/>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continue"/>
            <w:vAlign w:val="center"/>
          </w:tcPr>
          <w:p>
            <w:pPr>
              <w:widowControl/>
              <w:spacing w:line="0" w:lineRule="atLeast"/>
              <w:contextualSpacing/>
              <w:jc w:val="left"/>
              <w:rPr>
                <w:color w:val="auto"/>
                <w:kern w:val="0"/>
                <w:szCs w:val="21"/>
              </w:rPr>
            </w:pPr>
          </w:p>
        </w:tc>
        <w:tc>
          <w:tcPr>
            <w:tcW w:w="2693" w:type="dxa"/>
            <w:vMerge w:val="continue"/>
            <w:vAlign w:val="center"/>
          </w:tcPr>
          <w:p>
            <w:pPr>
              <w:widowControl/>
              <w:spacing w:line="0" w:lineRule="atLeast"/>
              <w:contextualSpacing/>
              <w:jc w:val="left"/>
              <w:rPr>
                <w:color w:val="auto"/>
                <w:kern w:val="0"/>
                <w:szCs w:val="21"/>
              </w:rPr>
            </w:pPr>
          </w:p>
        </w:tc>
        <w:tc>
          <w:tcPr>
            <w:tcW w:w="1279" w:type="dxa"/>
            <w:vAlign w:val="center"/>
          </w:tcPr>
          <w:p>
            <w:pPr>
              <w:autoSpaceDE w:val="0"/>
              <w:autoSpaceDN w:val="0"/>
              <w:spacing w:line="0" w:lineRule="atLeast"/>
              <w:contextualSpacing/>
              <w:jc w:val="center"/>
              <w:rPr>
                <w:color w:val="auto"/>
                <w:kern w:val="0"/>
                <w:szCs w:val="21"/>
              </w:rPr>
            </w:pPr>
            <w:r>
              <w:rPr>
                <w:color w:val="auto"/>
                <w:kern w:val="0"/>
                <w:szCs w:val="21"/>
              </w:rPr>
              <w:t>石油类</w:t>
            </w:r>
          </w:p>
        </w:tc>
        <w:tc>
          <w:tcPr>
            <w:tcW w:w="851" w:type="dxa"/>
            <w:vMerge w:val="continue"/>
            <w:vAlign w:val="center"/>
          </w:tcPr>
          <w:p>
            <w:pPr>
              <w:widowControl/>
              <w:spacing w:line="0" w:lineRule="atLeast"/>
              <w:contextualSpacing/>
              <w:jc w:val="center"/>
              <w:rPr>
                <w:color w:val="auto"/>
                <w:kern w:val="0"/>
                <w:szCs w:val="21"/>
              </w:rPr>
            </w:pPr>
          </w:p>
        </w:tc>
        <w:tc>
          <w:tcPr>
            <w:tcW w:w="2797" w:type="dxa"/>
            <w:gridSpan w:val="5"/>
            <w:vAlign w:val="center"/>
          </w:tcPr>
          <w:p>
            <w:pPr>
              <w:spacing w:line="0" w:lineRule="atLeast"/>
              <w:contextualSpacing/>
              <w:jc w:val="center"/>
              <w:rPr>
                <w:color w:val="auto"/>
                <w:kern w:val="0"/>
                <w:szCs w:val="21"/>
              </w:rPr>
            </w:pPr>
            <w:r>
              <w:rPr>
                <w:color w:val="auto"/>
                <w:kern w:val="0"/>
                <w:szCs w:val="21"/>
              </w:rPr>
              <w:t>≤</w:t>
            </w:r>
            <w:r>
              <w:rPr>
                <w:color w:val="auto"/>
                <w:szCs w:val="21"/>
              </w:rPr>
              <w:t>0.</w:t>
            </w:r>
            <w:r>
              <w:rPr>
                <w:rFonts w:hint="eastAsia"/>
                <w:color w:val="auto"/>
                <w:szCs w:val="21"/>
              </w:rPr>
              <w:t>0</w:t>
            </w:r>
            <w:r>
              <w:rPr>
                <w:color w:val="auto"/>
                <w:szCs w:val="21"/>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continue"/>
            <w:vAlign w:val="center"/>
          </w:tcPr>
          <w:p>
            <w:pPr>
              <w:widowControl/>
              <w:spacing w:line="0" w:lineRule="atLeast"/>
              <w:contextualSpacing/>
              <w:jc w:val="left"/>
              <w:rPr>
                <w:color w:val="auto"/>
                <w:kern w:val="0"/>
                <w:szCs w:val="21"/>
              </w:rPr>
            </w:pPr>
          </w:p>
        </w:tc>
        <w:tc>
          <w:tcPr>
            <w:tcW w:w="2693" w:type="dxa"/>
            <w:vMerge w:val="continue"/>
            <w:vAlign w:val="center"/>
          </w:tcPr>
          <w:p>
            <w:pPr>
              <w:widowControl/>
              <w:spacing w:line="0" w:lineRule="atLeast"/>
              <w:contextualSpacing/>
              <w:jc w:val="left"/>
              <w:rPr>
                <w:color w:val="auto"/>
                <w:kern w:val="0"/>
                <w:szCs w:val="21"/>
              </w:rPr>
            </w:pPr>
          </w:p>
        </w:tc>
        <w:tc>
          <w:tcPr>
            <w:tcW w:w="1279" w:type="dxa"/>
            <w:vAlign w:val="center"/>
          </w:tcPr>
          <w:p>
            <w:pPr>
              <w:autoSpaceDE w:val="0"/>
              <w:autoSpaceDN w:val="0"/>
              <w:spacing w:line="0" w:lineRule="atLeast"/>
              <w:contextualSpacing/>
              <w:jc w:val="center"/>
              <w:rPr>
                <w:color w:val="auto"/>
                <w:kern w:val="0"/>
                <w:szCs w:val="21"/>
              </w:rPr>
            </w:pPr>
            <w:r>
              <w:rPr>
                <w:color w:val="auto"/>
                <w:kern w:val="0"/>
                <w:szCs w:val="21"/>
              </w:rPr>
              <w:t>总磷</w:t>
            </w:r>
          </w:p>
        </w:tc>
        <w:tc>
          <w:tcPr>
            <w:tcW w:w="851" w:type="dxa"/>
            <w:vMerge w:val="continue"/>
            <w:vAlign w:val="center"/>
          </w:tcPr>
          <w:p>
            <w:pPr>
              <w:widowControl/>
              <w:spacing w:line="0" w:lineRule="atLeast"/>
              <w:contextualSpacing/>
              <w:jc w:val="left"/>
              <w:rPr>
                <w:color w:val="auto"/>
                <w:kern w:val="0"/>
                <w:szCs w:val="21"/>
              </w:rPr>
            </w:pPr>
          </w:p>
        </w:tc>
        <w:tc>
          <w:tcPr>
            <w:tcW w:w="2797" w:type="dxa"/>
            <w:gridSpan w:val="5"/>
            <w:vAlign w:val="center"/>
          </w:tcPr>
          <w:p>
            <w:pPr>
              <w:spacing w:line="0" w:lineRule="atLeast"/>
              <w:contextualSpacing/>
              <w:jc w:val="center"/>
              <w:rPr>
                <w:color w:val="auto"/>
                <w:kern w:val="0"/>
                <w:szCs w:val="21"/>
              </w:rPr>
            </w:pPr>
            <w:r>
              <w:rPr>
                <w:color w:val="auto"/>
                <w:kern w:val="0"/>
                <w:szCs w:val="21"/>
              </w:rPr>
              <w:t>≤</w:t>
            </w:r>
            <w:r>
              <w:rPr>
                <w:color w:val="auto"/>
                <w:szCs w:val="21"/>
              </w:rPr>
              <w:t>0.</w:t>
            </w:r>
            <w:r>
              <w:rPr>
                <w:rFonts w:hint="eastAsia"/>
                <w:color w:val="auto"/>
                <w:szCs w:val="21"/>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restart"/>
            <w:vAlign w:val="center"/>
          </w:tcPr>
          <w:p>
            <w:pPr>
              <w:spacing w:line="0" w:lineRule="atLeast"/>
              <w:contextualSpacing/>
              <w:jc w:val="center"/>
              <w:rPr>
                <w:color w:val="auto"/>
                <w:kern w:val="0"/>
                <w:szCs w:val="21"/>
              </w:rPr>
            </w:pPr>
            <w:r>
              <w:rPr>
                <w:color w:val="auto"/>
                <w:kern w:val="0"/>
                <w:szCs w:val="21"/>
              </w:rPr>
              <w:t>地下水环境</w:t>
            </w:r>
          </w:p>
        </w:tc>
        <w:tc>
          <w:tcPr>
            <w:tcW w:w="2693" w:type="dxa"/>
            <w:vMerge w:val="restart"/>
            <w:vAlign w:val="center"/>
          </w:tcPr>
          <w:p>
            <w:pPr>
              <w:spacing w:line="0" w:lineRule="atLeast"/>
              <w:contextualSpacing/>
              <w:jc w:val="center"/>
              <w:rPr>
                <w:color w:val="auto"/>
                <w:kern w:val="0"/>
                <w:szCs w:val="21"/>
              </w:rPr>
            </w:pPr>
            <w:r>
              <w:rPr>
                <w:color w:val="auto"/>
                <w:kern w:val="0"/>
                <w:szCs w:val="21"/>
              </w:rPr>
              <w:t>《地下水质量标准》（GB/T14848-2017）Ⅲ类</w:t>
            </w:r>
          </w:p>
        </w:tc>
        <w:tc>
          <w:tcPr>
            <w:tcW w:w="1279" w:type="dxa"/>
            <w:vAlign w:val="center"/>
          </w:tcPr>
          <w:p>
            <w:pPr>
              <w:spacing w:line="0" w:lineRule="atLeast"/>
              <w:contextualSpacing/>
              <w:jc w:val="center"/>
              <w:rPr>
                <w:color w:val="auto"/>
                <w:kern w:val="0"/>
                <w:szCs w:val="21"/>
              </w:rPr>
            </w:pPr>
            <w:r>
              <w:rPr>
                <w:color w:val="auto"/>
                <w:kern w:val="0"/>
                <w:szCs w:val="21"/>
              </w:rPr>
              <w:t>pH值</w:t>
            </w:r>
          </w:p>
        </w:tc>
        <w:tc>
          <w:tcPr>
            <w:tcW w:w="851" w:type="dxa"/>
            <w:vAlign w:val="center"/>
          </w:tcPr>
          <w:p>
            <w:pPr>
              <w:spacing w:line="0" w:lineRule="atLeast"/>
              <w:contextualSpacing/>
              <w:jc w:val="center"/>
              <w:rPr>
                <w:color w:val="auto"/>
                <w:kern w:val="0"/>
                <w:szCs w:val="21"/>
              </w:rPr>
            </w:pPr>
            <w:r>
              <w:rPr>
                <w:color w:val="auto"/>
                <w:kern w:val="0"/>
                <w:szCs w:val="21"/>
              </w:rPr>
              <w:t>无量纲</w:t>
            </w:r>
          </w:p>
        </w:tc>
        <w:tc>
          <w:tcPr>
            <w:tcW w:w="2797" w:type="dxa"/>
            <w:gridSpan w:val="5"/>
            <w:vAlign w:val="center"/>
          </w:tcPr>
          <w:p>
            <w:pPr>
              <w:spacing w:line="0" w:lineRule="atLeast"/>
              <w:contextualSpacing/>
              <w:jc w:val="center"/>
              <w:rPr>
                <w:color w:val="auto"/>
                <w:kern w:val="0"/>
                <w:szCs w:val="21"/>
              </w:rPr>
            </w:pPr>
            <w:r>
              <w:rPr>
                <w:color w:val="auto"/>
                <w:kern w:val="0"/>
                <w:szCs w:val="21"/>
              </w:rPr>
              <w:t>6.5~8.5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continue"/>
            <w:vAlign w:val="center"/>
          </w:tcPr>
          <w:p>
            <w:pPr>
              <w:spacing w:line="0" w:lineRule="atLeast"/>
              <w:contextualSpacing/>
              <w:jc w:val="center"/>
              <w:rPr>
                <w:color w:val="auto"/>
                <w:kern w:val="0"/>
                <w:szCs w:val="21"/>
              </w:rPr>
            </w:pPr>
          </w:p>
        </w:tc>
        <w:tc>
          <w:tcPr>
            <w:tcW w:w="2693" w:type="dxa"/>
            <w:vMerge w:val="continue"/>
            <w:vAlign w:val="center"/>
          </w:tcPr>
          <w:p>
            <w:pPr>
              <w:spacing w:line="0" w:lineRule="atLeast"/>
              <w:contextualSpacing/>
              <w:jc w:val="center"/>
              <w:rPr>
                <w:color w:val="auto"/>
                <w:kern w:val="0"/>
                <w:szCs w:val="21"/>
              </w:rPr>
            </w:pPr>
          </w:p>
        </w:tc>
        <w:tc>
          <w:tcPr>
            <w:tcW w:w="1279" w:type="dxa"/>
            <w:vAlign w:val="center"/>
          </w:tcPr>
          <w:p>
            <w:pPr>
              <w:spacing w:line="0" w:lineRule="atLeast"/>
              <w:contextualSpacing/>
              <w:jc w:val="center"/>
              <w:rPr>
                <w:color w:val="auto"/>
                <w:kern w:val="0"/>
                <w:szCs w:val="21"/>
              </w:rPr>
            </w:pPr>
            <w:r>
              <w:rPr>
                <w:color w:val="auto"/>
                <w:kern w:val="0"/>
                <w:szCs w:val="21"/>
              </w:rPr>
              <w:t>氨氮</w:t>
            </w:r>
          </w:p>
        </w:tc>
        <w:tc>
          <w:tcPr>
            <w:tcW w:w="851" w:type="dxa"/>
            <w:vMerge w:val="restart"/>
            <w:vAlign w:val="center"/>
          </w:tcPr>
          <w:p>
            <w:pPr>
              <w:spacing w:line="0" w:lineRule="atLeast"/>
              <w:contextualSpacing/>
              <w:jc w:val="center"/>
              <w:rPr>
                <w:color w:val="auto"/>
                <w:kern w:val="0"/>
                <w:szCs w:val="21"/>
              </w:rPr>
            </w:pPr>
            <w:r>
              <w:rPr>
                <w:color w:val="auto"/>
                <w:kern w:val="0"/>
                <w:szCs w:val="21"/>
              </w:rPr>
              <w:t>mg/L</w:t>
            </w:r>
          </w:p>
        </w:tc>
        <w:tc>
          <w:tcPr>
            <w:tcW w:w="2797" w:type="dxa"/>
            <w:gridSpan w:val="5"/>
            <w:vAlign w:val="center"/>
          </w:tcPr>
          <w:p>
            <w:pPr>
              <w:spacing w:line="0" w:lineRule="atLeast"/>
              <w:contextualSpacing/>
              <w:jc w:val="center"/>
              <w:rPr>
                <w:color w:val="auto"/>
                <w:kern w:val="0"/>
                <w:szCs w:val="21"/>
              </w:rPr>
            </w:pPr>
            <w:r>
              <w:rPr>
                <w:color w:val="auto"/>
                <w:kern w:val="0"/>
                <w:szCs w:val="21"/>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continue"/>
            <w:vAlign w:val="center"/>
          </w:tcPr>
          <w:p>
            <w:pPr>
              <w:spacing w:line="0" w:lineRule="atLeast"/>
              <w:contextualSpacing/>
              <w:jc w:val="center"/>
              <w:rPr>
                <w:color w:val="auto"/>
                <w:kern w:val="0"/>
                <w:szCs w:val="21"/>
              </w:rPr>
            </w:pPr>
          </w:p>
        </w:tc>
        <w:tc>
          <w:tcPr>
            <w:tcW w:w="2693" w:type="dxa"/>
            <w:vMerge w:val="continue"/>
            <w:vAlign w:val="center"/>
          </w:tcPr>
          <w:p>
            <w:pPr>
              <w:spacing w:line="0" w:lineRule="atLeast"/>
              <w:contextualSpacing/>
              <w:jc w:val="center"/>
              <w:rPr>
                <w:color w:val="auto"/>
                <w:kern w:val="0"/>
                <w:szCs w:val="21"/>
              </w:rPr>
            </w:pPr>
          </w:p>
        </w:tc>
        <w:tc>
          <w:tcPr>
            <w:tcW w:w="1279" w:type="dxa"/>
            <w:vAlign w:val="center"/>
          </w:tcPr>
          <w:p>
            <w:pPr>
              <w:spacing w:line="0" w:lineRule="atLeast"/>
              <w:contextualSpacing/>
              <w:jc w:val="center"/>
              <w:rPr>
                <w:color w:val="auto"/>
                <w:kern w:val="0"/>
                <w:szCs w:val="21"/>
              </w:rPr>
            </w:pPr>
            <w:r>
              <w:rPr>
                <w:color w:val="auto"/>
                <w:kern w:val="0"/>
                <w:szCs w:val="21"/>
              </w:rPr>
              <w:t>硝酸盐</w:t>
            </w:r>
          </w:p>
        </w:tc>
        <w:tc>
          <w:tcPr>
            <w:tcW w:w="851" w:type="dxa"/>
            <w:vMerge w:val="continue"/>
            <w:vAlign w:val="center"/>
          </w:tcPr>
          <w:p>
            <w:pPr>
              <w:spacing w:line="0" w:lineRule="atLeast"/>
              <w:contextualSpacing/>
              <w:jc w:val="center"/>
              <w:rPr>
                <w:color w:val="auto"/>
                <w:kern w:val="0"/>
                <w:szCs w:val="21"/>
              </w:rPr>
            </w:pPr>
          </w:p>
        </w:tc>
        <w:tc>
          <w:tcPr>
            <w:tcW w:w="2797" w:type="dxa"/>
            <w:gridSpan w:val="5"/>
            <w:vAlign w:val="center"/>
          </w:tcPr>
          <w:p>
            <w:pPr>
              <w:spacing w:line="0" w:lineRule="atLeast"/>
              <w:contextualSpacing/>
              <w:jc w:val="center"/>
              <w:rPr>
                <w:color w:val="auto"/>
                <w:kern w:val="0"/>
                <w:szCs w:val="21"/>
              </w:rPr>
            </w:pPr>
            <w:r>
              <w:rPr>
                <w:color w:val="auto"/>
                <w:kern w:val="0"/>
                <w:szCs w:val="21"/>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continue"/>
            <w:vAlign w:val="center"/>
          </w:tcPr>
          <w:p>
            <w:pPr>
              <w:spacing w:line="0" w:lineRule="atLeast"/>
              <w:contextualSpacing/>
              <w:jc w:val="center"/>
              <w:rPr>
                <w:color w:val="auto"/>
                <w:kern w:val="0"/>
                <w:szCs w:val="21"/>
              </w:rPr>
            </w:pPr>
          </w:p>
        </w:tc>
        <w:tc>
          <w:tcPr>
            <w:tcW w:w="2693" w:type="dxa"/>
            <w:vMerge w:val="continue"/>
            <w:vAlign w:val="center"/>
          </w:tcPr>
          <w:p>
            <w:pPr>
              <w:spacing w:line="0" w:lineRule="atLeast"/>
              <w:contextualSpacing/>
              <w:jc w:val="center"/>
              <w:rPr>
                <w:color w:val="auto"/>
                <w:kern w:val="0"/>
                <w:szCs w:val="21"/>
              </w:rPr>
            </w:pPr>
          </w:p>
        </w:tc>
        <w:tc>
          <w:tcPr>
            <w:tcW w:w="1279" w:type="dxa"/>
            <w:vAlign w:val="center"/>
          </w:tcPr>
          <w:p>
            <w:pPr>
              <w:spacing w:line="0" w:lineRule="atLeast"/>
              <w:contextualSpacing/>
              <w:jc w:val="center"/>
              <w:rPr>
                <w:color w:val="auto"/>
                <w:kern w:val="0"/>
                <w:szCs w:val="21"/>
              </w:rPr>
            </w:pPr>
            <w:r>
              <w:rPr>
                <w:color w:val="auto"/>
                <w:kern w:val="0"/>
                <w:szCs w:val="21"/>
              </w:rPr>
              <w:t>亚硝酸盐</w:t>
            </w:r>
          </w:p>
        </w:tc>
        <w:tc>
          <w:tcPr>
            <w:tcW w:w="851" w:type="dxa"/>
            <w:vMerge w:val="continue"/>
            <w:vAlign w:val="center"/>
          </w:tcPr>
          <w:p>
            <w:pPr>
              <w:spacing w:line="0" w:lineRule="atLeast"/>
              <w:contextualSpacing/>
              <w:jc w:val="center"/>
              <w:rPr>
                <w:color w:val="auto"/>
                <w:kern w:val="0"/>
                <w:szCs w:val="21"/>
              </w:rPr>
            </w:pPr>
          </w:p>
        </w:tc>
        <w:tc>
          <w:tcPr>
            <w:tcW w:w="2797" w:type="dxa"/>
            <w:gridSpan w:val="5"/>
            <w:vAlign w:val="center"/>
          </w:tcPr>
          <w:p>
            <w:pPr>
              <w:spacing w:line="0" w:lineRule="atLeast"/>
              <w:contextualSpacing/>
              <w:jc w:val="center"/>
              <w:rPr>
                <w:color w:val="auto"/>
                <w:kern w:val="0"/>
                <w:szCs w:val="21"/>
              </w:rPr>
            </w:pPr>
            <w:r>
              <w:rPr>
                <w:color w:val="auto"/>
                <w:kern w:val="0"/>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8" w:hRule="atLeast"/>
          <w:jc w:val="center"/>
        </w:trPr>
        <w:tc>
          <w:tcPr>
            <w:tcW w:w="727" w:type="dxa"/>
            <w:vMerge w:val="continue"/>
            <w:vAlign w:val="center"/>
          </w:tcPr>
          <w:p>
            <w:pPr>
              <w:spacing w:line="0" w:lineRule="atLeast"/>
              <w:contextualSpacing/>
              <w:jc w:val="center"/>
              <w:rPr>
                <w:color w:val="auto"/>
                <w:kern w:val="0"/>
                <w:szCs w:val="21"/>
              </w:rPr>
            </w:pPr>
          </w:p>
        </w:tc>
        <w:tc>
          <w:tcPr>
            <w:tcW w:w="2693" w:type="dxa"/>
            <w:vMerge w:val="continue"/>
            <w:vAlign w:val="center"/>
          </w:tcPr>
          <w:p>
            <w:pPr>
              <w:spacing w:line="0" w:lineRule="atLeast"/>
              <w:contextualSpacing/>
              <w:jc w:val="center"/>
              <w:rPr>
                <w:color w:val="auto"/>
                <w:kern w:val="0"/>
                <w:szCs w:val="21"/>
              </w:rPr>
            </w:pPr>
          </w:p>
        </w:tc>
        <w:tc>
          <w:tcPr>
            <w:tcW w:w="1279" w:type="dxa"/>
            <w:vAlign w:val="center"/>
          </w:tcPr>
          <w:p>
            <w:pPr>
              <w:spacing w:line="0" w:lineRule="atLeast"/>
              <w:contextualSpacing/>
              <w:jc w:val="center"/>
              <w:rPr>
                <w:color w:val="auto"/>
                <w:kern w:val="0"/>
                <w:szCs w:val="21"/>
              </w:rPr>
            </w:pPr>
            <w:r>
              <w:rPr>
                <w:color w:val="auto"/>
                <w:kern w:val="0"/>
                <w:szCs w:val="21"/>
              </w:rPr>
              <w:t>挥发酚</w:t>
            </w:r>
          </w:p>
        </w:tc>
        <w:tc>
          <w:tcPr>
            <w:tcW w:w="851" w:type="dxa"/>
            <w:vMerge w:val="continue"/>
            <w:vAlign w:val="center"/>
          </w:tcPr>
          <w:p>
            <w:pPr>
              <w:spacing w:line="0" w:lineRule="atLeast"/>
              <w:contextualSpacing/>
              <w:jc w:val="center"/>
              <w:rPr>
                <w:color w:val="auto"/>
                <w:kern w:val="0"/>
                <w:szCs w:val="21"/>
              </w:rPr>
            </w:pPr>
          </w:p>
        </w:tc>
        <w:tc>
          <w:tcPr>
            <w:tcW w:w="2797" w:type="dxa"/>
            <w:gridSpan w:val="5"/>
            <w:vAlign w:val="center"/>
          </w:tcPr>
          <w:p>
            <w:pPr>
              <w:spacing w:line="0" w:lineRule="atLeast"/>
              <w:contextualSpacing/>
              <w:jc w:val="center"/>
              <w:rPr>
                <w:color w:val="auto"/>
                <w:kern w:val="0"/>
                <w:szCs w:val="21"/>
              </w:rPr>
            </w:pPr>
            <w:r>
              <w:rPr>
                <w:color w:val="auto"/>
                <w:kern w:val="0"/>
                <w:szCs w:val="21"/>
              </w:rPr>
              <w:t>≤0.002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 w:hRule="atLeast"/>
          <w:jc w:val="center"/>
        </w:trPr>
        <w:tc>
          <w:tcPr>
            <w:tcW w:w="727" w:type="dxa"/>
            <w:vMerge w:val="continue"/>
            <w:vAlign w:val="center"/>
          </w:tcPr>
          <w:p>
            <w:pPr>
              <w:spacing w:line="0" w:lineRule="atLeast"/>
              <w:contextualSpacing/>
              <w:jc w:val="center"/>
              <w:rPr>
                <w:color w:val="auto"/>
                <w:kern w:val="0"/>
                <w:szCs w:val="21"/>
              </w:rPr>
            </w:pPr>
          </w:p>
        </w:tc>
        <w:tc>
          <w:tcPr>
            <w:tcW w:w="2693" w:type="dxa"/>
            <w:vMerge w:val="continue"/>
            <w:vAlign w:val="center"/>
          </w:tcPr>
          <w:p>
            <w:pPr>
              <w:spacing w:line="0" w:lineRule="atLeast"/>
              <w:contextualSpacing/>
              <w:jc w:val="center"/>
              <w:rPr>
                <w:color w:val="auto"/>
                <w:kern w:val="0"/>
                <w:szCs w:val="21"/>
              </w:rPr>
            </w:pPr>
          </w:p>
        </w:tc>
        <w:tc>
          <w:tcPr>
            <w:tcW w:w="1279" w:type="dxa"/>
            <w:vAlign w:val="center"/>
          </w:tcPr>
          <w:p>
            <w:pPr>
              <w:spacing w:line="0" w:lineRule="atLeast"/>
              <w:contextualSpacing/>
              <w:jc w:val="center"/>
              <w:rPr>
                <w:color w:val="auto"/>
                <w:kern w:val="0"/>
                <w:szCs w:val="21"/>
              </w:rPr>
            </w:pPr>
            <w:r>
              <w:rPr>
                <w:color w:val="auto"/>
                <w:kern w:val="0"/>
                <w:szCs w:val="21"/>
              </w:rPr>
              <w:t>氰化物</w:t>
            </w:r>
          </w:p>
        </w:tc>
        <w:tc>
          <w:tcPr>
            <w:tcW w:w="851" w:type="dxa"/>
            <w:vMerge w:val="continue"/>
            <w:vAlign w:val="center"/>
          </w:tcPr>
          <w:p>
            <w:pPr>
              <w:spacing w:line="0" w:lineRule="atLeast"/>
              <w:contextualSpacing/>
              <w:jc w:val="center"/>
              <w:rPr>
                <w:color w:val="auto"/>
                <w:kern w:val="0"/>
                <w:szCs w:val="21"/>
              </w:rPr>
            </w:pPr>
          </w:p>
        </w:tc>
        <w:tc>
          <w:tcPr>
            <w:tcW w:w="2797" w:type="dxa"/>
            <w:gridSpan w:val="5"/>
            <w:vAlign w:val="center"/>
          </w:tcPr>
          <w:p>
            <w:pPr>
              <w:spacing w:line="0" w:lineRule="atLeast"/>
              <w:contextualSpacing/>
              <w:jc w:val="center"/>
              <w:rPr>
                <w:color w:val="auto"/>
                <w:kern w:val="0"/>
                <w:szCs w:val="21"/>
              </w:rPr>
            </w:pPr>
            <w:r>
              <w:rPr>
                <w:color w:val="auto"/>
                <w:kern w:val="0"/>
                <w:szCs w:val="21"/>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continue"/>
            <w:vAlign w:val="center"/>
          </w:tcPr>
          <w:p>
            <w:pPr>
              <w:spacing w:line="0" w:lineRule="atLeast"/>
              <w:contextualSpacing/>
              <w:jc w:val="center"/>
              <w:rPr>
                <w:color w:val="auto"/>
                <w:kern w:val="0"/>
                <w:szCs w:val="21"/>
              </w:rPr>
            </w:pPr>
          </w:p>
        </w:tc>
        <w:tc>
          <w:tcPr>
            <w:tcW w:w="2693" w:type="dxa"/>
            <w:vMerge w:val="continue"/>
            <w:vAlign w:val="center"/>
          </w:tcPr>
          <w:p>
            <w:pPr>
              <w:spacing w:line="0" w:lineRule="atLeast"/>
              <w:contextualSpacing/>
              <w:jc w:val="center"/>
              <w:rPr>
                <w:color w:val="auto"/>
                <w:kern w:val="0"/>
                <w:szCs w:val="21"/>
              </w:rPr>
            </w:pPr>
          </w:p>
        </w:tc>
        <w:tc>
          <w:tcPr>
            <w:tcW w:w="1279" w:type="dxa"/>
            <w:vAlign w:val="center"/>
          </w:tcPr>
          <w:p>
            <w:pPr>
              <w:spacing w:line="0" w:lineRule="atLeast"/>
              <w:contextualSpacing/>
              <w:jc w:val="center"/>
              <w:rPr>
                <w:color w:val="auto"/>
                <w:kern w:val="0"/>
                <w:szCs w:val="21"/>
              </w:rPr>
            </w:pPr>
            <w:r>
              <w:rPr>
                <w:color w:val="auto"/>
                <w:kern w:val="0"/>
                <w:szCs w:val="21"/>
              </w:rPr>
              <w:t>砷</w:t>
            </w:r>
          </w:p>
        </w:tc>
        <w:tc>
          <w:tcPr>
            <w:tcW w:w="851" w:type="dxa"/>
            <w:vMerge w:val="continue"/>
            <w:vAlign w:val="center"/>
          </w:tcPr>
          <w:p>
            <w:pPr>
              <w:spacing w:line="0" w:lineRule="atLeast"/>
              <w:contextualSpacing/>
              <w:jc w:val="center"/>
              <w:rPr>
                <w:color w:val="auto"/>
                <w:kern w:val="0"/>
                <w:szCs w:val="21"/>
              </w:rPr>
            </w:pPr>
          </w:p>
        </w:tc>
        <w:tc>
          <w:tcPr>
            <w:tcW w:w="2797" w:type="dxa"/>
            <w:gridSpan w:val="5"/>
            <w:vAlign w:val="center"/>
          </w:tcPr>
          <w:p>
            <w:pPr>
              <w:spacing w:line="0" w:lineRule="atLeast"/>
              <w:contextualSpacing/>
              <w:jc w:val="center"/>
              <w:rPr>
                <w:color w:val="auto"/>
                <w:kern w:val="0"/>
                <w:szCs w:val="21"/>
              </w:rPr>
            </w:pPr>
            <w:r>
              <w:rPr>
                <w:color w:val="auto"/>
                <w:kern w:val="0"/>
                <w:szCs w:val="21"/>
              </w:rPr>
              <w:t>≤0.01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continue"/>
            <w:vAlign w:val="center"/>
          </w:tcPr>
          <w:p>
            <w:pPr>
              <w:spacing w:line="0" w:lineRule="atLeast"/>
              <w:contextualSpacing/>
              <w:jc w:val="center"/>
              <w:rPr>
                <w:color w:val="auto"/>
                <w:kern w:val="0"/>
                <w:szCs w:val="21"/>
              </w:rPr>
            </w:pPr>
          </w:p>
        </w:tc>
        <w:tc>
          <w:tcPr>
            <w:tcW w:w="2693" w:type="dxa"/>
            <w:vMerge w:val="continue"/>
            <w:vAlign w:val="center"/>
          </w:tcPr>
          <w:p>
            <w:pPr>
              <w:spacing w:line="0" w:lineRule="atLeast"/>
              <w:contextualSpacing/>
              <w:jc w:val="center"/>
              <w:rPr>
                <w:color w:val="auto"/>
                <w:kern w:val="0"/>
                <w:szCs w:val="21"/>
              </w:rPr>
            </w:pPr>
          </w:p>
        </w:tc>
        <w:tc>
          <w:tcPr>
            <w:tcW w:w="1279" w:type="dxa"/>
            <w:vAlign w:val="center"/>
          </w:tcPr>
          <w:p>
            <w:pPr>
              <w:spacing w:line="0" w:lineRule="atLeast"/>
              <w:contextualSpacing/>
              <w:jc w:val="center"/>
              <w:rPr>
                <w:color w:val="auto"/>
                <w:kern w:val="0"/>
                <w:szCs w:val="21"/>
              </w:rPr>
            </w:pPr>
            <w:r>
              <w:rPr>
                <w:color w:val="auto"/>
                <w:kern w:val="0"/>
                <w:szCs w:val="21"/>
              </w:rPr>
              <w:t>汞</w:t>
            </w:r>
          </w:p>
        </w:tc>
        <w:tc>
          <w:tcPr>
            <w:tcW w:w="851" w:type="dxa"/>
            <w:vMerge w:val="continue"/>
            <w:vAlign w:val="center"/>
          </w:tcPr>
          <w:p>
            <w:pPr>
              <w:spacing w:line="0" w:lineRule="atLeast"/>
              <w:contextualSpacing/>
              <w:jc w:val="center"/>
              <w:rPr>
                <w:color w:val="auto"/>
                <w:kern w:val="0"/>
                <w:szCs w:val="21"/>
              </w:rPr>
            </w:pPr>
          </w:p>
        </w:tc>
        <w:tc>
          <w:tcPr>
            <w:tcW w:w="2797" w:type="dxa"/>
            <w:gridSpan w:val="5"/>
            <w:vAlign w:val="center"/>
          </w:tcPr>
          <w:p>
            <w:pPr>
              <w:spacing w:line="0" w:lineRule="atLeast"/>
              <w:contextualSpacing/>
              <w:jc w:val="center"/>
              <w:rPr>
                <w:color w:val="auto"/>
                <w:kern w:val="0"/>
                <w:szCs w:val="21"/>
              </w:rPr>
            </w:pPr>
            <w:r>
              <w:rPr>
                <w:color w:val="auto"/>
                <w:kern w:val="0"/>
                <w:szCs w:val="21"/>
              </w:rPr>
              <w:t>≤0.001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continue"/>
            <w:vAlign w:val="center"/>
          </w:tcPr>
          <w:p>
            <w:pPr>
              <w:spacing w:line="0" w:lineRule="atLeast"/>
              <w:contextualSpacing/>
              <w:jc w:val="center"/>
              <w:rPr>
                <w:color w:val="auto"/>
                <w:kern w:val="0"/>
                <w:szCs w:val="21"/>
              </w:rPr>
            </w:pPr>
          </w:p>
        </w:tc>
        <w:tc>
          <w:tcPr>
            <w:tcW w:w="2693" w:type="dxa"/>
            <w:vMerge w:val="continue"/>
            <w:vAlign w:val="center"/>
          </w:tcPr>
          <w:p>
            <w:pPr>
              <w:spacing w:line="0" w:lineRule="atLeast"/>
              <w:contextualSpacing/>
              <w:jc w:val="center"/>
              <w:rPr>
                <w:color w:val="auto"/>
                <w:kern w:val="0"/>
                <w:szCs w:val="21"/>
              </w:rPr>
            </w:pPr>
          </w:p>
        </w:tc>
        <w:tc>
          <w:tcPr>
            <w:tcW w:w="1279" w:type="dxa"/>
            <w:vAlign w:val="center"/>
          </w:tcPr>
          <w:p>
            <w:pPr>
              <w:spacing w:line="0" w:lineRule="atLeast"/>
              <w:contextualSpacing/>
              <w:jc w:val="center"/>
              <w:rPr>
                <w:color w:val="auto"/>
                <w:kern w:val="0"/>
                <w:szCs w:val="21"/>
              </w:rPr>
            </w:pPr>
            <w:r>
              <w:rPr>
                <w:color w:val="auto"/>
                <w:kern w:val="0"/>
                <w:szCs w:val="21"/>
              </w:rPr>
              <w:t>六价铬</w:t>
            </w:r>
          </w:p>
        </w:tc>
        <w:tc>
          <w:tcPr>
            <w:tcW w:w="851" w:type="dxa"/>
            <w:vMerge w:val="continue"/>
            <w:vAlign w:val="center"/>
          </w:tcPr>
          <w:p>
            <w:pPr>
              <w:spacing w:line="0" w:lineRule="atLeast"/>
              <w:contextualSpacing/>
              <w:jc w:val="center"/>
              <w:rPr>
                <w:color w:val="auto"/>
                <w:kern w:val="0"/>
                <w:szCs w:val="21"/>
              </w:rPr>
            </w:pPr>
          </w:p>
        </w:tc>
        <w:tc>
          <w:tcPr>
            <w:tcW w:w="2797" w:type="dxa"/>
            <w:gridSpan w:val="5"/>
            <w:vAlign w:val="center"/>
          </w:tcPr>
          <w:p>
            <w:pPr>
              <w:spacing w:line="0" w:lineRule="atLeast"/>
              <w:contextualSpacing/>
              <w:jc w:val="center"/>
              <w:rPr>
                <w:color w:val="auto"/>
                <w:kern w:val="0"/>
                <w:szCs w:val="21"/>
              </w:rPr>
            </w:pPr>
            <w:r>
              <w:rPr>
                <w:color w:val="auto"/>
                <w:kern w:val="0"/>
                <w:szCs w:val="21"/>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continue"/>
            <w:vAlign w:val="center"/>
          </w:tcPr>
          <w:p>
            <w:pPr>
              <w:spacing w:line="0" w:lineRule="atLeast"/>
              <w:contextualSpacing/>
              <w:jc w:val="center"/>
              <w:rPr>
                <w:color w:val="auto"/>
                <w:kern w:val="0"/>
                <w:szCs w:val="21"/>
              </w:rPr>
            </w:pPr>
          </w:p>
        </w:tc>
        <w:tc>
          <w:tcPr>
            <w:tcW w:w="2693" w:type="dxa"/>
            <w:vMerge w:val="continue"/>
            <w:vAlign w:val="center"/>
          </w:tcPr>
          <w:p>
            <w:pPr>
              <w:spacing w:line="0" w:lineRule="atLeast"/>
              <w:contextualSpacing/>
              <w:jc w:val="center"/>
              <w:rPr>
                <w:color w:val="auto"/>
                <w:kern w:val="0"/>
                <w:szCs w:val="21"/>
              </w:rPr>
            </w:pPr>
          </w:p>
        </w:tc>
        <w:tc>
          <w:tcPr>
            <w:tcW w:w="1279" w:type="dxa"/>
            <w:vAlign w:val="center"/>
          </w:tcPr>
          <w:p>
            <w:pPr>
              <w:spacing w:line="0" w:lineRule="atLeast"/>
              <w:contextualSpacing/>
              <w:jc w:val="center"/>
              <w:rPr>
                <w:color w:val="auto"/>
                <w:kern w:val="0"/>
                <w:szCs w:val="21"/>
              </w:rPr>
            </w:pPr>
            <w:r>
              <w:rPr>
                <w:color w:val="auto"/>
                <w:kern w:val="0"/>
                <w:szCs w:val="21"/>
              </w:rPr>
              <w:t>总硬度</w:t>
            </w:r>
          </w:p>
        </w:tc>
        <w:tc>
          <w:tcPr>
            <w:tcW w:w="851" w:type="dxa"/>
            <w:vMerge w:val="continue"/>
            <w:vAlign w:val="center"/>
          </w:tcPr>
          <w:p>
            <w:pPr>
              <w:spacing w:line="0" w:lineRule="atLeast"/>
              <w:contextualSpacing/>
              <w:jc w:val="center"/>
              <w:rPr>
                <w:color w:val="auto"/>
                <w:kern w:val="0"/>
                <w:szCs w:val="21"/>
              </w:rPr>
            </w:pPr>
          </w:p>
        </w:tc>
        <w:tc>
          <w:tcPr>
            <w:tcW w:w="2797" w:type="dxa"/>
            <w:gridSpan w:val="5"/>
            <w:vAlign w:val="center"/>
          </w:tcPr>
          <w:p>
            <w:pPr>
              <w:spacing w:line="0" w:lineRule="atLeast"/>
              <w:contextualSpacing/>
              <w:jc w:val="center"/>
              <w:rPr>
                <w:color w:val="auto"/>
                <w:kern w:val="0"/>
                <w:szCs w:val="21"/>
              </w:rPr>
            </w:pPr>
            <w:r>
              <w:rPr>
                <w:color w:val="auto"/>
                <w:kern w:val="0"/>
                <w:szCs w:val="21"/>
              </w:rPr>
              <w:t>≤450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continue"/>
            <w:vAlign w:val="center"/>
          </w:tcPr>
          <w:p>
            <w:pPr>
              <w:spacing w:line="0" w:lineRule="atLeast"/>
              <w:contextualSpacing/>
              <w:jc w:val="center"/>
              <w:rPr>
                <w:color w:val="auto"/>
                <w:kern w:val="0"/>
                <w:szCs w:val="21"/>
              </w:rPr>
            </w:pPr>
          </w:p>
        </w:tc>
        <w:tc>
          <w:tcPr>
            <w:tcW w:w="2693" w:type="dxa"/>
            <w:vMerge w:val="continue"/>
            <w:vAlign w:val="center"/>
          </w:tcPr>
          <w:p>
            <w:pPr>
              <w:spacing w:line="0" w:lineRule="atLeast"/>
              <w:contextualSpacing/>
              <w:jc w:val="center"/>
              <w:rPr>
                <w:color w:val="auto"/>
                <w:kern w:val="0"/>
                <w:szCs w:val="21"/>
              </w:rPr>
            </w:pPr>
          </w:p>
        </w:tc>
        <w:tc>
          <w:tcPr>
            <w:tcW w:w="1279" w:type="dxa"/>
            <w:vAlign w:val="center"/>
          </w:tcPr>
          <w:p>
            <w:pPr>
              <w:spacing w:line="0" w:lineRule="atLeast"/>
              <w:contextualSpacing/>
              <w:jc w:val="center"/>
              <w:rPr>
                <w:color w:val="auto"/>
                <w:kern w:val="0"/>
                <w:szCs w:val="21"/>
              </w:rPr>
            </w:pPr>
            <w:r>
              <w:rPr>
                <w:color w:val="auto"/>
                <w:kern w:val="0"/>
                <w:szCs w:val="21"/>
              </w:rPr>
              <w:t>氟化物</w:t>
            </w:r>
          </w:p>
        </w:tc>
        <w:tc>
          <w:tcPr>
            <w:tcW w:w="851" w:type="dxa"/>
            <w:vMerge w:val="continue"/>
            <w:vAlign w:val="center"/>
          </w:tcPr>
          <w:p>
            <w:pPr>
              <w:spacing w:line="0" w:lineRule="atLeast"/>
              <w:contextualSpacing/>
              <w:jc w:val="center"/>
              <w:rPr>
                <w:color w:val="auto"/>
                <w:kern w:val="0"/>
                <w:szCs w:val="21"/>
              </w:rPr>
            </w:pPr>
          </w:p>
        </w:tc>
        <w:tc>
          <w:tcPr>
            <w:tcW w:w="2797" w:type="dxa"/>
            <w:gridSpan w:val="5"/>
            <w:vAlign w:val="center"/>
          </w:tcPr>
          <w:p>
            <w:pPr>
              <w:spacing w:line="0" w:lineRule="atLeast"/>
              <w:contextualSpacing/>
              <w:jc w:val="center"/>
              <w:rPr>
                <w:color w:val="auto"/>
                <w:kern w:val="0"/>
                <w:szCs w:val="21"/>
              </w:rPr>
            </w:pPr>
            <w:r>
              <w:rPr>
                <w:color w:val="auto"/>
                <w:kern w:val="0"/>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continue"/>
            <w:vAlign w:val="center"/>
          </w:tcPr>
          <w:p>
            <w:pPr>
              <w:spacing w:line="0" w:lineRule="atLeast"/>
              <w:contextualSpacing/>
              <w:jc w:val="center"/>
              <w:rPr>
                <w:color w:val="auto"/>
                <w:kern w:val="0"/>
                <w:szCs w:val="21"/>
              </w:rPr>
            </w:pPr>
          </w:p>
        </w:tc>
        <w:tc>
          <w:tcPr>
            <w:tcW w:w="2693" w:type="dxa"/>
            <w:vMerge w:val="continue"/>
            <w:vAlign w:val="center"/>
          </w:tcPr>
          <w:p>
            <w:pPr>
              <w:spacing w:line="0" w:lineRule="atLeast"/>
              <w:contextualSpacing/>
              <w:jc w:val="center"/>
              <w:rPr>
                <w:color w:val="auto"/>
                <w:kern w:val="0"/>
                <w:szCs w:val="21"/>
              </w:rPr>
            </w:pPr>
          </w:p>
        </w:tc>
        <w:tc>
          <w:tcPr>
            <w:tcW w:w="1279" w:type="dxa"/>
            <w:vAlign w:val="center"/>
          </w:tcPr>
          <w:p>
            <w:pPr>
              <w:spacing w:line="0" w:lineRule="atLeast"/>
              <w:contextualSpacing/>
              <w:jc w:val="center"/>
              <w:rPr>
                <w:color w:val="auto"/>
                <w:kern w:val="0"/>
                <w:szCs w:val="21"/>
              </w:rPr>
            </w:pPr>
            <w:r>
              <w:rPr>
                <w:color w:val="auto"/>
                <w:kern w:val="0"/>
                <w:szCs w:val="21"/>
                <w:lang w:val="zh-CN"/>
              </w:rPr>
              <w:t>锌</w:t>
            </w:r>
          </w:p>
        </w:tc>
        <w:tc>
          <w:tcPr>
            <w:tcW w:w="851" w:type="dxa"/>
            <w:vMerge w:val="continue"/>
            <w:vAlign w:val="center"/>
          </w:tcPr>
          <w:p>
            <w:pPr>
              <w:spacing w:line="0" w:lineRule="atLeast"/>
              <w:contextualSpacing/>
              <w:jc w:val="center"/>
              <w:rPr>
                <w:color w:val="auto"/>
                <w:kern w:val="0"/>
                <w:szCs w:val="21"/>
              </w:rPr>
            </w:pPr>
          </w:p>
        </w:tc>
        <w:tc>
          <w:tcPr>
            <w:tcW w:w="2797" w:type="dxa"/>
            <w:gridSpan w:val="5"/>
            <w:vAlign w:val="center"/>
          </w:tcPr>
          <w:p>
            <w:pPr>
              <w:spacing w:line="0" w:lineRule="atLeast"/>
              <w:contextualSpacing/>
              <w:jc w:val="center"/>
              <w:rPr>
                <w:color w:val="auto"/>
                <w:kern w:val="0"/>
                <w:szCs w:val="21"/>
              </w:rPr>
            </w:pPr>
            <w:r>
              <w:rPr>
                <w:color w:val="auto"/>
                <w:kern w:val="0"/>
                <w:szCs w:val="21"/>
                <w:lang w:val="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continue"/>
            <w:vAlign w:val="center"/>
          </w:tcPr>
          <w:p>
            <w:pPr>
              <w:spacing w:line="0" w:lineRule="atLeast"/>
              <w:contextualSpacing/>
              <w:jc w:val="center"/>
              <w:rPr>
                <w:color w:val="auto"/>
                <w:kern w:val="0"/>
                <w:szCs w:val="21"/>
              </w:rPr>
            </w:pPr>
          </w:p>
        </w:tc>
        <w:tc>
          <w:tcPr>
            <w:tcW w:w="2693" w:type="dxa"/>
            <w:vMerge w:val="continue"/>
            <w:vAlign w:val="center"/>
          </w:tcPr>
          <w:p>
            <w:pPr>
              <w:spacing w:line="0" w:lineRule="atLeast"/>
              <w:contextualSpacing/>
              <w:jc w:val="center"/>
              <w:rPr>
                <w:color w:val="auto"/>
                <w:kern w:val="0"/>
                <w:szCs w:val="21"/>
              </w:rPr>
            </w:pPr>
          </w:p>
        </w:tc>
        <w:tc>
          <w:tcPr>
            <w:tcW w:w="1279" w:type="dxa"/>
            <w:vAlign w:val="center"/>
          </w:tcPr>
          <w:p>
            <w:pPr>
              <w:spacing w:line="0" w:lineRule="atLeast"/>
              <w:contextualSpacing/>
              <w:jc w:val="center"/>
              <w:rPr>
                <w:color w:val="auto"/>
                <w:kern w:val="0"/>
                <w:szCs w:val="21"/>
                <w:lang w:val="zh-CN"/>
              </w:rPr>
            </w:pPr>
            <w:r>
              <w:rPr>
                <w:color w:val="auto"/>
                <w:kern w:val="0"/>
                <w:szCs w:val="21"/>
                <w:lang w:val="zh-CN"/>
              </w:rPr>
              <w:t>铜</w:t>
            </w:r>
          </w:p>
        </w:tc>
        <w:tc>
          <w:tcPr>
            <w:tcW w:w="851" w:type="dxa"/>
            <w:vMerge w:val="continue"/>
            <w:vAlign w:val="center"/>
          </w:tcPr>
          <w:p>
            <w:pPr>
              <w:spacing w:line="0" w:lineRule="atLeast"/>
              <w:contextualSpacing/>
              <w:jc w:val="center"/>
              <w:rPr>
                <w:color w:val="auto"/>
                <w:kern w:val="0"/>
                <w:szCs w:val="21"/>
              </w:rPr>
            </w:pPr>
          </w:p>
        </w:tc>
        <w:tc>
          <w:tcPr>
            <w:tcW w:w="2797" w:type="dxa"/>
            <w:gridSpan w:val="5"/>
            <w:vAlign w:val="center"/>
          </w:tcPr>
          <w:p>
            <w:pPr>
              <w:spacing w:line="0" w:lineRule="atLeast"/>
              <w:contextualSpacing/>
              <w:jc w:val="center"/>
              <w:rPr>
                <w:color w:val="auto"/>
                <w:kern w:val="0"/>
                <w:szCs w:val="21"/>
                <w:lang w:val="zh-CN"/>
              </w:rPr>
            </w:pPr>
            <w:r>
              <w:rPr>
                <w:color w:val="auto"/>
                <w:kern w:val="0"/>
                <w:szCs w:val="21"/>
                <w:lang w:val="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continue"/>
            <w:vAlign w:val="center"/>
          </w:tcPr>
          <w:p>
            <w:pPr>
              <w:spacing w:line="0" w:lineRule="atLeast"/>
              <w:contextualSpacing/>
              <w:jc w:val="center"/>
              <w:rPr>
                <w:color w:val="auto"/>
                <w:kern w:val="0"/>
                <w:szCs w:val="21"/>
              </w:rPr>
            </w:pPr>
          </w:p>
        </w:tc>
        <w:tc>
          <w:tcPr>
            <w:tcW w:w="2693" w:type="dxa"/>
            <w:vMerge w:val="continue"/>
            <w:vAlign w:val="center"/>
          </w:tcPr>
          <w:p>
            <w:pPr>
              <w:spacing w:line="0" w:lineRule="atLeast"/>
              <w:contextualSpacing/>
              <w:jc w:val="center"/>
              <w:rPr>
                <w:color w:val="auto"/>
                <w:kern w:val="0"/>
                <w:szCs w:val="21"/>
              </w:rPr>
            </w:pPr>
          </w:p>
        </w:tc>
        <w:tc>
          <w:tcPr>
            <w:tcW w:w="1279" w:type="dxa"/>
            <w:vAlign w:val="center"/>
          </w:tcPr>
          <w:p>
            <w:pPr>
              <w:spacing w:line="0" w:lineRule="atLeast"/>
              <w:contextualSpacing/>
              <w:jc w:val="center"/>
              <w:rPr>
                <w:color w:val="auto"/>
                <w:kern w:val="0"/>
                <w:szCs w:val="21"/>
              </w:rPr>
            </w:pPr>
            <w:r>
              <w:rPr>
                <w:color w:val="auto"/>
                <w:kern w:val="0"/>
                <w:szCs w:val="21"/>
                <w:lang w:val="zh-CN"/>
              </w:rPr>
              <w:t>氯化物</w:t>
            </w:r>
          </w:p>
        </w:tc>
        <w:tc>
          <w:tcPr>
            <w:tcW w:w="851" w:type="dxa"/>
            <w:vMerge w:val="continue"/>
            <w:vAlign w:val="center"/>
          </w:tcPr>
          <w:p>
            <w:pPr>
              <w:spacing w:line="0" w:lineRule="atLeast"/>
              <w:contextualSpacing/>
              <w:jc w:val="center"/>
              <w:rPr>
                <w:color w:val="auto"/>
                <w:kern w:val="0"/>
                <w:szCs w:val="21"/>
              </w:rPr>
            </w:pPr>
          </w:p>
        </w:tc>
        <w:tc>
          <w:tcPr>
            <w:tcW w:w="2797" w:type="dxa"/>
            <w:gridSpan w:val="5"/>
            <w:vAlign w:val="center"/>
          </w:tcPr>
          <w:p>
            <w:pPr>
              <w:spacing w:line="0" w:lineRule="atLeast"/>
              <w:contextualSpacing/>
              <w:jc w:val="center"/>
              <w:rPr>
                <w:color w:val="auto"/>
                <w:kern w:val="0"/>
                <w:szCs w:val="21"/>
              </w:rPr>
            </w:pPr>
            <w:r>
              <w:rPr>
                <w:color w:val="auto"/>
                <w:kern w:val="0"/>
                <w:szCs w:val="21"/>
                <w:lang w:val="zh-CN"/>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continue"/>
            <w:vAlign w:val="center"/>
          </w:tcPr>
          <w:p>
            <w:pPr>
              <w:spacing w:line="0" w:lineRule="atLeast"/>
              <w:contextualSpacing/>
              <w:jc w:val="center"/>
              <w:rPr>
                <w:color w:val="auto"/>
                <w:kern w:val="0"/>
                <w:szCs w:val="21"/>
              </w:rPr>
            </w:pPr>
          </w:p>
        </w:tc>
        <w:tc>
          <w:tcPr>
            <w:tcW w:w="2693" w:type="dxa"/>
            <w:vMerge w:val="continue"/>
            <w:vAlign w:val="center"/>
          </w:tcPr>
          <w:p>
            <w:pPr>
              <w:spacing w:line="0" w:lineRule="atLeast"/>
              <w:contextualSpacing/>
              <w:jc w:val="center"/>
              <w:rPr>
                <w:color w:val="auto"/>
                <w:kern w:val="0"/>
                <w:szCs w:val="21"/>
              </w:rPr>
            </w:pPr>
          </w:p>
        </w:tc>
        <w:tc>
          <w:tcPr>
            <w:tcW w:w="1279" w:type="dxa"/>
            <w:vAlign w:val="center"/>
          </w:tcPr>
          <w:p>
            <w:pPr>
              <w:spacing w:line="0" w:lineRule="atLeast"/>
              <w:contextualSpacing/>
              <w:jc w:val="center"/>
              <w:rPr>
                <w:color w:val="auto"/>
                <w:kern w:val="0"/>
                <w:szCs w:val="21"/>
                <w:lang w:val="zh-CN"/>
              </w:rPr>
            </w:pPr>
            <w:r>
              <w:rPr>
                <w:color w:val="auto"/>
                <w:kern w:val="0"/>
                <w:szCs w:val="21"/>
                <w:lang w:val="zh-CN"/>
              </w:rPr>
              <w:t>硫酸盐</w:t>
            </w:r>
          </w:p>
        </w:tc>
        <w:tc>
          <w:tcPr>
            <w:tcW w:w="851" w:type="dxa"/>
            <w:vMerge w:val="continue"/>
            <w:vAlign w:val="center"/>
          </w:tcPr>
          <w:p>
            <w:pPr>
              <w:spacing w:line="0" w:lineRule="atLeast"/>
              <w:contextualSpacing/>
              <w:jc w:val="center"/>
              <w:rPr>
                <w:color w:val="auto"/>
                <w:kern w:val="0"/>
                <w:szCs w:val="21"/>
              </w:rPr>
            </w:pPr>
          </w:p>
        </w:tc>
        <w:tc>
          <w:tcPr>
            <w:tcW w:w="2797" w:type="dxa"/>
            <w:gridSpan w:val="5"/>
            <w:vAlign w:val="center"/>
          </w:tcPr>
          <w:p>
            <w:pPr>
              <w:spacing w:line="0" w:lineRule="atLeast"/>
              <w:contextualSpacing/>
              <w:jc w:val="center"/>
              <w:rPr>
                <w:color w:val="auto"/>
                <w:kern w:val="0"/>
                <w:szCs w:val="21"/>
                <w:lang w:val="zh-CN"/>
              </w:rPr>
            </w:pPr>
            <w:r>
              <w:rPr>
                <w:color w:val="auto"/>
                <w:kern w:val="0"/>
                <w:szCs w:val="21"/>
                <w:lang w:val="zh-CN"/>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727" w:type="dxa"/>
            <w:vMerge w:val="continue"/>
            <w:vAlign w:val="center"/>
          </w:tcPr>
          <w:p>
            <w:pPr>
              <w:spacing w:line="0" w:lineRule="atLeast"/>
              <w:contextualSpacing/>
              <w:jc w:val="center"/>
              <w:rPr>
                <w:color w:val="auto"/>
                <w:kern w:val="0"/>
                <w:szCs w:val="21"/>
              </w:rPr>
            </w:pPr>
          </w:p>
        </w:tc>
        <w:tc>
          <w:tcPr>
            <w:tcW w:w="2693" w:type="dxa"/>
            <w:vMerge w:val="continue"/>
            <w:vAlign w:val="center"/>
          </w:tcPr>
          <w:p>
            <w:pPr>
              <w:spacing w:line="0" w:lineRule="atLeast"/>
              <w:contextualSpacing/>
              <w:jc w:val="center"/>
              <w:rPr>
                <w:color w:val="auto"/>
                <w:kern w:val="0"/>
                <w:szCs w:val="21"/>
              </w:rPr>
            </w:pPr>
          </w:p>
        </w:tc>
        <w:tc>
          <w:tcPr>
            <w:tcW w:w="1279" w:type="dxa"/>
            <w:vAlign w:val="center"/>
          </w:tcPr>
          <w:p>
            <w:pPr>
              <w:spacing w:line="0" w:lineRule="atLeast"/>
              <w:contextualSpacing/>
              <w:jc w:val="center"/>
              <w:rPr>
                <w:color w:val="auto"/>
                <w:kern w:val="0"/>
                <w:szCs w:val="21"/>
              </w:rPr>
            </w:pPr>
            <w:r>
              <w:rPr>
                <w:color w:val="auto"/>
                <w:kern w:val="0"/>
                <w:szCs w:val="21"/>
              </w:rPr>
              <w:t>铅</w:t>
            </w:r>
          </w:p>
        </w:tc>
        <w:tc>
          <w:tcPr>
            <w:tcW w:w="851" w:type="dxa"/>
            <w:vMerge w:val="continue"/>
            <w:vAlign w:val="center"/>
          </w:tcPr>
          <w:p>
            <w:pPr>
              <w:spacing w:line="0" w:lineRule="atLeast"/>
              <w:contextualSpacing/>
              <w:jc w:val="center"/>
              <w:rPr>
                <w:color w:val="auto"/>
                <w:kern w:val="0"/>
                <w:szCs w:val="21"/>
              </w:rPr>
            </w:pPr>
          </w:p>
        </w:tc>
        <w:tc>
          <w:tcPr>
            <w:tcW w:w="2797" w:type="dxa"/>
            <w:gridSpan w:val="5"/>
            <w:vAlign w:val="center"/>
          </w:tcPr>
          <w:p>
            <w:pPr>
              <w:spacing w:line="0" w:lineRule="atLeast"/>
              <w:contextualSpacing/>
              <w:jc w:val="center"/>
              <w:rPr>
                <w:color w:val="auto"/>
                <w:kern w:val="0"/>
                <w:szCs w:val="21"/>
              </w:rPr>
            </w:pPr>
            <w:r>
              <w:rPr>
                <w:color w:val="auto"/>
                <w:kern w:val="0"/>
                <w:szCs w:val="21"/>
              </w:rPr>
              <w:t>≤0.01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88" w:type="dxa"/>
          <w:trHeight w:val="98" w:hRule="atLeast"/>
          <w:jc w:val="center"/>
        </w:trPr>
        <w:tc>
          <w:tcPr>
            <w:tcW w:w="727" w:type="dxa"/>
            <w:vMerge w:val="continue"/>
            <w:vAlign w:val="center"/>
          </w:tcPr>
          <w:p>
            <w:pPr>
              <w:spacing w:line="0" w:lineRule="atLeast"/>
              <w:contextualSpacing/>
              <w:jc w:val="center"/>
              <w:rPr>
                <w:color w:val="auto"/>
                <w:kern w:val="0"/>
                <w:szCs w:val="21"/>
              </w:rPr>
            </w:pPr>
          </w:p>
        </w:tc>
        <w:tc>
          <w:tcPr>
            <w:tcW w:w="2693" w:type="dxa"/>
            <w:vMerge w:val="continue"/>
            <w:vAlign w:val="center"/>
          </w:tcPr>
          <w:p>
            <w:pPr>
              <w:spacing w:line="0" w:lineRule="atLeast"/>
              <w:contextualSpacing/>
              <w:jc w:val="center"/>
              <w:rPr>
                <w:color w:val="auto"/>
                <w:kern w:val="0"/>
                <w:szCs w:val="21"/>
              </w:rPr>
            </w:pPr>
          </w:p>
        </w:tc>
        <w:tc>
          <w:tcPr>
            <w:tcW w:w="1279" w:type="dxa"/>
            <w:vAlign w:val="center"/>
          </w:tcPr>
          <w:p>
            <w:pPr>
              <w:spacing w:line="0" w:lineRule="atLeast"/>
              <w:contextualSpacing/>
              <w:jc w:val="center"/>
              <w:rPr>
                <w:color w:val="auto"/>
                <w:kern w:val="0"/>
                <w:szCs w:val="21"/>
              </w:rPr>
            </w:pPr>
            <w:r>
              <w:rPr>
                <w:color w:val="auto"/>
                <w:kern w:val="0"/>
                <w:szCs w:val="21"/>
              </w:rPr>
              <w:t>镉</w:t>
            </w:r>
          </w:p>
        </w:tc>
        <w:tc>
          <w:tcPr>
            <w:tcW w:w="851" w:type="dxa"/>
            <w:vMerge w:val="continue"/>
            <w:vAlign w:val="center"/>
          </w:tcPr>
          <w:p>
            <w:pPr>
              <w:widowControl/>
              <w:spacing w:line="0" w:lineRule="atLeast"/>
              <w:contextualSpacing/>
              <w:jc w:val="center"/>
              <w:rPr>
                <w:color w:val="auto"/>
                <w:szCs w:val="21"/>
              </w:rPr>
            </w:pPr>
          </w:p>
        </w:tc>
        <w:tc>
          <w:tcPr>
            <w:tcW w:w="2709" w:type="dxa"/>
            <w:gridSpan w:val="4"/>
            <w:vAlign w:val="center"/>
          </w:tcPr>
          <w:p>
            <w:pPr>
              <w:spacing w:line="0" w:lineRule="atLeast"/>
              <w:contextualSpacing/>
              <w:jc w:val="center"/>
              <w:rPr>
                <w:color w:val="auto"/>
                <w:kern w:val="0"/>
                <w:szCs w:val="21"/>
              </w:rPr>
            </w:pPr>
            <w:r>
              <w:rPr>
                <w:color w:val="auto"/>
                <w:kern w:val="0"/>
                <w:szCs w:val="21"/>
              </w:rPr>
              <w:t>≤0.005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88" w:type="dxa"/>
          <w:trHeight w:val="98" w:hRule="atLeast"/>
          <w:jc w:val="center"/>
        </w:trPr>
        <w:tc>
          <w:tcPr>
            <w:tcW w:w="727" w:type="dxa"/>
            <w:vMerge w:val="continue"/>
            <w:vAlign w:val="center"/>
          </w:tcPr>
          <w:p>
            <w:pPr>
              <w:widowControl/>
              <w:spacing w:line="0" w:lineRule="atLeast"/>
              <w:contextualSpacing/>
              <w:jc w:val="left"/>
              <w:rPr>
                <w:color w:val="auto"/>
                <w:kern w:val="0"/>
                <w:szCs w:val="21"/>
              </w:rPr>
            </w:pPr>
          </w:p>
        </w:tc>
        <w:tc>
          <w:tcPr>
            <w:tcW w:w="2693" w:type="dxa"/>
            <w:vMerge w:val="continue"/>
            <w:vAlign w:val="center"/>
          </w:tcPr>
          <w:p>
            <w:pPr>
              <w:widowControl/>
              <w:spacing w:line="0" w:lineRule="atLeast"/>
              <w:contextualSpacing/>
              <w:jc w:val="left"/>
              <w:rPr>
                <w:color w:val="auto"/>
                <w:kern w:val="0"/>
                <w:szCs w:val="21"/>
              </w:rPr>
            </w:pPr>
          </w:p>
        </w:tc>
        <w:tc>
          <w:tcPr>
            <w:tcW w:w="1279" w:type="dxa"/>
            <w:vAlign w:val="center"/>
          </w:tcPr>
          <w:p>
            <w:pPr>
              <w:spacing w:line="0" w:lineRule="atLeast"/>
              <w:contextualSpacing/>
              <w:jc w:val="center"/>
              <w:rPr>
                <w:color w:val="auto"/>
                <w:kern w:val="0"/>
                <w:szCs w:val="21"/>
              </w:rPr>
            </w:pPr>
            <w:r>
              <w:rPr>
                <w:color w:val="auto"/>
                <w:kern w:val="0"/>
                <w:szCs w:val="21"/>
              </w:rPr>
              <w:t>锰</w:t>
            </w:r>
          </w:p>
        </w:tc>
        <w:tc>
          <w:tcPr>
            <w:tcW w:w="851" w:type="dxa"/>
            <w:vMerge w:val="continue"/>
            <w:vAlign w:val="center"/>
          </w:tcPr>
          <w:p>
            <w:pPr>
              <w:spacing w:line="0" w:lineRule="atLeast"/>
              <w:contextualSpacing/>
              <w:rPr>
                <w:color w:val="auto"/>
                <w:szCs w:val="21"/>
              </w:rPr>
            </w:pPr>
          </w:p>
        </w:tc>
        <w:tc>
          <w:tcPr>
            <w:tcW w:w="2709" w:type="dxa"/>
            <w:gridSpan w:val="4"/>
            <w:vAlign w:val="center"/>
          </w:tcPr>
          <w:p>
            <w:pPr>
              <w:spacing w:line="0" w:lineRule="atLeast"/>
              <w:contextualSpacing/>
              <w:jc w:val="center"/>
              <w:rPr>
                <w:color w:val="auto"/>
                <w:kern w:val="0"/>
                <w:szCs w:val="21"/>
              </w:rPr>
            </w:pPr>
            <w:r>
              <w:rPr>
                <w:color w:val="auto"/>
                <w:kern w:val="0"/>
                <w:szCs w:val="21"/>
              </w:rPr>
              <w:t>≤0.1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88" w:type="dxa"/>
          <w:trHeight w:val="98" w:hRule="atLeast"/>
          <w:jc w:val="center"/>
        </w:trPr>
        <w:tc>
          <w:tcPr>
            <w:tcW w:w="727" w:type="dxa"/>
            <w:vMerge w:val="continue"/>
            <w:vAlign w:val="center"/>
          </w:tcPr>
          <w:p>
            <w:pPr>
              <w:widowControl/>
              <w:spacing w:line="0" w:lineRule="atLeast"/>
              <w:contextualSpacing/>
              <w:jc w:val="left"/>
              <w:rPr>
                <w:color w:val="auto"/>
                <w:kern w:val="0"/>
                <w:szCs w:val="21"/>
              </w:rPr>
            </w:pPr>
          </w:p>
        </w:tc>
        <w:tc>
          <w:tcPr>
            <w:tcW w:w="2693" w:type="dxa"/>
            <w:vMerge w:val="continue"/>
            <w:vAlign w:val="center"/>
          </w:tcPr>
          <w:p>
            <w:pPr>
              <w:widowControl/>
              <w:spacing w:line="0" w:lineRule="atLeast"/>
              <w:contextualSpacing/>
              <w:jc w:val="left"/>
              <w:rPr>
                <w:color w:val="auto"/>
                <w:kern w:val="0"/>
                <w:szCs w:val="21"/>
              </w:rPr>
            </w:pPr>
          </w:p>
        </w:tc>
        <w:tc>
          <w:tcPr>
            <w:tcW w:w="1279" w:type="dxa"/>
            <w:vAlign w:val="center"/>
          </w:tcPr>
          <w:p>
            <w:pPr>
              <w:spacing w:line="0" w:lineRule="atLeast"/>
              <w:contextualSpacing/>
              <w:jc w:val="center"/>
              <w:rPr>
                <w:color w:val="auto"/>
                <w:kern w:val="0"/>
                <w:szCs w:val="21"/>
              </w:rPr>
            </w:pPr>
            <w:r>
              <w:rPr>
                <w:color w:val="auto"/>
                <w:kern w:val="0"/>
                <w:szCs w:val="21"/>
              </w:rPr>
              <w:t>铁</w:t>
            </w:r>
          </w:p>
        </w:tc>
        <w:tc>
          <w:tcPr>
            <w:tcW w:w="851" w:type="dxa"/>
            <w:vMerge w:val="continue"/>
            <w:vAlign w:val="center"/>
          </w:tcPr>
          <w:p>
            <w:pPr>
              <w:spacing w:line="0" w:lineRule="atLeast"/>
              <w:contextualSpacing/>
              <w:rPr>
                <w:color w:val="auto"/>
                <w:szCs w:val="21"/>
              </w:rPr>
            </w:pPr>
          </w:p>
        </w:tc>
        <w:tc>
          <w:tcPr>
            <w:tcW w:w="2709" w:type="dxa"/>
            <w:gridSpan w:val="4"/>
            <w:vAlign w:val="center"/>
          </w:tcPr>
          <w:p>
            <w:pPr>
              <w:spacing w:line="0" w:lineRule="atLeast"/>
              <w:contextualSpacing/>
              <w:jc w:val="center"/>
              <w:rPr>
                <w:color w:val="auto"/>
                <w:kern w:val="0"/>
                <w:szCs w:val="21"/>
              </w:rPr>
            </w:pPr>
            <w:r>
              <w:rPr>
                <w:color w:val="auto"/>
                <w:kern w:val="0"/>
                <w:szCs w:val="21"/>
              </w:rPr>
              <w:t>≤0.3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88" w:type="dxa"/>
          <w:trHeight w:val="98" w:hRule="atLeast"/>
          <w:jc w:val="center"/>
        </w:trPr>
        <w:tc>
          <w:tcPr>
            <w:tcW w:w="727" w:type="dxa"/>
            <w:vMerge w:val="continue"/>
            <w:vAlign w:val="center"/>
          </w:tcPr>
          <w:p>
            <w:pPr>
              <w:widowControl/>
              <w:spacing w:line="0" w:lineRule="atLeast"/>
              <w:contextualSpacing/>
              <w:jc w:val="left"/>
              <w:rPr>
                <w:color w:val="auto"/>
                <w:kern w:val="0"/>
                <w:szCs w:val="21"/>
              </w:rPr>
            </w:pPr>
          </w:p>
        </w:tc>
        <w:tc>
          <w:tcPr>
            <w:tcW w:w="2693" w:type="dxa"/>
            <w:vMerge w:val="continue"/>
            <w:vAlign w:val="center"/>
          </w:tcPr>
          <w:p>
            <w:pPr>
              <w:widowControl/>
              <w:spacing w:line="0" w:lineRule="atLeast"/>
              <w:contextualSpacing/>
              <w:jc w:val="left"/>
              <w:rPr>
                <w:color w:val="auto"/>
                <w:kern w:val="0"/>
                <w:szCs w:val="21"/>
              </w:rPr>
            </w:pPr>
          </w:p>
        </w:tc>
        <w:tc>
          <w:tcPr>
            <w:tcW w:w="1279" w:type="dxa"/>
            <w:vAlign w:val="center"/>
          </w:tcPr>
          <w:p>
            <w:pPr>
              <w:spacing w:line="0" w:lineRule="atLeast"/>
              <w:contextualSpacing/>
              <w:jc w:val="center"/>
              <w:rPr>
                <w:color w:val="auto"/>
                <w:kern w:val="0"/>
                <w:szCs w:val="21"/>
              </w:rPr>
            </w:pPr>
            <w:r>
              <w:rPr>
                <w:color w:val="auto"/>
                <w:kern w:val="0"/>
                <w:szCs w:val="21"/>
              </w:rPr>
              <w:t>溶解性总固体</w:t>
            </w:r>
          </w:p>
        </w:tc>
        <w:tc>
          <w:tcPr>
            <w:tcW w:w="851" w:type="dxa"/>
            <w:vMerge w:val="continue"/>
            <w:vAlign w:val="center"/>
          </w:tcPr>
          <w:p>
            <w:pPr>
              <w:spacing w:line="0" w:lineRule="atLeast"/>
              <w:contextualSpacing/>
              <w:rPr>
                <w:color w:val="auto"/>
                <w:szCs w:val="21"/>
              </w:rPr>
            </w:pPr>
          </w:p>
        </w:tc>
        <w:tc>
          <w:tcPr>
            <w:tcW w:w="2709" w:type="dxa"/>
            <w:gridSpan w:val="4"/>
            <w:vAlign w:val="center"/>
          </w:tcPr>
          <w:p>
            <w:pPr>
              <w:spacing w:line="0" w:lineRule="atLeast"/>
              <w:contextualSpacing/>
              <w:jc w:val="center"/>
              <w:rPr>
                <w:color w:val="auto"/>
                <w:kern w:val="0"/>
                <w:szCs w:val="21"/>
              </w:rPr>
            </w:pPr>
            <w:r>
              <w:rPr>
                <w:color w:val="auto"/>
                <w:kern w:val="0"/>
                <w:szCs w:val="21"/>
              </w:rPr>
              <w:t>≤1000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88" w:type="dxa"/>
          <w:trHeight w:val="98" w:hRule="atLeast"/>
          <w:jc w:val="center"/>
        </w:trPr>
        <w:tc>
          <w:tcPr>
            <w:tcW w:w="727" w:type="dxa"/>
            <w:vMerge w:val="continue"/>
            <w:vAlign w:val="center"/>
          </w:tcPr>
          <w:p>
            <w:pPr>
              <w:widowControl/>
              <w:spacing w:line="0" w:lineRule="atLeast"/>
              <w:contextualSpacing/>
              <w:jc w:val="left"/>
              <w:rPr>
                <w:color w:val="auto"/>
                <w:kern w:val="0"/>
                <w:szCs w:val="21"/>
              </w:rPr>
            </w:pPr>
          </w:p>
        </w:tc>
        <w:tc>
          <w:tcPr>
            <w:tcW w:w="2693" w:type="dxa"/>
            <w:vMerge w:val="continue"/>
            <w:vAlign w:val="center"/>
          </w:tcPr>
          <w:p>
            <w:pPr>
              <w:widowControl/>
              <w:spacing w:line="0" w:lineRule="atLeast"/>
              <w:contextualSpacing/>
              <w:jc w:val="left"/>
              <w:rPr>
                <w:color w:val="auto"/>
                <w:kern w:val="0"/>
                <w:szCs w:val="21"/>
              </w:rPr>
            </w:pPr>
          </w:p>
        </w:tc>
        <w:tc>
          <w:tcPr>
            <w:tcW w:w="1279" w:type="dxa"/>
            <w:vAlign w:val="center"/>
          </w:tcPr>
          <w:p>
            <w:pPr>
              <w:spacing w:line="0" w:lineRule="atLeast"/>
              <w:contextualSpacing/>
              <w:jc w:val="center"/>
              <w:rPr>
                <w:color w:val="auto"/>
                <w:kern w:val="0"/>
                <w:szCs w:val="21"/>
              </w:rPr>
            </w:pPr>
            <w:r>
              <w:rPr>
                <w:color w:val="auto"/>
                <w:kern w:val="0"/>
                <w:szCs w:val="21"/>
              </w:rPr>
              <w:t>耗氧量</w:t>
            </w:r>
          </w:p>
        </w:tc>
        <w:tc>
          <w:tcPr>
            <w:tcW w:w="851" w:type="dxa"/>
            <w:vMerge w:val="continue"/>
            <w:vAlign w:val="center"/>
          </w:tcPr>
          <w:p>
            <w:pPr>
              <w:spacing w:line="0" w:lineRule="atLeast"/>
              <w:contextualSpacing/>
              <w:rPr>
                <w:color w:val="auto"/>
                <w:szCs w:val="21"/>
              </w:rPr>
            </w:pPr>
          </w:p>
        </w:tc>
        <w:tc>
          <w:tcPr>
            <w:tcW w:w="2709" w:type="dxa"/>
            <w:gridSpan w:val="4"/>
            <w:vAlign w:val="center"/>
          </w:tcPr>
          <w:p>
            <w:pPr>
              <w:spacing w:line="0" w:lineRule="atLeast"/>
              <w:contextualSpacing/>
              <w:jc w:val="center"/>
              <w:rPr>
                <w:color w:val="auto"/>
                <w:kern w:val="0"/>
                <w:szCs w:val="21"/>
              </w:rPr>
            </w:pPr>
            <w:r>
              <w:rPr>
                <w:color w:val="auto"/>
                <w:kern w:val="0"/>
                <w:szCs w:val="21"/>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88" w:type="dxa"/>
          <w:trHeight w:val="98" w:hRule="atLeast"/>
          <w:jc w:val="center"/>
        </w:trPr>
        <w:tc>
          <w:tcPr>
            <w:tcW w:w="727" w:type="dxa"/>
            <w:vMerge w:val="continue"/>
            <w:vAlign w:val="center"/>
          </w:tcPr>
          <w:p>
            <w:pPr>
              <w:widowControl/>
              <w:spacing w:line="0" w:lineRule="atLeast"/>
              <w:contextualSpacing/>
              <w:jc w:val="left"/>
              <w:rPr>
                <w:color w:val="auto"/>
                <w:kern w:val="0"/>
                <w:szCs w:val="21"/>
              </w:rPr>
            </w:pPr>
          </w:p>
        </w:tc>
        <w:tc>
          <w:tcPr>
            <w:tcW w:w="2693" w:type="dxa"/>
            <w:vMerge w:val="continue"/>
            <w:vAlign w:val="center"/>
          </w:tcPr>
          <w:p>
            <w:pPr>
              <w:widowControl/>
              <w:spacing w:line="0" w:lineRule="atLeast"/>
              <w:contextualSpacing/>
              <w:jc w:val="left"/>
              <w:rPr>
                <w:color w:val="auto"/>
                <w:kern w:val="0"/>
                <w:szCs w:val="21"/>
              </w:rPr>
            </w:pPr>
          </w:p>
        </w:tc>
        <w:tc>
          <w:tcPr>
            <w:tcW w:w="1279" w:type="dxa"/>
            <w:vAlign w:val="center"/>
          </w:tcPr>
          <w:p>
            <w:pPr>
              <w:spacing w:line="0" w:lineRule="atLeast"/>
              <w:contextualSpacing/>
              <w:jc w:val="center"/>
              <w:rPr>
                <w:color w:val="auto"/>
                <w:kern w:val="0"/>
                <w:szCs w:val="21"/>
              </w:rPr>
            </w:pPr>
            <w:r>
              <w:rPr>
                <w:color w:val="auto"/>
                <w:kern w:val="0"/>
                <w:szCs w:val="21"/>
              </w:rPr>
              <w:t>总大肠菌群</w:t>
            </w:r>
          </w:p>
        </w:tc>
        <w:tc>
          <w:tcPr>
            <w:tcW w:w="851" w:type="dxa"/>
            <w:vAlign w:val="center"/>
          </w:tcPr>
          <w:p>
            <w:pPr>
              <w:widowControl/>
              <w:spacing w:line="0" w:lineRule="atLeast"/>
              <w:contextualSpacing/>
              <w:jc w:val="center"/>
              <w:rPr>
                <w:color w:val="auto"/>
                <w:kern w:val="0"/>
                <w:szCs w:val="21"/>
              </w:rPr>
            </w:pPr>
            <w:r>
              <w:rPr>
                <w:color w:val="auto"/>
                <w:kern w:val="0"/>
                <w:szCs w:val="21"/>
              </w:rPr>
              <w:t>MPN/100mL</w:t>
            </w:r>
          </w:p>
        </w:tc>
        <w:tc>
          <w:tcPr>
            <w:tcW w:w="2709" w:type="dxa"/>
            <w:gridSpan w:val="4"/>
            <w:vAlign w:val="center"/>
          </w:tcPr>
          <w:p>
            <w:pPr>
              <w:spacing w:line="0" w:lineRule="atLeast"/>
              <w:contextualSpacing/>
              <w:jc w:val="center"/>
              <w:rPr>
                <w:color w:val="auto"/>
                <w:kern w:val="0"/>
                <w:szCs w:val="21"/>
              </w:rPr>
            </w:pPr>
            <w:r>
              <w:rPr>
                <w:color w:val="auto"/>
                <w:kern w:val="0"/>
                <w:szCs w:val="21"/>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88" w:type="dxa"/>
          <w:trHeight w:val="98" w:hRule="atLeast"/>
          <w:jc w:val="center"/>
        </w:trPr>
        <w:tc>
          <w:tcPr>
            <w:tcW w:w="727" w:type="dxa"/>
            <w:vMerge w:val="continue"/>
            <w:vAlign w:val="center"/>
          </w:tcPr>
          <w:p>
            <w:pPr>
              <w:widowControl/>
              <w:spacing w:line="0" w:lineRule="atLeast"/>
              <w:contextualSpacing/>
              <w:jc w:val="left"/>
              <w:rPr>
                <w:color w:val="auto"/>
                <w:kern w:val="0"/>
                <w:szCs w:val="21"/>
              </w:rPr>
            </w:pPr>
          </w:p>
        </w:tc>
        <w:tc>
          <w:tcPr>
            <w:tcW w:w="2693" w:type="dxa"/>
            <w:vMerge w:val="continue"/>
            <w:vAlign w:val="center"/>
          </w:tcPr>
          <w:p>
            <w:pPr>
              <w:widowControl/>
              <w:spacing w:line="0" w:lineRule="atLeast"/>
              <w:contextualSpacing/>
              <w:jc w:val="left"/>
              <w:rPr>
                <w:color w:val="auto"/>
                <w:kern w:val="0"/>
                <w:szCs w:val="21"/>
              </w:rPr>
            </w:pPr>
          </w:p>
        </w:tc>
        <w:tc>
          <w:tcPr>
            <w:tcW w:w="1279" w:type="dxa"/>
            <w:vAlign w:val="center"/>
          </w:tcPr>
          <w:p>
            <w:pPr>
              <w:spacing w:line="0" w:lineRule="atLeast"/>
              <w:contextualSpacing/>
              <w:jc w:val="center"/>
              <w:rPr>
                <w:color w:val="auto"/>
                <w:kern w:val="0"/>
                <w:szCs w:val="21"/>
              </w:rPr>
            </w:pPr>
            <w:r>
              <w:rPr>
                <w:rFonts w:hint="eastAsia"/>
                <w:color w:val="auto"/>
                <w:kern w:val="0"/>
                <w:szCs w:val="21"/>
                <w:lang w:val="en-US" w:eastAsia="zh-CN"/>
              </w:rPr>
              <w:t>菌落</w:t>
            </w:r>
            <w:r>
              <w:rPr>
                <w:color w:val="auto"/>
                <w:kern w:val="0"/>
                <w:szCs w:val="21"/>
              </w:rPr>
              <w:t>总数</w:t>
            </w:r>
          </w:p>
        </w:tc>
        <w:tc>
          <w:tcPr>
            <w:tcW w:w="851" w:type="dxa"/>
            <w:vAlign w:val="center"/>
          </w:tcPr>
          <w:p>
            <w:pPr>
              <w:widowControl/>
              <w:spacing w:line="0" w:lineRule="atLeast"/>
              <w:contextualSpacing/>
              <w:jc w:val="center"/>
              <w:rPr>
                <w:color w:val="auto"/>
                <w:kern w:val="0"/>
                <w:szCs w:val="21"/>
              </w:rPr>
            </w:pPr>
            <w:r>
              <w:rPr>
                <w:color w:val="auto"/>
                <w:kern w:val="0"/>
                <w:szCs w:val="21"/>
              </w:rPr>
              <w:t>CFU/mL</w:t>
            </w:r>
          </w:p>
        </w:tc>
        <w:tc>
          <w:tcPr>
            <w:tcW w:w="2709" w:type="dxa"/>
            <w:gridSpan w:val="4"/>
            <w:vAlign w:val="center"/>
          </w:tcPr>
          <w:p>
            <w:pPr>
              <w:spacing w:line="0" w:lineRule="atLeast"/>
              <w:contextualSpacing/>
              <w:jc w:val="center"/>
              <w:rPr>
                <w:color w:val="auto"/>
                <w:kern w:val="0"/>
                <w:szCs w:val="21"/>
              </w:rPr>
            </w:pPr>
            <w:r>
              <w:rPr>
                <w:color w:val="auto"/>
                <w:kern w:val="0"/>
                <w:szCs w:val="21"/>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88" w:type="dxa"/>
          <w:trHeight w:val="225" w:hRule="atLeast"/>
          <w:jc w:val="center"/>
        </w:trPr>
        <w:tc>
          <w:tcPr>
            <w:tcW w:w="727" w:type="dxa"/>
            <w:vMerge w:val="restart"/>
            <w:vAlign w:val="center"/>
          </w:tcPr>
          <w:p>
            <w:pPr>
              <w:spacing w:line="0" w:lineRule="atLeast"/>
              <w:contextualSpacing/>
              <w:jc w:val="center"/>
              <w:rPr>
                <w:color w:val="auto"/>
                <w:kern w:val="0"/>
                <w:szCs w:val="21"/>
              </w:rPr>
            </w:pPr>
            <w:r>
              <w:rPr>
                <w:color w:val="auto"/>
                <w:kern w:val="0"/>
                <w:szCs w:val="21"/>
              </w:rPr>
              <w:t>声环境</w:t>
            </w:r>
          </w:p>
        </w:tc>
        <w:tc>
          <w:tcPr>
            <w:tcW w:w="2693" w:type="dxa"/>
            <w:vMerge w:val="restart"/>
            <w:vAlign w:val="center"/>
          </w:tcPr>
          <w:p>
            <w:pPr>
              <w:spacing w:line="0" w:lineRule="atLeast"/>
              <w:contextualSpacing/>
              <w:jc w:val="center"/>
              <w:rPr>
                <w:color w:val="auto"/>
                <w:kern w:val="0"/>
                <w:szCs w:val="21"/>
              </w:rPr>
            </w:pPr>
            <w:r>
              <w:rPr>
                <w:color w:val="auto"/>
                <w:kern w:val="0"/>
                <w:szCs w:val="21"/>
              </w:rPr>
              <w:t>《声环境质量标准》（GB3096-2008）</w:t>
            </w:r>
            <w:r>
              <w:rPr>
                <w:rFonts w:hint="eastAsia"/>
                <w:color w:val="auto"/>
                <w:kern w:val="0"/>
                <w:szCs w:val="21"/>
              </w:rPr>
              <w:t>2</w:t>
            </w:r>
            <w:r>
              <w:rPr>
                <w:color w:val="auto"/>
                <w:kern w:val="0"/>
                <w:szCs w:val="21"/>
              </w:rPr>
              <w:t>类</w:t>
            </w:r>
          </w:p>
        </w:tc>
        <w:tc>
          <w:tcPr>
            <w:tcW w:w="1279" w:type="dxa"/>
            <w:vMerge w:val="restart"/>
            <w:vAlign w:val="center"/>
          </w:tcPr>
          <w:p>
            <w:pPr>
              <w:spacing w:line="0" w:lineRule="atLeast"/>
              <w:contextualSpacing/>
              <w:jc w:val="center"/>
              <w:rPr>
                <w:color w:val="auto"/>
                <w:kern w:val="0"/>
                <w:szCs w:val="21"/>
              </w:rPr>
            </w:pPr>
            <w:r>
              <w:rPr>
                <w:color w:val="auto"/>
                <w:kern w:val="0"/>
                <w:szCs w:val="21"/>
              </w:rPr>
              <w:t>连续等效声压级</w:t>
            </w:r>
          </w:p>
        </w:tc>
        <w:tc>
          <w:tcPr>
            <w:tcW w:w="851" w:type="dxa"/>
            <w:vMerge w:val="restart"/>
            <w:vAlign w:val="center"/>
          </w:tcPr>
          <w:p>
            <w:pPr>
              <w:spacing w:line="0" w:lineRule="atLeast"/>
              <w:contextualSpacing/>
              <w:jc w:val="center"/>
              <w:rPr>
                <w:color w:val="auto"/>
                <w:kern w:val="0"/>
                <w:szCs w:val="21"/>
              </w:rPr>
            </w:pPr>
            <w:r>
              <w:rPr>
                <w:color w:val="auto"/>
                <w:kern w:val="0"/>
                <w:szCs w:val="21"/>
              </w:rPr>
              <w:t>dB(A)</w:t>
            </w:r>
          </w:p>
        </w:tc>
        <w:tc>
          <w:tcPr>
            <w:tcW w:w="1701" w:type="dxa"/>
            <w:vAlign w:val="center"/>
          </w:tcPr>
          <w:p>
            <w:pPr>
              <w:spacing w:line="0" w:lineRule="atLeast"/>
              <w:contextualSpacing/>
              <w:jc w:val="center"/>
              <w:rPr>
                <w:color w:val="auto"/>
                <w:kern w:val="0"/>
                <w:szCs w:val="21"/>
              </w:rPr>
            </w:pPr>
            <w:r>
              <w:rPr>
                <w:color w:val="auto"/>
                <w:kern w:val="0"/>
                <w:szCs w:val="21"/>
              </w:rPr>
              <w:t>昼间</w:t>
            </w:r>
          </w:p>
        </w:tc>
        <w:tc>
          <w:tcPr>
            <w:tcW w:w="1008" w:type="dxa"/>
            <w:gridSpan w:val="3"/>
            <w:vAlign w:val="center"/>
          </w:tcPr>
          <w:p>
            <w:pPr>
              <w:spacing w:line="0" w:lineRule="atLeast"/>
              <w:contextualSpacing/>
              <w:jc w:val="center"/>
              <w:rPr>
                <w:color w:val="auto"/>
                <w:kern w:val="0"/>
                <w:szCs w:val="21"/>
              </w:rPr>
            </w:pPr>
            <w:r>
              <w:rPr>
                <w:rFonts w:hint="eastAsia"/>
                <w:color w:val="auto"/>
                <w:kern w:val="0"/>
                <w:szCs w:val="21"/>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88" w:type="dxa"/>
          <w:trHeight w:val="286" w:hRule="atLeast"/>
          <w:jc w:val="center"/>
        </w:trPr>
        <w:tc>
          <w:tcPr>
            <w:tcW w:w="727" w:type="dxa"/>
            <w:vMerge w:val="continue"/>
            <w:vAlign w:val="center"/>
          </w:tcPr>
          <w:p>
            <w:pPr>
              <w:widowControl/>
              <w:spacing w:line="0" w:lineRule="atLeast"/>
              <w:contextualSpacing/>
              <w:jc w:val="left"/>
              <w:rPr>
                <w:color w:val="auto"/>
                <w:kern w:val="0"/>
                <w:szCs w:val="21"/>
              </w:rPr>
            </w:pPr>
          </w:p>
        </w:tc>
        <w:tc>
          <w:tcPr>
            <w:tcW w:w="2693" w:type="dxa"/>
            <w:vMerge w:val="continue"/>
            <w:vAlign w:val="center"/>
          </w:tcPr>
          <w:p>
            <w:pPr>
              <w:widowControl/>
              <w:spacing w:line="0" w:lineRule="atLeast"/>
              <w:contextualSpacing/>
              <w:jc w:val="left"/>
              <w:rPr>
                <w:color w:val="auto"/>
                <w:kern w:val="0"/>
                <w:szCs w:val="21"/>
              </w:rPr>
            </w:pPr>
          </w:p>
        </w:tc>
        <w:tc>
          <w:tcPr>
            <w:tcW w:w="1279" w:type="dxa"/>
            <w:vMerge w:val="continue"/>
            <w:vAlign w:val="center"/>
          </w:tcPr>
          <w:p>
            <w:pPr>
              <w:widowControl/>
              <w:spacing w:line="0" w:lineRule="atLeast"/>
              <w:contextualSpacing/>
              <w:jc w:val="left"/>
              <w:rPr>
                <w:color w:val="auto"/>
                <w:kern w:val="0"/>
                <w:szCs w:val="21"/>
              </w:rPr>
            </w:pPr>
          </w:p>
        </w:tc>
        <w:tc>
          <w:tcPr>
            <w:tcW w:w="851" w:type="dxa"/>
            <w:vMerge w:val="continue"/>
            <w:vAlign w:val="center"/>
          </w:tcPr>
          <w:p>
            <w:pPr>
              <w:widowControl/>
              <w:spacing w:line="0" w:lineRule="atLeast"/>
              <w:contextualSpacing/>
              <w:jc w:val="left"/>
              <w:rPr>
                <w:color w:val="auto"/>
                <w:kern w:val="0"/>
                <w:szCs w:val="21"/>
              </w:rPr>
            </w:pPr>
          </w:p>
        </w:tc>
        <w:tc>
          <w:tcPr>
            <w:tcW w:w="1701" w:type="dxa"/>
            <w:vAlign w:val="center"/>
          </w:tcPr>
          <w:p>
            <w:pPr>
              <w:spacing w:line="0" w:lineRule="atLeast"/>
              <w:contextualSpacing/>
              <w:jc w:val="center"/>
              <w:rPr>
                <w:color w:val="auto"/>
                <w:kern w:val="0"/>
                <w:szCs w:val="21"/>
              </w:rPr>
            </w:pPr>
            <w:r>
              <w:rPr>
                <w:color w:val="auto"/>
                <w:kern w:val="0"/>
                <w:szCs w:val="21"/>
              </w:rPr>
              <w:t>夜间</w:t>
            </w:r>
          </w:p>
        </w:tc>
        <w:tc>
          <w:tcPr>
            <w:tcW w:w="1008" w:type="dxa"/>
            <w:gridSpan w:val="3"/>
            <w:vAlign w:val="center"/>
          </w:tcPr>
          <w:p>
            <w:pPr>
              <w:spacing w:line="0" w:lineRule="atLeast"/>
              <w:contextualSpacing/>
              <w:jc w:val="center"/>
              <w:rPr>
                <w:color w:val="auto"/>
                <w:kern w:val="0"/>
                <w:szCs w:val="21"/>
              </w:rPr>
            </w:pPr>
            <w:r>
              <w:rPr>
                <w:rFonts w:hint="eastAsia"/>
                <w:color w:val="auto"/>
                <w:kern w:val="0"/>
                <w:szCs w:val="21"/>
              </w:rPr>
              <w:t>50</w:t>
            </w:r>
          </w:p>
        </w:tc>
      </w:tr>
    </w:tbl>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2.3.2.污染物排放标准</w:t>
      </w:r>
    </w:p>
    <w:p>
      <w:pPr>
        <w:spacing w:line="360" w:lineRule="auto"/>
        <w:ind w:firstLine="480" w:firstLineChars="200"/>
        <w:rPr>
          <w:color w:val="auto"/>
          <w:sz w:val="24"/>
        </w:rPr>
      </w:pPr>
      <w:r>
        <w:rPr>
          <w:color w:val="auto"/>
          <w:sz w:val="24"/>
        </w:rPr>
        <w:t>1、废气</w:t>
      </w:r>
    </w:p>
    <w:p>
      <w:pPr>
        <w:spacing w:line="360" w:lineRule="auto"/>
        <w:ind w:firstLine="480" w:firstLineChars="200"/>
        <w:rPr>
          <w:color w:val="auto"/>
          <w:sz w:val="24"/>
        </w:rPr>
      </w:pPr>
      <w:r>
        <w:rPr>
          <w:rFonts w:hint="eastAsia"/>
          <w:color w:val="auto"/>
          <w:sz w:val="24"/>
        </w:rPr>
        <w:t>（1）施工期</w:t>
      </w:r>
    </w:p>
    <w:p>
      <w:pPr>
        <w:tabs>
          <w:tab w:val="right" w:leader="dot" w:pos="8505"/>
        </w:tabs>
        <w:spacing w:line="360" w:lineRule="auto"/>
        <w:ind w:firstLine="480" w:firstLineChars="200"/>
        <w:rPr>
          <w:color w:val="auto"/>
          <w:sz w:val="24"/>
        </w:rPr>
      </w:pPr>
      <w:r>
        <w:rPr>
          <w:color w:val="auto"/>
          <w:sz w:val="24"/>
        </w:rPr>
        <w:t>施工期施工场地扬尘排放执行《大气污染物综合排放标准》（GB16297-1996）表2无组织排放监控浓度限值要求。</w:t>
      </w:r>
    </w:p>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b/>
          <w:color w:val="auto"/>
          <w:kern w:val="0"/>
          <w:sz w:val="24"/>
        </w:rPr>
      </w:pPr>
      <w:r>
        <w:rPr>
          <w:b/>
          <w:color w:val="auto"/>
          <w:kern w:val="0"/>
          <w:sz w:val="24"/>
        </w:rPr>
        <w:t>表2-3-2《大气污染物综合排放标准》（GB16297-1996）表2要求</w:t>
      </w:r>
    </w:p>
    <w:tbl>
      <w:tblPr>
        <w:tblStyle w:val="4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25"/>
        <w:gridCol w:w="4049"/>
        <w:gridCol w:w="23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57" w:hRule="atLeast"/>
          <w:jc w:val="center"/>
        </w:trPr>
        <w:tc>
          <w:tcPr>
            <w:tcW w:w="2125" w:type="dxa"/>
            <w:vMerge w:val="restart"/>
            <w:vAlign w:val="center"/>
          </w:tcPr>
          <w:p>
            <w:pPr>
              <w:jc w:val="center"/>
              <w:rPr>
                <w:color w:val="auto"/>
                <w:szCs w:val="21"/>
              </w:rPr>
            </w:pPr>
            <w:r>
              <w:rPr>
                <w:color w:val="auto"/>
                <w:szCs w:val="21"/>
              </w:rPr>
              <w:t>污染物</w:t>
            </w:r>
          </w:p>
        </w:tc>
        <w:tc>
          <w:tcPr>
            <w:tcW w:w="6414" w:type="dxa"/>
            <w:gridSpan w:val="2"/>
            <w:vAlign w:val="center"/>
          </w:tcPr>
          <w:p>
            <w:pPr>
              <w:jc w:val="center"/>
              <w:rPr>
                <w:color w:val="auto"/>
                <w:szCs w:val="21"/>
              </w:rPr>
            </w:pPr>
            <w:r>
              <w:rPr>
                <w:color w:val="auto"/>
                <w:szCs w:val="21"/>
              </w:rPr>
              <w:t>无组织排放监控浓度限值（mg/m</w:t>
            </w:r>
            <w:r>
              <w:rPr>
                <w:color w:val="auto"/>
                <w:szCs w:val="21"/>
                <w:vertAlign w:val="superscript"/>
              </w:rPr>
              <w:t>3</w:t>
            </w: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28" w:hRule="atLeast"/>
          <w:jc w:val="center"/>
        </w:trPr>
        <w:tc>
          <w:tcPr>
            <w:tcW w:w="2125" w:type="dxa"/>
            <w:vMerge w:val="continue"/>
            <w:vAlign w:val="center"/>
          </w:tcPr>
          <w:p>
            <w:pPr>
              <w:jc w:val="center"/>
              <w:rPr>
                <w:color w:val="auto"/>
                <w:szCs w:val="21"/>
              </w:rPr>
            </w:pPr>
          </w:p>
        </w:tc>
        <w:tc>
          <w:tcPr>
            <w:tcW w:w="4049" w:type="dxa"/>
            <w:vAlign w:val="center"/>
          </w:tcPr>
          <w:p>
            <w:pPr>
              <w:jc w:val="center"/>
              <w:rPr>
                <w:color w:val="auto"/>
                <w:szCs w:val="21"/>
              </w:rPr>
            </w:pPr>
            <w:r>
              <w:rPr>
                <w:color w:val="auto"/>
                <w:szCs w:val="21"/>
              </w:rPr>
              <w:t>监控点</w:t>
            </w:r>
          </w:p>
        </w:tc>
        <w:tc>
          <w:tcPr>
            <w:tcW w:w="2366" w:type="dxa"/>
            <w:vAlign w:val="center"/>
          </w:tcPr>
          <w:p>
            <w:pPr>
              <w:jc w:val="center"/>
              <w:rPr>
                <w:color w:val="auto"/>
                <w:szCs w:val="21"/>
              </w:rPr>
            </w:pPr>
            <w:r>
              <w:rPr>
                <w:color w:val="auto"/>
                <w:szCs w:val="21"/>
              </w:rPr>
              <w:t>浓度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86" w:hRule="atLeast"/>
          <w:jc w:val="center"/>
        </w:trPr>
        <w:tc>
          <w:tcPr>
            <w:tcW w:w="2125" w:type="dxa"/>
            <w:vAlign w:val="center"/>
          </w:tcPr>
          <w:p>
            <w:pPr>
              <w:jc w:val="center"/>
              <w:rPr>
                <w:color w:val="auto"/>
                <w:szCs w:val="21"/>
              </w:rPr>
            </w:pPr>
            <w:r>
              <w:rPr>
                <w:color w:val="auto"/>
                <w:szCs w:val="21"/>
              </w:rPr>
              <w:t>颗粒物</w:t>
            </w:r>
          </w:p>
        </w:tc>
        <w:tc>
          <w:tcPr>
            <w:tcW w:w="4049" w:type="dxa"/>
            <w:vAlign w:val="center"/>
          </w:tcPr>
          <w:p>
            <w:pPr>
              <w:jc w:val="center"/>
              <w:rPr>
                <w:color w:val="auto"/>
                <w:szCs w:val="21"/>
              </w:rPr>
            </w:pPr>
            <w:r>
              <w:rPr>
                <w:color w:val="auto"/>
                <w:szCs w:val="21"/>
              </w:rPr>
              <w:t>周围外浓度最高点</w:t>
            </w:r>
          </w:p>
        </w:tc>
        <w:tc>
          <w:tcPr>
            <w:tcW w:w="2366" w:type="dxa"/>
            <w:vAlign w:val="center"/>
          </w:tcPr>
          <w:p>
            <w:pPr>
              <w:jc w:val="center"/>
              <w:rPr>
                <w:color w:val="auto"/>
                <w:szCs w:val="21"/>
              </w:rPr>
            </w:pPr>
            <w:r>
              <w:rPr>
                <w:color w:val="auto"/>
                <w:szCs w:val="21"/>
              </w:rPr>
              <w:t>1.0</w:t>
            </w:r>
          </w:p>
        </w:tc>
      </w:tr>
    </w:tbl>
    <w:p>
      <w:pPr>
        <w:spacing w:line="360" w:lineRule="auto"/>
        <w:ind w:firstLine="480" w:firstLineChars="200"/>
        <w:rPr>
          <w:color w:val="auto"/>
          <w:sz w:val="24"/>
        </w:rPr>
      </w:pPr>
      <w:r>
        <w:rPr>
          <w:rFonts w:hint="eastAsia"/>
          <w:color w:val="auto"/>
          <w:sz w:val="24"/>
        </w:rPr>
        <w:t>（2）运营期</w:t>
      </w:r>
    </w:p>
    <w:p>
      <w:pPr>
        <w:spacing w:line="360" w:lineRule="auto"/>
        <w:ind w:firstLine="480" w:firstLineChars="200"/>
        <w:rPr>
          <w:rFonts w:hint="default" w:eastAsia="宋体"/>
          <w:color w:val="auto"/>
          <w:sz w:val="24"/>
          <w:lang w:val="en-US" w:eastAsia="zh-CN"/>
        </w:rPr>
      </w:pPr>
      <w:r>
        <w:rPr>
          <w:color w:val="auto"/>
          <w:sz w:val="24"/>
        </w:rPr>
        <w:t>本项目</w:t>
      </w:r>
      <w:r>
        <w:rPr>
          <w:rFonts w:hint="eastAsia"/>
          <w:color w:val="auto"/>
          <w:sz w:val="24"/>
        </w:rPr>
        <w:t>运营期无组织</w:t>
      </w:r>
      <w:r>
        <w:rPr>
          <w:color w:val="auto"/>
          <w:sz w:val="24"/>
        </w:rPr>
        <w:t>恶臭污染物排放标准执行《恶臭污染物排放标准》（GB14554-93）表1中二级新改扩建标准，</w:t>
      </w:r>
      <w:r>
        <w:rPr>
          <w:rFonts w:hint="eastAsia"/>
          <w:bCs/>
          <w:color w:val="auto"/>
          <w:sz w:val="24"/>
        </w:rPr>
        <w:t>有组织</w:t>
      </w:r>
      <w:r>
        <w:rPr>
          <w:color w:val="auto"/>
          <w:sz w:val="24"/>
        </w:rPr>
        <w:t>恶臭污染物排放标准执行《恶臭污染物排放标准》（GB14554-93）表2标准。</w:t>
      </w:r>
      <w:r>
        <w:rPr>
          <w:rFonts w:hint="eastAsia"/>
          <w:color w:val="auto"/>
          <w:sz w:val="24"/>
        </w:rPr>
        <w:t>食堂油烟废气执行</w:t>
      </w:r>
      <w:r>
        <w:rPr>
          <w:color w:val="auto"/>
          <w:sz w:val="24"/>
        </w:rPr>
        <w:t>《饮食业油烟排放标准（试行）》（GB18483-2001）中小型食堂油烟的标准限值要求。</w:t>
      </w:r>
      <w:r>
        <w:rPr>
          <w:rFonts w:hint="eastAsia"/>
          <w:color w:val="auto"/>
          <w:sz w:val="24"/>
          <w:lang w:val="en-US" w:eastAsia="zh-CN"/>
        </w:rPr>
        <w:t>锅炉执行《锅炉大气污染物排放标准》（GB13271-2014）表3中“燃煤锅炉”大气污染物特别排放标准。</w:t>
      </w:r>
    </w:p>
    <w:p>
      <w:pPr>
        <w:spacing w:line="360" w:lineRule="auto"/>
        <w:ind w:firstLine="424" w:firstLineChars="177"/>
        <w:rPr>
          <w:color w:val="auto"/>
          <w:sz w:val="24"/>
        </w:rPr>
      </w:pPr>
      <w:r>
        <w:rPr>
          <w:color w:val="auto"/>
          <w:sz w:val="24"/>
        </w:rPr>
        <w:t>各项标准值见表2-3-3</w:t>
      </w:r>
      <w:r>
        <w:rPr>
          <w:rFonts w:hint="eastAsia"/>
          <w:color w:val="auto"/>
          <w:sz w:val="24"/>
        </w:rPr>
        <w:t>。</w:t>
      </w:r>
    </w:p>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b/>
          <w:color w:val="auto"/>
          <w:kern w:val="0"/>
          <w:sz w:val="24"/>
        </w:rPr>
      </w:pPr>
      <w:r>
        <w:rPr>
          <w:b/>
          <w:color w:val="auto"/>
          <w:kern w:val="0"/>
          <w:sz w:val="24"/>
        </w:rPr>
        <w:t>表2-3-3废气污染物排放标准一览表</w:t>
      </w:r>
    </w:p>
    <w:tbl>
      <w:tblPr>
        <w:tblStyle w:val="71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53"/>
        <w:gridCol w:w="2410"/>
        <w:gridCol w:w="18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496" w:type="pct"/>
            <w:vAlign w:val="center"/>
          </w:tcPr>
          <w:p>
            <w:pPr>
              <w:pStyle w:val="84"/>
              <w:adjustRightInd w:val="0"/>
              <w:snapToGrid w:val="0"/>
              <w:rPr>
                <w:rFonts w:hAnsi="Times New Roman"/>
                <w:snapToGrid w:val="0"/>
                <w:color w:val="auto"/>
                <w:kern w:val="0"/>
                <w:sz w:val="21"/>
              </w:rPr>
            </w:pPr>
            <w:r>
              <w:rPr>
                <w:rFonts w:hAnsi="Times New Roman"/>
                <w:snapToGrid w:val="0"/>
                <w:color w:val="auto"/>
                <w:kern w:val="0"/>
                <w:sz w:val="21"/>
              </w:rPr>
              <w:t>标准名称及级别</w:t>
            </w:r>
          </w:p>
        </w:tc>
        <w:tc>
          <w:tcPr>
            <w:tcW w:w="1414" w:type="pct"/>
            <w:vAlign w:val="center"/>
          </w:tcPr>
          <w:p>
            <w:pPr>
              <w:pStyle w:val="84"/>
              <w:adjustRightInd w:val="0"/>
              <w:snapToGrid w:val="0"/>
              <w:rPr>
                <w:rFonts w:hAnsi="Times New Roman"/>
                <w:snapToGrid w:val="0"/>
                <w:color w:val="auto"/>
                <w:kern w:val="0"/>
                <w:sz w:val="21"/>
              </w:rPr>
            </w:pPr>
            <w:r>
              <w:rPr>
                <w:rFonts w:hAnsi="Times New Roman"/>
                <w:snapToGrid w:val="0"/>
                <w:color w:val="auto"/>
                <w:kern w:val="0"/>
                <w:sz w:val="21"/>
              </w:rPr>
              <w:t>项目</w:t>
            </w:r>
          </w:p>
        </w:tc>
        <w:tc>
          <w:tcPr>
            <w:tcW w:w="1089" w:type="pct"/>
            <w:vAlign w:val="center"/>
          </w:tcPr>
          <w:p>
            <w:pPr>
              <w:pStyle w:val="84"/>
              <w:adjustRightInd w:val="0"/>
              <w:snapToGrid w:val="0"/>
              <w:rPr>
                <w:rFonts w:hAnsi="Times New Roman"/>
                <w:snapToGrid w:val="0"/>
                <w:color w:val="auto"/>
                <w:kern w:val="0"/>
                <w:sz w:val="21"/>
              </w:rPr>
            </w:pPr>
            <w:r>
              <w:rPr>
                <w:rFonts w:hAnsi="Times New Roman"/>
                <w:snapToGrid w:val="0"/>
                <w:color w:val="auto"/>
                <w:kern w:val="0"/>
                <w:sz w:val="21"/>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2496" w:type="pct"/>
            <w:vMerge w:val="restart"/>
            <w:vAlign w:val="center"/>
          </w:tcPr>
          <w:p>
            <w:pPr>
              <w:pStyle w:val="84"/>
              <w:adjustRightInd w:val="0"/>
              <w:snapToGrid w:val="0"/>
              <w:rPr>
                <w:rFonts w:hAnsi="Times New Roman"/>
                <w:snapToGrid w:val="0"/>
                <w:color w:val="auto"/>
                <w:kern w:val="0"/>
                <w:sz w:val="21"/>
              </w:rPr>
            </w:pPr>
            <w:r>
              <w:rPr>
                <w:rFonts w:hAnsi="Times New Roman"/>
                <w:snapToGrid w:val="0"/>
                <w:color w:val="auto"/>
                <w:kern w:val="0"/>
                <w:sz w:val="21"/>
              </w:rPr>
              <w:t>《恶臭污染物排放标准》（GB14554-93）表2标准</w:t>
            </w:r>
          </w:p>
        </w:tc>
        <w:tc>
          <w:tcPr>
            <w:tcW w:w="1414" w:type="pct"/>
            <w:vAlign w:val="center"/>
          </w:tcPr>
          <w:p>
            <w:pPr>
              <w:pStyle w:val="84"/>
              <w:adjustRightInd w:val="0"/>
              <w:snapToGrid w:val="0"/>
              <w:rPr>
                <w:rFonts w:hAnsi="Times New Roman"/>
                <w:snapToGrid w:val="0"/>
                <w:color w:val="auto"/>
                <w:kern w:val="0"/>
                <w:sz w:val="21"/>
              </w:rPr>
            </w:pPr>
            <w:r>
              <w:rPr>
                <w:rFonts w:hAnsi="Times New Roman"/>
                <w:snapToGrid w:val="0"/>
                <w:color w:val="auto"/>
                <w:kern w:val="0"/>
                <w:sz w:val="21"/>
              </w:rPr>
              <w:t>排气筒高度</w:t>
            </w:r>
          </w:p>
        </w:tc>
        <w:tc>
          <w:tcPr>
            <w:tcW w:w="1089" w:type="pct"/>
            <w:vAlign w:val="center"/>
          </w:tcPr>
          <w:p>
            <w:pPr>
              <w:pStyle w:val="84"/>
              <w:adjustRightInd w:val="0"/>
              <w:snapToGrid w:val="0"/>
              <w:rPr>
                <w:rFonts w:hAnsi="Times New Roman"/>
                <w:snapToGrid w:val="0"/>
                <w:color w:val="auto"/>
                <w:kern w:val="0"/>
                <w:sz w:val="21"/>
              </w:rPr>
            </w:pPr>
            <w:r>
              <w:rPr>
                <w:rFonts w:hAnsi="Times New Roman"/>
                <w:snapToGrid w:val="0"/>
                <w:color w:val="auto"/>
                <w:kern w:val="0"/>
                <w:sz w:val="21"/>
              </w:rPr>
              <w:t>15m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2496" w:type="pct"/>
            <w:vMerge w:val="continue"/>
            <w:vAlign w:val="center"/>
          </w:tcPr>
          <w:p>
            <w:pPr>
              <w:widowControl/>
              <w:adjustRightInd w:val="0"/>
              <w:snapToGrid w:val="0"/>
              <w:jc w:val="center"/>
              <w:rPr>
                <w:snapToGrid w:val="0"/>
                <w:color w:val="auto"/>
                <w:kern w:val="0"/>
                <w:sz w:val="21"/>
                <w:szCs w:val="21"/>
                <w:lang w:val="zh-CN"/>
              </w:rPr>
            </w:pPr>
          </w:p>
        </w:tc>
        <w:tc>
          <w:tcPr>
            <w:tcW w:w="1414" w:type="pct"/>
            <w:vAlign w:val="center"/>
          </w:tcPr>
          <w:p>
            <w:pPr>
              <w:pStyle w:val="84"/>
              <w:adjustRightInd w:val="0"/>
              <w:snapToGrid w:val="0"/>
              <w:rPr>
                <w:rFonts w:hAnsi="Times New Roman"/>
                <w:snapToGrid w:val="0"/>
                <w:color w:val="auto"/>
                <w:kern w:val="0"/>
                <w:sz w:val="21"/>
              </w:rPr>
            </w:pPr>
            <w:r>
              <w:rPr>
                <w:rFonts w:hAnsi="Times New Roman"/>
                <w:snapToGrid w:val="0"/>
                <w:color w:val="auto"/>
                <w:kern w:val="0"/>
                <w:sz w:val="21"/>
              </w:rPr>
              <w:t>H</w:t>
            </w:r>
            <w:r>
              <w:rPr>
                <w:rFonts w:hAnsi="Times New Roman"/>
                <w:snapToGrid w:val="0"/>
                <w:color w:val="auto"/>
                <w:kern w:val="0"/>
                <w:sz w:val="21"/>
                <w:vertAlign w:val="subscript"/>
              </w:rPr>
              <w:t>2</w:t>
            </w:r>
            <w:r>
              <w:rPr>
                <w:rFonts w:hAnsi="Times New Roman"/>
                <w:snapToGrid w:val="0"/>
                <w:color w:val="auto"/>
                <w:kern w:val="0"/>
                <w:sz w:val="21"/>
              </w:rPr>
              <w:t>S</w:t>
            </w:r>
          </w:p>
        </w:tc>
        <w:tc>
          <w:tcPr>
            <w:tcW w:w="1089" w:type="pct"/>
            <w:vAlign w:val="center"/>
          </w:tcPr>
          <w:p>
            <w:pPr>
              <w:pStyle w:val="84"/>
              <w:adjustRightInd w:val="0"/>
              <w:snapToGrid w:val="0"/>
              <w:rPr>
                <w:rFonts w:hAnsi="Times New Roman"/>
                <w:snapToGrid w:val="0"/>
                <w:color w:val="auto"/>
                <w:kern w:val="0"/>
                <w:sz w:val="21"/>
              </w:rPr>
            </w:pPr>
            <w:r>
              <w:rPr>
                <w:rFonts w:hAnsi="Times New Roman"/>
                <w:snapToGrid w:val="0"/>
                <w:color w:val="auto"/>
                <w:kern w:val="0"/>
                <w:sz w:val="21"/>
              </w:rPr>
              <w:t>0.33kg/h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2496" w:type="pct"/>
            <w:vMerge w:val="continue"/>
            <w:vAlign w:val="center"/>
          </w:tcPr>
          <w:p>
            <w:pPr>
              <w:widowControl/>
              <w:adjustRightInd w:val="0"/>
              <w:snapToGrid w:val="0"/>
              <w:jc w:val="center"/>
              <w:rPr>
                <w:snapToGrid w:val="0"/>
                <w:color w:val="auto"/>
                <w:kern w:val="0"/>
                <w:sz w:val="21"/>
                <w:szCs w:val="21"/>
                <w:lang w:val="zh-CN"/>
              </w:rPr>
            </w:pPr>
          </w:p>
        </w:tc>
        <w:tc>
          <w:tcPr>
            <w:tcW w:w="1414" w:type="pct"/>
            <w:vAlign w:val="center"/>
          </w:tcPr>
          <w:p>
            <w:pPr>
              <w:pStyle w:val="84"/>
              <w:adjustRightInd w:val="0"/>
              <w:snapToGrid w:val="0"/>
              <w:rPr>
                <w:rFonts w:hAnsi="Times New Roman"/>
                <w:snapToGrid w:val="0"/>
                <w:color w:val="auto"/>
                <w:kern w:val="0"/>
                <w:sz w:val="21"/>
              </w:rPr>
            </w:pPr>
            <w:r>
              <w:rPr>
                <w:rFonts w:hAnsi="Times New Roman"/>
                <w:snapToGrid w:val="0"/>
                <w:color w:val="auto"/>
                <w:kern w:val="0"/>
                <w:sz w:val="21"/>
              </w:rPr>
              <w:t>NH</w:t>
            </w:r>
            <w:r>
              <w:rPr>
                <w:rFonts w:hAnsi="Times New Roman"/>
                <w:snapToGrid w:val="0"/>
                <w:color w:val="auto"/>
                <w:kern w:val="0"/>
                <w:sz w:val="21"/>
                <w:vertAlign w:val="subscript"/>
              </w:rPr>
              <w:t>3</w:t>
            </w:r>
          </w:p>
        </w:tc>
        <w:tc>
          <w:tcPr>
            <w:tcW w:w="1089" w:type="pct"/>
            <w:vAlign w:val="center"/>
          </w:tcPr>
          <w:p>
            <w:pPr>
              <w:pStyle w:val="84"/>
              <w:adjustRightInd w:val="0"/>
              <w:snapToGrid w:val="0"/>
              <w:rPr>
                <w:rFonts w:hAnsi="Times New Roman"/>
                <w:snapToGrid w:val="0"/>
                <w:color w:val="auto"/>
                <w:kern w:val="0"/>
                <w:sz w:val="21"/>
              </w:rPr>
            </w:pPr>
            <w:r>
              <w:rPr>
                <w:rFonts w:hAnsi="Times New Roman"/>
                <w:snapToGrid w:val="0"/>
                <w:color w:val="auto"/>
                <w:kern w:val="0"/>
                <w:sz w:val="21"/>
              </w:rPr>
              <w:t>4.9kg/h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2496" w:type="pct"/>
            <w:vMerge w:val="continue"/>
            <w:vAlign w:val="center"/>
          </w:tcPr>
          <w:p>
            <w:pPr>
              <w:widowControl/>
              <w:adjustRightInd w:val="0"/>
              <w:snapToGrid w:val="0"/>
              <w:jc w:val="center"/>
              <w:rPr>
                <w:snapToGrid w:val="0"/>
                <w:color w:val="auto"/>
                <w:kern w:val="0"/>
                <w:sz w:val="21"/>
                <w:szCs w:val="21"/>
                <w:lang w:val="zh-CN"/>
              </w:rPr>
            </w:pPr>
          </w:p>
        </w:tc>
        <w:tc>
          <w:tcPr>
            <w:tcW w:w="1414" w:type="pct"/>
            <w:vAlign w:val="center"/>
          </w:tcPr>
          <w:p>
            <w:pPr>
              <w:pStyle w:val="84"/>
              <w:adjustRightInd w:val="0"/>
              <w:snapToGrid w:val="0"/>
              <w:rPr>
                <w:rFonts w:hAnsi="Times New Roman"/>
                <w:snapToGrid w:val="0"/>
                <w:color w:val="auto"/>
                <w:kern w:val="0"/>
                <w:sz w:val="21"/>
              </w:rPr>
            </w:pPr>
            <w:r>
              <w:rPr>
                <w:rFonts w:hAnsi="Times New Roman"/>
                <w:snapToGrid w:val="0"/>
                <w:color w:val="auto"/>
                <w:kern w:val="0"/>
                <w:sz w:val="21"/>
              </w:rPr>
              <w:t>臭气浓度</w:t>
            </w:r>
          </w:p>
        </w:tc>
        <w:tc>
          <w:tcPr>
            <w:tcW w:w="1089" w:type="pct"/>
            <w:vAlign w:val="center"/>
          </w:tcPr>
          <w:p>
            <w:pPr>
              <w:pStyle w:val="84"/>
              <w:adjustRightInd w:val="0"/>
              <w:snapToGrid w:val="0"/>
              <w:rPr>
                <w:rFonts w:hAnsi="Times New Roman"/>
                <w:snapToGrid w:val="0"/>
                <w:color w:val="auto"/>
                <w:kern w:val="0"/>
                <w:sz w:val="21"/>
              </w:rPr>
            </w:pPr>
            <w:r>
              <w:rPr>
                <w:rFonts w:hint="eastAsia" w:hAnsi="Times New Roman"/>
                <w:snapToGrid w:val="0"/>
                <w:color w:val="auto"/>
                <w:kern w:val="0"/>
                <w:sz w:val="21"/>
              </w:rPr>
              <w:t>2000（无量纲）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96" w:type="pct"/>
            <w:vMerge w:val="restart"/>
            <w:vAlign w:val="center"/>
          </w:tcPr>
          <w:p>
            <w:pPr>
              <w:pStyle w:val="84"/>
              <w:adjustRightInd w:val="0"/>
              <w:snapToGrid w:val="0"/>
              <w:rPr>
                <w:rFonts w:hAnsi="Times New Roman"/>
                <w:snapToGrid w:val="0"/>
                <w:color w:val="auto"/>
                <w:kern w:val="0"/>
                <w:sz w:val="21"/>
              </w:rPr>
            </w:pPr>
            <w:r>
              <w:rPr>
                <w:rFonts w:hAnsi="Times New Roman"/>
                <w:snapToGrid w:val="0"/>
                <w:color w:val="auto"/>
                <w:kern w:val="0"/>
                <w:sz w:val="21"/>
              </w:rPr>
              <w:t>《恶臭污染物排放标准》（GB14554-1993）表1中二级新改扩建标准</w:t>
            </w:r>
          </w:p>
        </w:tc>
        <w:tc>
          <w:tcPr>
            <w:tcW w:w="1414" w:type="pct"/>
            <w:vAlign w:val="center"/>
          </w:tcPr>
          <w:p>
            <w:pPr>
              <w:pStyle w:val="84"/>
              <w:adjustRightInd w:val="0"/>
              <w:snapToGrid w:val="0"/>
              <w:rPr>
                <w:rFonts w:hAnsi="Times New Roman"/>
                <w:snapToGrid w:val="0"/>
                <w:color w:val="auto"/>
                <w:kern w:val="0"/>
                <w:sz w:val="21"/>
              </w:rPr>
            </w:pPr>
            <w:r>
              <w:rPr>
                <w:rFonts w:hAnsi="Times New Roman"/>
                <w:snapToGrid w:val="0"/>
                <w:color w:val="auto"/>
                <w:kern w:val="0"/>
                <w:sz w:val="21"/>
              </w:rPr>
              <w:t>H</w:t>
            </w:r>
            <w:r>
              <w:rPr>
                <w:rFonts w:hAnsi="Times New Roman"/>
                <w:snapToGrid w:val="0"/>
                <w:color w:val="auto"/>
                <w:kern w:val="0"/>
                <w:sz w:val="21"/>
                <w:vertAlign w:val="subscript"/>
              </w:rPr>
              <w:t>2</w:t>
            </w:r>
            <w:r>
              <w:rPr>
                <w:rFonts w:hAnsi="Times New Roman"/>
                <w:snapToGrid w:val="0"/>
                <w:color w:val="auto"/>
                <w:kern w:val="0"/>
                <w:sz w:val="21"/>
              </w:rPr>
              <w:t>S</w:t>
            </w:r>
          </w:p>
        </w:tc>
        <w:tc>
          <w:tcPr>
            <w:tcW w:w="1089" w:type="pct"/>
            <w:vAlign w:val="center"/>
          </w:tcPr>
          <w:p>
            <w:pPr>
              <w:pStyle w:val="84"/>
              <w:adjustRightInd w:val="0"/>
              <w:snapToGrid w:val="0"/>
              <w:rPr>
                <w:rFonts w:hAnsi="Times New Roman"/>
                <w:snapToGrid w:val="0"/>
                <w:color w:val="auto"/>
                <w:kern w:val="0"/>
                <w:sz w:val="21"/>
              </w:rPr>
            </w:pPr>
            <w:r>
              <w:rPr>
                <w:rFonts w:hAnsi="Times New Roman"/>
                <w:snapToGrid w:val="0"/>
                <w:color w:val="auto"/>
                <w:kern w:val="0"/>
                <w:sz w:val="21"/>
              </w:rPr>
              <w:t>0.06mg/m</w:t>
            </w:r>
            <w:r>
              <w:rPr>
                <w:rFonts w:hAnsi="Times New Roman"/>
                <w:snapToGrid w:val="0"/>
                <w:color w:val="auto"/>
                <w:kern w:val="0"/>
                <w:sz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2496" w:type="pct"/>
            <w:vMerge w:val="continue"/>
            <w:vAlign w:val="center"/>
          </w:tcPr>
          <w:p>
            <w:pPr>
              <w:widowControl/>
              <w:adjustRightInd w:val="0"/>
              <w:snapToGrid w:val="0"/>
              <w:jc w:val="center"/>
              <w:rPr>
                <w:snapToGrid w:val="0"/>
                <w:color w:val="auto"/>
                <w:kern w:val="0"/>
                <w:sz w:val="21"/>
                <w:szCs w:val="21"/>
                <w:lang w:val="zh-CN"/>
              </w:rPr>
            </w:pPr>
          </w:p>
        </w:tc>
        <w:tc>
          <w:tcPr>
            <w:tcW w:w="1414" w:type="pct"/>
            <w:vAlign w:val="center"/>
          </w:tcPr>
          <w:p>
            <w:pPr>
              <w:pStyle w:val="84"/>
              <w:adjustRightInd w:val="0"/>
              <w:snapToGrid w:val="0"/>
              <w:rPr>
                <w:rFonts w:hAnsi="Times New Roman"/>
                <w:snapToGrid w:val="0"/>
                <w:color w:val="auto"/>
                <w:kern w:val="0"/>
                <w:sz w:val="21"/>
              </w:rPr>
            </w:pPr>
            <w:r>
              <w:rPr>
                <w:rFonts w:hAnsi="Times New Roman"/>
                <w:snapToGrid w:val="0"/>
                <w:color w:val="auto"/>
                <w:kern w:val="0"/>
                <w:sz w:val="21"/>
              </w:rPr>
              <w:t>NH</w:t>
            </w:r>
            <w:r>
              <w:rPr>
                <w:rFonts w:hAnsi="Times New Roman"/>
                <w:snapToGrid w:val="0"/>
                <w:color w:val="auto"/>
                <w:kern w:val="0"/>
                <w:sz w:val="21"/>
                <w:vertAlign w:val="subscript"/>
              </w:rPr>
              <w:t>3</w:t>
            </w:r>
          </w:p>
        </w:tc>
        <w:tc>
          <w:tcPr>
            <w:tcW w:w="1089" w:type="pct"/>
            <w:vAlign w:val="center"/>
          </w:tcPr>
          <w:p>
            <w:pPr>
              <w:pStyle w:val="84"/>
              <w:adjustRightInd w:val="0"/>
              <w:snapToGrid w:val="0"/>
              <w:rPr>
                <w:rFonts w:hAnsi="Times New Roman"/>
                <w:snapToGrid w:val="0"/>
                <w:color w:val="auto"/>
                <w:kern w:val="0"/>
                <w:sz w:val="21"/>
              </w:rPr>
            </w:pPr>
            <w:r>
              <w:rPr>
                <w:rFonts w:hAnsi="Times New Roman"/>
                <w:snapToGrid w:val="0"/>
                <w:color w:val="auto"/>
                <w:kern w:val="0"/>
                <w:sz w:val="21"/>
              </w:rPr>
              <w:t>1.5mg/m</w:t>
            </w:r>
            <w:r>
              <w:rPr>
                <w:rFonts w:hAnsi="Times New Roman"/>
                <w:snapToGrid w:val="0"/>
                <w:color w:val="auto"/>
                <w:kern w:val="0"/>
                <w:sz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2496" w:type="pct"/>
            <w:vMerge w:val="continue"/>
            <w:vAlign w:val="center"/>
          </w:tcPr>
          <w:p>
            <w:pPr>
              <w:widowControl/>
              <w:adjustRightInd w:val="0"/>
              <w:snapToGrid w:val="0"/>
              <w:jc w:val="center"/>
              <w:rPr>
                <w:snapToGrid w:val="0"/>
                <w:color w:val="auto"/>
                <w:kern w:val="0"/>
                <w:sz w:val="21"/>
                <w:szCs w:val="21"/>
                <w:lang w:val="zh-CN"/>
              </w:rPr>
            </w:pPr>
          </w:p>
        </w:tc>
        <w:tc>
          <w:tcPr>
            <w:tcW w:w="1414" w:type="pct"/>
            <w:vAlign w:val="center"/>
          </w:tcPr>
          <w:p>
            <w:pPr>
              <w:pStyle w:val="84"/>
              <w:adjustRightInd w:val="0"/>
              <w:snapToGrid w:val="0"/>
              <w:rPr>
                <w:rFonts w:hAnsi="Times New Roman"/>
                <w:snapToGrid w:val="0"/>
                <w:color w:val="auto"/>
                <w:kern w:val="0"/>
                <w:sz w:val="21"/>
              </w:rPr>
            </w:pPr>
            <w:r>
              <w:rPr>
                <w:rFonts w:hAnsi="Times New Roman"/>
                <w:snapToGrid w:val="0"/>
                <w:color w:val="auto"/>
                <w:kern w:val="0"/>
                <w:sz w:val="21"/>
              </w:rPr>
              <w:t>臭气浓度</w:t>
            </w:r>
          </w:p>
        </w:tc>
        <w:tc>
          <w:tcPr>
            <w:tcW w:w="1089" w:type="pct"/>
            <w:vAlign w:val="center"/>
          </w:tcPr>
          <w:p>
            <w:pPr>
              <w:pStyle w:val="84"/>
              <w:adjustRightInd w:val="0"/>
              <w:snapToGrid w:val="0"/>
              <w:rPr>
                <w:rFonts w:hAnsi="Times New Roman"/>
                <w:snapToGrid w:val="0"/>
                <w:color w:val="auto"/>
                <w:kern w:val="0"/>
                <w:sz w:val="21"/>
              </w:rPr>
            </w:pPr>
            <w:r>
              <w:rPr>
                <w:rFonts w:hint="eastAsia" w:hAnsi="Times New Roman"/>
                <w:snapToGrid w:val="0"/>
                <w:color w:val="auto"/>
                <w:kern w:val="0"/>
                <w:sz w:val="21"/>
              </w:rPr>
              <w:t>20（无量纲）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2496" w:type="pct"/>
            <w:vMerge w:val="restart"/>
            <w:vAlign w:val="center"/>
          </w:tcPr>
          <w:p>
            <w:pPr>
              <w:pStyle w:val="84"/>
              <w:adjustRightInd w:val="0"/>
              <w:snapToGrid w:val="0"/>
              <w:rPr>
                <w:snapToGrid w:val="0"/>
                <w:color w:val="auto"/>
                <w:kern w:val="0"/>
                <w:sz w:val="21"/>
                <w:lang w:val="zh-CN"/>
              </w:rPr>
            </w:pPr>
            <w:r>
              <w:rPr>
                <w:rFonts w:hAnsi="Times New Roman"/>
                <w:snapToGrid w:val="0"/>
                <w:color w:val="auto"/>
                <w:kern w:val="0"/>
                <w:sz w:val="21"/>
              </w:rPr>
              <w:t>《饮食业油烟排放标准（试行）》（</w:t>
            </w:r>
            <w:r>
              <w:rPr>
                <w:rFonts w:hAnsi="Times New Roman"/>
                <w:bCs/>
                <w:snapToGrid w:val="0"/>
                <w:color w:val="auto"/>
                <w:kern w:val="0"/>
                <w:sz w:val="21"/>
              </w:rPr>
              <w:t>GB18483-2001</w:t>
            </w:r>
            <w:r>
              <w:rPr>
                <w:rFonts w:hAnsi="Times New Roman"/>
                <w:snapToGrid w:val="0"/>
                <w:color w:val="auto"/>
                <w:kern w:val="0"/>
                <w:sz w:val="21"/>
              </w:rPr>
              <w:t>）</w:t>
            </w:r>
          </w:p>
        </w:tc>
        <w:tc>
          <w:tcPr>
            <w:tcW w:w="1414" w:type="pct"/>
            <w:vAlign w:val="center"/>
          </w:tcPr>
          <w:p>
            <w:pPr>
              <w:widowControl/>
              <w:adjustRightInd w:val="0"/>
              <w:snapToGrid w:val="0"/>
              <w:jc w:val="center"/>
              <w:textAlignment w:val="center"/>
              <w:outlineLvl w:val="2"/>
              <w:rPr>
                <w:b/>
                <w:bCs/>
                <w:snapToGrid w:val="0"/>
                <w:color w:val="auto"/>
                <w:kern w:val="11"/>
                <w:sz w:val="21"/>
                <w:szCs w:val="21"/>
              </w:rPr>
            </w:pPr>
            <w:r>
              <w:rPr>
                <w:bCs/>
                <w:snapToGrid w:val="0"/>
                <w:color w:val="auto"/>
                <w:kern w:val="11"/>
                <w:sz w:val="21"/>
                <w:szCs w:val="21"/>
              </w:rPr>
              <w:t>最高允许排放浓度</w:t>
            </w:r>
          </w:p>
        </w:tc>
        <w:tc>
          <w:tcPr>
            <w:tcW w:w="1089" w:type="pct"/>
            <w:vAlign w:val="center"/>
          </w:tcPr>
          <w:p>
            <w:pPr>
              <w:pStyle w:val="84"/>
              <w:adjustRightInd w:val="0"/>
              <w:snapToGrid w:val="0"/>
              <w:rPr>
                <w:rFonts w:hAnsi="Times New Roman"/>
                <w:snapToGrid w:val="0"/>
                <w:color w:val="auto"/>
                <w:kern w:val="0"/>
                <w:sz w:val="21"/>
              </w:rPr>
            </w:pPr>
            <w:r>
              <w:rPr>
                <w:rFonts w:hint="eastAsia" w:hAnsi="Times New Roman"/>
                <w:snapToGrid w:val="0"/>
                <w:color w:val="auto"/>
                <w:kern w:val="0"/>
                <w:sz w:val="21"/>
              </w:rPr>
              <w:t>2.0</w:t>
            </w:r>
            <w:r>
              <w:rPr>
                <w:rFonts w:hAnsi="Times New Roman"/>
                <w:bCs/>
                <w:snapToGrid w:val="0"/>
                <w:color w:val="auto"/>
                <w:kern w:val="0"/>
                <w:sz w:val="21"/>
              </w:rPr>
              <w:t>mg/m</w:t>
            </w:r>
            <w:r>
              <w:rPr>
                <w:rFonts w:hAnsi="Times New Roman"/>
                <w:bCs/>
                <w:snapToGrid w:val="0"/>
                <w:color w:val="auto"/>
                <w:kern w:val="0"/>
                <w:sz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2496" w:type="pct"/>
            <w:vMerge w:val="continue"/>
            <w:vAlign w:val="center"/>
          </w:tcPr>
          <w:p>
            <w:pPr>
              <w:widowControl/>
              <w:adjustRightInd w:val="0"/>
              <w:snapToGrid w:val="0"/>
              <w:jc w:val="center"/>
              <w:rPr>
                <w:snapToGrid w:val="0"/>
                <w:color w:val="auto"/>
                <w:kern w:val="0"/>
                <w:sz w:val="21"/>
                <w:szCs w:val="21"/>
                <w:lang w:val="zh-CN"/>
              </w:rPr>
            </w:pPr>
          </w:p>
        </w:tc>
        <w:tc>
          <w:tcPr>
            <w:tcW w:w="1414" w:type="pct"/>
            <w:vAlign w:val="center"/>
          </w:tcPr>
          <w:p>
            <w:pPr>
              <w:widowControl/>
              <w:adjustRightInd w:val="0"/>
              <w:snapToGrid w:val="0"/>
              <w:jc w:val="center"/>
              <w:textAlignment w:val="center"/>
              <w:outlineLvl w:val="2"/>
              <w:rPr>
                <w:bCs/>
                <w:snapToGrid w:val="0"/>
                <w:color w:val="auto"/>
                <w:kern w:val="11"/>
                <w:sz w:val="21"/>
                <w:szCs w:val="21"/>
              </w:rPr>
            </w:pPr>
            <w:r>
              <w:rPr>
                <w:bCs/>
                <w:snapToGrid w:val="0"/>
                <w:color w:val="auto"/>
                <w:kern w:val="11"/>
                <w:sz w:val="21"/>
                <w:szCs w:val="21"/>
              </w:rPr>
              <w:t>净化设施最低去除效率</w:t>
            </w:r>
          </w:p>
        </w:tc>
        <w:tc>
          <w:tcPr>
            <w:tcW w:w="1089" w:type="pct"/>
            <w:vAlign w:val="center"/>
          </w:tcPr>
          <w:p>
            <w:pPr>
              <w:pStyle w:val="84"/>
              <w:adjustRightInd w:val="0"/>
              <w:snapToGrid w:val="0"/>
              <w:rPr>
                <w:rFonts w:hAnsi="Times New Roman"/>
                <w:snapToGrid w:val="0"/>
                <w:color w:val="auto"/>
                <w:kern w:val="0"/>
                <w:sz w:val="21"/>
              </w:rPr>
            </w:pPr>
            <w:r>
              <w:rPr>
                <w:rFonts w:hint="eastAsia" w:hAnsi="Times New Roman"/>
                <w:snapToGrid w:val="0"/>
                <w:color w:val="auto"/>
                <w:kern w:val="0"/>
                <w:sz w:val="21"/>
              </w:rPr>
              <w:t>60%（小型）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2496" w:type="pct"/>
            <w:vMerge w:val="restart"/>
            <w:vAlign w:val="center"/>
          </w:tcPr>
          <w:p>
            <w:pPr>
              <w:widowControl/>
              <w:adjustRightInd w:val="0"/>
              <w:snapToGrid w:val="0"/>
              <w:jc w:val="center"/>
              <w:rPr>
                <w:snapToGrid w:val="0"/>
                <w:color w:val="auto"/>
                <w:kern w:val="0"/>
                <w:sz w:val="21"/>
                <w:szCs w:val="21"/>
                <w:lang w:val="zh-CN"/>
              </w:rPr>
            </w:pPr>
            <w:r>
              <w:rPr>
                <w:rFonts w:hint="eastAsia"/>
                <w:snapToGrid w:val="0"/>
                <w:color w:val="auto"/>
                <w:kern w:val="0"/>
                <w:sz w:val="21"/>
                <w:szCs w:val="21"/>
                <w:lang w:val="zh-CN" w:eastAsia="zh-CN"/>
              </w:rPr>
              <w:t>《锅炉大气污染物排放标准》（GB13271-2014）</w:t>
            </w:r>
          </w:p>
        </w:tc>
        <w:tc>
          <w:tcPr>
            <w:tcW w:w="1414" w:type="pct"/>
            <w:vAlign w:val="center"/>
          </w:tcPr>
          <w:p>
            <w:pPr>
              <w:widowControl/>
              <w:adjustRightInd w:val="0"/>
              <w:snapToGrid w:val="0"/>
              <w:jc w:val="center"/>
              <w:textAlignment w:val="center"/>
              <w:outlineLvl w:val="2"/>
              <w:rPr>
                <w:rFonts w:hint="eastAsia" w:eastAsia="宋体"/>
                <w:bCs/>
                <w:snapToGrid w:val="0"/>
                <w:color w:val="auto"/>
                <w:kern w:val="11"/>
                <w:sz w:val="21"/>
                <w:szCs w:val="21"/>
                <w:lang w:val="en-US" w:eastAsia="zh-CN"/>
              </w:rPr>
            </w:pPr>
            <w:r>
              <w:rPr>
                <w:rFonts w:hint="eastAsia"/>
                <w:bCs/>
                <w:snapToGrid w:val="0"/>
                <w:color w:val="auto"/>
                <w:kern w:val="11"/>
                <w:sz w:val="21"/>
                <w:szCs w:val="21"/>
                <w:lang w:val="en-US" w:eastAsia="zh-CN"/>
              </w:rPr>
              <w:t>颗粒物</w:t>
            </w:r>
          </w:p>
        </w:tc>
        <w:tc>
          <w:tcPr>
            <w:tcW w:w="1089" w:type="pct"/>
            <w:vAlign w:val="center"/>
          </w:tcPr>
          <w:p>
            <w:pPr>
              <w:pStyle w:val="84"/>
              <w:adjustRightInd w:val="0"/>
              <w:snapToGrid w:val="0"/>
              <w:rPr>
                <w:rFonts w:hint="default" w:hAnsi="Times New Roman" w:eastAsia="宋体"/>
                <w:snapToGrid w:val="0"/>
                <w:color w:val="auto"/>
                <w:kern w:val="0"/>
                <w:sz w:val="21"/>
                <w:lang w:val="en-US" w:eastAsia="zh-CN"/>
              </w:rPr>
            </w:pPr>
            <w:r>
              <w:rPr>
                <w:rFonts w:hint="eastAsia" w:hAnsi="Times New Roman"/>
                <w:snapToGrid w:val="0"/>
                <w:color w:val="auto"/>
                <w:kern w:val="0"/>
                <w:sz w:val="21"/>
                <w:lang w:val="en-US" w:eastAsia="zh-CN"/>
              </w:rPr>
              <w:t>30</w:t>
            </w:r>
            <w:r>
              <w:rPr>
                <w:rFonts w:hAnsi="Times New Roman"/>
                <w:bCs/>
                <w:snapToGrid w:val="0"/>
                <w:color w:val="auto"/>
                <w:kern w:val="0"/>
                <w:sz w:val="21"/>
              </w:rPr>
              <w:t>mg/m</w:t>
            </w:r>
            <w:r>
              <w:rPr>
                <w:rFonts w:hAnsi="Times New Roman"/>
                <w:bCs/>
                <w:snapToGrid w:val="0"/>
                <w:color w:val="auto"/>
                <w:kern w:val="0"/>
                <w:sz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2496" w:type="pct"/>
            <w:vMerge w:val="continue"/>
            <w:vAlign w:val="center"/>
          </w:tcPr>
          <w:p>
            <w:pPr>
              <w:widowControl/>
              <w:adjustRightInd w:val="0"/>
              <w:snapToGrid w:val="0"/>
              <w:jc w:val="center"/>
              <w:rPr>
                <w:rFonts w:hint="eastAsia"/>
                <w:snapToGrid w:val="0"/>
                <w:color w:val="auto"/>
                <w:kern w:val="0"/>
                <w:sz w:val="21"/>
                <w:szCs w:val="21"/>
                <w:lang w:val="zh-CN" w:eastAsia="zh-CN"/>
              </w:rPr>
            </w:pPr>
          </w:p>
        </w:tc>
        <w:tc>
          <w:tcPr>
            <w:tcW w:w="1414" w:type="pct"/>
            <w:vAlign w:val="center"/>
          </w:tcPr>
          <w:p>
            <w:pPr>
              <w:widowControl/>
              <w:adjustRightInd w:val="0"/>
              <w:snapToGrid w:val="0"/>
              <w:jc w:val="center"/>
              <w:textAlignment w:val="center"/>
              <w:outlineLvl w:val="2"/>
              <w:rPr>
                <w:rFonts w:hint="eastAsia" w:eastAsia="宋体"/>
                <w:bCs/>
                <w:snapToGrid w:val="0"/>
                <w:color w:val="auto"/>
                <w:kern w:val="11"/>
                <w:sz w:val="21"/>
                <w:szCs w:val="21"/>
                <w:lang w:val="en-US" w:eastAsia="zh-CN"/>
              </w:rPr>
            </w:pPr>
            <w:r>
              <w:rPr>
                <w:rFonts w:hint="eastAsia"/>
                <w:bCs/>
                <w:snapToGrid w:val="0"/>
                <w:color w:val="auto"/>
                <w:kern w:val="11"/>
                <w:sz w:val="21"/>
                <w:szCs w:val="21"/>
                <w:lang w:val="en-US" w:eastAsia="zh-CN"/>
              </w:rPr>
              <w:t>二氧化硫</w:t>
            </w:r>
          </w:p>
        </w:tc>
        <w:tc>
          <w:tcPr>
            <w:tcW w:w="1089" w:type="pct"/>
            <w:vAlign w:val="center"/>
          </w:tcPr>
          <w:p>
            <w:pPr>
              <w:pStyle w:val="84"/>
              <w:adjustRightInd w:val="0"/>
              <w:snapToGrid w:val="0"/>
              <w:rPr>
                <w:rFonts w:hint="default" w:hAnsi="Times New Roman" w:eastAsia="宋体"/>
                <w:snapToGrid w:val="0"/>
                <w:color w:val="auto"/>
                <w:kern w:val="0"/>
                <w:sz w:val="21"/>
                <w:lang w:val="en-US" w:eastAsia="zh-CN"/>
              </w:rPr>
            </w:pPr>
            <w:r>
              <w:rPr>
                <w:rFonts w:hint="eastAsia" w:hAnsi="Times New Roman"/>
                <w:snapToGrid w:val="0"/>
                <w:color w:val="auto"/>
                <w:kern w:val="0"/>
                <w:sz w:val="21"/>
                <w:lang w:val="en-US" w:eastAsia="zh-CN"/>
              </w:rPr>
              <w:t>200</w:t>
            </w:r>
            <w:r>
              <w:rPr>
                <w:rFonts w:hAnsi="Times New Roman"/>
                <w:bCs/>
                <w:snapToGrid w:val="0"/>
                <w:color w:val="auto"/>
                <w:kern w:val="0"/>
                <w:sz w:val="21"/>
              </w:rPr>
              <w:t>mg/m</w:t>
            </w:r>
            <w:r>
              <w:rPr>
                <w:rFonts w:hAnsi="Times New Roman"/>
                <w:bCs/>
                <w:snapToGrid w:val="0"/>
                <w:color w:val="auto"/>
                <w:kern w:val="0"/>
                <w:sz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2496" w:type="pct"/>
            <w:vMerge w:val="continue"/>
            <w:vAlign w:val="center"/>
          </w:tcPr>
          <w:p>
            <w:pPr>
              <w:widowControl/>
              <w:adjustRightInd w:val="0"/>
              <w:snapToGrid w:val="0"/>
              <w:jc w:val="center"/>
              <w:rPr>
                <w:rFonts w:hint="eastAsia"/>
                <w:snapToGrid w:val="0"/>
                <w:color w:val="auto"/>
                <w:kern w:val="0"/>
                <w:sz w:val="21"/>
                <w:szCs w:val="21"/>
                <w:lang w:val="zh-CN" w:eastAsia="zh-CN"/>
              </w:rPr>
            </w:pPr>
          </w:p>
        </w:tc>
        <w:tc>
          <w:tcPr>
            <w:tcW w:w="1414" w:type="pct"/>
            <w:vAlign w:val="center"/>
          </w:tcPr>
          <w:p>
            <w:pPr>
              <w:widowControl/>
              <w:adjustRightInd w:val="0"/>
              <w:snapToGrid w:val="0"/>
              <w:jc w:val="center"/>
              <w:textAlignment w:val="center"/>
              <w:outlineLvl w:val="2"/>
              <w:rPr>
                <w:rFonts w:hint="eastAsia" w:eastAsia="宋体"/>
                <w:bCs/>
                <w:snapToGrid w:val="0"/>
                <w:color w:val="auto"/>
                <w:kern w:val="11"/>
                <w:sz w:val="21"/>
                <w:szCs w:val="21"/>
                <w:lang w:val="en-US" w:eastAsia="zh-CN"/>
              </w:rPr>
            </w:pPr>
            <w:r>
              <w:rPr>
                <w:rFonts w:hint="eastAsia"/>
                <w:bCs/>
                <w:snapToGrid w:val="0"/>
                <w:color w:val="auto"/>
                <w:kern w:val="11"/>
                <w:sz w:val="21"/>
                <w:szCs w:val="21"/>
                <w:lang w:val="en-US" w:eastAsia="zh-CN"/>
              </w:rPr>
              <w:t>氮氧化物</w:t>
            </w:r>
          </w:p>
        </w:tc>
        <w:tc>
          <w:tcPr>
            <w:tcW w:w="1089" w:type="pct"/>
            <w:vAlign w:val="center"/>
          </w:tcPr>
          <w:p>
            <w:pPr>
              <w:pStyle w:val="84"/>
              <w:adjustRightInd w:val="0"/>
              <w:snapToGrid w:val="0"/>
              <w:rPr>
                <w:rFonts w:hint="default" w:hAnsi="Times New Roman" w:eastAsia="宋体"/>
                <w:snapToGrid w:val="0"/>
                <w:color w:val="auto"/>
                <w:kern w:val="0"/>
                <w:sz w:val="21"/>
                <w:lang w:val="en-US" w:eastAsia="zh-CN"/>
              </w:rPr>
            </w:pPr>
            <w:r>
              <w:rPr>
                <w:rFonts w:hint="eastAsia" w:hAnsi="Times New Roman"/>
                <w:snapToGrid w:val="0"/>
                <w:color w:val="auto"/>
                <w:kern w:val="0"/>
                <w:sz w:val="21"/>
                <w:lang w:val="en-US" w:eastAsia="zh-CN"/>
              </w:rPr>
              <w:t>200</w:t>
            </w:r>
            <w:r>
              <w:rPr>
                <w:rFonts w:hAnsi="Times New Roman"/>
                <w:bCs/>
                <w:snapToGrid w:val="0"/>
                <w:color w:val="auto"/>
                <w:kern w:val="0"/>
                <w:sz w:val="21"/>
              </w:rPr>
              <w:t>mg/m</w:t>
            </w:r>
            <w:r>
              <w:rPr>
                <w:rFonts w:hAnsi="Times New Roman"/>
                <w:bCs/>
                <w:snapToGrid w:val="0"/>
                <w:color w:val="auto"/>
                <w:kern w:val="0"/>
                <w:sz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2496" w:type="pct"/>
            <w:vMerge w:val="continue"/>
            <w:vAlign w:val="center"/>
          </w:tcPr>
          <w:p>
            <w:pPr>
              <w:widowControl/>
              <w:adjustRightInd w:val="0"/>
              <w:snapToGrid w:val="0"/>
              <w:jc w:val="center"/>
              <w:rPr>
                <w:snapToGrid w:val="0"/>
                <w:color w:val="auto"/>
                <w:kern w:val="0"/>
                <w:sz w:val="21"/>
                <w:szCs w:val="21"/>
                <w:lang w:val="zh-CN"/>
              </w:rPr>
            </w:pPr>
          </w:p>
        </w:tc>
        <w:tc>
          <w:tcPr>
            <w:tcW w:w="1414" w:type="pct"/>
            <w:vAlign w:val="center"/>
          </w:tcPr>
          <w:p>
            <w:pPr>
              <w:widowControl/>
              <w:adjustRightInd w:val="0"/>
              <w:snapToGrid w:val="0"/>
              <w:jc w:val="center"/>
              <w:textAlignment w:val="center"/>
              <w:outlineLvl w:val="2"/>
              <w:rPr>
                <w:rFonts w:hint="eastAsia" w:eastAsia="宋体"/>
                <w:bCs/>
                <w:snapToGrid w:val="0"/>
                <w:color w:val="auto"/>
                <w:kern w:val="11"/>
                <w:sz w:val="21"/>
                <w:szCs w:val="21"/>
                <w:lang w:val="en-US" w:eastAsia="zh-CN"/>
              </w:rPr>
            </w:pPr>
            <w:r>
              <w:rPr>
                <w:rFonts w:hint="eastAsia"/>
                <w:bCs/>
                <w:snapToGrid w:val="0"/>
                <w:color w:val="auto"/>
                <w:kern w:val="11"/>
                <w:sz w:val="21"/>
                <w:szCs w:val="21"/>
                <w:lang w:val="en-US" w:eastAsia="zh-CN"/>
              </w:rPr>
              <w:t>烟气黑度</w:t>
            </w:r>
          </w:p>
        </w:tc>
        <w:tc>
          <w:tcPr>
            <w:tcW w:w="1089" w:type="pct"/>
            <w:vAlign w:val="center"/>
          </w:tcPr>
          <w:p>
            <w:pPr>
              <w:pStyle w:val="84"/>
              <w:adjustRightInd w:val="0"/>
              <w:snapToGrid w:val="0"/>
              <w:rPr>
                <w:rFonts w:hint="eastAsia" w:hAnsi="Times New Roman"/>
                <w:snapToGrid w:val="0"/>
                <w:color w:val="auto"/>
                <w:kern w:val="0"/>
                <w:sz w:val="21"/>
              </w:rPr>
            </w:pPr>
            <w:r>
              <w:rPr>
                <w:rFonts w:hint="eastAsia" w:hAnsi="Times New Roman"/>
                <w:snapToGrid w:val="0"/>
                <w:color w:val="auto"/>
                <w:kern w:val="0"/>
                <w:sz w:val="21"/>
              </w:rPr>
              <w:t>≤1级</w:t>
            </w:r>
          </w:p>
        </w:tc>
      </w:tr>
    </w:tbl>
    <w:p>
      <w:pPr>
        <w:spacing w:line="360" w:lineRule="auto"/>
        <w:ind w:firstLine="480" w:firstLineChars="200"/>
        <w:rPr>
          <w:color w:val="auto"/>
          <w:sz w:val="24"/>
        </w:rPr>
      </w:pPr>
      <w:r>
        <w:rPr>
          <w:color w:val="auto"/>
          <w:sz w:val="24"/>
        </w:rPr>
        <w:t>2、水污染物排放标准</w:t>
      </w:r>
    </w:p>
    <w:p>
      <w:pPr>
        <w:spacing w:line="360" w:lineRule="auto"/>
        <w:ind w:firstLine="480" w:firstLineChars="200"/>
        <w:rPr>
          <w:color w:val="auto"/>
          <w:sz w:val="24"/>
        </w:rPr>
      </w:pPr>
      <w:r>
        <w:rPr>
          <w:color w:val="auto"/>
          <w:sz w:val="24"/>
        </w:rPr>
        <w:t>（1）施工期</w:t>
      </w:r>
    </w:p>
    <w:p>
      <w:pPr>
        <w:spacing w:line="360" w:lineRule="auto"/>
        <w:ind w:firstLine="480" w:firstLineChars="200"/>
        <w:rPr>
          <w:color w:val="auto"/>
          <w:sz w:val="24"/>
          <w:highlight w:val="none"/>
        </w:rPr>
      </w:pPr>
      <w:r>
        <w:rPr>
          <w:color w:val="auto"/>
          <w:sz w:val="24"/>
          <w:highlight w:val="none"/>
        </w:rPr>
        <w:t>本项目施工期生活污水排入防渗旱厕，定期清掏，外运堆肥，不外排。</w:t>
      </w:r>
    </w:p>
    <w:p>
      <w:pPr>
        <w:spacing w:line="360" w:lineRule="auto"/>
        <w:ind w:firstLine="480" w:firstLineChars="200"/>
        <w:rPr>
          <w:color w:val="auto"/>
          <w:sz w:val="24"/>
        </w:rPr>
      </w:pPr>
      <w:r>
        <w:rPr>
          <w:color w:val="auto"/>
          <w:sz w:val="24"/>
        </w:rPr>
        <w:t>（2）运营期</w:t>
      </w:r>
    </w:p>
    <w:p>
      <w:pPr>
        <w:widowControl/>
        <w:tabs>
          <w:tab w:val="right" w:leader="dot" w:pos="8505"/>
        </w:tabs>
        <w:adjustRightInd w:val="0"/>
        <w:snapToGrid w:val="0"/>
        <w:spacing w:line="360" w:lineRule="auto"/>
        <w:ind w:firstLine="480" w:firstLineChars="200"/>
        <w:jc w:val="both"/>
        <w:rPr>
          <w:color w:val="auto"/>
          <w:kern w:val="0"/>
          <w:sz w:val="24"/>
        </w:rPr>
      </w:pPr>
      <w:r>
        <w:rPr>
          <w:color w:val="auto"/>
          <w:kern w:val="0"/>
          <w:sz w:val="24"/>
        </w:rPr>
        <w:t>本项目运营期产生的所有废水均排入厂区污水处理站处理后</w:t>
      </w:r>
      <w:r>
        <w:rPr>
          <w:color w:val="auto"/>
          <w:kern w:val="0"/>
          <w:sz w:val="24"/>
          <w:highlight w:val="none"/>
        </w:rPr>
        <w:t>，</w:t>
      </w:r>
      <w:r>
        <w:rPr>
          <w:rFonts w:hint="eastAsia"/>
          <w:color w:val="auto"/>
          <w:kern w:val="0"/>
          <w:sz w:val="24"/>
          <w:highlight w:val="none"/>
          <w:lang w:val="en-US" w:eastAsia="zh-CN"/>
        </w:rPr>
        <w:t>拉运至</w:t>
      </w:r>
      <w:r>
        <w:rPr>
          <w:rFonts w:hint="eastAsia"/>
          <w:color w:val="auto"/>
          <w:kern w:val="0"/>
          <w:sz w:val="24"/>
          <w:highlight w:val="none"/>
          <w:lang w:eastAsia="zh-CN"/>
        </w:rPr>
        <w:t>尚志</w:t>
      </w:r>
      <w:r>
        <w:rPr>
          <w:rFonts w:hint="eastAsia"/>
          <w:color w:val="auto"/>
          <w:kern w:val="0"/>
          <w:sz w:val="24"/>
          <w:lang w:eastAsia="zh-CN"/>
        </w:rPr>
        <w:t>污水处理厂</w:t>
      </w:r>
      <w:r>
        <w:rPr>
          <w:color w:val="auto"/>
          <w:kern w:val="0"/>
          <w:sz w:val="24"/>
        </w:rPr>
        <w:t>进一步处理后排入</w:t>
      </w:r>
      <w:r>
        <w:rPr>
          <w:rFonts w:hint="eastAsia"/>
          <w:color w:val="auto"/>
          <w:kern w:val="0"/>
          <w:sz w:val="24"/>
        </w:rPr>
        <w:t>乌珠河，汇入蚂蚁河</w:t>
      </w:r>
      <w:r>
        <w:rPr>
          <w:color w:val="auto"/>
          <w:kern w:val="0"/>
          <w:sz w:val="24"/>
        </w:rPr>
        <w:t>。项目废水经厂区污水处理站处理后达到《肉类加工工业水污染物排放标准》（GB13457-92）表3三级畜类屠宰加工标准限值。</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color w:val="auto"/>
          <w:sz w:val="24"/>
        </w:rPr>
      </w:pPr>
      <w:r>
        <w:rPr>
          <w:b/>
          <w:bCs/>
          <w:color w:val="auto"/>
          <w:sz w:val="24"/>
        </w:rPr>
        <w:t>表2-</w:t>
      </w:r>
      <w:r>
        <w:rPr>
          <w:rFonts w:hint="eastAsia"/>
          <w:b/>
          <w:bCs/>
          <w:color w:val="auto"/>
          <w:sz w:val="24"/>
        </w:rPr>
        <w:t>3</w:t>
      </w:r>
      <w:r>
        <w:rPr>
          <w:b/>
          <w:bCs/>
          <w:color w:val="auto"/>
          <w:sz w:val="24"/>
        </w:rPr>
        <w:t>-</w:t>
      </w:r>
      <w:r>
        <w:rPr>
          <w:rFonts w:hint="eastAsia"/>
          <w:b/>
          <w:bCs/>
          <w:color w:val="auto"/>
          <w:sz w:val="24"/>
        </w:rPr>
        <w:t>4</w:t>
      </w:r>
      <w:r>
        <w:rPr>
          <w:b/>
          <w:bCs/>
          <w:color w:val="auto"/>
          <w:sz w:val="24"/>
        </w:rPr>
        <w:t xml:space="preserve">  水污染物排放标准</w:t>
      </w:r>
    </w:p>
    <w:tbl>
      <w:tblPr>
        <w:tblStyle w:val="46"/>
        <w:tblW w:w="4999"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084"/>
        <w:gridCol w:w="2926"/>
        <w:gridCol w:w="251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cantSplit/>
          <w:trHeight w:val="569" w:hRule="atLeast"/>
        </w:trPr>
        <w:tc>
          <w:tcPr>
            <w:tcW w:w="1810" w:type="pct"/>
            <w:vMerge w:val="restart"/>
            <w:vAlign w:val="center"/>
          </w:tcPr>
          <w:p>
            <w:pPr>
              <w:jc w:val="center"/>
              <w:rPr>
                <w:color w:val="auto"/>
                <w:szCs w:val="21"/>
              </w:rPr>
            </w:pPr>
            <w:r>
              <w:rPr>
                <w:color w:val="auto"/>
                <w:szCs w:val="21"/>
              </w:rPr>
              <w:t>污染物</w:t>
            </w:r>
          </w:p>
        </w:tc>
        <w:tc>
          <w:tcPr>
            <w:tcW w:w="3190" w:type="pct"/>
            <w:gridSpan w:val="2"/>
          </w:tcPr>
          <w:p>
            <w:pPr>
              <w:jc w:val="center"/>
              <w:rPr>
                <w:color w:val="auto"/>
                <w:szCs w:val="21"/>
              </w:rPr>
            </w:pPr>
            <w:r>
              <w:rPr>
                <w:color w:val="auto"/>
                <w:szCs w:val="21"/>
              </w:rPr>
              <w:t>《肉类加工工业水污染物排放标准》（GB13457-92）表3三级畜类屠宰加工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88" w:hRule="atLeast"/>
        </w:trPr>
        <w:tc>
          <w:tcPr>
            <w:tcW w:w="1810" w:type="pct"/>
            <w:vMerge w:val="continue"/>
          </w:tcPr>
          <w:p>
            <w:pPr>
              <w:jc w:val="center"/>
              <w:rPr>
                <w:color w:val="auto"/>
                <w:szCs w:val="21"/>
              </w:rPr>
            </w:pPr>
          </w:p>
        </w:tc>
        <w:tc>
          <w:tcPr>
            <w:tcW w:w="1717" w:type="pct"/>
          </w:tcPr>
          <w:p>
            <w:pPr>
              <w:jc w:val="center"/>
              <w:rPr>
                <w:color w:val="auto"/>
                <w:szCs w:val="21"/>
              </w:rPr>
            </w:pPr>
            <w:r>
              <w:rPr>
                <w:color w:val="auto"/>
                <w:szCs w:val="21"/>
              </w:rPr>
              <w:t>排放浓度（mg/L）</w:t>
            </w:r>
          </w:p>
        </w:tc>
        <w:tc>
          <w:tcPr>
            <w:tcW w:w="1473" w:type="pct"/>
          </w:tcPr>
          <w:p>
            <w:pPr>
              <w:jc w:val="center"/>
              <w:rPr>
                <w:color w:val="auto"/>
                <w:szCs w:val="21"/>
              </w:rPr>
            </w:pPr>
            <w:r>
              <w:rPr>
                <w:color w:val="auto"/>
                <w:szCs w:val="21"/>
              </w:rPr>
              <w:t>排放总量(kg/t活屠重)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37" w:hRule="atLeast"/>
        </w:trPr>
        <w:tc>
          <w:tcPr>
            <w:tcW w:w="1810" w:type="pct"/>
          </w:tcPr>
          <w:p>
            <w:pPr>
              <w:jc w:val="center"/>
              <w:rPr>
                <w:color w:val="auto"/>
                <w:szCs w:val="21"/>
              </w:rPr>
            </w:pPr>
            <w:r>
              <w:rPr>
                <w:color w:val="auto"/>
                <w:szCs w:val="21"/>
              </w:rPr>
              <w:t>悬浮物</w:t>
            </w:r>
          </w:p>
        </w:tc>
        <w:tc>
          <w:tcPr>
            <w:tcW w:w="1717" w:type="pct"/>
          </w:tcPr>
          <w:p>
            <w:pPr>
              <w:jc w:val="center"/>
              <w:rPr>
                <w:color w:val="auto"/>
                <w:szCs w:val="21"/>
              </w:rPr>
            </w:pPr>
            <w:r>
              <w:rPr>
                <w:color w:val="auto"/>
                <w:szCs w:val="21"/>
              </w:rPr>
              <w:t>400</w:t>
            </w:r>
          </w:p>
        </w:tc>
        <w:tc>
          <w:tcPr>
            <w:tcW w:w="1473" w:type="pct"/>
          </w:tcPr>
          <w:p>
            <w:pPr>
              <w:jc w:val="center"/>
              <w:rPr>
                <w:color w:val="auto"/>
                <w:szCs w:val="21"/>
              </w:rPr>
            </w:pPr>
            <w:r>
              <w:rPr>
                <w:color w:val="auto"/>
                <w:szCs w:val="21"/>
              </w:rPr>
              <w:t>2.6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37" w:hRule="atLeast"/>
        </w:trPr>
        <w:tc>
          <w:tcPr>
            <w:tcW w:w="1810" w:type="pct"/>
          </w:tcPr>
          <w:p>
            <w:pPr>
              <w:jc w:val="center"/>
              <w:rPr>
                <w:color w:val="auto"/>
                <w:szCs w:val="21"/>
              </w:rPr>
            </w:pPr>
            <w:r>
              <w:rPr>
                <w:color w:val="auto"/>
                <w:szCs w:val="21"/>
              </w:rPr>
              <w:t>BOD</w:t>
            </w:r>
            <w:r>
              <w:rPr>
                <w:color w:val="auto"/>
                <w:szCs w:val="21"/>
                <w:vertAlign w:val="subscript"/>
              </w:rPr>
              <w:t>5</w:t>
            </w:r>
          </w:p>
        </w:tc>
        <w:tc>
          <w:tcPr>
            <w:tcW w:w="1717" w:type="pct"/>
          </w:tcPr>
          <w:p>
            <w:pPr>
              <w:jc w:val="center"/>
              <w:rPr>
                <w:color w:val="auto"/>
                <w:szCs w:val="21"/>
              </w:rPr>
            </w:pPr>
            <w:r>
              <w:rPr>
                <w:color w:val="auto"/>
                <w:szCs w:val="21"/>
              </w:rPr>
              <w:t>300</w:t>
            </w:r>
          </w:p>
        </w:tc>
        <w:tc>
          <w:tcPr>
            <w:tcW w:w="1473" w:type="pct"/>
          </w:tcPr>
          <w:p>
            <w:pPr>
              <w:jc w:val="center"/>
              <w:rPr>
                <w:color w:val="auto"/>
                <w:szCs w:val="21"/>
              </w:rPr>
            </w:pPr>
            <w:r>
              <w:rPr>
                <w:color w:val="auto"/>
                <w:szCs w:val="21"/>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37" w:hRule="atLeast"/>
        </w:trPr>
        <w:tc>
          <w:tcPr>
            <w:tcW w:w="1810" w:type="pct"/>
          </w:tcPr>
          <w:p>
            <w:pPr>
              <w:jc w:val="center"/>
              <w:rPr>
                <w:color w:val="auto"/>
                <w:szCs w:val="21"/>
              </w:rPr>
            </w:pPr>
            <w:r>
              <w:rPr>
                <w:color w:val="auto"/>
                <w:szCs w:val="21"/>
              </w:rPr>
              <w:t>COD</w:t>
            </w:r>
          </w:p>
        </w:tc>
        <w:tc>
          <w:tcPr>
            <w:tcW w:w="1717" w:type="pct"/>
          </w:tcPr>
          <w:p>
            <w:pPr>
              <w:jc w:val="center"/>
              <w:rPr>
                <w:color w:val="auto"/>
                <w:szCs w:val="21"/>
              </w:rPr>
            </w:pPr>
            <w:r>
              <w:rPr>
                <w:color w:val="auto"/>
                <w:szCs w:val="21"/>
              </w:rPr>
              <w:t>500</w:t>
            </w:r>
          </w:p>
        </w:tc>
        <w:tc>
          <w:tcPr>
            <w:tcW w:w="1473" w:type="pct"/>
          </w:tcPr>
          <w:p>
            <w:pPr>
              <w:jc w:val="center"/>
              <w:rPr>
                <w:color w:val="auto"/>
                <w:szCs w:val="21"/>
              </w:rPr>
            </w:pPr>
            <w:r>
              <w:rPr>
                <w:color w:val="auto"/>
                <w:szCs w:val="21"/>
              </w:rPr>
              <w:t>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46" w:hRule="atLeast"/>
        </w:trPr>
        <w:tc>
          <w:tcPr>
            <w:tcW w:w="1810" w:type="pct"/>
          </w:tcPr>
          <w:p>
            <w:pPr>
              <w:jc w:val="center"/>
              <w:rPr>
                <w:color w:val="auto"/>
                <w:szCs w:val="21"/>
              </w:rPr>
            </w:pPr>
            <w:r>
              <w:rPr>
                <w:color w:val="auto"/>
                <w:szCs w:val="21"/>
              </w:rPr>
              <w:t>动植物油</w:t>
            </w:r>
          </w:p>
        </w:tc>
        <w:tc>
          <w:tcPr>
            <w:tcW w:w="1717" w:type="pct"/>
          </w:tcPr>
          <w:p>
            <w:pPr>
              <w:jc w:val="center"/>
              <w:rPr>
                <w:color w:val="auto"/>
                <w:szCs w:val="21"/>
              </w:rPr>
            </w:pPr>
            <w:r>
              <w:rPr>
                <w:color w:val="auto"/>
                <w:szCs w:val="21"/>
              </w:rPr>
              <w:t>60</w:t>
            </w:r>
          </w:p>
        </w:tc>
        <w:tc>
          <w:tcPr>
            <w:tcW w:w="1473" w:type="pct"/>
          </w:tcPr>
          <w:p>
            <w:pPr>
              <w:jc w:val="center"/>
              <w:rPr>
                <w:color w:val="auto"/>
                <w:szCs w:val="21"/>
              </w:rPr>
            </w:pPr>
            <w:r>
              <w:rPr>
                <w:color w:val="auto"/>
                <w:szCs w:val="21"/>
              </w:rPr>
              <w:t>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37" w:hRule="atLeast"/>
        </w:trPr>
        <w:tc>
          <w:tcPr>
            <w:tcW w:w="1810" w:type="pct"/>
          </w:tcPr>
          <w:p>
            <w:pPr>
              <w:jc w:val="center"/>
              <w:rPr>
                <w:color w:val="auto"/>
                <w:szCs w:val="21"/>
              </w:rPr>
            </w:pPr>
            <w:r>
              <w:rPr>
                <w:color w:val="auto"/>
                <w:szCs w:val="21"/>
              </w:rPr>
              <w:t>氨氮</w:t>
            </w:r>
          </w:p>
        </w:tc>
        <w:tc>
          <w:tcPr>
            <w:tcW w:w="1717" w:type="pct"/>
          </w:tcPr>
          <w:p>
            <w:pPr>
              <w:jc w:val="center"/>
              <w:rPr>
                <w:color w:val="auto"/>
                <w:szCs w:val="21"/>
              </w:rPr>
            </w:pPr>
            <w:r>
              <w:rPr>
                <w:color w:val="auto"/>
                <w:szCs w:val="21"/>
              </w:rPr>
              <w:t>——</w:t>
            </w:r>
          </w:p>
        </w:tc>
        <w:tc>
          <w:tcPr>
            <w:tcW w:w="1473" w:type="pct"/>
          </w:tcPr>
          <w:p>
            <w:pPr>
              <w:jc w:val="center"/>
              <w:rPr>
                <w:color w:val="auto"/>
                <w:szCs w:val="21"/>
              </w:rPr>
            </w:pP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37" w:hRule="atLeast"/>
        </w:trPr>
        <w:tc>
          <w:tcPr>
            <w:tcW w:w="1810" w:type="pct"/>
          </w:tcPr>
          <w:p>
            <w:pPr>
              <w:jc w:val="center"/>
              <w:rPr>
                <w:color w:val="auto"/>
                <w:szCs w:val="21"/>
              </w:rPr>
            </w:pPr>
            <w:r>
              <w:rPr>
                <w:color w:val="auto"/>
                <w:szCs w:val="21"/>
              </w:rPr>
              <w:t>pH</w:t>
            </w:r>
          </w:p>
        </w:tc>
        <w:tc>
          <w:tcPr>
            <w:tcW w:w="1717" w:type="pct"/>
          </w:tcPr>
          <w:p>
            <w:pPr>
              <w:jc w:val="center"/>
              <w:rPr>
                <w:color w:val="auto"/>
                <w:szCs w:val="21"/>
              </w:rPr>
            </w:pPr>
            <w:r>
              <w:rPr>
                <w:color w:val="auto"/>
                <w:szCs w:val="21"/>
              </w:rPr>
              <w:t>6.0～8.5</w:t>
            </w:r>
          </w:p>
        </w:tc>
        <w:tc>
          <w:tcPr>
            <w:tcW w:w="1473" w:type="pct"/>
          </w:tcPr>
          <w:p>
            <w:pPr>
              <w:jc w:val="center"/>
              <w:rPr>
                <w:color w:val="auto"/>
                <w:szCs w:val="21"/>
              </w:rPr>
            </w:pP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37" w:hRule="atLeast"/>
        </w:trPr>
        <w:tc>
          <w:tcPr>
            <w:tcW w:w="1810" w:type="pct"/>
          </w:tcPr>
          <w:p>
            <w:pPr>
              <w:jc w:val="center"/>
              <w:rPr>
                <w:color w:val="auto"/>
                <w:szCs w:val="21"/>
              </w:rPr>
            </w:pPr>
            <w:r>
              <w:rPr>
                <w:color w:val="auto"/>
                <w:szCs w:val="21"/>
              </w:rPr>
              <w:t>大肠菌群个数，个/L</w:t>
            </w:r>
          </w:p>
        </w:tc>
        <w:tc>
          <w:tcPr>
            <w:tcW w:w="1717" w:type="pct"/>
          </w:tcPr>
          <w:p>
            <w:pPr>
              <w:jc w:val="center"/>
              <w:rPr>
                <w:color w:val="auto"/>
                <w:szCs w:val="21"/>
              </w:rPr>
            </w:pPr>
            <w:r>
              <w:rPr>
                <w:color w:val="auto"/>
                <w:szCs w:val="21"/>
              </w:rPr>
              <w:t>——</w:t>
            </w:r>
          </w:p>
        </w:tc>
        <w:tc>
          <w:tcPr>
            <w:tcW w:w="1473" w:type="pct"/>
          </w:tcPr>
          <w:p>
            <w:pPr>
              <w:jc w:val="center"/>
              <w:rPr>
                <w:color w:val="auto"/>
                <w:szCs w:val="21"/>
              </w:rPr>
            </w:pP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46" w:hRule="atLeast"/>
        </w:trPr>
        <w:tc>
          <w:tcPr>
            <w:tcW w:w="1810" w:type="pct"/>
          </w:tcPr>
          <w:p>
            <w:pPr>
              <w:jc w:val="center"/>
              <w:rPr>
                <w:color w:val="auto"/>
                <w:szCs w:val="21"/>
              </w:rPr>
            </w:pPr>
            <w:r>
              <w:rPr>
                <w:color w:val="auto"/>
                <w:szCs w:val="21"/>
              </w:rPr>
              <w:t>排水量m</w:t>
            </w:r>
            <w:r>
              <w:rPr>
                <w:color w:val="auto"/>
                <w:szCs w:val="21"/>
                <w:vertAlign w:val="superscript"/>
              </w:rPr>
              <w:t>3</w:t>
            </w:r>
            <w:r>
              <w:rPr>
                <w:color w:val="auto"/>
                <w:szCs w:val="21"/>
              </w:rPr>
              <w:t>/t（活屠重）</w:t>
            </w:r>
          </w:p>
        </w:tc>
        <w:tc>
          <w:tcPr>
            <w:tcW w:w="1717" w:type="pct"/>
          </w:tcPr>
          <w:p>
            <w:pPr>
              <w:jc w:val="center"/>
              <w:rPr>
                <w:color w:val="auto"/>
                <w:szCs w:val="21"/>
              </w:rPr>
            </w:pPr>
            <w:r>
              <w:rPr>
                <w:color w:val="auto"/>
                <w:szCs w:val="21"/>
              </w:rPr>
              <w:t>——</w:t>
            </w:r>
          </w:p>
        </w:tc>
        <w:tc>
          <w:tcPr>
            <w:tcW w:w="1473" w:type="pct"/>
          </w:tcPr>
          <w:p>
            <w:pPr>
              <w:jc w:val="center"/>
              <w:rPr>
                <w:color w:val="auto"/>
                <w:szCs w:val="21"/>
              </w:rPr>
            </w:pPr>
            <w:r>
              <w:rPr>
                <w:color w:val="auto"/>
                <w:szCs w:val="21"/>
              </w:rPr>
              <w:t>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46" w:hRule="atLeast"/>
        </w:trPr>
        <w:tc>
          <w:tcPr>
            <w:tcW w:w="1810" w:type="pct"/>
          </w:tcPr>
          <w:p>
            <w:pPr>
              <w:jc w:val="center"/>
              <w:rPr>
                <w:color w:val="auto"/>
                <w:szCs w:val="21"/>
              </w:rPr>
            </w:pPr>
            <w:r>
              <w:rPr>
                <w:color w:val="auto"/>
                <w:szCs w:val="21"/>
              </w:rPr>
              <w:t>油脂回收率，%</w:t>
            </w:r>
          </w:p>
        </w:tc>
        <w:tc>
          <w:tcPr>
            <w:tcW w:w="1717" w:type="pct"/>
          </w:tcPr>
          <w:p>
            <w:pPr>
              <w:jc w:val="center"/>
              <w:rPr>
                <w:color w:val="auto"/>
                <w:szCs w:val="21"/>
              </w:rPr>
            </w:pPr>
            <w:r>
              <w:rPr>
                <w:color w:val="auto"/>
                <w:szCs w:val="21"/>
              </w:rPr>
              <w:t>——</w:t>
            </w:r>
          </w:p>
        </w:tc>
        <w:tc>
          <w:tcPr>
            <w:tcW w:w="1473" w:type="pct"/>
          </w:tcPr>
          <w:p>
            <w:pPr>
              <w:jc w:val="center"/>
              <w:rPr>
                <w:color w:val="auto"/>
                <w:szCs w:val="21"/>
              </w:rPr>
            </w:pPr>
            <w:r>
              <w:rPr>
                <w:color w:val="auto"/>
                <w:szCs w:val="21"/>
              </w:rPr>
              <w:t>＞75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46" w:hRule="atLeast"/>
        </w:trPr>
        <w:tc>
          <w:tcPr>
            <w:tcW w:w="1810" w:type="pct"/>
          </w:tcPr>
          <w:p>
            <w:pPr>
              <w:jc w:val="center"/>
              <w:rPr>
                <w:color w:val="auto"/>
                <w:szCs w:val="21"/>
              </w:rPr>
            </w:pPr>
            <w:r>
              <w:rPr>
                <w:color w:val="auto"/>
                <w:szCs w:val="21"/>
              </w:rPr>
              <w:t>血液回收率，%</w:t>
            </w:r>
          </w:p>
        </w:tc>
        <w:tc>
          <w:tcPr>
            <w:tcW w:w="1717" w:type="pct"/>
          </w:tcPr>
          <w:p>
            <w:pPr>
              <w:jc w:val="center"/>
              <w:rPr>
                <w:color w:val="auto"/>
                <w:szCs w:val="21"/>
              </w:rPr>
            </w:pPr>
            <w:r>
              <w:rPr>
                <w:color w:val="auto"/>
                <w:szCs w:val="21"/>
              </w:rPr>
              <w:t>——</w:t>
            </w:r>
          </w:p>
        </w:tc>
        <w:tc>
          <w:tcPr>
            <w:tcW w:w="1473" w:type="pct"/>
          </w:tcPr>
          <w:p>
            <w:pPr>
              <w:jc w:val="center"/>
              <w:rPr>
                <w:color w:val="auto"/>
                <w:szCs w:val="21"/>
              </w:rPr>
            </w:pPr>
            <w:r>
              <w:rPr>
                <w:color w:val="auto"/>
                <w:szCs w:val="21"/>
              </w:rPr>
              <w:t>＞80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46" w:hRule="atLeast"/>
        </w:trPr>
        <w:tc>
          <w:tcPr>
            <w:tcW w:w="1810" w:type="pct"/>
          </w:tcPr>
          <w:p>
            <w:pPr>
              <w:jc w:val="center"/>
              <w:rPr>
                <w:color w:val="auto"/>
                <w:szCs w:val="21"/>
              </w:rPr>
            </w:pPr>
            <w:r>
              <w:rPr>
                <w:color w:val="auto"/>
                <w:szCs w:val="21"/>
              </w:rPr>
              <w:t>肠胃内容物回收率，%</w:t>
            </w:r>
          </w:p>
        </w:tc>
        <w:tc>
          <w:tcPr>
            <w:tcW w:w="1717" w:type="pct"/>
          </w:tcPr>
          <w:p>
            <w:pPr>
              <w:jc w:val="center"/>
              <w:rPr>
                <w:color w:val="auto"/>
                <w:szCs w:val="21"/>
              </w:rPr>
            </w:pPr>
            <w:r>
              <w:rPr>
                <w:color w:val="auto"/>
                <w:szCs w:val="21"/>
              </w:rPr>
              <w:t>——</w:t>
            </w:r>
          </w:p>
        </w:tc>
        <w:tc>
          <w:tcPr>
            <w:tcW w:w="1473" w:type="pct"/>
          </w:tcPr>
          <w:p>
            <w:pPr>
              <w:jc w:val="center"/>
              <w:rPr>
                <w:color w:val="auto"/>
                <w:szCs w:val="21"/>
              </w:rPr>
            </w:pPr>
            <w:r>
              <w:rPr>
                <w:color w:val="auto"/>
                <w:szCs w:val="21"/>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46" w:hRule="atLeast"/>
        </w:trPr>
        <w:tc>
          <w:tcPr>
            <w:tcW w:w="1810" w:type="pct"/>
          </w:tcPr>
          <w:p>
            <w:pPr>
              <w:jc w:val="center"/>
              <w:rPr>
                <w:color w:val="auto"/>
                <w:szCs w:val="21"/>
              </w:rPr>
            </w:pPr>
            <w:r>
              <w:rPr>
                <w:color w:val="auto"/>
                <w:szCs w:val="21"/>
              </w:rPr>
              <w:t>毛羽回收率，%</w:t>
            </w:r>
          </w:p>
        </w:tc>
        <w:tc>
          <w:tcPr>
            <w:tcW w:w="1717" w:type="pct"/>
          </w:tcPr>
          <w:p>
            <w:pPr>
              <w:jc w:val="center"/>
              <w:rPr>
                <w:color w:val="auto"/>
                <w:szCs w:val="21"/>
              </w:rPr>
            </w:pPr>
            <w:r>
              <w:rPr>
                <w:color w:val="auto"/>
                <w:szCs w:val="21"/>
              </w:rPr>
              <w:t>——</w:t>
            </w:r>
          </w:p>
        </w:tc>
        <w:tc>
          <w:tcPr>
            <w:tcW w:w="1473" w:type="pct"/>
          </w:tcPr>
          <w:p>
            <w:pPr>
              <w:jc w:val="center"/>
              <w:rPr>
                <w:color w:val="auto"/>
                <w:szCs w:val="21"/>
              </w:rPr>
            </w:pPr>
            <w:r>
              <w:rPr>
                <w:color w:val="auto"/>
                <w:szCs w:val="21"/>
              </w:rPr>
              <w:t>＞90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46" w:hRule="atLeast"/>
        </w:trPr>
        <w:tc>
          <w:tcPr>
            <w:tcW w:w="1810" w:type="pct"/>
          </w:tcPr>
          <w:p>
            <w:pPr>
              <w:jc w:val="center"/>
              <w:rPr>
                <w:color w:val="auto"/>
                <w:szCs w:val="21"/>
              </w:rPr>
            </w:pPr>
            <w:r>
              <w:rPr>
                <w:color w:val="auto"/>
                <w:szCs w:val="21"/>
              </w:rPr>
              <w:t>废水回收率，%</w:t>
            </w:r>
          </w:p>
        </w:tc>
        <w:tc>
          <w:tcPr>
            <w:tcW w:w="1717" w:type="pct"/>
          </w:tcPr>
          <w:p>
            <w:pPr>
              <w:jc w:val="center"/>
              <w:rPr>
                <w:color w:val="auto"/>
                <w:szCs w:val="21"/>
              </w:rPr>
            </w:pPr>
            <w:r>
              <w:rPr>
                <w:color w:val="auto"/>
                <w:szCs w:val="21"/>
              </w:rPr>
              <w:t>——</w:t>
            </w:r>
          </w:p>
        </w:tc>
        <w:tc>
          <w:tcPr>
            <w:tcW w:w="1473" w:type="pct"/>
          </w:tcPr>
          <w:p>
            <w:pPr>
              <w:jc w:val="center"/>
              <w:rPr>
                <w:color w:val="auto"/>
                <w:szCs w:val="21"/>
              </w:rPr>
            </w:pPr>
            <w:r>
              <w:rPr>
                <w:color w:val="auto"/>
                <w:szCs w:val="21"/>
              </w:rPr>
              <w:t>＞15</w:t>
            </w:r>
          </w:p>
        </w:tc>
      </w:tr>
    </w:tbl>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b/>
          <w:bCs/>
          <w:color w:val="auto"/>
          <w:sz w:val="24"/>
        </w:rPr>
      </w:pPr>
      <w:r>
        <w:rPr>
          <w:b/>
          <w:bCs/>
          <w:color w:val="auto"/>
          <w:sz w:val="24"/>
        </w:rPr>
        <w:t>表2-</w:t>
      </w:r>
      <w:r>
        <w:rPr>
          <w:rFonts w:hint="eastAsia"/>
          <w:b/>
          <w:bCs/>
          <w:color w:val="auto"/>
          <w:sz w:val="24"/>
        </w:rPr>
        <w:t>3</w:t>
      </w:r>
      <w:r>
        <w:rPr>
          <w:b/>
          <w:bCs/>
          <w:color w:val="auto"/>
          <w:sz w:val="24"/>
        </w:rPr>
        <w:t>-</w:t>
      </w:r>
      <w:r>
        <w:rPr>
          <w:rFonts w:hint="eastAsia"/>
          <w:b/>
          <w:bCs/>
          <w:color w:val="auto"/>
          <w:sz w:val="24"/>
        </w:rPr>
        <w:t>5</w:t>
      </w:r>
      <w:r>
        <w:rPr>
          <w:b/>
          <w:bCs/>
          <w:color w:val="auto"/>
          <w:sz w:val="24"/>
        </w:rPr>
        <w:t xml:space="preserve">  </w:t>
      </w:r>
      <w:r>
        <w:rPr>
          <w:rFonts w:hint="eastAsia"/>
          <w:b/>
          <w:bCs/>
          <w:color w:val="auto"/>
          <w:sz w:val="24"/>
          <w:lang w:eastAsia="zh-CN"/>
        </w:rPr>
        <w:t>尚志污水处理厂</w:t>
      </w:r>
      <w:r>
        <w:rPr>
          <w:b/>
          <w:bCs/>
          <w:color w:val="auto"/>
          <w:sz w:val="24"/>
        </w:rPr>
        <w:t>进水指标   单位：mg/L（pH除外）</w:t>
      </w:r>
    </w:p>
    <w:tbl>
      <w:tblPr>
        <w:tblStyle w:val="46"/>
        <w:tblW w:w="861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43"/>
        <w:gridCol w:w="3795"/>
        <w:gridCol w:w="397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4" w:hRule="atLeast"/>
          <w:tblHeader/>
          <w:jc w:val="center"/>
        </w:trPr>
        <w:tc>
          <w:tcPr>
            <w:tcW w:w="843" w:type="dxa"/>
            <w:tcBorders>
              <w:left w:val="nil"/>
            </w:tcBorders>
            <w:vAlign w:val="center"/>
          </w:tcPr>
          <w:p>
            <w:pPr>
              <w:jc w:val="center"/>
              <w:rPr>
                <w:color w:val="auto"/>
                <w:szCs w:val="21"/>
              </w:rPr>
            </w:pPr>
            <w:r>
              <w:rPr>
                <w:color w:val="auto"/>
                <w:szCs w:val="21"/>
              </w:rPr>
              <w:t>序号</w:t>
            </w:r>
          </w:p>
        </w:tc>
        <w:tc>
          <w:tcPr>
            <w:tcW w:w="3795" w:type="dxa"/>
            <w:vAlign w:val="center"/>
          </w:tcPr>
          <w:p>
            <w:pPr>
              <w:jc w:val="center"/>
              <w:rPr>
                <w:color w:val="auto"/>
                <w:szCs w:val="21"/>
              </w:rPr>
            </w:pPr>
            <w:r>
              <w:rPr>
                <w:color w:val="auto"/>
                <w:szCs w:val="21"/>
              </w:rPr>
              <w:t>污染物名称</w:t>
            </w:r>
          </w:p>
        </w:tc>
        <w:tc>
          <w:tcPr>
            <w:tcW w:w="3979" w:type="dxa"/>
            <w:tcBorders>
              <w:right w:val="nil"/>
            </w:tcBorders>
            <w:vAlign w:val="center"/>
          </w:tcPr>
          <w:p>
            <w:pPr>
              <w:jc w:val="center"/>
              <w:rPr>
                <w:color w:val="auto"/>
                <w:szCs w:val="21"/>
              </w:rPr>
            </w:pPr>
            <w:r>
              <w:rPr>
                <w:color w:val="auto"/>
                <w:szCs w:val="21"/>
              </w:rPr>
              <w:t>标准限值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843" w:type="dxa"/>
            <w:tcBorders>
              <w:left w:val="nil"/>
            </w:tcBorders>
            <w:vAlign w:val="center"/>
          </w:tcPr>
          <w:p>
            <w:pPr>
              <w:jc w:val="center"/>
              <w:rPr>
                <w:color w:val="auto"/>
                <w:szCs w:val="21"/>
              </w:rPr>
            </w:pPr>
            <w:r>
              <w:rPr>
                <w:color w:val="auto"/>
                <w:szCs w:val="21"/>
              </w:rPr>
              <w:t>1</w:t>
            </w:r>
          </w:p>
        </w:tc>
        <w:tc>
          <w:tcPr>
            <w:tcW w:w="3795" w:type="dxa"/>
            <w:vAlign w:val="center"/>
          </w:tcPr>
          <w:p>
            <w:pPr>
              <w:jc w:val="center"/>
              <w:rPr>
                <w:color w:val="auto"/>
                <w:szCs w:val="21"/>
              </w:rPr>
            </w:pPr>
            <w:r>
              <w:rPr>
                <w:color w:val="auto"/>
                <w:szCs w:val="21"/>
              </w:rPr>
              <w:t>pH</w:t>
            </w:r>
          </w:p>
        </w:tc>
        <w:tc>
          <w:tcPr>
            <w:tcW w:w="3979" w:type="dxa"/>
            <w:tcBorders>
              <w:right w:val="nil"/>
            </w:tcBorders>
            <w:vAlign w:val="center"/>
          </w:tcPr>
          <w:p>
            <w:pPr>
              <w:jc w:val="center"/>
              <w:rPr>
                <w:rFonts w:hint="default" w:eastAsia="宋体"/>
                <w:color w:val="auto"/>
                <w:szCs w:val="21"/>
                <w:lang w:val="en-US" w:eastAsia="zh-CN"/>
              </w:rPr>
            </w:pPr>
            <w:r>
              <w:rPr>
                <w:rFonts w:hint="eastAsia"/>
                <w:color w:val="auto"/>
                <w:szCs w:val="21"/>
                <w:lang w:val="en-US" w:eastAsia="zh-CN"/>
              </w:rPr>
              <w:t>6~9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843" w:type="dxa"/>
            <w:tcBorders>
              <w:left w:val="nil"/>
            </w:tcBorders>
            <w:vAlign w:val="center"/>
          </w:tcPr>
          <w:p>
            <w:pPr>
              <w:jc w:val="center"/>
              <w:rPr>
                <w:color w:val="auto"/>
                <w:szCs w:val="21"/>
              </w:rPr>
            </w:pPr>
            <w:r>
              <w:rPr>
                <w:color w:val="auto"/>
                <w:szCs w:val="21"/>
              </w:rPr>
              <w:t>2</w:t>
            </w:r>
          </w:p>
        </w:tc>
        <w:tc>
          <w:tcPr>
            <w:tcW w:w="3795" w:type="dxa"/>
            <w:vAlign w:val="center"/>
          </w:tcPr>
          <w:p>
            <w:pPr>
              <w:jc w:val="center"/>
              <w:rPr>
                <w:color w:val="auto"/>
                <w:szCs w:val="21"/>
              </w:rPr>
            </w:pPr>
            <w:r>
              <w:rPr>
                <w:color w:val="auto"/>
                <w:szCs w:val="21"/>
              </w:rPr>
              <w:t>COD</w:t>
            </w:r>
          </w:p>
        </w:tc>
        <w:tc>
          <w:tcPr>
            <w:tcW w:w="3979" w:type="dxa"/>
            <w:tcBorders>
              <w:right w:val="nil"/>
            </w:tcBorders>
            <w:vAlign w:val="center"/>
          </w:tcPr>
          <w:p>
            <w:pPr>
              <w:jc w:val="center"/>
              <w:rPr>
                <w:rFonts w:hint="default" w:eastAsia="宋体"/>
                <w:color w:val="auto"/>
                <w:szCs w:val="21"/>
                <w:lang w:val="en-US" w:eastAsia="zh-CN"/>
              </w:rPr>
            </w:pPr>
            <w:r>
              <w:rPr>
                <w:rFonts w:hint="eastAsia"/>
                <w:color w:val="auto"/>
                <w:szCs w:val="21"/>
                <w:lang w:val="en-US" w:eastAsia="zh-CN"/>
              </w:rPr>
              <w:t>500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843" w:type="dxa"/>
            <w:tcBorders>
              <w:left w:val="nil"/>
            </w:tcBorders>
            <w:vAlign w:val="center"/>
          </w:tcPr>
          <w:p>
            <w:pPr>
              <w:jc w:val="center"/>
              <w:rPr>
                <w:color w:val="auto"/>
                <w:szCs w:val="21"/>
              </w:rPr>
            </w:pPr>
            <w:r>
              <w:rPr>
                <w:color w:val="auto"/>
                <w:szCs w:val="21"/>
              </w:rPr>
              <w:t>3</w:t>
            </w:r>
          </w:p>
        </w:tc>
        <w:tc>
          <w:tcPr>
            <w:tcW w:w="3795" w:type="dxa"/>
            <w:vAlign w:val="center"/>
          </w:tcPr>
          <w:p>
            <w:pPr>
              <w:jc w:val="center"/>
              <w:rPr>
                <w:color w:val="auto"/>
                <w:szCs w:val="21"/>
              </w:rPr>
            </w:pPr>
            <w:r>
              <w:rPr>
                <w:color w:val="auto"/>
                <w:szCs w:val="21"/>
              </w:rPr>
              <w:t>BOD</w:t>
            </w:r>
            <w:r>
              <w:rPr>
                <w:rFonts w:hint="eastAsia"/>
                <w:color w:val="auto"/>
                <w:szCs w:val="21"/>
                <w:vertAlign w:val="subscript"/>
              </w:rPr>
              <w:t>5</w:t>
            </w:r>
          </w:p>
        </w:tc>
        <w:tc>
          <w:tcPr>
            <w:tcW w:w="3979" w:type="dxa"/>
            <w:tcBorders>
              <w:right w:val="nil"/>
            </w:tcBorders>
            <w:vAlign w:val="center"/>
          </w:tcPr>
          <w:p>
            <w:pPr>
              <w:jc w:val="center"/>
              <w:rPr>
                <w:rFonts w:hint="default" w:eastAsia="宋体"/>
                <w:color w:val="auto"/>
                <w:szCs w:val="21"/>
                <w:lang w:val="en-US" w:eastAsia="zh-CN"/>
              </w:rPr>
            </w:pPr>
            <w:r>
              <w:rPr>
                <w:rFonts w:hint="eastAsia"/>
                <w:color w:val="auto"/>
                <w:szCs w:val="21"/>
                <w:lang w:val="en-US" w:eastAsia="zh-CN"/>
              </w:rPr>
              <w:t>300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9" w:hRule="atLeast"/>
          <w:jc w:val="center"/>
        </w:trPr>
        <w:tc>
          <w:tcPr>
            <w:tcW w:w="843" w:type="dxa"/>
            <w:tcBorders>
              <w:left w:val="nil"/>
            </w:tcBorders>
            <w:vAlign w:val="center"/>
          </w:tcPr>
          <w:p>
            <w:pPr>
              <w:jc w:val="center"/>
              <w:rPr>
                <w:color w:val="auto"/>
                <w:szCs w:val="21"/>
              </w:rPr>
            </w:pPr>
            <w:r>
              <w:rPr>
                <w:color w:val="auto"/>
                <w:szCs w:val="21"/>
              </w:rPr>
              <w:t>4</w:t>
            </w:r>
          </w:p>
        </w:tc>
        <w:tc>
          <w:tcPr>
            <w:tcW w:w="3795" w:type="dxa"/>
            <w:vAlign w:val="center"/>
          </w:tcPr>
          <w:p>
            <w:pPr>
              <w:jc w:val="center"/>
              <w:rPr>
                <w:color w:val="auto"/>
                <w:szCs w:val="21"/>
              </w:rPr>
            </w:pPr>
            <w:r>
              <w:rPr>
                <w:color w:val="auto"/>
                <w:szCs w:val="21"/>
              </w:rPr>
              <w:t>SS</w:t>
            </w:r>
          </w:p>
        </w:tc>
        <w:tc>
          <w:tcPr>
            <w:tcW w:w="3979" w:type="dxa"/>
            <w:tcBorders>
              <w:right w:val="nil"/>
            </w:tcBorders>
            <w:vAlign w:val="center"/>
          </w:tcPr>
          <w:p>
            <w:pPr>
              <w:jc w:val="center"/>
              <w:rPr>
                <w:rFonts w:hint="default" w:eastAsia="宋体"/>
                <w:color w:val="auto"/>
                <w:szCs w:val="21"/>
                <w:lang w:val="en-US" w:eastAsia="zh-CN"/>
              </w:rPr>
            </w:pPr>
            <w:r>
              <w:rPr>
                <w:rFonts w:hint="eastAsia"/>
                <w:color w:val="auto"/>
                <w:szCs w:val="21"/>
                <w:lang w:val="en-US" w:eastAsia="zh-CN"/>
              </w:rPr>
              <w:t>400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9" w:hRule="atLeast"/>
          <w:jc w:val="center"/>
        </w:trPr>
        <w:tc>
          <w:tcPr>
            <w:tcW w:w="843" w:type="dxa"/>
            <w:tcBorders>
              <w:left w:val="nil"/>
            </w:tcBorders>
            <w:vAlign w:val="center"/>
          </w:tcPr>
          <w:p>
            <w:pPr>
              <w:jc w:val="center"/>
              <w:rPr>
                <w:color w:val="auto"/>
                <w:szCs w:val="21"/>
              </w:rPr>
            </w:pPr>
            <w:r>
              <w:rPr>
                <w:color w:val="auto"/>
                <w:szCs w:val="21"/>
              </w:rPr>
              <w:t>5</w:t>
            </w:r>
          </w:p>
        </w:tc>
        <w:tc>
          <w:tcPr>
            <w:tcW w:w="3795" w:type="dxa"/>
            <w:vAlign w:val="center"/>
          </w:tcPr>
          <w:p>
            <w:pPr>
              <w:jc w:val="center"/>
              <w:rPr>
                <w:color w:val="auto"/>
                <w:szCs w:val="21"/>
              </w:rPr>
            </w:pPr>
            <w:r>
              <w:rPr>
                <w:color w:val="auto"/>
                <w:szCs w:val="21"/>
              </w:rPr>
              <w:t>氨氮</w:t>
            </w:r>
          </w:p>
        </w:tc>
        <w:tc>
          <w:tcPr>
            <w:tcW w:w="3979" w:type="dxa"/>
            <w:tcBorders>
              <w:right w:val="nil"/>
            </w:tcBorders>
            <w:vAlign w:val="center"/>
          </w:tcPr>
          <w:p>
            <w:pPr>
              <w:jc w:val="center"/>
              <w:rPr>
                <w:rFonts w:hint="eastAsia" w:eastAsia="宋体"/>
                <w:color w:val="auto"/>
                <w:szCs w:val="21"/>
                <w:lang w:eastAsia="zh-CN"/>
              </w:rPr>
            </w:pPr>
            <w:r>
              <w:rPr>
                <w:rFonts w:hint="eastAsia"/>
                <w:color w:val="auto"/>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9" w:hRule="atLeast"/>
          <w:jc w:val="center"/>
        </w:trPr>
        <w:tc>
          <w:tcPr>
            <w:tcW w:w="843" w:type="dxa"/>
            <w:tcBorders>
              <w:left w:val="nil"/>
            </w:tcBorders>
            <w:vAlign w:val="center"/>
          </w:tcPr>
          <w:p>
            <w:pPr>
              <w:jc w:val="center"/>
              <w:rPr>
                <w:rFonts w:hint="eastAsia" w:eastAsia="宋体"/>
                <w:color w:val="auto"/>
                <w:szCs w:val="21"/>
                <w:lang w:val="en-US" w:eastAsia="zh-CN"/>
              </w:rPr>
            </w:pPr>
            <w:r>
              <w:rPr>
                <w:rFonts w:hint="eastAsia"/>
                <w:color w:val="auto"/>
                <w:szCs w:val="21"/>
                <w:lang w:val="en-US" w:eastAsia="zh-CN"/>
              </w:rPr>
              <w:t>6</w:t>
            </w:r>
          </w:p>
        </w:tc>
        <w:tc>
          <w:tcPr>
            <w:tcW w:w="3795" w:type="dxa"/>
            <w:vAlign w:val="center"/>
          </w:tcPr>
          <w:p>
            <w:pPr>
              <w:jc w:val="center"/>
              <w:rPr>
                <w:rFonts w:hint="eastAsia" w:eastAsia="宋体"/>
                <w:color w:val="auto"/>
                <w:szCs w:val="21"/>
                <w:lang w:val="en-US" w:eastAsia="zh-CN"/>
              </w:rPr>
            </w:pPr>
            <w:r>
              <w:rPr>
                <w:rFonts w:hint="eastAsia"/>
                <w:color w:val="auto"/>
                <w:szCs w:val="21"/>
                <w:lang w:val="en-US" w:eastAsia="zh-CN"/>
              </w:rPr>
              <w:t>动植物油</w:t>
            </w:r>
          </w:p>
        </w:tc>
        <w:tc>
          <w:tcPr>
            <w:tcW w:w="3979" w:type="dxa"/>
            <w:tcBorders>
              <w:right w:val="nil"/>
            </w:tcBorders>
            <w:vAlign w:val="center"/>
          </w:tcPr>
          <w:p>
            <w:pPr>
              <w:jc w:val="center"/>
              <w:rPr>
                <w:rFonts w:hint="default"/>
                <w:color w:val="auto"/>
                <w:szCs w:val="21"/>
                <w:lang w:val="en-US" w:eastAsia="zh-CN"/>
              </w:rPr>
            </w:pPr>
            <w:r>
              <w:rPr>
                <w:rFonts w:hint="eastAsia"/>
                <w:color w:val="auto"/>
                <w:szCs w:val="21"/>
                <w:lang w:val="en-US" w:eastAsia="zh-CN"/>
              </w:rPr>
              <w:t>100</w:t>
            </w:r>
          </w:p>
        </w:tc>
      </w:tr>
    </w:tbl>
    <w:p>
      <w:pPr>
        <w:spacing w:line="360" w:lineRule="auto"/>
        <w:ind w:firstLine="482" w:firstLineChars="200"/>
        <w:jc w:val="center"/>
        <w:rPr>
          <w:b/>
          <w:bCs/>
          <w:snapToGrid w:val="0"/>
          <w:color w:val="auto"/>
          <w:kern w:val="0"/>
          <w:sz w:val="24"/>
        </w:rPr>
      </w:pPr>
      <w:r>
        <w:rPr>
          <w:rFonts w:hint="eastAsia"/>
          <w:b/>
          <w:bCs/>
          <w:snapToGrid w:val="0"/>
          <w:color w:val="auto"/>
          <w:kern w:val="0"/>
          <w:sz w:val="24"/>
          <w:highlight w:val="none"/>
        </w:rPr>
        <w:t xml:space="preserve">表2-3-6  </w:t>
      </w:r>
      <w:r>
        <w:rPr>
          <w:b/>
          <w:bCs/>
          <w:color w:val="auto"/>
          <w:sz w:val="24"/>
          <w:highlight w:val="none"/>
        </w:rPr>
        <w:t>水污染物排放</w:t>
      </w:r>
      <w:r>
        <w:rPr>
          <w:rFonts w:hint="eastAsia"/>
          <w:b/>
          <w:bCs/>
          <w:color w:val="auto"/>
          <w:sz w:val="24"/>
          <w:highlight w:val="none"/>
        </w:rPr>
        <w:t xml:space="preserve">限值（取最严）  </w:t>
      </w:r>
      <w:r>
        <w:rPr>
          <w:rFonts w:hint="eastAsia"/>
          <w:b/>
          <w:bCs/>
          <w:color w:val="auto"/>
          <w:sz w:val="24"/>
        </w:rPr>
        <w:t xml:space="preserve">   </w:t>
      </w:r>
      <w:r>
        <w:rPr>
          <w:b/>
          <w:bCs/>
          <w:color w:val="auto"/>
          <w:sz w:val="24"/>
        </w:rPr>
        <w:t>单位：mg/L （pH除外）</w:t>
      </w:r>
    </w:p>
    <w:tbl>
      <w:tblPr>
        <w:tblStyle w:val="46"/>
        <w:tblW w:w="861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43"/>
        <w:gridCol w:w="3795"/>
        <w:gridCol w:w="397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4" w:hRule="atLeast"/>
          <w:tblHeader/>
          <w:jc w:val="center"/>
        </w:trPr>
        <w:tc>
          <w:tcPr>
            <w:tcW w:w="843" w:type="dxa"/>
            <w:tcBorders>
              <w:left w:val="nil"/>
            </w:tcBorders>
            <w:vAlign w:val="center"/>
          </w:tcPr>
          <w:p>
            <w:pPr>
              <w:jc w:val="center"/>
              <w:rPr>
                <w:color w:val="auto"/>
                <w:szCs w:val="21"/>
              </w:rPr>
            </w:pPr>
            <w:r>
              <w:rPr>
                <w:color w:val="auto"/>
                <w:szCs w:val="21"/>
              </w:rPr>
              <w:t>序号</w:t>
            </w:r>
          </w:p>
        </w:tc>
        <w:tc>
          <w:tcPr>
            <w:tcW w:w="3795" w:type="dxa"/>
            <w:vAlign w:val="center"/>
          </w:tcPr>
          <w:p>
            <w:pPr>
              <w:jc w:val="center"/>
              <w:rPr>
                <w:color w:val="auto"/>
                <w:szCs w:val="21"/>
              </w:rPr>
            </w:pPr>
            <w:r>
              <w:rPr>
                <w:color w:val="auto"/>
                <w:szCs w:val="21"/>
              </w:rPr>
              <w:t>污染物名称</w:t>
            </w:r>
          </w:p>
        </w:tc>
        <w:tc>
          <w:tcPr>
            <w:tcW w:w="3979" w:type="dxa"/>
            <w:tcBorders>
              <w:right w:val="nil"/>
            </w:tcBorders>
            <w:vAlign w:val="center"/>
          </w:tcPr>
          <w:p>
            <w:pPr>
              <w:jc w:val="center"/>
              <w:rPr>
                <w:color w:val="auto"/>
                <w:szCs w:val="21"/>
              </w:rPr>
            </w:pPr>
            <w:r>
              <w:rPr>
                <w:color w:val="auto"/>
                <w:szCs w:val="21"/>
              </w:rPr>
              <w:t>标准限值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843" w:type="dxa"/>
            <w:tcBorders>
              <w:left w:val="nil"/>
            </w:tcBorders>
            <w:vAlign w:val="center"/>
          </w:tcPr>
          <w:p>
            <w:pPr>
              <w:jc w:val="center"/>
              <w:rPr>
                <w:color w:val="auto"/>
                <w:szCs w:val="21"/>
              </w:rPr>
            </w:pPr>
            <w:r>
              <w:rPr>
                <w:color w:val="auto"/>
                <w:szCs w:val="21"/>
              </w:rPr>
              <w:t>1</w:t>
            </w:r>
          </w:p>
        </w:tc>
        <w:tc>
          <w:tcPr>
            <w:tcW w:w="3795" w:type="dxa"/>
            <w:vAlign w:val="center"/>
          </w:tcPr>
          <w:p>
            <w:pPr>
              <w:jc w:val="center"/>
              <w:rPr>
                <w:color w:val="auto"/>
                <w:szCs w:val="21"/>
              </w:rPr>
            </w:pPr>
            <w:r>
              <w:rPr>
                <w:color w:val="auto"/>
                <w:szCs w:val="21"/>
              </w:rPr>
              <w:t>pH</w:t>
            </w:r>
          </w:p>
        </w:tc>
        <w:tc>
          <w:tcPr>
            <w:tcW w:w="3979" w:type="dxa"/>
            <w:tcBorders>
              <w:right w:val="nil"/>
            </w:tcBorders>
            <w:vAlign w:val="center"/>
          </w:tcPr>
          <w:p>
            <w:pPr>
              <w:jc w:val="center"/>
              <w:rPr>
                <w:color w:val="auto"/>
                <w:szCs w:val="21"/>
              </w:rPr>
            </w:pPr>
            <w:r>
              <w:rPr>
                <w:color w:val="auto"/>
                <w:szCs w:val="21"/>
              </w:rPr>
              <w:t>6.5~8.5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843" w:type="dxa"/>
            <w:tcBorders>
              <w:left w:val="nil"/>
            </w:tcBorders>
            <w:vAlign w:val="center"/>
          </w:tcPr>
          <w:p>
            <w:pPr>
              <w:jc w:val="center"/>
              <w:rPr>
                <w:color w:val="auto"/>
                <w:szCs w:val="21"/>
              </w:rPr>
            </w:pPr>
            <w:r>
              <w:rPr>
                <w:color w:val="auto"/>
                <w:szCs w:val="21"/>
              </w:rPr>
              <w:t>2</w:t>
            </w:r>
          </w:p>
        </w:tc>
        <w:tc>
          <w:tcPr>
            <w:tcW w:w="3795" w:type="dxa"/>
            <w:vAlign w:val="center"/>
          </w:tcPr>
          <w:p>
            <w:pPr>
              <w:jc w:val="center"/>
              <w:rPr>
                <w:color w:val="auto"/>
                <w:szCs w:val="21"/>
              </w:rPr>
            </w:pPr>
            <w:r>
              <w:rPr>
                <w:color w:val="auto"/>
                <w:szCs w:val="21"/>
              </w:rPr>
              <w:t>COD</w:t>
            </w:r>
          </w:p>
        </w:tc>
        <w:tc>
          <w:tcPr>
            <w:tcW w:w="3979" w:type="dxa"/>
            <w:tcBorders>
              <w:right w:val="nil"/>
            </w:tcBorders>
            <w:vAlign w:val="center"/>
          </w:tcPr>
          <w:p>
            <w:pPr>
              <w:jc w:val="center"/>
              <w:rPr>
                <w:rFonts w:hint="default" w:eastAsia="宋体"/>
                <w:color w:val="auto"/>
                <w:szCs w:val="21"/>
                <w:lang w:val="en-US" w:eastAsia="zh-CN"/>
              </w:rPr>
            </w:pPr>
            <w:r>
              <w:rPr>
                <w:rFonts w:hint="eastAsia"/>
                <w:color w:val="auto"/>
                <w:szCs w:val="21"/>
                <w:lang w:val="en-US" w:eastAsia="zh-CN"/>
              </w:rPr>
              <w:t>500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843" w:type="dxa"/>
            <w:tcBorders>
              <w:left w:val="nil"/>
            </w:tcBorders>
            <w:vAlign w:val="center"/>
          </w:tcPr>
          <w:p>
            <w:pPr>
              <w:jc w:val="center"/>
              <w:rPr>
                <w:color w:val="auto"/>
                <w:szCs w:val="21"/>
              </w:rPr>
            </w:pPr>
            <w:r>
              <w:rPr>
                <w:color w:val="auto"/>
                <w:szCs w:val="21"/>
              </w:rPr>
              <w:t>3</w:t>
            </w:r>
          </w:p>
        </w:tc>
        <w:tc>
          <w:tcPr>
            <w:tcW w:w="3795" w:type="dxa"/>
            <w:vAlign w:val="center"/>
          </w:tcPr>
          <w:p>
            <w:pPr>
              <w:jc w:val="center"/>
              <w:rPr>
                <w:color w:val="auto"/>
                <w:szCs w:val="21"/>
              </w:rPr>
            </w:pPr>
            <w:r>
              <w:rPr>
                <w:color w:val="auto"/>
                <w:szCs w:val="21"/>
              </w:rPr>
              <w:t>BOD</w:t>
            </w:r>
            <w:r>
              <w:rPr>
                <w:rFonts w:hint="eastAsia"/>
                <w:color w:val="auto"/>
                <w:szCs w:val="21"/>
                <w:vertAlign w:val="subscript"/>
              </w:rPr>
              <w:t>5</w:t>
            </w:r>
          </w:p>
        </w:tc>
        <w:tc>
          <w:tcPr>
            <w:tcW w:w="3979" w:type="dxa"/>
            <w:tcBorders>
              <w:right w:val="nil"/>
            </w:tcBorders>
            <w:vAlign w:val="center"/>
          </w:tcPr>
          <w:p>
            <w:pPr>
              <w:jc w:val="center"/>
              <w:rPr>
                <w:rFonts w:hint="default" w:eastAsia="宋体"/>
                <w:color w:val="auto"/>
                <w:szCs w:val="21"/>
                <w:lang w:val="en-US" w:eastAsia="zh-CN"/>
              </w:rPr>
            </w:pPr>
            <w:r>
              <w:rPr>
                <w:rFonts w:hint="eastAsia"/>
                <w:color w:val="auto"/>
                <w:szCs w:val="21"/>
                <w:lang w:val="en-US" w:eastAsia="zh-CN"/>
              </w:rPr>
              <w:t>300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9" w:hRule="atLeast"/>
          <w:jc w:val="center"/>
        </w:trPr>
        <w:tc>
          <w:tcPr>
            <w:tcW w:w="843" w:type="dxa"/>
            <w:tcBorders>
              <w:left w:val="nil"/>
            </w:tcBorders>
            <w:vAlign w:val="center"/>
          </w:tcPr>
          <w:p>
            <w:pPr>
              <w:jc w:val="center"/>
              <w:rPr>
                <w:color w:val="auto"/>
                <w:szCs w:val="21"/>
              </w:rPr>
            </w:pPr>
            <w:r>
              <w:rPr>
                <w:color w:val="auto"/>
                <w:szCs w:val="21"/>
              </w:rPr>
              <w:t>4</w:t>
            </w:r>
          </w:p>
        </w:tc>
        <w:tc>
          <w:tcPr>
            <w:tcW w:w="3795" w:type="dxa"/>
            <w:vAlign w:val="center"/>
          </w:tcPr>
          <w:p>
            <w:pPr>
              <w:jc w:val="center"/>
              <w:rPr>
                <w:color w:val="auto"/>
                <w:szCs w:val="21"/>
              </w:rPr>
            </w:pPr>
            <w:r>
              <w:rPr>
                <w:color w:val="auto"/>
                <w:szCs w:val="21"/>
              </w:rPr>
              <w:t>SS</w:t>
            </w:r>
          </w:p>
        </w:tc>
        <w:tc>
          <w:tcPr>
            <w:tcW w:w="3979" w:type="dxa"/>
            <w:tcBorders>
              <w:right w:val="nil"/>
            </w:tcBorders>
            <w:vAlign w:val="center"/>
          </w:tcPr>
          <w:p>
            <w:pPr>
              <w:jc w:val="center"/>
              <w:rPr>
                <w:rFonts w:hint="default" w:eastAsia="宋体"/>
                <w:color w:val="auto"/>
                <w:szCs w:val="21"/>
                <w:lang w:val="en-US" w:eastAsia="zh-CN"/>
              </w:rPr>
            </w:pPr>
            <w:r>
              <w:rPr>
                <w:rFonts w:hint="eastAsia"/>
                <w:color w:val="auto"/>
                <w:szCs w:val="21"/>
                <w:lang w:val="en-US" w:eastAsia="zh-CN"/>
              </w:rPr>
              <w:t>400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9" w:hRule="atLeast"/>
          <w:jc w:val="center"/>
        </w:trPr>
        <w:tc>
          <w:tcPr>
            <w:tcW w:w="843" w:type="dxa"/>
            <w:tcBorders>
              <w:left w:val="nil"/>
            </w:tcBorders>
            <w:vAlign w:val="center"/>
          </w:tcPr>
          <w:p>
            <w:pPr>
              <w:jc w:val="center"/>
              <w:rPr>
                <w:color w:val="auto"/>
                <w:szCs w:val="21"/>
              </w:rPr>
            </w:pPr>
            <w:r>
              <w:rPr>
                <w:color w:val="auto"/>
                <w:szCs w:val="21"/>
              </w:rPr>
              <w:t>5</w:t>
            </w:r>
          </w:p>
        </w:tc>
        <w:tc>
          <w:tcPr>
            <w:tcW w:w="3795" w:type="dxa"/>
            <w:vAlign w:val="center"/>
          </w:tcPr>
          <w:p>
            <w:pPr>
              <w:jc w:val="center"/>
              <w:rPr>
                <w:color w:val="auto"/>
                <w:szCs w:val="21"/>
              </w:rPr>
            </w:pPr>
            <w:r>
              <w:rPr>
                <w:color w:val="auto"/>
                <w:szCs w:val="21"/>
              </w:rPr>
              <w:t>氨氮</w:t>
            </w:r>
          </w:p>
        </w:tc>
        <w:tc>
          <w:tcPr>
            <w:tcW w:w="3979" w:type="dxa"/>
            <w:tcBorders>
              <w:right w:val="nil"/>
            </w:tcBorders>
            <w:vAlign w:val="center"/>
          </w:tcPr>
          <w:p>
            <w:pPr>
              <w:jc w:val="center"/>
              <w:rPr>
                <w:rFonts w:hint="default" w:eastAsia="宋体"/>
                <w:color w:val="auto"/>
                <w:szCs w:val="21"/>
                <w:lang w:val="en-US" w:eastAsia="zh-CN"/>
              </w:rPr>
            </w:pPr>
            <w:r>
              <w:rPr>
                <w:rFonts w:hint="eastAsia"/>
                <w:color w:val="auto"/>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9" w:hRule="atLeast"/>
          <w:jc w:val="center"/>
        </w:trPr>
        <w:tc>
          <w:tcPr>
            <w:tcW w:w="843" w:type="dxa"/>
            <w:tcBorders>
              <w:left w:val="nil"/>
            </w:tcBorders>
            <w:vAlign w:val="center"/>
          </w:tcPr>
          <w:p>
            <w:pPr>
              <w:jc w:val="center"/>
              <w:rPr>
                <w:rFonts w:hint="eastAsia" w:eastAsia="宋体"/>
                <w:color w:val="auto"/>
                <w:szCs w:val="21"/>
                <w:lang w:eastAsia="zh-CN"/>
              </w:rPr>
            </w:pPr>
            <w:r>
              <w:rPr>
                <w:rFonts w:hint="eastAsia"/>
                <w:color w:val="auto"/>
                <w:szCs w:val="21"/>
                <w:lang w:val="en-US" w:eastAsia="zh-CN"/>
              </w:rPr>
              <w:t>6</w:t>
            </w:r>
          </w:p>
        </w:tc>
        <w:tc>
          <w:tcPr>
            <w:tcW w:w="3795" w:type="dxa"/>
            <w:vAlign w:val="center"/>
          </w:tcPr>
          <w:p>
            <w:pPr>
              <w:jc w:val="center"/>
              <w:rPr>
                <w:color w:val="auto"/>
                <w:szCs w:val="21"/>
              </w:rPr>
            </w:pPr>
            <w:r>
              <w:rPr>
                <w:rFonts w:hint="eastAsia"/>
                <w:color w:val="auto"/>
                <w:szCs w:val="21"/>
              </w:rPr>
              <w:t>动植物油</w:t>
            </w:r>
          </w:p>
        </w:tc>
        <w:tc>
          <w:tcPr>
            <w:tcW w:w="3979" w:type="dxa"/>
            <w:tcBorders>
              <w:right w:val="nil"/>
            </w:tcBorders>
            <w:vAlign w:val="center"/>
          </w:tcPr>
          <w:p>
            <w:pPr>
              <w:jc w:val="center"/>
              <w:rPr>
                <w:color w:val="auto"/>
                <w:szCs w:val="21"/>
              </w:rPr>
            </w:pPr>
            <w:r>
              <w:rPr>
                <w:rFonts w:hint="eastAsia"/>
                <w:color w:val="auto"/>
                <w:szCs w:val="21"/>
              </w:rPr>
              <w:t>60</w:t>
            </w:r>
          </w:p>
        </w:tc>
      </w:tr>
    </w:tbl>
    <w:p>
      <w:pPr>
        <w:spacing w:line="360" w:lineRule="auto"/>
        <w:ind w:firstLine="480" w:firstLineChars="200"/>
        <w:rPr>
          <w:rFonts w:hint="eastAsia" w:eastAsia="宋体"/>
          <w:color w:val="auto"/>
          <w:sz w:val="24"/>
          <w:lang w:val="en-US" w:eastAsia="zh-CN"/>
        </w:rPr>
      </w:pPr>
      <w:r>
        <w:rPr>
          <w:rFonts w:hint="eastAsia"/>
          <w:color w:val="auto"/>
          <w:kern w:val="0"/>
          <w:sz w:val="24"/>
          <w:lang w:val="en-US" w:eastAsia="zh-CN"/>
        </w:rPr>
        <w:t>从严取值，本项目废水执行</w:t>
      </w:r>
      <w:r>
        <w:rPr>
          <w:color w:val="auto"/>
          <w:kern w:val="0"/>
          <w:sz w:val="24"/>
        </w:rPr>
        <w:t>《肉类加工工业水污染物排放标准》（GB13457-92）表3三级畜类屠宰加工标准限值</w:t>
      </w:r>
      <w:r>
        <w:rPr>
          <w:rFonts w:hint="eastAsia"/>
          <w:color w:val="auto"/>
          <w:kern w:val="0"/>
          <w:sz w:val="24"/>
          <w:lang w:eastAsia="zh-CN"/>
        </w:rPr>
        <w:t>。</w:t>
      </w:r>
    </w:p>
    <w:p>
      <w:pPr>
        <w:spacing w:line="360" w:lineRule="auto"/>
        <w:ind w:firstLine="480" w:firstLineChars="200"/>
        <w:rPr>
          <w:color w:val="auto"/>
          <w:sz w:val="24"/>
        </w:rPr>
      </w:pPr>
      <w:r>
        <w:rPr>
          <w:color w:val="auto"/>
          <w:sz w:val="24"/>
        </w:rPr>
        <w:t>3、噪声排放标准</w:t>
      </w:r>
    </w:p>
    <w:p>
      <w:pPr>
        <w:spacing w:line="360" w:lineRule="auto"/>
        <w:ind w:firstLine="424" w:firstLineChars="177"/>
        <w:rPr>
          <w:color w:val="auto"/>
          <w:sz w:val="24"/>
        </w:rPr>
      </w:pPr>
      <w:r>
        <w:rPr>
          <w:color w:val="auto"/>
          <w:sz w:val="24"/>
        </w:rPr>
        <w:t>（1）施工期</w:t>
      </w:r>
    </w:p>
    <w:p>
      <w:pPr>
        <w:spacing w:line="360" w:lineRule="auto"/>
        <w:ind w:firstLine="424" w:firstLineChars="177"/>
        <w:contextualSpacing/>
        <w:rPr>
          <w:color w:val="auto"/>
          <w:sz w:val="24"/>
        </w:rPr>
      </w:pPr>
      <w:r>
        <w:rPr>
          <w:color w:val="auto"/>
          <w:sz w:val="24"/>
        </w:rPr>
        <w:t>本项目施工期噪声执行《建筑施工场界环境噪声排放标准》（GB12523-2011)。</w:t>
      </w:r>
    </w:p>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b/>
          <w:color w:val="auto"/>
          <w:sz w:val="24"/>
        </w:rPr>
      </w:pPr>
      <w:r>
        <w:rPr>
          <w:b/>
          <w:color w:val="auto"/>
          <w:sz w:val="24"/>
        </w:rPr>
        <w:t>表2-3-</w:t>
      </w:r>
      <w:r>
        <w:rPr>
          <w:rFonts w:hint="eastAsia"/>
          <w:b/>
          <w:color w:val="auto"/>
          <w:sz w:val="24"/>
        </w:rPr>
        <w:t>7</w:t>
      </w:r>
      <w:r>
        <w:rPr>
          <w:b/>
          <w:color w:val="auto"/>
          <w:sz w:val="24"/>
        </w:rPr>
        <w:t>《建筑施工场界环境噪声排放标准》（GB12523-2011）单位：dB(A)</w:t>
      </w:r>
    </w:p>
    <w:tbl>
      <w:tblPr>
        <w:tblStyle w:val="4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74" w:type="dxa"/>
            <w:vAlign w:val="center"/>
          </w:tcPr>
          <w:p>
            <w:pPr>
              <w:spacing w:line="0" w:lineRule="atLeast"/>
              <w:jc w:val="center"/>
              <w:rPr>
                <w:color w:val="auto"/>
                <w:szCs w:val="21"/>
              </w:rPr>
            </w:pPr>
            <w:r>
              <w:rPr>
                <w:color w:val="auto"/>
                <w:szCs w:val="21"/>
              </w:rPr>
              <w:t>昼间</w:t>
            </w:r>
          </w:p>
        </w:tc>
        <w:tc>
          <w:tcPr>
            <w:tcW w:w="4374" w:type="dxa"/>
            <w:vAlign w:val="center"/>
          </w:tcPr>
          <w:p>
            <w:pPr>
              <w:spacing w:line="0" w:lineRule="atLeast"/>
              <w:jc w:val="center"/>
              <w:rPr>
                <w:color w:val="auto"/>
                <w:szCs w:val="21"/>
              </w:rPr>
            </w:pPr>
            <w:r>
              <w:rPr>
                <w:color w:val="auto"/>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74" w:type="dxa"/>
            <w:vAlign w:val="center"/>
          </w:tcPr>
          <w:p>
            <w:pPr>
              <w:spacing w:line="0" w:lineRule="atLeast"/>
              <w:jc w:val="center"/>
              <w:rPr>
                <w:color w:val="auto"/>
                <w:szCs w:val="21"/>
              </w:rPr>
            </w:pPr>
            <w:r>
              <w:rPr>
                <w:color w:val="auto"/>
                <w:szCs w:val="21"/>
              </w:rPr>
              <w:t>70</w:t>
            </w:r>
          </w:p>
        </w:tc>
        <w:tc>
          <w:tcPr>
            <w:tcW w:w="4374" w:type="dxa"/>
            <w:vAlign w:val="center"/>
          </w:tcPr>
          <w:p>
            <w:pPr>
              <w:spacing w:line="0" w:lineRule="atLeast"/>
              <w:jc w:val="center"/>
              <w:rPr>
                <w:color w:val="auto"/>
                <w:szCs w:val="21"/>
              </w:rPr>
            </w:pPr>
            <w:r>
              <w:rPr>
                <w:color w:val="auto"/>
                <w:szCs w:val="21"/>
              </w:rPr>
              <w:t>55</w:t>
            </w:r>
          </w:p>
        </w:tc>
      </w:tr>
    </w:tbl>
    <w:p>
      <w:pPr>
        <w:spacing w:line="360" w:lineRule="auto"/>
        <w:ind w:firstLine="424" w:firstLineChars="177"/>
        <w:contextualSpacing/>
        <w:rPr>
          <w:color w:val="auto"/>
          <w:sz w:val="24"/>
        </w:rPr>
      </w:pPr>
      <w:r>
        <w:rPr>
          <w:color w:val="auto"/>
          <w:sz w:val="24"/>
        </w:rPr>
        <w:t>（2）运营期</w:t>
      </w:r>
    </w:p>
    <w:p>
      <w:pPr>
        <w:spacing w:line="360" w:lineRule="auto"/>
        <w:ind w:firstLine="424" w:firstLineChars="177"/>
        <w:contextualSpacing/>
        <w:rPr>
          <w:color w:val="auto"/>
          <w:sz w:val="24"/>
        </w:rPr>
      </w:pPr>
      <w:r>
        <w:rPr>
          <w:rFonts w:hint="eastAsia"/>
          <w:color w:val="auto"/>
          <w:sz w:val="24"/>
        </w:rPr>
        <w:t>本</w:t>
      </w:r>
      <w:r>
        <w:rPr>
          <w:color w:val="auto"/>
          <w:sz w:val="24"/>
        </w:rPr>
        <w:t>项目运营期</w:t>
      </w:r>
      <w:r>
        <w:rPr>
          <w:rFonts w:hint="eastAsia"/>
          <w:color w:val="auto"/>
          <w:sz w:val="24"/>
        </w:rPr>
        <w:t>厂界</w:t>
      </w:r>
      <w:r>
        <w:rPr>
          <w:bCs/>
          <w:color w:val="auto"/>
          <w:sz w:val="24"/>
        </w:rPr>
        <w:t>噪声执行《工业企业厂界环境噪声排放标准》（GB12348-2008）表1中</w:t>
      </w:r>
      <w:r>
        <w:rPr>
          <w:rFonts w:hint="eastAsia"/>
          <w:bCs/>
          <w:color w:val="auto"/>
          <w:sz w:val="24"/>
        </w:rPr>
        <w:t>2</w:t>
      </w:r>
      <w:r>
        <w:rPr>
          <w:bCs/>
          <w:color w:val="auto"/>
          <w:sz w:val="24"/>
        </w:rPr>
        <w:t>类标准</w:t>
      </w:r>
      <w:r>
        <w:rPr>
          <w:color w:val="auto"/>
          <w:sz w:val="24"/>
        </w:rPr>
        <w:t>。</w:t>
      </w:r>
    </w:p>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b/>
          <w:color w:val="auto"/>
          <w:kern w:val="0"/>
          <w:sz w:val="24"/>
        </w:rPr>
      </w:pPr>
      <w:r>
        <w:rPr>
          <w:b/>
          <w:color w:val="auto"/>
          <w:kern w:val="0"/>
          <w:sz w:val="24"/>
        </w:rPr>
        <w:t>表2-3-</w:t>
      </w:r>
      <w:r>
        <w:rPr>
          <w:rFonts w:hint="eastAsia"/>
          <w:b/>
          <w:color w:val="auto"/>
          <w:kern w:val="0"/>
          <w:sz w:val="24"/>
        </w:rPr>
        <w:t>8</w:t>
      </w:r>
      <w:r>
        <w:rPr>
          <w:b/>
          <w:color w:val="auto"/>
          <w:kern w:val="0"/>
          <w:sz w:val="24"/>
        </w:rPr>
        <w:t>噪声排放标准单位：dB(A)</w:t>
      </w:r>
    </w:p>
    <w:tbl>
      <w:tblPr>
        <w:tblStyle w:val="46"/>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686"/>
        <w:gridCol w:w="1290"/>
        <w:gridCol w:w="960"/>
        <w:gridCol w:w="1134"/>
        <w:gridCol w:w="345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686" w:type="dxa"/>
            <w:vAlign w:val="center"/>
          </w:tcPr>
          <w:p>
            <w:pPr>
              <w:jc w:val="center"/>
              <w:rPr>
                <w:color w:val="auto"/>
                <w:szCs w:val="21"/>
              </w:rPr>
            </w:pPr>
            <w:r>
              <w:rPr>
                <w:color w:val="auto"/>
                <w:kern w:val="0"/>
                <w:szCs w:val="21"/>
              </w:rPr>
              <w:t>厂界</w:t>
            </w:r>
          </w:p>
        </w:tc>
        <w:tc>
          <w:tcPr>
            <w:tcW w:w="1290" w:type="dxa"/>
            <w:vAlign w:val="center"/>
          </w:tcPr>
          <w:p>
            <w:pPr>
              <w:jc w:val="center"/>
              <w:rPr>
                <w:color w:val="auto"/>
                <w:szCs w:val="21"/>
              </w:rPr>
            </w:pPr>
            <w:r>
              <w:rPr>
                <w:color w:val="auto"/>
                <w:kern w:val="0"/>
                <w:szCs w:val="21"/>
              </w:rPr>
              <w:t>评价时段</w:t>
            </w:r>
          </w:p>
        </w:tc>
        <w:tc>
          <w:tcPr>
            <w:tcW w:w="960" w:type="dxa"/>
            <w:vAlign w:val="center"/>
          </w:tcPr>
          <w:p>
            <w:pPr>
              <w:jc w:val="center"/>
              <w:rPr>
                <w:color w:val="auto"/>
                <w:szCs w:val="21"/>
              </w:rPr>
            </w:pPr>
            <w:r>
              <w:rPr>
                <w:color w:val="auto"/>
                <w:kern w:val="0"/>
                <w:szCs w:val="21"/>
              </w:rPr>
              <w:t>昼间</w:t>
            </w:r>
          </w:p>
        </w:tc>
        <w:tc>
          <w:tcPr>
            <w:tcW w:w="1134" w:type="dxa"/>
            <w:vAlign w:val="center"/>
          </w:tcPr>
          <w:p>
            <w:pPr>
              <w:jc w:val="center"/>
              <w:rPr>
                <w:color w:val="auto"/>
                <w:szCs w:val="21"/>
              </w:rPr>
            </w:pPr>
            <w:r>
              <w:rPr>
                <w:color w:val="auto"/>
                <w:kern w:val="0"/>
                <w:szCs w:val="21"/>
              </w:rPr>
              <w:t>夜间</w:t>
            </w:r>
          </w:p>
        </w:tc>
        <w:tc>
          <w:tcPr>
            <w:tcW w:w="3452" w:type="dxa"/>
          </w:tcPr>
          <w:p>
            <w:pPr>
              <w:jc w:val="center"/>
              <w:rPr>
                <w:color w:val="auto"/>
                <w:szCs w:val="21"/>
              </w:rPr>
            </w:pPr>
            <w:r>
              <w:rPr>
                <w:color w:val="auto"/>
                <w:kern w:val="0"/>
                <w:szCs w:val="21"/>
              </w:rPr>
              <w:t>标准来源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686" w:type="dxa"/>
            <w:vAlign w:val="center"/>
          </w:tcPr>
          <w:p>
            <w:pPr>
              <w:jc w:val="center"/>
              <w:rPr>
                <w:color w:val="auto"/>
                <w:szCs w:val="21"/>
              </w:rPr>
            </w:pPr>
            <w:r>
              <w:rPr>
                <w:color w:val="auto"/>
                <w:kern w:val="0"/>
                <w:szCs w:val="21"/>
              </w:rPr>
              <w:t>厂界</w:t>
            </w:r>
          </w:p>
        </w:tc>
        <w:tc>
          <w:tcPr>
            <w:tcW w:w="1290" w:type="dxa"/>
            <w:vAlign w:val="center"/>
          </w:tcPr>
          <w:p>
            <w:pPr>
              <w:jc w:val="center"/>
              <w:rPr>
                <w:color w:val="auto"/>
                <w:szCs w:val="21"/>
              </w:rPr>
            </w:pPr>
            <w:r>
              <w:rPr>
                <w:color w:val="auto"/>
                <w:kern w:val="0"/>
                <w:szCs w:val="21"/>
              </w:rPr>
              <w:t>营运期</w:t>
            </w:r>
          </w:p>
        </w:tc>
        <w:tc>
          <w:tcPr>
            <w:tcW w:w="960" w:type="dxa"/>
            <w:vAlign w:val="center"/>
          </w:tcPr>
          <w:p>
            <w:pPr>
              <w:jc w:val="center"/>
              <w:rPr>
                <w:color w:val="auto"/>
                <w:szCs w:val="21"/>
              </w:rPr>
            </w:pPr>
            <w:r>
              <w:rPr>
                <w:rFonts w:hint="eastAsia"/>
                <w:color w:val="auto"/>
                <w:szCs w:val="21"/>
              </w:rPr>
              <w:t>60</w:t>
            </w:r>
          </w:p>
        </w:tc>
        <w:tc>
          <w:tcPr>
            <w:tcW w:w="1134" w:type="dxa"/>
            <w:vAlign w:val="center"/>
          </w:tcPr>
          <w:p>
            <w:pPr>
              <w:jc w:val="center"/>
              <w:rPr>
                <w:color w:val="auto"/>
                <w:szCs w:val="21"/>
              </w:rPr>
            </w:pPr>
            <w:r>
              <w:rPr>
                <w:rFonts w:hint="eastAsia"/>
                <w:color w:val="auto"/>
                <w:szCs w:val="21"/>
              </w:rPr>
              <w:t>50</w:t>
            </w:r>
          </w:p>
        </w:tc>
        <w:tc>
          <w:tcPr>
            <w:tcW w:w="3452" w:type="dxa"/>
          </w:tcPr>
          <w:p>
            <w:pPr>
              <w:jc w:val="center"/>
              <w:rPr>
                <w:color w:val="auto"/>
                <w:szCs w:val="21"/>
              </w:rPr>
            </w:pPr>
            <w:r>
              <w:rPr>
                <w:color w:val="auto"/>
                <w:kern w:val="0"/>
                <w:szCs w:val="21"/>
              </w:rPr>
              <w:t>《工业企业厂界环境噪声排放标准》（GB12348-2008）</w:t>
            </w:r>
            <w:r>
              <w:rPr>
                <w:rFonts w:hint="eastAsia"/>
                <w:color w:val="auto"/>
                <w:kern w:val="0"/>
                <w:szCs w:val="21"/>
              </w:rPr>
              <w:t>2</w:t>
            </w:r>
            <w:r>
              <w:rPr>
                <w:color w:val="auto"/>
                <w:kern w:val="0"/>
                <w:szCs w:val="21"/>
              </w:rPr>
              <w:t>类</w:t>
            </w:r>
          </w:p>
        </w:tc>
      </w:tr>
    </w:tbl>
    <w:p>
      <w:pPr>
        <w:spacing w:line="360" w:lineRule="auto"/>
        <w:ind w:firstLine="480" w:firstLineChars="200"/>
        <w:rPr>
          <w:color w:val="auto"/>
          <w:sz w:val="24"/>
        </w:rPr>
      </w:pPr>
      <w:r>
        <w:rPr>
          <w:color w:val="auto"/>
          <w:sz w:val="24"/>
        </w:rPr>
        <w:t>4、固体废物</w:t>
      </w:r>
    </w:p>
    <w:p>
      <w:pPr>
        <w:spacing w:line="360" w:lineRule="auto"/>
        <w:ind w:firstLine="424" w:firstLineChars="177"/>
        <w:contextualSpacing/>
        <w:rPr>
          <w:color w:val="auto"/>
          <w:sz w:val="24"/>
        </w:rPr>
      </w:pPr>
      <w:r>
        <w:rPr>
          <w:color w:val="auto"/>
          <w:sz w:val="24"/>
        </w:rPr>
        <w:t>营运期危险废物执行《危险废物贮存污染控制标准》（GB 18597-2023）中有关规定，一般固体废物排放执行《一般工业固体废物贮存和填埋污染控制标准》（GB18599-2020）、《一般固体废物分类与代码（GB/T39198-2020）》中相关要求。</w:t>
      </w:r>
    </w:p>
    <w:p>
      <w:pPr>
        <w:spacing w:line="360" w:lineRule="auto"/>
        <w:jc w:val="left"/>
        <w:outlineLvl w:val="1"/>
        <w:rPr>
          <w:b/>
          <w:bCs/>
          <w:color w:val="auto"/>
          <w:kern w:val="44"/>
          <w:sz w:val="30"/>
          <w:szCs w:val="30"/>
        </w:rPr>
      </w:pPr>
      <w:bookmarkStart w:id="40" w:name="_Toc32304"/>
      <w:r>
        <w:rPr>
          <w:b/>
          <w:bCs/>
          <w:color w:val="auto"/>
          <w:kern w:val="44"/>
          <w:sz w:val="30"/>
          <w:szCs w:val="30"/>
        </w:rPr>
        <w:t>2.4评价工作等级</w:t>
      </w:r>
      <w:bookmarkEnd w:id="40"/>
    </w:p>
    <w:p>
      <w:pPr>
        <w:pStyle w:val="5"/>
        <w:spacing w:before="0" w:after="0" w:line="360" w:lineRule="auto"/>
        <w:ind w:firstLine="0" w:firstLineChars="0"/>
        <w:rPr>
          <w:rFonts w:ascii="Times New Roman" w:hAnsi="Times New Roman" w:cs="Times New Roman"/>
          <w:b/>
          <w:color w:val="auto"/>
          <w:sz w:val="28"/>
          <w:szCs w:val="28"/>
        </w:rPr>
      </w:pPr>
      <w:bookmarkStart w:id="41" w:name="_Toc88969053"/>
      <w:bookmarkStart w:id="42" w:name="_Toc88900493"/>
      <w:bookmarkStart w:id="43" w:name="_Toc89231863"/>
      <w:bookmarkStart w:id="44" w:name="_Toc88968910"/>
      <w:r>
        <w:rPr>
          <w:rFonts w:ascii="Times New Roman" w:hAnsi="Times New Roman" w:cs="Times New Roman"/>
          <w:b/>
          <w:color w:val="auto"/>
          <w:sz w:val="28"/>
          <w:szCs w:val="28"/>
        </w:rPr>
        <w:t>2.4.1环境空气评价工作等级</w:t>
      </w:r>
    </w:p>
    <w:bookmarkEnd w:id="41"/>
    <w:bookmarkEnd w:id="42"/>
    <w:bookmarkEnd w:id="43"/>
    <w:bookmarkEnd w:id="44"/>
    <w:p>
      <w:pPr>
        <w:spacing w:line="360" w:lineRule="auto"/>
        <w:ind w:firstLine="480" w:firstLineChars="200"/>
        <w:rPr>
          <w:color w:val="auto"/>
          <w:sz w:val="24"/>
        </w:rPr>
      </w:pPr>
      <w:r>
        <w:rPr>
          <w:color w:val="auto"/>
          <w:sz w:val="24"/>
        </w:rPr>
        <w:t>依据《环境影响评价技术导则-大气环境》(HJ2.2-2018)中5.3节工作等级的确定方法，结合项目工程分析结果，选择正常排放的主要污染物及排放参数，采用附录A推荐模型中的AERSCREEN模式计算项目污染源的最大环境影响，然后按评价工作分级判据进行分级。</w:t>
      </w:r>
    </w:p>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b/>
          <w:color w:val="auto"/>
          <w:kern w:val="0"/>
          <w:sz w:val="24"/>
        </w:rPr>
      </w:pPr>
      <w:r>
        <w:rPr>
          <w:b/>
          <w:color w:val="auto"/>
          <w:kern w:val="0"/>
          <w:sz w:val="24"/>
        </w:rPr>
        <w:t>表2-4-1大气评价等级确定表</w:t>
      </w:r>
    </w:p>
    <w:tbl>
      <w:tblPr>
        <w:tblStyle w:val="46"/>
        <w:tblW w:w="8306"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962"/>
        <w:gridCol w:w="334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4962" w:type="dxa"/>
            <w:vAlign w:val="center"/>
          </w:tcPr>
          <w:p>
            <w:pPr>
              <w:jc w:val="center"/>
              <w:rPr>
                <w:snapToGrid w:val="0"/>
                <w:color w:val="auto"/>
                <w:kern w:val="0"/>
                <w:lang w:val="zh-CN"/>
              </w:rPr>
            </w:pPr>
            <w:r>
              <w:rPr>
                <w:snapToGrid w:val="0"/>
                <w:color w:val="auto"/>
                <w:kern w:val="0"/>
                <w:lang w:val="zh-CN"/>
              </w:rPr>
              <w:t>评价工作等级判据</w:t>
            </w:r>
          </w:p>
        </w:tc>
        <w:tc>
          <w:tcPr>
            <w:tcW w:w="3344" w:type="dxa"/>
            <w:vAlign w:val="center"/>
          </w:tcPr>
          <w:p>
            <w:pPr>
              <w:jc w:val="center"/>
              <w:rPr>
                <w:snapToGrid w:val="0"/>
                <w:color w:val="auto"/>
                <w:kern w:val="0"/>
                <w:lang w:val="zh-CN"/>
              </w:rPr>
            </w:pPr>
            <w:r>
              <w:rPr>
                <w:snapToGrid w:val="0"/>
                <w:color w:val="auto"/>
                <w:kern w:val="0"/>
                <w:lang w:val="zh-CN"/>
              </w:rPr>
              <w:t>评价工作等级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4962" w:type="dxa"/>
            <w:vAlign w:val="center"/>
          </w:tcPr>
          <w:p>
            <w:pPr>
              <w:jc w:val="center"/>
              <w:rPr>
                <w:snapToGrid w:val="0"/>
                <w:color w:val="auto"/>
                <w:kern w:val="0"/>
                <w:lang w:val="zh-CN"/>
              </w:rPr>
            </w:pPr>
            <w:r>
              <w:rPr>
                <w:snapToGrid w:val="0"/>
                <w:color w:val="auto"/>
                <w:kern w:val="0"/>
                <w:lang w:val="zh-CN"/>
              </w:rPr>
              <w:t>P</w:t>
            </w:r>
            <w:r>
              <w:rPr>
                <w:snapToGrid w:val="0"/>
                <w:color w:val="auto"/>
                <w:kern w:val="0"/>
                <w:vertAlign w:val="subscript"/>
                <w:lang w:val="zh-CN"/>
              </w:rPr>
              <w:t>max</w:t>
            </w:r>
            <w:r>
              <w:rPr>
                <w:snapToGrid w:val="0"/>
                <w:color w:val="auto"/>
                <w:kern w:val="0"/>
                <w:lang w:val="zh-CN"/>
              </w:rPr>
              <w:t>≥10%</w:t>
            </w:r>
          </w:p>
        </w:tc>
        <w:tc>
          <w:tcPr>
            <w:tcW w:w="3344" w:type="dxa"/>
            <w:vAlign w:val="center"/>
          </w:tcPr>
          <w:p>
            <w:pPr>
              <w:jc w:val="center"/>
              <w:rPr>
                <w:snapToGrid w:val="0"/>
                <w:color w:val="auto"/>
                <w:kern w:val="0"/>
                <w:lang w:val="zh-CN"/>
              </w:rPr>
            </w:pPr>
            <w:r>
              <w:rPr>
                <w:snapToGrid w:val="0"/>
                <w:color w:val="auto"/>
                <w:kern w:val="0"/>
                <w:lang w:val="zh-CN"/>
              </w:rPr>
              <w:t>一级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4962" w:type="dxa"/>
            <w:vAlign w:val="center"/>
          </w:tcPr>
          <w:p>
            <w:pPr>
              <w:jc w:val="center"/>
              <w:rPr>
                <w:snapToGrid w:val="0"/>
                <w:color w:val="auto"/>
                <w:kern w:val="0"/>
                <w:lang w:val="zh-CN"/>
              </w:rPr>
            </w:pPr>
            <w:r>
              <w:rPr>
                <w:snapToGrid w:val="0"/>
                <w:color w:val="auto"/>
                <w:kern w:val="0"/>
                <w:lang w:val="zh-CN"/>
              </w:rPr>
              <w:t>1%≤P</w:t>
            </w:r>
            <w:r>
              <w:rPr>
                <w:snapToGrid w:val="0"/>
                <w:color w:val="auto"/>
                <w:kern w:val="0"/>
                <w:vertAlign w:val="subscript"/>
                <w:lang w:val="zh-CN"/>
              </w:rPr>
              <w:t>max</w:t>
            </w:r>
            <w:r>
              <w:rPr>
                <w:snapToGrid w:val="0"/>
                <w:color w:val="auto"/>
                <w:kern w:val="0"/>
                <w:lang w:val="zh-CN"/>
              </w:rPr>
              <w:t>＜10%</w:t>
            </w:r>
          </w:p>
        </w:tc>
        <w:tc>
          <w:tcPr>
            <w:tcW w:w="3344" w:type="dxa"/>
            <w:vAlign w:val="center"/>
          </w:tcPr>
          <w:p>
            <w:pPr>
              <w:jc w:val="center"/>
              <w:rPr>
                <w:snapToGrid w:val="0"/>
                <w:color w:val="auto"/>
                <w:kern w:val="0"/>
                <w:lang w:val="zh-CN"/>
              </w:rPr>
            </w:pPr>
            <w:r>
              <w:rPr>
                <w:snapToGrid w:val="0"/>
                <w:color w:val="auto"/>
                <w:kern w:val="0"/>
                <w:lang w:val="zh-CN"/>
              </w:rPr>
              <w:t>二级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4962" w:type="dxa"/>
            <w:vAlign w:val="center"/>
          </w:tcPr>
          <w:p>
            <w:pPr>
              <w:jc w:val="center"/>
              <w:rPr>
                <w:snapToGrid w:val="0"/>
                <w:color w:val="auto"/>
                <w:kern w:val="0"/>
                <w:lang w:val="zh-CN"/>
              </w:rPr>
            </w:pPr>
            <w:r>
              <w:rPr>
                <w:snapToGrid w:val="0"/>
                <w:color w:val="auto"/>
                <w:kern w:val="0"/>
                <w:lang w:val="zh-CN"/>
              </w:rPr>
              <w:t>P</w:t>
            </w:r>
            <w:r>
              <w:rPr>
                <w:snapToGrid w:val="0"/>
                <w:color w:val="auto"/>
                <w:kern w:val="0"/>
                <w:vertAlign w:val="subscript"/>
                <w:lang w:val="zh-CN"/>
              </w:rPr>
              <w:t>max</w:t>
            </w:r>
            <w:r>
              <w:rPr>
                <w:snapToGrid w:val="0"/>
                <w:color w:val="auto"/>
                <w:kern w:val="0"/>
                <w:lang w:val="zh-CN"/>
              </w:rPr>
              <w:t>＜1%</w:t>
            </w:r>
          </w:p>
        </w:tc>
        <w:tc>
          <w:tcPr>
            <w:tcW w:w="3344" w:type="dxa"/>
            <w:vAlign w:val="center"/>
          </w:tcPr>
          <w:p>
            <w:pPr>
              <w:jc w:val="center"/>
              <w:rPr>
                <w:snapToGrid w:val="0"/>
                <w:color w:val="auto"/>
                <w:kern w:val="0"/>
                <w:lang w:val="zh-CN"/>
              </w:rPr>
            </w:pPr>
            <w:r>
              <w:rPr>
                <w:snapToGrid w:val="0"/>
                <w:color w:val="auto"/>
                <w:kern w:val="0"/>
                <w:lang w:val="zh-CN"/>
              </w:rPr>
              <w:t>三级</w:t>
            </w:r>
          </w:p>
        </w:tc>
      </w:tr>
    </w:tbl>
    <w:p>
      <w:pPr>
        <w:spacing w:line="480" w:lineRule="exact"/>
        <w:ind w:firstLine="422" w:firstLineChars="176"/>
        <w:jc w:val="left"/>
        <w:rPr>
          <w:color w:val="auto"/>
          <w:sz w:val="24"/>
        </w:rPr>
      </w:pPr>
      <w:r>
        <w:rPr>
          <w:color w:val="auto"/>
          <w:sz w:val="24"/>
        </w:rPr>
        <w:t>依据《环境影响评价技术导则大气环境》(HJ2.2-2018)中最大地面浓度占标率P</w:t>
      </w:r>
      <w:r>
        <w:rPr>
          <w:i/>
          <w:color w:val="auto"/>
          <w:sz w:val="24"/>
        </w:rPr>
        <w:t>i</w:t>
      </w:r>
      <w:r>
        <w:rPr>
          <w:color w:val="auto"/>
          <w:sz w:val="24"/>
        </w:rPr>
        <w:t>定义如下：</w:t>
      </w:r>
    </w:p>
    <w:p>
      <w:pPr>
        <w:spacing w:line="276" w:lineRule="auto"/>
        <w:ind w:firstLine="422" w:firstLineChars="176"/>
        <w:jc w:val="center"/>
        <w:rPr>
          <w:color w:val="auto"/>
          <w:sz w:val="24"/>
        </w:rPr>
      </w:pPr>
      <m:oMathPara>
        <m:oMath>
          <m:sSub>
            <m:sSubPr>
              <m:ctrlPr>
                <w:rPr>
                  <w:rFonts w:ascii="Cambria Math" w:hAnsi="Cambria Math"/>
                  <w:color w:val="auto"/>
                  <w:sz w:val="24"/>
                </w:rPr>
              </m:ctrlPr>
            </m:sSubPr>
            <m:e>
              <m:r>
                <m:rPr/>
                <w:rPr>
                  <w:rFonts w:ascii="Cambria Math"/>
                  <w:color w:val="auto"/>
                  <w:sz w:val="24"/>
                </w:rPr>
                <m:t>P</m:t>
              </m:r>
              <m:ctrlPr>
                <w:rPr>
                  <w:rFonts w:ascii="Cambria Math" w:hAnsi="Cambria Math"/>
                  <w:color w:val="auto"/>
                  <w:sz w:val="24"/>
                </w:rPr>
              </m:ctrlPr>
            </m:e>
            <m:sub>
              <m:r>
                <m:rPr/>
                <w:rPr>
                  <w:rFonts w:ascii="Cambria Math"/>
                  <w:color w:val="auto"/>
                  <w:sz w:val="24"/>
                </w:rPr>
                <m:t>i</m:t>
              </m:r>
              <m:ctrlPr>
                <w:rPr>
                  <w:rFonts w:ascii="Cambria Math" w:hAnsi="Cambria Math"/>
                  <w:color w:val="auto"/>
                  <w:sz w:val="24"/>
                </w:rPr>
              </m:ctrlPr>
            </m:sub>
          </m:sSub>
          <m:r>
            <m:rPr>
              <m:sty m:val="p"/>
            </m:rPr>
            <w:rPr>
              <w:rFonts w:ascii="Cambria Math"/>
              <w:color w:val="auto"/>
              <w:sz w:val="24"/>
            </w:rPr>
            <m:t>=</m:t>
          </m:r>
          <m:f>
            <m:fPr>
              <m:ctrlPr>
                <w:rPr>
                  <w:rFonts w:ascii="Cambria Math" w:hAnsi="Cambria Math"/>
                  <w:color w:val="auto"/>
                  <w:sz w:val="24"/>
                </w:rPr>
              </m:ctrlPr>
            </m:fPr>
            <m:num>
              <m:sSub>
                <m:sSubPr>
                  <m:ctrlPr>
                    <w:rPr>
                      <w:rFonts w:ascii="Cambria Math" w:hAnsi="Cambria Math"/>
                      <w:i/>
                      <w:color w:val="auto"/>
                      <w:sz w:val="24"/>
                    </w:rPr>
                  </m:ctrlPr>
                </m:sSubPr>
                <m:e>
                  <m:r>
                    <m:rPr/>
                    <w:rPr>
                      <w:rFonts w:ascii="Cambria Math"/>
                      <w:color w:val="auto"/>
                      <w:sz w:val="24"/>
                    </w:rPr>
                    <m:t>C</m:t>
                  </m:r>
                  <m:ctrlPr>
                    <w:rPr>
                      <w:rFonts w:ascii="Cambria Math" w:hAnsi="Cambria Math"/>
                      <w:i/>
                      <w:color w:val="auto"/>
                      <w:sz w:val="24"/>
                    </w:rPr>
                  </m:ctrlPr>
                </m:e>
                <m:sub>
                  <m:r>
                    <m:rPr/>
                    <w:rPr>
                      <w:rFonts w:ascii="Cambria Math"/>
                      <w:color w:val="auto"/>
                      <w:sz w:val="24"/>
                    </w:rPr>
                    <m:t>i</m:t>
                  </m:r>
                  <m:ctrlPr>
                    <w:rPr>
                      <w:rFonts w:ascii="Cambria Math" w:hAnsi="Cambria Math"/>
                      <w:i/>
                      <w:color w:val="auto"/>
                      <w:sz w:val="24"/>
                    </w:rPr>
                  </m:ctrlPr>
                </m:sub>
              </m:sSub>
              <m:ctrlPr>
                <w:rPr>
                  <w:rFonts w:ascii="Cambria Math" w:hAnsi="Cambria Math"/>
                  <w:color w:val="auto"/>
                  <w:sz w:val="24"/>
                </w:rPr>
              </m:ctrlPr>
            </m:num>
            <m:den>
              <m:sSub>
                <m:sSubPr>
                  <m:ctrlPr>
                    <w:rPr>
                      <w:rFonts w:ascii="Cambria Math" w:hAnsi="Cambria Math"/>
                      <w:i/>
                      <w:color w:val="auto"/>
                      <w:sz w:val="24"/>
                    </w:rPr>
                  </m:ctrlPr>
                </m:sSubPr>
                <m:e>
                  <m:r>
                    <m:rPr/>
                    <w:rPr>
                      <w:rFonts w:ascii="Cambria Math"/>
                      <w:color w:val="auto"/>
                      <w:sz w:val="24"/>
                    </w:rPr>
                    <m:t>C</m:t>
                  </m:r>
                  <m:ctrlPr>
                    <w:rPr>
                      <w:rFonts w:ascii="Cambria Math" w:hAnsi="Cambria Math"/>
                      <w:i/>
                      <w:color w:val="auto"/>
                      <w:sz w:val="24"/>
                    </w:rPr>
                  </m:ctrlPr>
                </m:e>
                <m:sub>
                  <m:r>
                    <m:rPr/>
                    <w:rPr>
                      <w:rFonts w:ascii="Cambria Math"/>
                      <w:color w:val="auto"/>
                      <w:sz w:val="24"/>
                    </w:rPr>
                    <m:t>0i</m:t>
                  </m:r>
                  <m:ctrlPr>
                    <w:rPr>
                      <w:rFonts w:ascii="Cambria Math" w:hAnsi="Cambria Math"/>
                      <w:i/>
                      <w:color w:val="auto"/>
                      <w:sz w:val="24"/>
                    </w:rPr>
                  </m:ctrlPr>
                </m:sub>
              </m:sSub>
              <m:ctrlPr>
                <w:rPr>
                  <w:rFonts w:ascii="Cambria Math" w:hAnsi="Cambria Math"/>
                  <w:color w:val="auto"/>
                  <w:sz w:val="24"/>
                </w:rPr>
              </m:ctrlPr>
            </m:den>
          </m:f>
          <m:r>
            <m:rPr/>
            <w:rPr>
              <w:rFonts w:ascii="Cambria Math"/>
              <w:color w:val="auto"/>
              <w:sz w:val="24"/>
            </w:rPr>
            <m:t>×100%</m:t>
          </m:r>
        </m:oMath>
      </m:oMathPara>
    </w:p>
    <w:p>
      <w:pPr>
        <w:spacing w:line="480" w:lineRule="exact"/>
        <w:ind w:firstLine="422" w:firstLineChars="176"/>
        <w:jc w:val="left"/>
        <w:rPr>
          <w:color w:val="auto"/>
          <w:sz w:val="24"/>
        </w:rPr>
      </w:pPr>
      <m:oMath>
        <m:sSub>
          <m:sSubPr>
            <m:ctrlPr>
              <w:rPr>
                <w:rFonts w:ascii="Cambria Math" w:hAnsi="Cambria Math"/>
                <w:color w:val="auto"/>
                <w:sz w:val="24"/>
              </w:rPr>
            </m:ctrlPr>
          </m:sSubPr>
          <m:e>
            <m:r>
              <m:rPr/>
              <w:rPr>
                <w:rFonts w:ascii="Cambria Math"/>
                <w:color w:val="auto"/>
                <w:sz w:val="24"/>
              </w:rPr>
              <m:t>P</m:t>
            </m:r>
            <m:ctrlPr>
              <w:rPr>
                <w:rFonts w:ascii="Cambria Math" w:hAnsi="Cambria Math"/>
                <w:color w:val="auto"/>
                <w:sz w:val="24"/>
              </w:rPr>
            </m:ctrlPr>
          </m:e>
          <m:sub>
            <m:r>
              <m:rPr/>
              <w:rPr>
                <w:rFonts w:ascii="Cambria Math"/>
                <w:color w:val="auto"/>
                <w:sz w:val="24"/>
              </w:rPr>
              <m:t>i</m:t>
            </m:r>
            <m:ctrlPr>
              <w:rPr>
                <w:rFonts w:ascii="Cambria Math" w:hAnsi="Cambria Math"/>
                <w:color w:val="auto"/>
                <w:sz w:val="24"/>
              </w:rPr>
            </m:ctrlPr>
          </m:sub>
        </m:sSub>
      </m:oMath>
      <w:r>
        <w:rPr>
          <w:color w:val="auto"/>
          <w:sz w:val="24"/>
        </w:rPr>
        <w:t xml:space="preserve"> ——第i个污染物的最大地面空气质量浓度占标率，%；</w:t>
      </w:r>
    </w:p>
    <w:p>
      <w:pPr>
        <w:spacing w:line="480" w:lineRule="exact"/>
        <w:ind w:firstLine="422" w:firstLineChars="176"/>
        <w:jc w:val="left"/>
        <w:rPr>
          <w:color w:val="auto"/>
          <w:sz w:val="24"/>
        </w:rPr>
      </w:pPr>
      <m:oMath>
        <m:sSub>
          <m:sSubPr>
            <m:ctrlPr>
              <w:rPr>
                <w:rFonts w:ascii="Cambria Math" w:hAnsi="Cambria Math"/>
                <w:i/>
                <w:color w:val="auto"/>
                <w:sz w:val="24"/>
              </w:rPr>
            </m:ctrlPr>
          </m:sSubPr>
          <m:e>
            <m:r>
              <m:rPr/>
              <w:rPr>
                <w:rFonts w:ascii="Cambria Math"/>
                <w:color w:val="auto"/>
                <w:sz w:val="24"/>
              </w:rPr>
              <m:t>C</m:t>
            </m:r>
            <m:ctrlPr>
              <w:rPr>
                <w:rFonts w:ascii="Cambria Math" w:hAnsi="Cambria Math"/>
                <w:i/>
                <w:color w:val="auto"/>
                <w:sz w:val="24"/>
              </w:rPr>
            </m:ctrlPr>
          </m:e>
          <m:sub>
            <m:r>
              <m:rPr/>
              <w:rPr>
                <w:rFonts w:ascii="Cambria Math"/>
                <w:color w:val="auto"/>
                <w:sz w:val="24"/>
              </w:rPr>
              <m:t>i</m:t>
            </m:r>
            <m:ctrlPr>
              <w:rPr>
                <w:rFonts w:ascii="Cambria Math" w:hAnsi="Cambria Math"/>
                <w:i/>
                <w:color w:val="auto"/>
                <w:sz w:val="24"/>
              </w:rPr>
            </m:ctrlPr>
          </m:sub>
        </m:sSub>
      </m:oMath>
      <w:r>
        <w:rPr>
          <w:color w:val="auto"/>
          <w:sz w:val="24"/>
        </w:rPr>
        <w:t>——采用估算模型计算出的第i个污染物的最大1h地面空气质量浓度，μg/m</w:t>
      </w:r>
      <w:r>
        <w:rPr>
          <w:color w:val="auto"/>
          <w:sz w:val="24"/>
          <w:vertAlign w:val="superscript"/>
        </w:rPr>
        <w:t>3</w:t>
      </w:r>
      <w:r>
        <w:rPr>
          <w:color w:val="auto"/>
          <w:sz w:val="24"/>
        </w:rPr>
        <w:t>；</w:t>
      </w:r>
    </w:p>
    <w:p>
      <w:pPr>
        <w:spacing w:line="480" w:lineRule="exact"/>
        <w:ind w:firstLine="422" w:firstLineChars="176"/>
        <w:jc w:val="left"/>
        <w:rPr>
          <w:color w:val="auto"/>
          <w:sz w:val="24"/>
        </w:rPr>
      </w:pPr>
      <m:oMath>
        <m:sSub>
          <m:sSubPr>
            <m:ctrlPr>
              <w:rPr>
                <w:rFonts w:ascii="Cambria Math" w:hAnsi="Cambria Math"/>
                <w:i/>
                <w:color w:val="auto"/>
                <w:sz w:val="24"/>
              </w:rPr>
            </m:ctrlPr>
          </m:sSubPr>
          <m:e>
            <m:r>
              <m:rPr/>
              <w:rPr>
                <w:rFonts w:ascii="Cambria Math"/>
                <w:color w:val="auto"/>
                <w:sz w:val="24"/>
              </w:rPr>
              <m:t>C</m:t>
            </m:r>
            <m:ctrlPr>
              <w:rPr>
                <w:rFonts w:ascii="Cambria Math" w:hAnsi="Cambria Math"/>
                <w:i/>
                <w:color w:val="auto"/>
                <w:sz w:val="24"/>
              </w:rPr>
            </m:ctrlPr>
          </m:e>
          <m:sub>
            <m:r>
              <m:rPr/>
              <w:rPr>
                <w:rFonts w:ascii="Cambria Math"/>
                <w:color w:val="auto"/>
                <w:sz w:val="24"/>
              </w:rPr>
              <m:t>0i</m:t>
            </m:r>
            <m:ctrlPr>
              <w:rPr>
                <w:rFonts w:ascii="Cambria Math" w:hAnsi="Cambria Math"/>
                <w:i/>
                <w:color w:val="auto"/>
                <w:sz w:val="24"/>
              </w:rPr>
            </m:ctrlPr>
          </m:sub>
        </m:sSub>
      </m:oMath>
      <w:r>
        <w:rPr>
          <w:color w:val="auto"/>
          <w:sz w:val="24"/>
        </w:rPr>
        <w:t>——第i个污染物的环境空气质量浓度标准，μg/m</w:t>
      </w:r>
      <w:r>
        <w:rPr>
          <w:color w:val="auto"/>
          <w:sz w:val="24"/>
          <w:vertAlign w:val="superscript"/>
        </w:rPr>
        <w:t>3</w:t>
      </w:r>
      <w:r>
        <w:rPr>
          <w:color w:val="auto"/>
          <w:sz w:val="24"/>
        </w:rPr>
        <w:t>。</w:t>
      </w:r>
    </w:p>
    <w:p>
      <w:pPr>
        <w:tabs>
          <w:tab w:val="right" w:leader="dot" w:pos="8505"/>
        </w:tabs>
        <w:spacing w:line="500" w:lineRule="exact"/>
        <w:ind w:firstLine="480" w:firstLineChars="200"/>
        <w:rPr>
          <w:color w:val="auto"/>
          <w:kern w:val="0"/>
          <w:sz w:val="24"/>
        </w:rPr>
      </w:pPr>
      <w:r>
        <w:rPr>
          <w:color w:val="auto"/>
          <w:kern w:val="0"/>
          <w:sz w:val="24"/>
        </w:rPr>
        <w:t>污染源参数见表2-4-2和表2-4-3。</w:t>
      </w:r>
    </w:p>
    <w:p>
      <w:pPr>
        <w:pStyle w:val="152"/>
        <w:keepNext w:val="0"/>
        <w:keepLines w:val="0"/>
        <w:pageBreakBefore w:val="0"/>
        <w:widowControl w:val="0"/>
        <w:kinsoku/>
        <w:wordWrap/>
        <w:overflowPunct/>
        <w:topLinePunct w:val="0"/>
        <w:autoSpaceDE/>
        <w:autoSpaceDN/>
        <w:bidi w:val="0"/>
        <w:adjustRightInd/>
        <w:snapToGrid/>
        <w:spacing w:line="240" w:lineRule="auto"/>
        <w:textAlignment w:val="auto"/>
        <w:rPr>
          <w:color w:val="auto"/>
        </w:rPr>
      </w:pPr>
      <w:r>
        <w:rPr>
          <w:color w:val="auto"/>
        </w:rPr>
        <w:t>表</w:t>
      </w:r>
      <w:r>
        <w:rPr>
          <w:rFonts w:hint="eastAsia"/>
          <w:color w:val="auto"/>
        </w:rPr>
        <w:t>2</w:t>
      </w:r>
      <w:r>
        <w:rPr>
          <w:color w:val="auto"/>
        </w:rPr>
        <w:t>-</w:t>
      </w:r>
      <w:r>
        <w:rPr>
          <w:rFonts w:hint="eastAsia"/>
          <w:color w:val="auto"/>
        </w:rPr>
        <w:t>4</w:t>
      </w:r>
      <w:r>
        <w:rPr>
          <w:color w:val="auto"/>
        </w:rPr>
        <w:t>-2主要废气污染源参数一览表(点源)</w:t>
      </w:r>
    </w:p>
    <w:tbl>
      <w:tblPr>
        <w:tblStyle w:val="46"/>
        <w:tblpPr w:leftFromText="180" w:rightFromText="180" w:vertAnchor="text" w:tblpXSpec="center" w:tblpY="1"/>
        <w:tblOverlap w:val="never"/>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23"/>
        <w:gridCol w:w="358"/>
        <w:gridCol w:w="882"/>
        <w:gridCol w:w="934"/>
        <w:gridCol w:w="521"/>
        <w:gridCol w:w="521"/>
        <w:gridCol w:w="521"/>
        <w:gridCol w:w="632"/>
        <w:gridCol w:w="334"/>
        <w:gridCol w:w="474"/>
        <w:gridCol w:w="223"/>
        <w:gridCol w:w="599"/>
        <w:gridCol w:w="599"/>
        <w:gridCol w:w="516"/>
        <w:gridCol w:w="509"/>
        <w:gridCol w:w="5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802" w:hRule="atLeast"/>
        </w:trPr>
        <w:tc>
          <w:tcPr>
            <w:tcW w:w="223"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编号</w:t>
            </w:r>
          </w:p>
        </w:tc>
        <w:tc>
          <w:tcPr>
            <w:tcW w:w="358"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名称</w:t>
            </w:r>
          </w:p>
        </w:tc>
        <w:tc>
          <w:tcPr>
            <w:tcW w:w="1816" w:type="dxa"/>
            <w:gridSpan w:val="2"/>
            <w:vAlign w:val="center"/>
          </w:tcPr>
          <w:p>
            <w:pPr>
              <w:spacing w:line="0" w:lineRule="atLeast"/>
              <w:jc w:val="center"/>
              <w:rPr>
                <w:rFonts w:eastAsiaTheme="minorEastAsia"/>
                <w:color w:val="auto"/>
                <w:szCs w:val="21"/>
              </w:rPr>
            </w:pPr>
            <w:r>
              <w:rPr>
                <w:rFonts w:hAnsiTheme="minorEastAsia" w:eastAsiaTheme="minorEastAsia"/>
                <w:color w:val="auto"/>
                <w:szCs w:val="21"/>
              </w:rPr>
              <w:t>排气筒底部中心坐标（</w:t>
            </w:r>
            <w:r>
              <w:rPr>
                <w:rFonts w:eastAsiaTheme="minorEastAsia"/>
                <w:color w:val="auto"/>
                <w:szCs w:val="21"/>
                <w:vertAlign w:val="superscript"/>
              </w:rPr>
              <w:t>o</w:t>
            </w:r>
            <w:r>
              <w:rPr>
                <w:rFonts w:hAnsiTheme="minorEastAsia" w:eastAsiaTheme="minorEastAsia"/>
                <w:color w:val="auto"/>
                <w:szCs w:val="21"/>
              </w:rPr>
              <w:t>）</w:t>
            </w:r>
          </w:p>
        </w:tc>
        <w:tc>
          <w:tcPr>
            <w:tcW w:w="521"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排气筒底部海拔高度（</w:t>
            </w:r>
            <w:r>
              <w:rPr>
                <w:rFonts w:eastAsiaTheme="minorEastAsia"/>
                <w:color w:val="auto"/>
                <w:szCs w:val="21"/>
              </w:rPr>
              <w:t>m</w:t>
            </w:r>
            <w:r>
              <w:rPr>
                <w:rFonts w:hAnsiTheme="minorEastAsia" w:eastAsiaTheme="minorEastAsia"/>
                <w:color w:val="auto"/>
                <w:szCs w:val="21"/>
              </w:rPr>
              <w:t>）</w:t>
            </w:r>
          </w:p>
        </w:tc>
        <w:tc>
          <w:tcPr>
            <w:tcW w:w="521"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排气筒高度（</w:t>
            </w:r>
            <w:r>
              <w:rPr>
                <w:rFonts w:eastAsiaTheme="minorEastAsia"/>
                <w:color w:val="auto"/>
                <w:szCs w:val="21"/>
              </w:rPr>
              <w:t>m</w:t>
            </w:r>
            <w:r>
              <w:rPr>
                <w:rFonts w:hAnsiTheme="minorEastAsia" w:eastAsiaTheme="minorEastAsia"/>
                <w:color w:val="auto"/>
                <w:szCs w:val="21"/>
              </w:rPr>
              <w:t>）</w:t>
            </w:r>
          </w:p>
        </w:tc>
        <w:tc>
          <w:tcPr>
            <w:tcW w:w="521"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排气筒出口内径（</w:t>
            </w:r>
            <w:r>
              <w:rPr>
                <w:rFonts w:eastAsiaTheme="minorEastAsia"/>
                <w:color w:val="auto"/>
                <w:szCs w:val="21"/>
              </w:rPr>
              <w:t>m</w:t>
            </w:r>
            <w:r>
              <w:rPr>
                <w:rFonts w:hAnsiTheme="minorEastAsia" w:eastAsiaTheme="minorEastAsia"/>
                <w:color w:val="auto"/>
                <w:szCs w:val="21"/>
              </w:rPr>
              <w:t>）</w:t>
            </w:r>
          </w:p>
        </w:tc>
        <w:tc>
          <w:tcPr>
            <w:tcW w:w="632"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烟气流速（</w:t>
            </w:r>
            <w:r>
              <w:rPr>
                <w:rFonts w:eastAsiaTheme="minorEastAsia"/>
                <w:color w:val="auto"/>
                <w:szCs w:val="21"/>
              </w:rPr>
              <w:t>m/s</w:t>
            </w:r>
            <w:r>
              <w:rPr>
                <w:rFonts w:hAnsiTheme="minorEastAsia" w:eastAsiaTheme="minorEastAsia"/>
                <w:color w:val="auto"/>
                <w:szCs w:val="21"/>
              </w:rPr>
              <w:t>）</w:t>
            </w:r>
          </w:p>
        </w:tc>
        <w:tc>
          <w:tcPr>
            <w:tcW w:w="334"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烟气温度</w:t>
            </w:r>
          </w:p>
          <w:p>
            <w:pPr>
              <w:spacing w:line="0" w:lineRule="atLeast"/>
              <w:jc w:val="center"/>
              <w:rPr>
                <w:rFonts w:eastAsiaTheme="minorEastAsia"/>
                <w:color w:val="auto"/>
                <w:szCs w:val="21"/>
              </w:rPr>
            </w:pPr>
            <w:r>
              <w:rPr>
                <w:rFonts w:eastAsiaTheme="minorEastAsia"/>
                <w:color w:val="auto"/>
                <w:szCs w:val="21"/>
              </w:rPr>
              <w:t>(</w:t>
            </w:r>
            <w:r>
              <w:rPr>
                <w:rFonts w:hAnsiTheme="minorEastAsia" w:eastAsiaTheme="minorEastAsia"/>
                <w:color w:val="auto"/>
                <w:szCs w:val="21"/>
              </w:rPr>
              <w:t>℃</w:t>
            </w:r>
            <w:r>
              <w:rPr>
                <w:rFonts w:eastAsiaTheme="minorEastAsia"/>
                <w:color w:val="auto"/>
                <w:szCs w:val="21"/>
              </w:rPr>
              <w:t>)</w:t>
            </w:r>
          </w:p>
        </w:tc>
        <w:tc>
          <w:tcPr>
            <w:tcW w:w="474"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年排放小时数（</w:t>
            </w:r>
            <w:r>
              <w:rPr>
                <w:rFonts w:eastAsiaTheme="minorEastAsia"/>
                <w:color w:val="auto"/>
                <w:szCs w:val="21"/>
              </w:rPr>
              <w:t>h</w:t>
            </w:r>
            <w:r>
              <w:rPr>
                <w:rFonts w:hAnsiTheme="minorEastAsia" w:eastAsiaTheme="minorEastAsia"/>
                <w:color w:val="auto"/>
                <w:szCs w:val="21"/>
              </w:rPr>
              <w:t>）</w:t>
            </w:r>
          </w:p>
        </w:tc>
        <w:tc>
          <w:tcPr>
            <w:tcW w:w="223" w:type="dxa"/>
            <w:vMerge w:val="restart"/>
            <w:vAlign w:val="center"/>
          </w:tcPr>
          <w:p>
            <w:pPr>
              <w:spacing w:line="0" w:lineRule="atLeast"/>
              <w:contextualSpacing/>
              <w:jc w:val="center"/>
              <w:rPr>
                <w:rFonts w:eastAsiaTheme="minorEastAsia"/>
                <w:color w:val="auto"/>
                <w:szCs w:val="21"/>
              </w:rPr>
            </w:pPr>
            <w:r>
              <w:rPr>
                <w:rFonts w:hAnsiTheme="minorEastAsia" w:eastAsiaTheme="minorEastAsia"/>
                <w:color w:val="auto"/>
                <w:szCs w:val="21"/>
              </w:rPr>
              <w:t>排放工况</w:t>
            </w:r>
          </w:p>
        </w:tc>
        <w:tc>
          <w:tcPr>
            <w:tcW w:w="2739" w:type="dxa"/>
            <w:gridSpan w:val="5"/>
            <w:vMerge w:val="restart"/>
            <w:vAlign w:val="center"/>
          </w:tcPr>
          <w:p>
            <w:pPr>
              <w:spacing w:line="0" w:lineRule="atLeast"/>
              <w:contextualSpacing/>
              <w:jc w:val="center"/>
              <w:rPr>
                <w:rFonts w:hAnsiTheme="minorEastAsia" w:eastAsiaTheme="minorEastAsia"/>
                <w:color w:val="auto"/>
                <w:szCs w:val="21"/>
              </w:rPr>
            </w:pPr>
            <w:r>
              <w:rPr>
                <w:rFonts w:hAnsiTheme="minorEastAsia" w:eastAsiaTheme="minorEastAsia"/>
                <w:color w:val="auto"/>
                <w:szCs w:val="21"/>
              </w:rPr>
              <w:t>污染物排放速率（</w:t>
            </w:r>
            <w:r>
              <w:rPr>
                <w:rFonts w:eastAsiaTheme="minorEastAsia"/>
                <w:color w:val="auto"/>
                <w:szCs w:val="21"/>
              </w:rPr>
              <w:t>kg/h</w:t>
            </w:r>
            <w:r>
              <w:rPr>
                <w:rFonts w:hAnsiTheme="minorEastAsia" w:eastAsiaTheme="minorEastAsia"/>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12" w:hRule="atLeast"/>
        </w:trPr>
        <w:tc>
          <w:tcPr>
            <w:tcW w:w="223" w:type="dxa"/>
            <w:vMerge w:val="continue"/>
            <w:vAlign w:val="center"/>
          </w:tcPr>
          <w:p>
            <w:pPr>
              <w:spacing w:line="0" w:lineRule="atLeast"/>
              <w:jc w:val="center"/>
              <w:rPr>
                <w:rFonts w:eastAsiaTheme="minorEastAsia"/>
                <w:color w:val="auto"/>
                <w:szCs w:val="21"/>
              </w:rPr>
            </w:pPr>
          </w:p>
        </w:tc>
        <w:tc>
          <w:tcPr>
            <w:tcW w:w="358" w:type="dxa"/>
            <w:vMerge w:val="continue"/>
            <w:vAlign w:val="center"/>
          </w:tcPr>
          <w:p>
            <w:pPr>
              <w:spacing w:line="0" w:lineRule="atLeast"/>
              <w:jc w:val="center"/>
              <w:rPr>
                <w:rFonts w:eastAsiaTheme="minorEastAsia"/>
                <w:color w:val="auto"/>
                <w:szCs w:val="21"/>
              </w:rPr>
            </w:pPr>
          </w:p>
        </w:tc>
        <w:tc>
          <w:tcPr>
            <w:tcW w:w="882"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经度</w:t>
            </w:r>
          </w:p>
        </w:tc>
        <w:tc>
          <w:tcPr>
            <w:tcW w:w="934"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纬度</w:t>
            </w:r>
          </w:p>
        </w:tc>
        <w:tc>
          <w:tcPr>
            <w:tcW w:w="521" w:type="dxa"/>
            <w:vMerge w:val="continue"/>
            <w:vAlign w:val="center"/>
          </w:tcPr>
          <w:p>
            <w:pPr>
              <w:spacing w:line="0" w:lineRule="atLeast"/>
              <w:jc w:val="center"/>
              <w:rPr>
                <w:rFonts w:eastAsiaTheme="minorEastAsia"/>
                <w:color w:val="auto"/>
                <w:szCs w:val="21"/>
              </w:rPr>
            </w:pPr>
          </w:p>
        </w:tc>
        <w:tc>
          <w:tcPr>
            <w:tcW w:w="521" w:type="dxa"/>
            <w:vMerge w:val="continue"/>
            <w:vAlign w:val="center"/>
          </w:tcPr>
          <w:p>
            <w:pPr>
              <w:spacing w:line="0" w:lineRule="atLeast"/>
              <w:jc w:val="center"/>
              <w:rPr>
                <w:rFonts w:eastAsiaTheme="minorEastAsia"/>
                <w:color w:val="auto"/>
                <w:szCs w:val="21"/>
              </w:rPr>
            </w:pPr>
          </w:p>
        </w:tc>
        <w:tc>
          <w:tcPr>
            <w:tcW w:w="521" w:type="dxa"/>
            <w:vMerge w:val="continue"/>
            <w:vAlign w:val="center"/>
          </w:tcPr>
          <w:p>
            <w:pPr>
              <w:spacing w:line="0" w:lineRule="atLeast"/>
              <w:jc w:val="center"/>
              <w:rPr>
                <w:rFonts w:eastAsiaTheme="minorEastAsia"/>
                <w:color w:val="auto"/>
                <w:szCs w:val="21"/>
              </w:rPr>
            </w:pPr>
          </w:p>
        </w:tc>
        <w:tc>
          <w:tcPr>
            <w:tcW w:w="632" w:type="dxa"/>
            <w:vMerge w:val="continue"/>
            <w:vAlign w:val="center"/>
          </w:tcPr>
          <w:p>
            <w:pPr>
              <w:spacing w:line="0" w:lineRule="atLeast"/>
              <w:jc w:val="center"/>
              <w:rPr>
                <w:rFonts w:eastAsiaTheme="minorEastAsia"/>
                <w:color w:val="auto"/>
                <w:szCs w:val="21"/>
              </w:rPr>
            </w:pPr>
          </w:p>
        </w:tc>
        <w:tc>
          <w:tcPr>
            <w:tcW w:w="334" w:type="dxa"/>
            <w:vMerge w:val="continue"/>
            <w:vAlign w:val="center"/>
          </w:tcPr>
          <w:p>
            <w:pPr>
              <w:widowControl/>
              <w:spacing w:line="0" w:lineRule="atLeast"/>
              <w:jc w:val="center"/>
              <w:rPr>
                <w:rFonts w:eastAsiaTheme="minorEastAsia"/>
                <w:color w:val="auto"/>
                <w:szCs w:val="21"/>
              </w:rPr>
            </w:pPr>
          </w:p>
        </w:tc>
        <w:tc>
          <w:tcPr>
            <w:tcW w:w="474" w:type="dxa"/>
            <w:vMerge w:val="continue"/>
            <w:vAlign w:val="center"/>
          </w:tcPr>
          <w:p>
            <w:pPr>
              <w:spacing w:line="0" w:lineRule="atLeast"/>
              <w:jc w:val="center"/>
              <w:rPr>
                <w:rFonts w:eastAsiaTheme="minorEastAsia"/>
                <w:color w:val="auto"/>
                <w:szCs w:val="21"/>
              </w:rPr>
            </w:pPr>
          </w:p>
        </w:tc>
        <w:tc>
          <w:tcPr>
            <w:tcW w:w="223" w:type="dxa"/>
            <w:vMerge w:val="continue"/>
            <w:vAlign w:val="center"/>
          </w:tcPr>
          <w:p>
            <w:pPr>
              <w:spacing w:line="0" w:lineRule="atLeast"/>
              <w:jc w:val="center"/>
              <w:rPr>
                <w:rFonts w:eastAsiaTheme="minorEastAsia"/>
                <w:color w:val="auto"/>
                <w:szCs w:val="21"/>
              </w:rPr>
            </w:pPr>
          </w:p>
        </w:tc>
        <w:tc>
          <w:tcPr>
            <w:tcW w:w="2739" w:type="dxa"/>
            <w:gridSpan w:val="5"/>
            <w:vMerge w:val="continue"/>
            <w:vAlign w:val="center"/>
          </w:tcPr>
          <w:p>
            <w:pPr>
              <w:spacing w:line="0" w:lineRule="atLeast"/>
              <w:jc w:val="center"/>
              <w:rPr>
                <w:rFonts w:eastAsiaTheme="minorEastAsia"/>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172" w:hRule="atLeast"/>
        </w:trPr>
        <w:tc>
          <w:tcPr>
            <w:tcW w:w="223" w:type="dxa"/>
            <w:vMerge w:val="continue"/>
            <w:vAlign w:val="center"/>
          </w:tcPr>
          <w:p>
            <w:pPr>
              <w:spacing w:line="0" w:lineRule="atLeast"/>
              <w:jc w:val="center"/>
              <w:rPr>
                <w:rFonts w:eastAsiaTheme="minorEastAsia"/>
                <w:color w:val="auto"/>
                <w:szCs w:val="21"/>
              </w:rPr>
            </w:pPr>
          </w:p>
        </w:tc>
        <w:tc>
          <w:tcPr>
            <w:tcW w:w="358" w:type="dxa"/>
            <w:vMerge w:val="continue"/>
            <w:vAlign w:val="center"/>
          </w:tcPr>
          <w:p>
            <w:pPr>
              <w:spacing w:line="0" w:lineRule="atLeast"/>
              <w:jc w:val="center"/>
              <w:rPr>
                <w:rFonts w:eastAsiaTheme="minorEastAsia"/>
                <w:color w:val="auto"/>
                <w:szCs w:val="21"/>
              </w:rPr>
            </w:pPr>
          </w:p>
        </w:tc>
        <w:tc>
          <w:tcPr>
            <w:tcW w:w="882" w:type="dxa"/>
            <w:vMerge w:val="continue"/>
            <w:vAlign w:val="center"/>
          </w:tcPr>
          <w:p>
            <w:pPr>
              <w:spacing w:line="0" w:lineRule="atLeast"/>
              <w:jc w:val="center"/>
              <w:rPr>
                <w:rFonts w:eastAsiaTheme="minorEastAsia"/>
                <w:color w:val="auto"/>
                <w:szCs w:val="21"/>
              </w:rPr>
            </w:pPr>
          </w:p>
        </w:tc>
        <w:tc>
          <w:tcPr>
            <w:tcW w:w="934" w:type="dxa"/>
            <w:vMerge w:val="continue"/>
            <w:vAlign w:val="center"/>
          </w:tcPr>
          <w:p>
            <w:pPr>
              <w:spacing w:line="0" w:lineRule="atLeast"/>
              <w:jc w:val="center"/>
              <w:rPr>
                <w:rFonts w:eastAsiaTheme="minorEastAsia"/>
                <w:color w:val="auto"/>
                <w:szCs w:val="21"/>
              </w:rPr>
            </w:pPr>
          </w:p>
        </w:tc>
        <w:tc>
          <w:tcPr>
            <w:tcW w:w="521" w:type="dxa"/>
            <w:vMerge w:val="continue"/>
            <w:vAlign w:val="center"/>
          </w:tcPr>
          <w:p>
            <w:pPr>
              <w:spacing w:line="0" w:lineRule="atLeast"/>
              <w:jc w:val="center"/>
              <w:rPr>
                <w:rFonts w:eastAsiaTheme="minorEastAsia"/>
                <w:color w:val="auto"/>
                <w:szCs w:val="21"/>
              </w:rPr>
            </w:pPr>
          </w:p>
        </w:tc>
        <w:tc>
          <w:tcPr>
            <w:tcW w:w="521" w:type="dxa"/>
            <w:vMerge w:val="continue"/>
            <w:vAlign w:val="center"/>
          </w:tcPr>
          <w:p>
            <w:pPr>
              <w:spacing w:line="0" w:lineRule="atLeast"/>
              <w:jc w:val="center"/>
              <w:rPr>
                <w:rFonts w:eastAsiaTheme="minorEastAsia"/>
                <w:color w:val="auto"/>
                <w:szCs w:val="21"/>
              </w:rPr>
            </w:pPr>
          </w:p>
        </w:tc>
        <w:tc>
          <w:tcPr>
            <w:tcW w:w="521" w:type="dxa"/>
            <w:vMerge w:val="continue"/>
            <w:vAlign w:val="center"/>
          </w:tcPr>
          <w:p>
            <w:pPr>
              <w:spacing w:line="0" w:lineRule="atLeast"/>
              <w:jc w:val="center"/>
              <w:rPr>
                <w:rFonts w:eastAsiaTheme="minorEastAsia"/>
                <w:color w:val="auto"/>
                <w:szCs w:val="21"/>
              </w:rPr>
            </w:pPr>
          </w:p>
        </w:tc>
        <w:tc>
          <w:tcPr>
            <w:tcW w:w="632" w:type="dxa"/>
            <w:vMerge w:val="continue"/>
            <w:vAlign w:val="center"/>
          </w:tcPr>
          <w:p>
            <w:pPr>
              <w:spacing w:line="0" w:lineRule="atLeast"/>
              <w:jc w:val="center"/>
              <w:rPr>
                <w:rFonts w:eastAsiaTheme="minorEastAsia"/>
                <w:color w:val="auto"/>
                <w:szCs w:val="21"/>
              </w:rPr>
            </w:pPr>
          </w:p>
        </w:tc>
        <w:tc>
          <w:tcPr>
            <w:tcW w:w="334" w:type="dxa"/>
            <w:vMerge w:val="continue"/>
            <w:vAlign w:val="center"/>
          </w:tcPr>
          <w:p>
            <w:pPr>
              <w:widowControl/>
              <w:spacing w:line="0" w:lineRule="atLeast"/>
              <w:jc w:val="center"/>
              <w:rPr>
                <w:rFonts w:eastAsiaTheme="minorEastAsia"/>
                <w:color w:val="auto"/>
                <w:szCs w:val="21"/>
              </w:rPr>
            </w:pPr>
          </w:p>
        </w:tc>
        <w:tc>
          <w:tcPr>
            <w:tcW w:w="474" w:type="dxa"/>
            <w:vMerge w:val="continue"/>
            <w:vAlign w:val="center"/>
          </w:tcPr>
          <w:p>
            <w:pPr>
              <w:spacing w:line="0" w:lineRule="atLeast"/>
              <w:jc w:val="center"/>
              <w:rPr>
                <w:rFonts w:eastAsiaTheme="minorEastAsia"/>
                <w:color w:val="auto"/>
                <w:szCs w:val="21"/>
              </w:rPr>
            </w:pPr>
          </w:p>
        </w:tc>
        <w:tc>
          <w:tcPr>
            <w:tcW w:w="223" w:type="dxa"/>
            <w:vMerge w:val="continue"/>
            <w:vAlign w:val="center"/>
          </w:tcPr>
          <w:p>
            <w:pPr>
              <w:spacing w:line="0" w:lineRule="atLeast"/>
              <w:jc w:val="center"/>
              <w:rPr>
                <w:rFonts w:eastAsiaTheme="minorEastAsia"/>
                <w:color w:val="auto"/>
                <w:szCs w:val="21"/>
              </w:rPr>
            </w:pPr>
          </w:p>
        </w:tc>
        <w:tc>
          <w:tcPr>
            <w:tcW w:w="599" w:type="dxa"/>
            <w:vAlign w:val="center"/>
          </w:tcPr>
          <w:p>
            <w:pPr>
              <w:spacing w:line="0" w:lineRule="atLeast"/>
              <w:jc w:val="center"/>
              <w:rPr>
                <w:rFonts w:eastAsiaTheme="minorEastAsia"/>
                <w:color w:val="auto"/>
                <w:szCs w:val="21"/>
              </w:rPr>
            </w:pPr>
            <w:r>
              <w:rPr>
                <w:rFonts w:eastAsiaTheme="minorEastAsia"/>
                <w:color w:val="auto"/>
                <w:szCs w:val="21"/>
              </w:rPr>
              <w:t>NH</w:t>
            </w:r>
            <w:r>
              <w:rPr>
                <w:rFonts w:eastAsiaTheme="minorEastAsia"/>
                <w:color w:val="auto"/>
                <w:szCs w:val="21"/>
                <w:vertAlign w:val="subscript"/>
              </w:rPr>
              <w:t>3</w:t>
            </w:r>
          </w:p>
        </w:tc>
        <w:tc>
          <w:tcPr>
            <w:tcW w:w="599" w:type="dxa"/>
            <w:vAlign w:val="center"/>
          </w:tcPr>
          <w:p>
            <w:pPr>
              <w:spacing w:line="0" w:lineRule="atLeast"/>
              <w:jc w:val="center"/>
              <w:rPr>
                <w:rFonts w:eastAsiaTheme="minorEastAsia"/>
                <w:color w:val="auto"/>
                <w:szCs w:val="21"/>
              </w:rPr>
            </w:pPr>
            <w:r>
              <w:rPr>
                <w:rFonts w:eastAsiaTheme="minorEastAsia"/>
                <w:color w:val="auto"/>
                <w:szCs w:val="21"/>
              </w:rPr>
              <w:t>H</w:t>
            </w:r>
            <w:r>
              <w:rPr>
                <w:rFonts w:eastAsiaTheme="minorEastAsia"/>
                <w:color w:val="auto"/>
                <w:szCs w:val="21"/>
                <w:vertAlign w:val="subscript"/>
              </w:rPr>
              <w:t>2</w:t>
            </w:r>
            <w:r>
              <w:rPr>
                <w:rFonts w:eastAsiaTheme="minorEastAsia"/>
                <w:color w:val="auto"/>
                <w:szCs w:val="21"/>
              </w:rPr>
              <w:t>S</w:t>
            </w:r>
          </w:p>
        </w:tc>
        <w:tc>
          <w:tcPr>
            <w:tcW w:w="516" w:type="dxa"/>
            <w:vAlign w:val="center"/>
          </w:tcPr>
          <w:p>
            <w:pPr>
              <w:spacing w:line="0" w:lineRule="atLeast"/>
              <w:jc w:val="center"/>
              <w:rPr>
                <w:rFonts w:hint="eastAsia" w:eastAsiaTheme="minorEastAsia"/>
                <w:color w:val="auto"/>
                <w:szCs w:val="21"/>
                <w:lang w:val="en-US" w:eastAsia="zh-CN"/>
              </w:rPr>
            </w:pPr>
            <w:r>
              <w:rPr>
                <w:rFonts w:hint="eastAsia" w:eastAsiaTheme="minorEastAsia"/>
                <w:color w:val="auto"/>
                <w:szCs w:val="21"/>
                <w:lang w:val="en-US" w:eastAsia="zh-CN"/>
              </w:rPr>
              <w:t>颗粒物</w:t>
            </w:r>
          </w:p>
        </w:tc>
        <w:tc>
          <w:tcPr>
            <w:tcW w:w="509" w:type="dxa"/>
            <w:vAlign w:val="center"/>
          </w:tcPr>
          <w:p>
            <w:pPr>
              <w:spacing w:line="0" w:lineRule="atLeast"/>
              <w:jc w:val="center"/>
              <w:rPr>
                <w:rFonts w:eastAsiaTheme="minorEastAsia"/>
                <w:color w:val="auto"/>
                <w:szCs w:val="21"/>
              </w:rPr>
            </w:pPr>
            <w:r>
              <w:rPr>
                <w:snapToGrid w:val="0"/>
                <w:color w:val="auto"/>
                <w:kern w:val="0"/>
                <w:highlight w:val="none"/>
              </w:rPr>
              <w:t>NO</w:t>
            </w:r>
            <w:r>
              <w:rPr>
                <w:snapToGrid w:val="0"/>
                <w:color w:val="auto"/>
                <w:kern w:val="0"/>
                <w:highlight w:val="none"/>
                <w:vertAlign w:val="subscript"/>
              </w:rPr>
              <w:t>x</w:t>
            </w:r>
          </w:p>
        </w:tc>
        <w:tc>
          <w:tcPr>
            <w:tcW w:w="516" w:type="dxa"/>
            <w:vAlign w:val="center"/>
          </w:tcPr>
          <w:p>
            <w:pPr>
              <w:spacing w:line="0" w:lineRule="atLeast"/>
              <w:jc w:val="center"/>
              <w:rPr>
                <w:rFonts w:eastAsiaTheme="minorEastAsia"/>
                <w:color w:val="auto"/>
                <w:szCs w:val="21"/>
              </w:rPr>
            </w:pPr>
            <w:r>
              <w:rPr>
                <w:snapToGrid w:val="0"/>
                <w:color w:val="auto"/>
                <w:kern w:val="0"/>
                <w:highlight w:val="none"/>
              </w:rPr>
              <w:t>SO</w:t>
            </w:r>
            <w:r>
              <w:rPr>
                <w:snapToGrid w:val="0"/>
                <w:color w:val="auto"/>
                <w:kern w:val="0"/>
                <w:highlight w:val="none"/>
                <w:vertAlign w:val="sub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814" w:hRule="atLeast"/>
        </w:trPr>
        <w:tc>
          <w:tcPr>
            <w:tcW w:w="223" w:type="dxa"/>
            <w:vAlign w:val="center"/>
          </w:tcPr>
          <w:p>
            <w:pPr>
              <w:spacing w:line="0" w:lineRule="atLeast"/>
              <w:jc w:val="center"/>
              <w:rPr>
                <w:rFonts w:eastAsiaTheme="minorEastAsia"/>
                <w:bCs/>
                <w:color w:val="auto"/>
                <w:szCs w:val="21"/>
              </w:rPr>
            </w:pPr>
            <w:r>
              <w:rPr>
                <w:rFonts w:eastAsiaTheme="minorEastAsia"/>
                <w:bCs/>
                <w:color w:val="auto"/>
                <w:szCs w:val="21"/>
              </w:rPr>
              <w:t>1</w:t>
            </w:r>
          </w:p>
        </w:tc>
        <w:tc>
          <w:tcPr>
            <w:tcW w:w="358" w:type="dxa"/>
            <w:vAlign w:val="center"/>
          </w:tcPr>
          <w:p>
            <w:pPr>
              <w:spacing w:line="0" w:lineRule="atLeast"/>
              <w:jc w:val="center"/>
              <w:rPr>
                <w:rFonts w:eastAsiaTheme="minorEastAsia"/>
                <w:bCs/>
                <w:color w:val="auto"/>
                <w:szCs w:val="21"/>
              </w:rPr>
            </w:pPr>
            <w:r>
              <w:rPr>
                <w:rFonts w:hint="eastAsia" w:hAnsiTheme="minorEastAsia" w:eastAsiaTheme="minorEastAsia"/>
                <w:bCs/>
                <w:color w:val="auto"/>
                <w:szCs w:val="21"/>
              </w:rPr>
              <w:t>屠宰</w:t>
            </w:r>
            <w:r>
              <w:rPr>
                <w:rFonts w:hAnsiTheme="minorEastAsia" w:eastAsiaTheme="minorEastAsia"/>
                <w:bCs/>
                <w:color w:val="auto"/>
                <w:szCs w:val="21"/>
              </w:rPr>
              <w:t>车间排气筒</w:t>
            </w:r>
          </w:p>
        </w:tc>
        <w:tc>
          <w:tcPr>
            <w:tcW w:w="882" w:type="dxa"/>
            <w:vAlign w:val="center"/>
          </w:tcPr>
          <w:p>
            <w:pPr>
              <w:jc w:val="center"/>
              <w:rPr>
                <w:rFonts w:eastAsiaTheme="minorEastAsia"/>
                <w:color w:val="auto"/>
                <w:szCs w:val="21"/>
              </w:rPr>
            </w:pPr>
            <w:r>
              <w:rPr>
                <w:rFonts w:eastAsiaTheme="minorEastAsia"/>
                <w:color w:val="auto"/>
                <w:szCs w:val="21"/>
              </w:rPr>
              <w:t>127.80981302</w:t>
            </w:r>
          </w:p>
        </w:tc>
        <w:tc>
          <w:tcPr>
            <w:tcW w:w="934" w:type="dxa"/>
            <w:vAlign w:val="center"/>
          </w:tcPr>
          <w:p>
            <w:pPr>
              <w:jc w:val="center"/>
              <w:rPr>
                <w:rFonts w:eastAsiaTheme="minorEastAsia"/>
                <w:color w:val="auto"/>
                <w:szCs w:val="21"/>
              </w:rPr>
            </w:pPr>
            <w:r>
              <w:rPr>
                <w:rFonts w:eastAsiaTheme="minorEastAsia"/>
                <w:color w:val="auto"/>
                <w:szCs w:val="21"/>
              </w:rPr>
              <w:t>45.30522157</w:t>
            </w:r>
          </w:p>
        </w:tc>
        <w:tc>
          <w:tcPr>
            <w:tcW w:w="521" w:type="dxa"/>
            <w:vAlign w:val="center"/>
          </w:tcPr>
          <w:p>
            <w:pPr>
              <w:jc w:val="center"/>
              <w:rPr>
                <w:rFonts w:hint="default" w:eastAsiaTheme="minorEastAsia"/>
                <w:color w:val="auto"/>
                <w:szCs w:val="21"/>
                <w:lang w:val="en-US" w:eastAsia="zh-CN"/>
              </w:rPr>
            </w:pPr>
            <w:r>
              <w:rPr>
                <w:rFonts w:hint="eastAsia" w:eastAsiaTheme="minorEastAsia"/>
                <w:color w:val="auto"/>
                <w:szCs w:val="21"/>
                <w:lang w:val="en-US" w:eastAsia="zh-CN"/>
              </w:rPr>
              <w:t>236</w:t>
            </w:r>
          </w:p>
        </w:tc>
        <w:tc>
          <w:tcPr>
            <w:tcW w:w="521" w:type="dxa"/>
            <w:vAlign w:val="center"/>
          </w:tcPr>
          <w:p>
            <w:pPr>
              <w:spacing w:line="0" w:lineRule="atLeast"/>
              <w:jc w:val="center"/>
              <w:rPr>
                <w:rFonts w:eastAsiaTheme="minorEastAsia"/>
                <w:color w:val="auto"/>
                <w:szCs w:val="21"/>
              </w:rPr>
            </w:pPr>
            <w:r>
              <w:rPr>
                <w:rFonts w:eastAsiaTheme="minorEastAsia"/>
                <w:color w:val="auto"/>
                <w:szCs w:val="21"/>
              </w:rPr>
              <w:t>15</w:t>
            </w:r>
          </w:p>
        </w:tc>
        <w:tc>
          <w:tcPr>
            <w:tcW w:w="521" w:type="dxa"/>
            <w:vAlign w:val="center"/>
          </w:tcPr>
          <w:p>
            <w:pPr>
              <w:spacing w:line="0" w:lineRule="atLeast"/>
              <w:jc w:val="center"/>
              <w:rPr>
                <w:rFonts w:hint="eastAsia" w:eastAsiaTheme="minorEastAsia"/>
                <w:color w:val="auto"/>
                <w:szCs w:val="21"/>
                <w:lang w:eastAsia="zh-CN"/>
              </w:rPr>
            </w:pPr>
            <w:r>
              <w:rPr>
                <w:rFonts w:eastAsiaTheme="minorEastAsia"/>
                <w:color w:val="auto"/>
                <w:szCs w:val="21"/>
              </w:rPr>
              <w:t>0.</w:t>
            </w:r>
            <w:r>
              <w:rPr>
                <w:rFonts w:hint="eastAsia" w:eastAsiaTheme="minorEastAsia"/>
                <w:color w:val="auto"/>
                <w:szCs w:val="21"/>
              </w:rPr>
              <w:t>3</w:t>
            </w:r>
            <w:r>
              <w:rPr>
                <w:rFonts w:hint="eastAsia" w:eastAsiaTheme="minorEastAsia"/>
                <w:color w:val="auto"/>
                <w:szCs w:val="21"/>
                <w:lang w:val="en-US" w:eastAsia="zh-CN"/>
              </w:rPr>
              <w:t>0</w:t>
            </w:r>
          </w:p>
        </w:tc>
        <w:tc>
          <w:tcPr>
            <w:tcW w:w="632" w:type="dxa"/>
            <w:vAlign w:val="center"/>
          </w:tcPr>
          <w:p>
            <w:pPr>
              <w:spacing w:line="0" w:lineRule="atLeast"/>
              <w:jc w:val="center"/>
              <w:rPr>
                <w:rFonts w:hint="default" w:eastAsiaTheme="minorEastAsia"/>
                <w:color w:val="auto"/>
                <w:szCs w:val="21"/>
                <w:lang w:val="en-US" w:eastAsia="zh-CN"/>
              </w:rPr>
            </w:pPr>
            <w:r>
              <w:rPr>
                <w:rFonts w:hint="eastAsia" w:eastAsiaTheme="minorEastAsia"/>
                <w:color w:val="auto"/>
                <w:szCs w:val="21"/>
                <w:lang w:val="en-US" w:eastAsia="zh-CN"/>
              </w:rPr>
              <w:t>19.66</w:t>
            </w:r>
          </w:p>
        </w:tc>
        <w:tc>
          <w:tcPr>
            <w:tcW w:w="334" w:type="dxa"/>
            <w:vAlign w:val="center"/>
          </w:tcPr>
          <w:p>
            <w:pPr>
              <w:spacing w:line="0" w:lineRule="atLeast"/>
              <w:jc w:val="center"/>
              <w:rPr>
                <w:rFonts w:eastAsiaTheme="minorEastAsia"/>
                <w:color w:val="auto"/>
                <w:szCs w:val="21"/>
              </w:rPr>
            </w:pPr>
            <w:r>
              <w:rPr>
                <w:rFonts w:eastAsiaTheme="minorEastAsia"/>
                <w:color w:val="auto"/>
                <w:szCs w:val="21"/>
              </w:rPr>
              <w:t>20</w:t>
            </w:r>
          </w:p>
        </w:tc>
        <w:tc>
          <w:tcPr>
            <w:tcW w:w="474" w:type="dxa"/>
            <w:vAlign w:val="center"/>
          </w:tcPr>
          <w:p>
            <w:pPr>
              <w:spacing w:line="0" w:lineRule="atLeast"/>
              <w:jc w:val="center"/>
              <w:rPr>
                <w:rFonts w:eastAsiaTheme="minorEastAsia"/>
                <w:color w:val="auto"/>
                <w:szCs w:val="21"/>
              </w:rPr>
            </w:pPr>
            <w:r>
              <w:rPr>
                <w:rFonts w:hint="eastAsia" w:eastAsiaTheme="minorEastAsia"/>
                <w:color w:val="auto"/>
                <w:szCs w:val="21"/>
              </w:rPr>
              <w:t>2400</w:t>
            </w:r>
          </w:p>
        </w:tc>
        <w:tc>
          <w:tcPr>
            <w:tcW w:w="223"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正常排放工况</w:t>
            </w:r>
          </w:p>
        </w:tc>
        <w:tc>
          <w:tcPr>
            <w:tcW w:w="599" w:type="dxa"/>
            <w:vAlign w:val="center"/>
          </w:tcPr>
          <w:p>
            <w:pPr>
              <w:spacing w:line="0" w:lineRule="atLeast"/>
              <w:jc w:val="center"/>
              <w:rPr>
                <w:rFonts w:eastAsiaTheme="minorEastAsia"/>
                <w:color w:val="auto"/>
                <w:szCs w:val="21"/>
              </w:rPr>
            </w:pPr>
            <w:r>
              <w:rPr>
                <w:rFonts w:hint="eastAsia" w:hAnsi="Times New Roman"/>
                <w:snapToGrid w:val="0"/>
                <w:color w:val="auto"/>
                <w:lang w:val="en-US" w:eastAsia="zh-CN"/>
              </w:rPr>
              <w:t>0.031</w:t>
            </w:r>
          </w:p>
        </w:tc>
        <w:tc>
          <w:tcPr>
            <w:tcW w:w="599" w:type="dxa"/>
            <w:vAlign w:val="center"/>
          </w:tcPr>
          <w:p>
            <w:pPr>
              <w:spacing w:line="0" w:lineRule="atLeast"/>
              <w:jc w:val="center"/>
              <w:rPr>
                <w:rFonts w:eastAsiaTheme="minorEastAsia"/>
                <w:color w:val="auto"/>
                <w:szCs w:val="21"/>
              </w:rPr>
            </w:pPr>
            <w:r>
              <w:rPr>
                <w:rFonts w:hAnsi="Times New Roman"/>
                <w:snapToGrid w:val="0"/>
                <w:color w:val="auto"/>
              </w:rPr>
              <w:t>0.00</w:t>
            </w:r>
            <w:r>
              <w:rPr>
                <w:rFonts w:hint="eastAsia" w:hAnsi="Times New Roman"/>
                <w:snapToGrid w:val="0"/>
                <w:color w:val="auto"/>
                <w:lang w:val="en-US" w:eastAsia="zh-CN"/>
              </w:rPr>
              <w:t>3</w:t>
            </w:r>
            <w:r>
              <w:rPr>
                <w:rFonts w:hint="eastAsia" w:hAnsi="Times New Roman"/>
                <w:snapToGrid w:val="0"/>
                <w:color w:val="auto"/>
              </w:rPr>
              <w:t>3</w:t>
            </w:r>
          </w:p>
        </w:tc>
        <w:tc>
          <w:tcPr>
            <w:tcW w:w="516" w:type="dxa"/>
            <w:vAlign w:val="center"/>
          </w:tcPr>
          <w:p>
            <w:pPr>
              <w:pStyle w:val="84"/>
              <w:snapToGrid w:val="0"/>
              <w:rPr>
                <w:color w:val="auto"/>
              </w:rPr>
            </w:pPr>
            <w:r>
              <w:rPr>
                <w:color w:val="auto"/>
                <w:highlight w:val="none"/>
                <w:lang w:val="en-US"/>
              </w:rPr>
              <w:t>/</w:t>
            </w:r>
          </w:p>
        </w:tc>
        <w:tc>
          <w:tcPr>
            <w:tcW w:w="509" w:type="dxa"/>
            <w:vAlign w:val="center"/>
          </w:tcPr>
          <w:p>
            <w:pPr>
              <w:pStyle w:val="84"/>
              <w:snapToGrid w:val="0"/>
              <w:rPr>
                <w:color w:val="auto"/>
              </w:rPr>
            </w:pPr>
            <w:r>
              <w:rPr>
                <w:color w:val="auto"/>
                <w:highlight w:val="none"/>
                <w:lang w:val="en-US"/>
              </w:rPr>
              <w:t>/</w:t>
            </w:r>
          </w:p>
        </w:tc>
        <w:tc>
          <w:tcPr>
            <w:tcW w:w="516" w:type="dxa"/>
            <w:vAlign w:val="center"/>
          </w:tcPr>
          <w:p>
            <w:pPr>
              <w:pStyle w:val="84"/>
              <w:snapToGrid w:val="0"/>
              <w:rPr>
                <w:color w:val="auto"/>
              </w:rPr>
            </w:pPr>
            <w:r>
              <w:rPr>
                <w:color w:val="auto"/>
                <w:highlight w:val="none"/>
                <w:lang w:val="en-U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72" w:hRule="atLeast"/>
        </w:trPr>
        <w:tc>
          <w:tcPr>
            <w:tcW w:w="223" w:type="dxa"/>
            <w:vAlign w:val="center"/>
          </w:tcPr>
          <w:p>
            <w:pPr>
              <w:spacing w:line="0" w:lineRule="atLeast"/>
              <w:jc w:val="center"/>
              <w:rPr>
                <w:rFonts w:eastAsiaTheme="minorEastAsia"/>
                <w:bCs/>
                <w:color w:val="auto"/>
                <w:szCs w:val="21"/>
              </w:rPr>
            </w:pPr>
            <w:r>
              <w:rPr>
                <w:rFonts w:hint="eastAsia" w:eastAsiaTheme="minorEastAsia"/>
                <w:bCs/>
                <w:color w:val="auto"/>
                <w:szCs w:val="21"/>
              </w:rPr>
              <w:t>2</w:t>
            </w:r>
          </w:p>
        </w:tc>
        <w:tc>
          <w:tcPr>
            <w:tcW w:w="358" w:type="dxa"/>
            <w:vAlign w:val="center"/>
          </w:tcPr>
          <w:p>
            <w:pPr>
              <w:spacing w:line="0" w:lineRule="atLeast"/>
              <w:jc w:val="center"/>
              <w:rPr>
                <w:rFonts w:hAnsiTheme="minorEastAsia" w:eastAsiaTheme="minorEastAsia"/>
                <w:bCs/>
                <w:color w:val="auto"/>
                <w:szCs w:val="21"/>
              </w:rPr>
            </w:pPr>
            <w:r>
              <w:rPr>
                <w:rFonts w:hAnsiTheme="minorEastAsia" w:eastAsiaTheme="minorEastAsia"/>
                <w:bCs/>
                <w:color w:val="auto"/>
                <w:szCs w:val="21"/>
              </w:rPr>
              <w:t>污水处理站排气筒</w:t>
            </w:r>
          </w:p>
        </w:tc>
        <w:tc>
          <w:tcPr>
            <w:tcW w:w="882" w:type="dxa"/>
            <w:vAlign w:val="center"/>
          </w:tcPr>
          <w:p>
            <w:pPr>
              <w:jc w:val="center"/>
              <w:rPr>
                <w:rFonts w:eastAsiaTheme="minorEastAsia"/>
                <w:color w:val="auto"/>
                <w:szCs w:val="21"/>
              </w:rPr>
            </w:pPr>
            <w:r>
              <w:rPr>
                <w:rFonts w:eastAsiaTheme="minorEastAsia"/>
                <w:color w:val="auto"/>
                <w:szCs w:val="21"/>
              </w:rPr>
              <w:t>127.80992568</w:t>
            </w:r>
          </w:p>
        </w:tc>
        <w:tc>
          <w:tcPr>
            <w:tcW w:w="934" w:type="dxa"/>
            <w:vAlign w:val="center"/>
          </w:tcPr>
          <w:p>
            <w:pPr>
              <w:jc w:val="center"/>
              <w:rPr>
                <w:rFonts w:eastAsiaTheme="minorEastAsia"/>
                <w:color w:val="auto"/>
                <w:szCs w:val="21"/>
              </w:rPr>
            </w:pPr>
            <w:r>
              <w:rPr>
                <w:rFonts w:eastAsiaTheme="minorEastAsia"/>
                <w:color w:val="auto"/>
                <w:szCs w:val="21"/>
              </w:rPr>
              <w:t>45.30532721</w:t>
            </w:r>
          </w:p>
        </w:tc>
        <w:tc>
          <w:tcPr>
            <w:tcW w:w="521" w:type="dxa"/>
            <w:vAlign w:val="center"/>
          </w:tcPr>
          <w:p>
            <w:pPr>
              <w:jc w:val="center"/>
              <w:rPr>
                <w:rFonts w:hint="default" w:eastAsiaTheme="minorEastAsia"/>
                <w:color w:val="auto"/>
                <w:szCs w:val="21"/>
                <w:lang w:val="en-US" w:eastAsia="zh-CN"/>
              </w:rPr>
            </w:pPr>
            <w:r>
              <w:rPr>
                <w:rFonts w:hint="eastAsia" w:eastAsiaTheme="minorEastAsia"/>
                <w:color w:val="auto"/>
                <w:szCs w:val="21"/>
                <w:lang w:val="en-US" w:eastAsia="zh-CN"/>
              </w:rPr>
              <w:t>236</w:t>
            </w:r>
          </w:p>
        </w:tc>
        <w:tc>
          <w:tcPr>
            <w:tcW w:w="521" w:type="dxa"/>
            <w:vAlign w:val="center"/>
          </w:tcPr>
          <w:p>
            <w:pPr>
              <w:spacing w:line="0" w:lineRule="atLeast"/>
              <w:jc w:val="center"/>
              <w:rPr>
                <w:rFonts w:eastAsiaTheme="minorEastAsia"/>
                <w:color w:val="auto"/>
                <w:szCs w:val="21"/>
              </w:rPr>
            </w:pPr>
            <w:r>
              <w:rPr>
                <w:rFonts w:hint="eastAsia" w:eastAsiaTheme="minorEastAsia"/>
                <w:color w:val="auto"/>
                <w:szCs w:val="21"/>
              </w:rPr>
              <w:t>15</w:t>
            </w:r>
          </w:p>
        </w:tc>
        <w:tc>
          <w:tcPr>
            <w:tcW w:w="521" w:type="dxa"/>
            <w:vAlign w:val="center"/>
          </w:tcPr>
          <w:p>
            <w:pPr>
              <w:spacing w:line="0" w:lineRule="atLeast"/>
              <w:jc w:val="center"/>
              <w:rPr>
                <w:rFonts w:eastAsiaTheme="minorEastAsia"/>
                <w:color w:val="auto"/>
                <w:szCs w:val="21"/>
              </w:rPr>
            </w:pPr>
            <w:r>
              <w:rPr>
                <w:rFonts w:eastAsiaTheme="minorEastAsia"/>
                <w:color w:val="auto"/>
                <w:szCs w:val="21"/>
              </w:rPr>
              <w:t>0.</w:t>
            </w:r>
            <w:r>
              <w:rPr>
                <w:rFonts w:hint="eastAsia" w:eastAsiaTheme="minorEastAsia"/>
                <w:color w:val="auto"/>
                <w:szCs w:val="21"/>
              </w:rPr>
              <w:t>30</w:t>
            </w:r>
          </w:p>
        </w:tc>
        <w:tc>
          <w:tcPr>
            <w:tcW w:w="632" w:type="dxa"/>
            <w:vAlign w:val="center"/>
          </w:tcPr>
          <w:p>
            <w:pPr>
              <w:spacing w:line="0" w:lineRule="atLeast"/>
              <w:jc w:val="center"/>
              <w:rPr>
                <w:rFonts w:eastAsiaTheme="minorEastAsia"/>
                <w:color w:val="auto"/>
                <w:szCs w:val="21"/>
              </w:rPr>
            </w:pPr>
            <w:r>
              <w:rPr>
                <w:rFonts w:hint="eastAsia" w:eastAsiaTheme="minorEastAsia"/>
                <w:color w:val="auto"/>
                <w:szCs w:val="21"/>
                <w:lang w:val="en-US" w:eastAsia="zh-CN"/>
              </w:rPr>
              <w:t>19.66</w:t>
            </w:r>
          </w:p>
        </w:tc>
        <w:tc>
          <w:tcPr>
            <w:tcW w:w="334" w:type="dxa"/>
            <w:vAlign w:val="center"/>
          </w:tcPr>
          <w:p>
            <w:pPr>
              <w:spacing w:line="0" w:lineRule="atLeast"/>
              <w:jc w:val="center"/>
              <w:rPr>
                <w:rFonts w:eastAsiaTheme="minorEastAsia"/>
                <w:color w:val="auto"/>
                <w:szCs w:val="21"/>
              </w:rPr>
            </w:pPr>
            <w:r>
              <w:rPr>
                <w:rFonts w:eastAsiaTheme="minorEastAsia"/>
                <w:color w:val="auto"/>
                <w:szCs w:val="21"/>
              </w:rPr>
              <w:t>20</w:t>
            </w:r>
          </w:p>
        </w:tc>
        <w:tc>
          <w:tcPr>
            <w:tcW w:w="474" w:type="dxa"/>
            <w:vAlign w:val="center"/>
          </w:tcPr>
          <w:p>
            <w:pPr>
              <w:spacing w:line="0" w:lineRule="atLeast"/>
              <w:jc w:val="center"/>
              <w:rPr>
                <w:rFonts w:eastAsiaTheme="minorEastAsia"/>
                <w:color w:val="auto"/>
                <w:szCs w:val="21"/>
              </w:rPr>
            </w:pPr>
            <w:r>
              <w:rPr>
                <w:rFonts w:hint="eastAsia" w:eastAsiaTheme="minorEastAsia"/>
                <w:color w:val="auto"/>
                <w:szCs w:val="21"/>
              </w:rPr>
              <w:t>2400</w:t>
            </w:r>
          </w:p>
        </w:tc>
        <w:tc>
          <w:tcPr>
            <w:tcW w:w="223" w:type="dxa"/>
            <w:vMerge w:val="continue"/>
            <w:vAlign w:val="center"/>
          </w:tcPr>
          <w:p>
            <w:pPr>
              <w:spacing w:line="0" w:lineRule="atLeast"/>
              <w:jc w:val="center"/>
              <w:rPr>
                <w:rFonts w:hAnsiTheme="minorEastAsia" w:eastAsiaTheme="minorEastAsia"/>
                <w:color w:val="auto"/>
                <w:szCs w:val="21"/>
              </w:rPr>
            </w:pPr>
          </w:p>
        </w:tc>
        <w:tc>
          <w:tcPr>
            <w:tcW w:w="599" w:type="dxa"/>
            <w:vAlign w:val="center"/>
          </w:tcPr>
          <w:p>
            <w:pPr>
              <w:spacing w:line="0" w:lineRule="atLeast"/>
              <w:jc w:val="center"/>
              <w:rPr>
                <w:rFonts w:eastAsiaTheme="minorEastAsia"/>
                <w:color w:val="auto"/>
                <w:szCs w:val="21"/>
              </w:rPr>
            </w:pPr>
            <w:r>
              <w:rPr>
                <w:rFonts w:hint="eastAsia" w:hAnsi="Times New Roman"/>
                <w:bCs/>
                <w:color w:val="auto"/>
                <w:lang w:val="en-US" w:eastAsia="zh-CN"/>
              </w:rPr>
              <w:t>0.0046</w:t>
            </w:r>
          </w:p>
        </w:tc>
        <w:tc>
          <w:tcPr>
            <w:tcW w:w="599" w:type="dxa"/>
            <w:vAlign w:val="center"/>
          </w:tcPr>
          <w:p>
            <w:pPr>
              <w:spacing w:line="0" w:lineRule="atLeast"/>
              <w:jc w:val="center"/>
              <w:rPr>
                <w:rFonts w:eastAsiaTheme="minorEastAsia"/>
                <w:color w:val="auto"/>
                <w:szCs w:val="21"/>
              </w:rPr>
            </w:pPr>
            <w:r>
              <w:rPr>
                <w:rFonts w:hint="eastAsia" w:hAnsi="Times New Roman"/>
                <w:bCs/>
                <w:color w:val="auto"/>
                <w:lang w:val="en-US" w:eastAsia="zh-CN"/>
              </w:rPr>
              <w:t>0.00018</w:t>
            </w:r>
          </w:p>
        </w:tc>
        <w:tc>
          <w:tcPr>
            <w:tcW w:w="516" w:type="dxa"/>
            <w:vAlign w:val="center"/>
          </w:tcPr>
          <w:p>
            <w:pPr>
              <w:pStyle w:val="84"/>
              <w:snapToGrid w:val="0"/>
              <w:rPr>
                <w:rFonts w:hint="eastAsia"/>
                <w:bCs/>
                <w:color w:val="auto"/>
                <w:kern w:val="0"/>
              </w:rPr>
            </w:pPr>
            <w:r>
              <w:rPr>
                <w:color w:val="auto"/>
                <w:highlight w:val="none"/>
                <w:lang w:val="en-US"/>
              </w:rPr>
              <w:t>/</w:t>
            </w:r>
          </w:p>
        </w:tc>
        <w:tc>
          <w:tcPr>
            <w:tcW w:w="509" w:type="dxa"/>
            <w:vAlign w:val="center"/>
          </w:tcPr>
          <w:p>
            <w:pPr>
              <w:pStyle w:val="84"/>
              <w:snapToGrid w:val="0"/>
              <w:rPr>
                <w:rFonts w:hint="eastAsia"/>
                <w:bCs/>
                <w:color w:val="auto"/>
                <w:kern w:val="0"/>
              </w:rPr>
            </w:pPr>
            <w:r>
              <w:rPr>
                <w:color w:val="auto"/>
                <w:highlight w:val="none"/>
                <w:lang w:val="en-US"/>
              </w:rPr>
              <w:t>/</w:t>
            </w:r>
          </w:p>
        </w:tc>
        <w:tc>
          <w:tcPr>
            <w:tcW w:w="516" w:type="dxa"/>
            <w:vAlign w:val="center"/>
          </w:tcPr>
          <w:p>
            <w:pPr>
              <w:pStyle w:val="84"/>
              <w:snapToGrid w:val="0"/>
              <w:rPr>
                <w:rFonts w:hint="eastAsia"/>
                <w:bCs/>
                <w:color w:val="auto"/>
                <w:kern w:val="0"/>
              </w:rPr>
            </w:pPr>
            <w:r>
              <w:rPr>
                <w:color w:val="auto"/>
                <w:highlight w:val="none"/>
                <w:lang w:val="en-U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57" w:hRule="atLeast"/>
        </w:trPr>
        <w:tc>
          <w:tcPr>
            <w:tcW w:w="223" w:type="dxa"/>
            <w:vAlign w:val="center"/>
          </w:tcPr>
          <w:p>
            <w:pPr>
              <w:spacing w:line="0" w:lineRule="atLeast"/>
              <w:jc w:val="center"/>
              <w:rPr>
                <w:rFonts w:eastAsiaTheme="minorEastAsia"/>
                <w:bCs/>
                <w:color w:val="auto"/>
                <w:szCs w:val="21"/>
              </w:rPr>
            </w:pPr>
            <w:r>
              <w:rPr>
                <w:rFonts w:hint="eastAsia" w:eastAsiaTheme="minorEastAsia"/>
                <w:bCs/>
                <w:color w:val="auto"/>
                <w:szCs w:val="21"/>
              </w:rPr>
              <w:t>3</w:t>
            </w:r>
          </w:p>
        </w:tc>
        <w:tc>
          <w:tcPr>
            <w:tcW w:w="358" w:type="dxa"/>
            <w:vAlign w:val="center"/>
          </w:tcPr>
          <w:p>
            <w:pPr>
              <w:spacing w:line="0" w:lineRule="atLeast"/>
              <w:jc w:val="center"/>
              <w:rPr>
                <w:rFonts w:hAnsiTheme="minorEastAsia" w:eastAsiaTheme="minorEastAsia"/>
                <w:bCs/>
                <w:color w:val="auto"/>
                <w:szCs w:val="21"/>
              </w:rPr>
            </w:pPr>
            <w:r>
              <w:rPr>
                <w:rFonts w:hAnsiTheme="minorEastAsia" w:eastAsiaTheme="minorEastAsia"/>
                <w:bCs/>
                <w:color w:val="auto"/>
                <w:szCs w:val="21"/>
              </w:rPr>
              <w:t>待宰间排气筒</w:t>
            </w:r>
          </w:p>
        </w:tc>
        <w:tc>
          <w:tcPr>
            <w:tcW w:w="882" w:type="dxa"/>
            <w:vAlign w:val="center"/>
          </w:tcPr>
          <w:p>
            <w:pPr>
              <w:jc w:val="center"/>
              <w:rPr>
                <w:rFonts w:eastAsiaTheme="minorEastAsia"/>
                <w:color w:val="auto"/>
                <w:szCs w:val="21"/>
              </w:rPr>
            </w:pPr>
            <w:r>
              <w:rPr>
                <w:rFonts w:eastAsiaTheme="minorEastAsia"/>
                <w:color w:val="auto"/>
                <w:szCs w:val="21"/>
              </w:rPr>
              <w:t>127.81007051</w:t>
            </w:r>
          </w:p>
        </w:tc>
        <w:tc>
          <w:tcPr>
            <w:tcW w:w="934" w:type="dxa"/>
            <w:vAlign w:val="center"/>
          </w:tcPr>
          <w:p>
            <w:pPr>
              <w:jc w:val="center"/>
              <w:rPr>
                <w:rFonts w:eastAsiaTheme="minorEastAsia"/>
                <w:color w:val="auto"/>
                <w:szCs w:val="21"/>
              </w:rPr>
            </w:pPr>
            <w:r>
              <w:rPr>
                <w:rFonts w:eastAsiaTheme="minorEastAsia"/>
                <w:color w:val="auto"/>
                <w:szCs w:val="21"/>
              </w:rPr>
              <w:t>45.30531212</w:t>
            </w:r>
          </w:p>
        </w:tc>
        <w:tc>
          <w:tcPr>
            <w:tcW w:w="521" w:type="dxa"/>
            <w:vAlign w:val="center"/>
          </w:tcPr>
          <w:p>
            <w:pPr>
              <w:jc w:val="center"/>
              <w:rPr>
                <w:rFonts w:hint="default" w:eastAsiaTheme="minorEastAsia"/>
                <w:color w:val="auto"/>
                <w:szCs w:val="21"/>
                <w:lang w:val="en-US" w:eastAsia="zh-CN"/>
              </w:rPr>
            </w:pPr>
            <w:r>
              <w:rPr>
                <w:rFonts w:hint="eastAsia" w:eastAsiaTheme="minorEastAsia"/>
                <w:color w:val="auto"/>
                <w:szCs w:val="21"/>
                <w:lang w:val="en-US" w:eastAsia="zh-CN"/>
              </w:rPr>
              <w:t>236</w:t>
            </w:r>
          </w:p>
        </w:tc>
        <w:tc>
          <w:tcPr>
            <w:tcW w:w="521" w:type="dxa"/>
            <w:vAlign w:val="center"/>
          </w:tcPr>
          <w:p>
            <w:pPr>
              <w:spacing w:line="0" w:lineRule="atLeast"/>
              <w:jc w:val="center"/>
              <w:rPr>
                <w:rFonts w:eastAsiaTheme="minorEastAsia"/>
                <w:color w:val="auto"/>
                <w:szCs w:val="21"/>
              </w:rPr>
            </w:pPr>
            <w:r>
              <w:rPr>
                <w:rFonts w:hint="eastAsia" w:eastAsiaTheme="minorEastAsia"/>
                <w:color w:val="auto"/>
                <w:szCs w:val="21"/>
              </w:rPr>
              <w:t>15</w:t>
            </w:r>
          </w:p>
        </w:tc>
        <w:tc>
          <w:tcPr>
            <w:tcW w:w="521" w:type="dxa"/>
            <w:vAlign w:val="center"/>
          </w:tcPr>
          <w:p>
            <w:pPr>
              <w:spacing w:line="0" w:lineRule="atLeast"/>
              <w:jc w:val="center"/>
              <w:rPr>
                <w:rFonts w:hint="eastAsia" w:eastAsiaTheme="minorEastAsia"/>
                <w:color w:val="auto"/>
                <w:szCs w:val="21"/>
                <w:lang w:eastAsia="zh-CN"/>
              </w:rPr>
            </w:pPr>
            <w:r>
              <w:rPr>
                <w:rFonts w:hint="eastAsia" w:eastAsiaTheme="minorEastAsia"/>
                <w:color w:val="auto"/>
                <w:szCs w:val="21"/>
              </w:rPr>
              <w:t>0.3</w:t>
            </w:r>
            <w:r>
              <w:rPr>
                <w:rFonts w:hint="eastAsia" w:eastAsiaTheme="minorEastAsia"/>
                <w:color w:val="auto"/>
                <w:szCs w:val="21"/>
                <w:lang w:val="en-US" w:eastAsia="zh-CN"/>
              </w:rPr>
              <w:t>0</w:t>
            </w:r>
          </w:p>
        </w:tc>
        <w:tc>
          <w:tcPr>
            <w:tcW w:w="632" w:type="dxa"/>
            <w:vAlign w:val="center"/>
          </w:tcPr>
          <w:p>
            <w:pPr>
              <w:spacing w:line="0" w:lineRule="atLeast"/>
              <w:jc w:val="center"/>
              <w:rPr>
                <w:rFonts w:eastAsiaTheme="minorEastAsia"/>
                <w:color w:val="auto"/>
                <w:szCs w:val="21"/>
              </w:rPr>
            </w:pPr>
            <w:r>
              <w:rPr>
                <w:rFonts w:hint="eastAsia" w:eastAsiaTheme="minorEastAsia"/>
                <w:color w:val="auto"/>
                <w:szCs w:val="21"/>
                <w:lang w:val="en-US" w:eastAsia="zh-CN"/>
              </w:rPr>
              <w:t>19.66</w:t>
            </w:r>
          </w:p>
        </w:tc>
        <w:tc>
          <w:tcPr>
            <w:tcW w:w="334" w:type="dxa"/>
            <w:vAlign w:val="center"/>
          </w:tcPr>
          <w:p>
            <w:pPr>
              <w:spacing w:line="0" w:lineRule="atLeast"/>
              <w:jc w:val="center"/>
              <w:rPr>
                <w:rFonts w:eastAsiaTheme="minorEastAsia"/>
                <w:color w:val="auto"/>
                <w:szCs w:val="21"/>
              </w:rPr>
            </w:pPr>
            <w:r>
              <w:rPr>
                <w:rFonts w:hint="eastAsia" w:eastAsiaTheme="minorEastAsia"/>
                <w:color w:val="auto"/>
                <w:szCs w:val="21"/>
              </w:rPr>
              <w:t>20</w:t>
            </w:r>
          </w:p>
        </w:tc>
        <w:tc>
          <w:tcPr>
            <w:tcW w:w="474" w:type="dxa"/>
            <w:vAlign w:val="center"/>
          </w:tcPr>
          <w:p>
            <w:pPr>
              <w:spacing w:line="0" w:lineRule="atLeast"/>
              <w:jc w:val="center"/>
              <w:rPr>
                <w:rFonts w:eastAsiaTheme="minorEastAsia"/>
                <w:color w:val="auto"/>
                <w:szCs w:val="21"/>
              </w:rPr>
            </w:pPr>
            <w:r>
              <w:rPr>
                <w:rFonts w:hint="eastAsia" w:eastAsiaTheme="minorEastAsia"/>
                <w:color w:val="auto"/>
                <w:szCs w:val="21"/>
              </w:rPr>
              <w:t>7200</w:t>
            </w:r>
          </w:p>
        </w:tc>
        <w:tc>
          <w:tcPr>
            <w:tcW w:w="223" w:type="dxa"/>
            <w:vMerge w:val="continue"/>
            <w:vAlign w:val="center"/>
          </w:tcPr>
          <w:p>
            <w:pPr>
              <w:spacing w:line="0" w:lineRule="atLeast"/>
              <w:jc w:val="center"/>
              <w:rPr>
                <w:rFonts w:hAnsiTheme="minorEastAsia" w:eastAsiaTheme="minorEastAsia"/>
                <w:color w:val="auto"/>
                <w:szCs w:val="21"/>
              </w:rPr>
            </w:pPr>
          </w:p>
        </w:tc>
        <w:tc>
          <w:tcPr>
            <w:tcW w:w="599" w:type="dxa"/>
            <w:vAlign w:val="center"/>
          </w:tcPr>
          <w:p>
            <w:pPr>
              <w:spacing w:line="0" w:lineRule="atLeast"/>
              <w:jc w:val="center"/>
              <w:rPr>
                <w:bCs/>
                <w:color w:val="auto"/>
              </w:rPr>
            </w:pPr>
            <w:r>
              <w:rPr>
                <w:rFonts w:hAnsi="Times New Roman"/>
                <w:snapToGrid w:val="0"/>
                <w:color w:val="auto"/>
              </w:rPr>
              <w:t>0.</w:t>
            </w:r>
            <w:r>
              <w:rPr>
                <w:rFonts w:hint="eastAsia" w:hAnsi="Times New Roman"/>
                <w:snapToGrid w:val="0"/>
                <w:color w:val="auto"/>
              </w:rPr>
              <w:t>000</w:t>
            </w:r>
            <w:r>
              <w:rPr>
                <w:rFonts w:hint="eastAsia" w:hAnsi="Times New Roman"/>
                <w:snapToGrid w:val="0"/>
                <w:color w:val="auto"/>
                <w:lang w:val="en-US" w:eastAsia="zh-CN"/>
              </w:rPr>
              <w:t>69</w:t>
            </w:r>
          </w:p>
        </w:tc>
        <w:tc>
          <w:tcPr>
            <w:tcW w:w="599" w:type="dxa"/>
            <w:vAlign w:val="center"/>
          </w:tcPr>
          <w:p>
            <w:pPr>
              <w:spacing w:line="0" w:lineRule="atLeast"/>
              <w:jc w:val="center"/>
              <w:rPr>
                <w:bCs/>
                <w:color w:val="auto"/>
              </w:rPr>
            </w:pPr>
            <w:r>
              <w:rPr>
                <w:rFonts w:hAnsi="Times New Roman"/>
                <w:snapToGrid w:val="0"/>
                <w:color w:val="auto"/>
                <w:szCs w:val="24"/>
              </w:rPr>
              <w:t>0.0</w:t>
            </w:r>
            <w:r>
              <w:rPr>
                <w:rFonts w:hint="eastAsia" w:hAnsi="Times New Roman"/>
                <w:snapToGrid w:val="0"/>
                <w:color w:val="auto"/>
                <w:szCs w:val="24"/>
              </w:rPr>
              <w:t>00</w:t>
            </w:r>
            <w:r>
              <w:rPr>
                <w:rFonts w:hint="eastAsia" w:hAnsi="Times New Roman"/>
                <w:snapToGrid w:val="0"/>
                <w:color w:val="auto"/>
                <w:szCs w:val="24"/>
                <w:lang w:val="en-US" w:eastAsia="zh-CN"/>
              </w:rPr>
              <w:t>11</w:t>
            </w:r>
          </w:p>
        </w:tc>
        <w:tc>
          <w:tcPr>
            <w:tcW w:w="516" w:type="dxa"/>
            <w:vAlign w:val="center"/>
          </w:tcPr>
          <w:p>
            <w:pPr>
              <w:pStyle w:val="84"/>
              <w:snapToGrid w:val="0"/>
              <w:rPr>
                <w:bCs/>
                <w:color w:val="auto"/>
              </w:rPr>
            </w:pPr>
            <w:r>
              <w:rPr>
                <w:color w:val="auto"/>
                <w:highlight w:val="none"/>
                <w:lang w:val="en-US"/>
              </w:rPr>
              <w:t>/</w:t>
            </w:r>
          </w:p>
        </w:tc>
        <w:tc>
          <w:tcPr>
            <w:tcW w:w="509" w:type="dxa"/>
            <w:vAlign w:val="center"/>
          </w:tcPr>
          <w:p>
            <w:pPr>
              <w:pStyle w:val="84"/>
              <w:snapToGrid w:val="0"/>
              <w:rPr>
                <w:bCs/>
                <w:color w:val="auto"/>
              </w:rPr>
            </w:pPr>
            <w:r>
              <w:rPr>
                <w:color w:val="auto"/>
                <w:highlight w:val="none"/>
                <w:lang w:val="en-US"/>
              </w:rPr>
              <w:t>/</w:t>
            </w:r>
          </w:p>
        </w:tc>
        <w:tc>
          <w:tcPr>
            <w:tcW w:w="516" w:type="dxa"/>
            <w:vAlign w:val="center"/>
          </w:tcPr>
          <w:p>
            <w:pPr>
              <w:pStyle w:val="84"/>
              <w:snapToGrid w:val="0"/>
              <w:rPr>
                <w:bCs/>
                <w:color w:val="auto"/>
              </w:rPr>
            </w:pPr>
            <w:r>
              <w:rPr>
                <w:color w:val="auto"/>
                <w:highlight w:val="none"/>
                <w:lang w:val="en-U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327" w:hRule="atLeast"/>
        </w:trPr>
        <w:tc>
          <w:tcPr>
            <w:tcW w:w="223" w:type="dxa"/>
            <w:vAlign w:val="center"/>
          </w:tcPr>
          <w:p>
            <w:pPr>
              <w:spacing w:line="0" w:lineRule="atLeast"/>
              <w:jc w:val="center"/>
              <w:rPr>
                <w:rFonts w:hint="eastAsia" w:eastAsiaTheme="minorEastAsia"/>
                <w:bCs/>
                <w:color w:val="auto"/>
                <w:szCs w:val="21"/>
                <w:lang w:val="en-US" w:eastAsia="zh-CN"/>
              </w:rPr>
            </w:pPr>
            <w:r>
              <w:rPr>
                <w:rFonts w:hint="eastAsia" w:eastAsiaTheme="minorEastAsia"/>
                <w:bCs/>
                <w:color w:val="auto"/>
                <w:szCs w:val="21"/>
                <w:lang w:val="en-US" w:eastAsia="zh-CN"/>
              </w:rPr>
              <w:t>4</w:t>
            </w:r>
          </w:p>
        </w:tc>
        <w:tc>
          <w:tcPr>
            <w:tcW w:w="358" w:type="dxa"/>
            <w:vAlign w:val="center"/>
          </w:tcPr>
          <w:p>
            <w:pPr>
              <w:spacing w:line="0" w:lineRule="atLeast"/>
              <w:jc w:val="center"/>
              <w:rPr>
                <w:rFonts w:hint="default" w:hAnsiTheme="minorEastAsia" w:eastAsiaTheme="minorEastAsia"/>
                <w:bCs/>
                <w:color w:val="auto"/>
                <w:szCs w:val="21"/>
                <w:lang w:val="en-US" w:eastAsia="zh-CN"/>
              </w:rPr>
            </w:pPr>
            <w:r>
              <w:rPr>
                <w:rFonts w:hint="eastAsia" w:hAnsiTheme="minorEastAsia" w:eastAsiaTheme="minorEastAsia"/>
                <w:bCs/>
                <w:color w:val="auto"/>
                <w:szCs w:val="21"/>
                <w:lang w:val="en-US" w:eastAsia="zh-CN"/>
              </w:rPr>
              <w:t>锅炉房烟囱</w:t>
            </w:r>
          </w:p>
        </w:tc>
        <w:tc>
          <w:tcPr>
            <w:tcW w:w="882" w:type="dxa"/>
            <w:vAlign w:val="center"/>
          </w:tcPr>
          <w:p>
            <w:pPr>
              <w:jc w:val="center"/>
              <w:rPr>
                <w:rFonts w:eastAsiaTheme="minorEastAsia"/>
                <w:color w:val="auto"/>
                <w:szCs w:val="21"/>
              </w:rPr>
            </w:pPr>
            <w:r>
              <w:rPr>
                <w:rFonts w:eastAsiaTheme="minorEastAsia"/>
                <w:color w:val="auto"/>
                <w:szCs w:val="21"/>
              </w:rPr>
              <w:t>127.81234235</w:t>
            </w:r>
          </w:p>
        </w:tc>
        <w:tc>
          <w:tcPr>
            <w:tcW w:w="934" w:type="dxa"/>
            <w:vAlign w:val="center"/>
          </w:tcPr>
          <w:p>
            <w:pPr>
              <w:jc w:val="center"/>
              <w:rPr>
                <w:rFonts w:eastAsiaTheme="minorEastAsia"/>
                <w:color w:val="auto"/>
                <w:szCs w:val="21"/>
              </w:rPr>
            </w:pPr>
            <w:r>
              <w:rPr>
                <w:rFonts w:eastAsiaTheme="minorEastAsia"/>
                <w:color w:val="auto"/>
                <w:szCs w:val="21"/>
              </w:rPr>
              <w:t>45.30431228</w:t>
            </w:r>
          </w:p>
        </w:tc>
        <w:tc>
          <w:tcPr>
            <w:tcW w:w="521" w:type="dxa"/>
            <w:vAlign w:val="center"/>
          </w:tcPr>
          <w:p>
            <w:pPr>
              <w:jc w:val="center"/>
              <w:rPr>
                <w:rFonts w:hint="default" w:eastAsiaTheme="minorEastAsia"/>
                <w:color w:val="auto"/>
                <w:szCs w:val="21"/>
                <w:lang w:val="en-US" w:eastAsia="zh-CN"/>
              </w:rPr>
            </w:pPr>
            <w:r>
              <w:rPr>
                <w:rFonts w:hint="eastAsia" w:eastAsiaTheme="minorEastAsia"/>
                <w:color w:val="auto"/>
                <w:szCs w:val="21"/>
                <w:lang w:val="en-US" w:eastAsia="zh-CN"/>
              </w:rPr>
              <w:t>236</w:t>
            </w:r>
          </w:p>
        </w:tc>
        <w:tc>
          <w:tcPr>
            <w:tcW w:w="521" w:type="dxa"/>
            <w:vAlign w:val="center"/>
          </w:tcPr>
          <w:p>
            <w:pPr>
              <w:spacing w:line="0" w:lineRule="atLeast"/>
              <w:jc w:val="center"/>
              <w:rPr>
                <w:rFonts w:hint="default" w:eastAsiaTheme="minorEastAsia"/>
                <w:color w:val="auto"/>
                <w:szCs w:val="21"/>
                <w:lang w:val="en-US" w:eastAsia="zh-CN"/>
              </w:rPr>
            </w:pPr>
            <w:r>
              <w:rPr>
                <w:rFonts w:hint="eastAsia" w:eastAsiaTheme="minorEastAsia"/>
                <w:color w:val="auto"/>
                <w:szCs w:val="21"/>
                <w:lang w:val="en-US" w:eastAsia="zh-CN"/>
              </w:rPr>
              <w:t>30</w:t>
            </w:r>
          </w:p>
        </w:tc>
        <w:tc>
          <w:tcPr>
            <w:tcW w:w="521" w:type="dxa"/>
            <w:vAlign w:val="center"/>
          </w:tcPr>
          <w:p>
            <w:pPr>
              <w:spacing w:line="0" w:lineRule="atLeast"/>
              <w:jc w:val="center"/>
              <w:rPr>
                <w:rFonts w:hint="default" w:eastAsiaTheme="minorEastAsia"/>
                <w:color w:val="auto"/>
                <w:szCs w:val="21"/>
                <w:lang w:val="en-US" w:eastAsia="zh-CN"/>
              </w:rPr>
            </w:pPr>
            <w:r>
              <w:rPr>
                <w:rFonts w:hint="eastAsia" w:eastAsiaTheme="minorEastAsia"/>
                <w:color w:val="auto"/>
                <w:szCs w:val="21"/>
                <w:lang w:val="en-US" w:eastAsia="zh-CN"/>
              </w:rPr>
              <w:t>0.30</w:t>
            </w:r>
          </w:p>
        </w:tc>
        <w:tc>
          <w:tcPr>
            <w:tcW w:w="632" w:type="dxa"/>
            <w:vAlign w:val="center"/>
          </w:tcPr>
          <w:p>
            <w:pPr>
              <w:spacing w:line="0" w:lineRule="atLeast"/>
              <w:jc w:val="center"/>
              <w:rPr>
                <w:rFonts w:hint="default" w:eastAsiaTheme="minorEastAsia"/>
                <w:color w:val="auto"/>
                <w:szCs w:val="21"/>
                <w:lang w:val="en-US" w:eastAsia="zh-CN"/>
              </w:rPr>
            </w:pPr>
            <w:r>
              <w:rPr>
                <w:rFonts w:hint="eastAsia" w:eastAsiaTheme="minorEastAsia"/>
                <w:color w:val="auto"/>
                <w:szCs w:val="21"/>
                <w:lang w:val="en-US" w:eastAsia="zh-CN"/>
              </w:rPr>
              <w:t>3.11</w:t>
            </w:r>
          </w:p>
        </w:tc>
        <w:tc>
          <w:tcPr>
            <w:tcW w:w="334" w:type="dxa"/>
            <w:vAlign w:val="center"/>
          </w:tcPr>
          <w:p>
            <w:pPr>
              <w:spacing w:line="0" w:lineRule="atLeast"/>
              <w:jc w:val="center"/>
              <w:rPr>
                <w:rFonts w:hint="default" w:eastAsiaTheme="minorEastAsia"/>
                <w:color w:val="auto"/>
                <w:szCs w:val="21"/>
                <w:lang w:val="en-US" w:eastAsia="zh-CN"/>
              </w:rPr>
            </w:pPr>
            <w:r>
              <w:rPr>
                <w:rFonts w:hint="eastAsia" w:eastAsiaTheme="minorEastAsia"/>
                <w:color w:val="auto"/>
                <w:szCs w:val="21"/>
                <w:lang w:val="en-US" w:eastAsia="zh-CN"/>
              </w:rPr>
              <w:t>80</w:t>
            </w:r>
          </w:p>
        </w:tc>
        <w:tc>
          <w:tcPr>
            <w:tcW w:w="474" w:type="dxa"/>
            <w:vAlign w:val="center"/>
          </w:tcPr>
          <w:p>
            <w:pPr>
              <w:spacing w:line="0" w:lineRule="atLeast"/>
              <w:jc w:val="center"/>
              <w:rPr>
                <w:rFonts w:hint="default" w:eastAsiaTheme="minorEastAsia"/>
                <w:color w:val="auto"/>
                <w:szCs w:val="21"/>
                <w:lang w:val="en-US" w:eastAsia="zh-CN"/>
              </w:rPr>
            </w:pPr>
            <w:r>
              <w:rPr>
                <w:rFonts w:hint="eastAsia" w:eastAsiaTheme="minorEastAsia"/>
                <w:color w:val="auto"/>
                <w:szCs w:val="21"/>
                <w:lang w:val="en-US" w:eastAsia="zh-CN"/>
              </w:rPr>
              <w:t>3600</w:t>
            </w:r>
          </w:p>
        </w:tc>
        <w:tc>
          <w:tcPr>
            <w:tcW w:w="223" w:type="dxa"/>
            <w:vMerge w:val="continue"/>
            <w:vAlign w:val="center"/>
          </w:tcPr>
          <w:p>
            <w:pPr>
              <w:spacing w:line="0" w:lineRule="atLeast"/>
              <w:jc w:val="center"/>
              <w:rPr>
                <w:rFonts w:hAnsiTheme="minorEastAsia" w:eastAsiaTheme="minorEastAsia"/>
                <w:color w:val="auto"/>
                <w:szCs w:val="21"/>
              </w:rPr>
            </w:pPr>
          </w:p>
        </w:tc>
        <w:tc>
          <w:tcPr>
            <w:tcW w:w="599" w:type="dxa"/>
            <w:vAlign w:val="center"/>
          </w:tcPr>
          <w:p>
            <w:pPr>
              <w:pStyle w:val="84"/>
              <w:snapToGrid w:val="0"/>
              <w:rPr>
                <w:bCs/>
                <w:color w:val="auto"/>
              </w:rPr>
            </w:pPr>
            <w:r>
              <w:rPr>
                <w:color w:val="auto"/>
                <w:highlight w:val="none"/>
                <w:lang w:val="en-US"/>
              </w:rPr>
              <w:t>/</w:t>
            </w:r>
          </w:p>
        </w:tc>
        <w:tc>
          <w:tcPr>
            <w:tcW w:w="599" w:type="dxa"/>
            <w:vAlign w:val="center"/>
          </w:tcPr>
          <w:p>
            <w:pPr>
              <w:pStyle w:val="84"/>
              <w:snapToGrid w:val="0"/>
              <w:rPr>
                <w:bCs/>
                <w:color w:val="auto"/>
              </w:rPr>
            </w:pPr>
            <w:r>
              <w:rPr>
                <w:color w:val="auto"/>
                <w:highlight w:val="none"/>
                <w:lang w:val="en-US"/>
              </w:rPr>
              <w:t>/</w:t>
            </w:r>
          </w:p>
        </w:tc>
        <w:tc>
          <w:tcPr>
            <w:tcW w:w="516" w:type="dxa"/>
            <w:vAlign w:val="center"/>
          </w:tcPr>
          <w:p>
            <w:pPr>
              <w:spacing w:line="0" w:lineRule="atLeast"/>
              <w:jc w:val="center"/>
              <w:rPr>
                <w:bCs/>
                <w:color w:val="auto"/>
              </w:rPr>
            </w:pPr>
            <w:r>
              <w:rPr>
                <w:rFonts w:hint="eastAsia" w:hAnsi="Times New Roman"/>
                <w:snapToGrid w:val="0"/>
                <w:color w:val="auto"/>
                <w:szCs w:val="22"/>
                <w:lang w:val="en-US" w:eastAsia="zh-CN"/>
              </w:rPr>
              <w:t>0.0206</w:t>
            </w:r>
          </w:p>
        </w:tc>
        <w:tc>
          <w:tcPr>
            <w:tcW w:w="509" w:type="dxa"/>
            <w:vAlign w:val="center"/>
          </w:tcPr>
          <w:p>
            <w:pPr>
              <w:spacing w:line="0" w:lineRule="atLeast"/>
              <w:jc w:val="center"/>
              <w:rPr>
                <w:bCs/>
                <w:color w:val="auto"/>
              </w:rPr>
            </w:pPr>
            <w:r>
              <w:rPr>
                <w:rFonts w:hint="eastAsia" w:hAnsi="Times New Roman" w:eastAsia="宋体"/>
                <w:snapToGrid w:val="0"/>
                <w:color w:val="auto"/>
                <w:szCs w:val="22"/>
                <w:lang w:val="en-US" w:eastAsia="zh-CN"/>
              </w:rPr>
              <w:t>0.1186</w:t>
            </w:r>
          </w:p>
        </w:tc>
        <w:tc>
          <w:tcPr>
            <w:tcW w:w="516" w:type="dxa"/>
            <w:vAlign w:val="center"/>
          </w:tcPr>
          <w:p>
            <w:pPr>
              <w:spacing w:line="0" w:lineRule="atLeast"/>
              <w:jc w:val="center"/>
              <w:rPr>
                <w:bCs/>
                <w:color w:val="auto"/>
              </w:rPr>
            </w:pPr>
            <w:r>
              <w:rPr>
                <w:rFonts w:hint="eastAsia" w:hAnsi="Times New Roman" w:eastAsia="宋体"/>
                <w:snapToGrid w:val="0"/>
                <w:color w:val="auto"/>
                <w:szCs w:val="22"/>
                <w:lang w:val="en-US" w:eastAsia="zh-CN"/>
              </w:rPr>
              <w:t>0.0281</w:t>
            </w:r>
          </w:p>
        </w:tc>
      </w:tr>
    </w:tbl>
    <w:p>
      <w:pPr>
        <w:spacing w:line="360" w:lineRule="auto"/>
        <w:ind w:firstLine="482"/>
        <w:jc w:val="center"/>
        <w:rPr>
          <w:b/>
          <w:color w:val="auto"/>
          <w:sz w:val="24"/>
        </w:rPr>
      </w:pPr>
      <w:r>
        <w:rPr>
          <w:b/>
          <w:color w:val="auto"/>
          <w:sz w:val="24"/>
        </w:rPr>
        <w:t>表</w:t>
      </w:r>
      <w:r>
        <w:rPr>
          <w:rFonts w:hint="eastAsia"/>
          <w:b/>
          <w:color w:val="auto"/>
          <w:sz w:val="24"/>
        </w:rPr>
        <w:t>2</w:t>
      </w:r>
      <w:r>
        <w:rPr>
          <w:b/>
          <w:color w:val="auto"/>
          <w:sz w:val="24"/>
        </w:rPr>
        <w:t>-</w:t>
      </w:r>
      <w:r>
        <w:rPr>
          <w:rFonts w:hint="eastAsia"/>
          <w:b/>
          <w:color w:val="auto"/>
          <w:sz w:val="24"/>
        </w:rPr>
        <w:t>4</w:t>
      </w:r>
      <w:r>
        <w:rPr>
          <w:b/>
          <w:color w:val="auto"/>
          <w:sz w:val="24"/>
        </w:rPr>
        <w:t xml:space="preserve">-3主要废气污染源参数一览表(矩形面源) </w:t>
      </w:r>
    </w:p>
    <w:tbl>
      <w:tblPr>
        <w:tblStyle w:val="4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2"/>
        <w:gridCol w:w="642"/>
        <w:gridCol w:w="990"/>
        <w:gridCol w:w="893"/>
        <w:gridCol w:w="651"/>
        <w:gridCol w:w="651"/>
        <w:gridCol w:w="651"/>
        <w:gridCol w:w="591"/>
        <w:gridCol w:w="651"/>
        <w:gridCol w:w="607"/>
        <w:gridCol w:w="372"/>
        <w:gridCol w:w="725"/>
        <w:gridCol w:w="7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 w:hRule="atLeast"/>
          <w:jc w:val="center"/>
        </w:trPr>
        <w:tc>
          <w:tcPr>
            <w:tcW w:w="372"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编号</w:t>
            </w:r>
          </w:p>
        </w:tc>
        <w:tc>
          <w:tcPr>
            <w:tcW w:w="642"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名称</w:t>
            </w:r>
          </w:p>
        </w:tc>
        <w:tc>
          <w:tcPr>
            <w:tcW w:w="1883" w:type="dxa"/>
            <w:gridSpan w:val="2"/>
            <w:vAlign w:val="center"/>
          </w:tcPr>
          <w:p>
            <w:pPr>
              <w:spacing w:line="0" w:lineRule="atLeast"/>
              <w:jc w:val="center"/>
              <w:rPr>
                <w:rFonts w:eastAsiaTheme="minorEastAsia"/>
                <w:color w:val="auto"/>
                <w:szCs w:val="21"/>
              </w:rPr>
            </w:pPr>
            <w:r>
              <w:rPr>
                <w:rFonts w:hAnsiTheme="minorEastAsia" w:eastAsiaTheme="minorEastAsia"/>
                <w:color w:val="auto"/>
                <w:szCs w:val="21"/>
              </w:rPr>
              <w:t>面源各顶点坐标（</w:t>
            </w:r>
            <w:r>
              <w:rPr>
                <w:rFonts w:eastAsiaTheme="minorEastAsia"/>
                <w:color w:val="auto"/>
                <w:szCs w:val="21"/>
              </w:rPr>
              <w:t>°</w:t>
            </w:r>
            <w:r>
              <w:rPr>
                <w:rFonts w:hAnsiTheme="minorEastAsia" w:eastAsiaTheme="minorEastAsia"/>
                <w:color w:val="auto"/>
                <w:szCs w:val="21"/>
              </w:rPr>
              <w:t>）</w:t>
            </w:r>
          </w:p>
        </w:tc>
        <w:tc>
          <w:tcPr>
            <w:tcW w:w="651"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面源海拔高度（</w:t>
            </w:r>
            <w:r>
              <w:rPr>
                <w:rFonts w:eastAsiaTheme="minorEastAsia"/>
                <w:color w:val="auto"/>
                <w:szCs w:val="21"/>
              </w:rPr>
              <w:t>m</w:t>
            </w:r>
            <w:r>
              <w:rPr>
                <w:rFonts w:hAnsiTheme="minorEastAsia" w:eastAsiaTheme="minorEastAsia"/>
                <w:color w:val="auto"/>
                <w:szCs w:val="21"/>
              </w:rPr>
              <w:t>）</w:t>
            </w:r>
          </w:p>
        </w:tc>
        <w:tc>
          <w:tcPr>
            <w:tcW w:w="651"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面源长度（</w:t>
            </w:r>
            <w:r>
              <w:rPr>
                <w:rFonts w:eastAsiaTheme="minorEastAsia"/>
                <w:color w:val="auto"/>
                <w:szCs w:val="21"/>
              </w:rPr>
              <w:t>m</w:t>
            </w:r>
            <w:r>
              <w:rPr>
                <w:rFonts w:hAnsiTheme="minorEastAsia" w:eastAsiaTheme="minorEastAsia"/>
                <w:color w:val="auto"/>
                <w:szCs w:val="21"/>
              </w:rPr>
              <w:t>）</w:t>
            </w:r>
          </w:p>
        </w:tc>
        <w:tc>
          <w:tcPr>
            <w:tcW w:w="651"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面源宽度（</w:t>
            </w:r>
            <w:r>
              <w:rPr>
                <w:rFonts w:eastAsiaTheme="minorEastAsia"/>
                <w:color w:val="auto"/>
                <w:szCs w:val="21"/>
              </w:rPr>
              <w:t>m</w:t>
            </w:r>
            <w:r>
              <w:rPr>
                <w:rFonts w:hAnsiTheme="minorEastAsia" w:eastAsiaTheme="minorEastAsia"/>
                <w:color w:val="auto"/>
                <w:szCs w:val="21"/>
              </w:rPr>
              <w:t>）</w:t>
            </w:r>
          </w:p>
        </w:tc>
        <w:tc>
          <w:tcPr>
            <w:tcW w:w="591"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与正北向夹角（</w:t>
            </w:r>
            <w:r>
              <w:rPr>
                <w:rFonts w:eastAsiaTheme="minorEastAsia"/>
                <w:color w:val="auto"/>
                <w:szCs w:val="21"/>
              </w:rPr>
              <w:t>°</w:t>
            </w:r>
            <w:r>
              <w:rPr>
                <w:rFonts w:hAnsiTheme="minorEastAsia" w:eastAsiaTheme="minorEastAsia"/>
                <w:color w:val="auto"/>
                <w:szCs w:val="21"/>
              </w:rPr>
              <w:t>）</w:t>
            </w:r>
          </w:p>
        </w:tc>
        <w:tc>
          <w:tcPr>
            <w:tcW w:w="651"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面源有效排放高度（</w:t>
            </w:r>
            <w:r>
              <w:rPr>
                <w:rFonts w:eastAsiaTheme="minorEastAsia"/>
                <w:color w:val="auto"/>
                <w:szCs w:val="21"/>
              </w:rPr>
              <w:t>m</w:t>
            </w:r>
            <w:r>
              <w:rPr>
                <w:rFonts w:hAnsiTheme="minorEastAsia" w:eastAsiaTheme="minorEastAsia"/>
                <w:color w:val="auto"/>
                <w:szCs w:val="21"/>
              </w:rPr>
              <w:t>）</w:t>
            </w:r>
          </w:p>
        </w:tc>
        <w:tc>
          <w:tcPr>
            <w:tcW w:w="607"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年排放小时数（</w:t>
            </w:r>
            <w:r>
              <w:rPr>
                <w:rFonts w:eastAsiaTheme="minorEastAsia"/>
                <w:color w:val="auto"/>
                <w:szCs w:val="21"/>
              </w:rPr>
              <w:t>h</w:t>
            </w:r>
            <w:r>
              <w:rPr>
                <w:rFonts w:hAnsiTheme="minorEastAsia" w:eastAsiaTheme="minorEastAsia"/>
                <w:color w:val="auto"/>
                <w:szCs w:val="21"/>
              </w:rPr>
              <w:t>）</w:t>
            </w:r>
          </w:p>
        </w:tc>
        <w:tc>
          <w:tcPr>
            <w:tcW w:w="372"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排放工况</w:t>
            </w:r>
          </w:p>
        </w:tc>
        <w:tc>
          <w:tcPr>
            <w:tcW w:w="1451" w:type="dxa"/>
            <w:gridSpan w:val="2"/>
            <w:vAlign w:val="center"/>
          </w:tcPr>
          <w:p>
            <w:pPr>
              <w:spacing w:line="0" w:lineRule="atLeast"/>
              <w:jc w:val="center"/>
              <w:rPr>
                <w:rFonts w:eastAsiaTheme="minorEastAsia"/>
                <w:color w:val="auto"/>
                <w:szCs w:val="21"/>
              </w:rPr>
            </w:pPr>
            <w:r>
              <w:rPr>
                <w:rFonts w:hAnsiTheme="minorEastAsia" w:eastAsiaTheme="minorEastAsia"/>
                <w:color w:val="auto"/>
                <w:szCs w:val="21"/>
              </w:rPr>
              <w:t>污染物排放速率（</w:t>
            </w:r>
            <w:r>
              <w:rPr>
                <w:rFonts w:eastAsiaTheme="minorEastAsia"/>
                <w:color w:val="auto"/>
                <w:szCs w:val="21"/>
              </w:rPr>
              <w:t>kg/h</w:t>
            </w:r>
            <w:r>
              <w:rPr>
                <w:rFonts w:hAnsiTheme="minorEastAsia" w:eastAsiaTheme="minorEastAsia"/>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372" w:type="dxa"/>
            <w:vMerge w:val="continue"/>
            <w:vAlign w:val="center"/>
          </w:tcPr>
          <w:p>
            <w:pPr>
              <w:spacing w:line="0" w:lineRule="atLeast"/>
              <w:jc w:val="center"/>
              <w:rPr>
                <w:rFonts w:eastAsiaTheme="minorEastAsia"/>
                <w:color w:val="auto"/>
                <w:szCs w:val="21"/>
              </w:rPr>
            </w:pPr>
          </w:p>
        </w:tc>
        <w:tc>
          <w:tcPr>
            <w:tcW w:w="642" w:type="dxa"/>
            <w:vMerge w:val="continue"/>
            <w:vAlign w:val="center"/>
          </w:tcPr>
          <w:p>
            <w:pPr>
              <w:spacing w:line="0" w:lineRule="atLeast"/>
              <w:jc w:val="center"/>
              <w:rPr>
                <w:rFonts w:eastAsiaTheme="minorEastAsia"/>
                <w:color w:val="auto"/>
                <w:szCs w:val="21"/>
              </w:rPr>
            </w:pPr>
          </w:p>
        </w:tc>
        <w:tc>
          <w:tcPr>
            <w:tcW w:w="990" w:type="dxa"/>
            <w:vAlign w:val="center"/>
          </w:tcPr>
          <w:p>
            <w:pPr>
              <w:spacing w:line="0" w:lineRule="atLeast"/>
              <w:jc w:val="center"/>
              <w:rPr>
                <w:rFonts w:eastAsiaTheme="minorEastAsia"/>
                <w:color w:val="auto"/>
                <w:szCs w:val="21"/>
              </w:rPr>
            </w:pPr>
            <w:r>
              <w:rPr>
                <w:rFonts w:hAnsiTheme="minorEastAsia" w:eastAsiaTheme="minorEastAsia"/>
                <w:color w:val="auto"/>
                <w:szCs w:val="21"/>
              </w:rPr>
              <w:t>经度</w:t>
            </w:r>
          </w:p>
        </w:tc>
        <w:tc>
          <w:tcPr>
            <w:tcW w:w="893" w:type="dxa"/>
            <w:vAlign w:val="center"/>
          </w:tcPr>
          <w:p>
            <w:pPr>
              <w:spacing w:line="0" w:lineRule="atLeast"/>
              <w:jc w:val="center"/>
              <w:rPr>
                <w:rFonts w:eastAsiaTheme="minorEastAsia"/>
                <w:color w:val="auto"/>
                <w:szCs w:val="21"/>
              </w:rPr>
            </w:pPr>
            <w:r>
              <w:rPr>
                <w:rFonts w:hAnsiTheme="minorEastAsia" w:eastAsiaTheme="minorEastAsia"/>
                <w:color w:val="auto"/>
                <w:szCs w:val="21"/>
              </w:rPr>
              <w:t>纬度</w:t>
            </w:r>
          </w:p>
        </w:tc>
        <w:tc>
          <w:tcPr>
            <w:tcW w:w="651" w:type="dxa"/>
            <w:vMerge w:val="continue"/>
            <w:vAlign w:val="center"/>
          </w:tcPr>
          <w:p>
            <w:pPr>
              <w:spacing w:line="0" w:lineRule="atLeast"/>
              <w:jc w:val="center"/>
              <w:rPr>
                <w:rFonts w:eastAsiaTheme="minorEastAsia"/>
                <w:color w:val="auto"/>
                <w:szCs w:val="21"/>
              </w:rPr>
            </w:pPr>
          </w:p>
        </w:tc>
        <w:tc>
          <w:tcPr>
            <w:tcW w:w="651" w:type="dxa"/>
            <w:vMerge w:val="continue"/>
            <w:vAlign w:val="center"/>
          </w:tcPr>
          <w:p>
            <w:pPr>
              <w:spacing w:line="0" w:lineRule="atLeast"/>
              <w:jc w:val="center"/>
              <w:rPr>
                <w:rFonts w:eastAsiaTheme="minorEastAsia"/>
                <w:color w:val="auto"/>
                <w:szCs w:val="21"/>
              </w:rPr>
            </w:pPr>
          </w:p>
        </w:tc>
        <w:tc>
          <w:tcPr>
            <w:tcW w:w="651" w:type="dxa"/>
            <w:vMerge w:val="continue"/>
            <w:vAlign w:val="center"/>
          </w:tcPr>
          <w:p>
            <w:pPr>
              <w:spacing w:line="0" w:lineRule="atLeast"/>
              <w:jc w:val="center"/>
              <w:rPr>
                <w:rFonts w:eastAsiaTheme="minorEastAsia"/>
                <w:color w:val="auto"/>
                <w:szCs w:val="21"/>
              </w:rPr>
            </w:pPr>
          </w:p>
        </w:tc>
        <w:tc>
          <w:tcPr>
            <w:tcW w:w="591" w:type="dxa"/>
            <w:vMerge w:val="continue"/>
            <w:vAlign w:val="center"/>
          </w:tcPr>
          <w:p>
            <w:pPr>
              <w:spacing w:line="0" w:lineRule="atLeast"/>
              <w:jc w:val="center"/>
              <w:rPr>
                <w:rFonts w:eastAsiaTheme="minorEastAsia"/>
                <w:color w:val="auto"/>
                <w:szCs w:val="21"/>
              </w:rPr>
            </w:pPr>
          </w:p>
        </w:tc>
        <w:tc>
          <w:tcPr>
            <w:tcW w:w="651" w:type="dxa"/>
            <w:vMerge w:val="continue"/>
            <w:vAlign w:val="center"/>
          </w:tcPr>
          <w:p>
            <w:pPr>
              <w:spacing w:line="0" w:lineRule="atLeast"/>
              <w:jc w:val="center"/>
              <w:rPr>
                <w:rFonts w:eastAsiaTheme="minorEastAsia"/>
                <w:color w:val="auto"/>
                <w:szCs w:val="21"/>
              </w:rPr>
            </w:pPr>
          </w:p>
        </w:tc>
        <w:tc>
          <w:tcPr>
            <w:tcW w:w="607" w:type="dxa"/>
            <w:vMerge w:val="continue"/>
            <w:vAlign w:val="center"/>
          </w:tcPr>
          <w:p>
            <w:pPr>
              <w:spacing w:line="0" w:lineRule="atLeast"/>
              <w:jc w:val="center"/>
              <w:rPr>
                <w:rFonts w:eastAsiaTheme="minorEastAsia"/>
                <w:color w:val="auto"/>
                <w:szCs w:val="21"/>
              </w:rPr>
            </w:pPr>
          </w:p>
        </w:tc>
        <w:tc>
          <w:tcPr>
            <w:tcW w:w="372" w:type="dxa"/>
            <w:vMerge w:val="continue"/>
            <w:vAlign w:val="center"/>
          </w:tcPr>
          <w:p>
            <w:pPr>
              <w:spacing w:line="0" w:lineRule="atLeast"/>
              <w:jc w:val="center"/>
              <w:rPr>
                <w:rFonts w:eastAsiaTheme="minorEastAsia"/>
                <w:color w:val="auto"/>
                <w:szCs w:val="21"/>
              </w:rPr>
            </w:pPr>
          </w:p>
        </w:tc>
        <w:tc>
          <w:tcPr>
            <w:tcW w:w="725" w:type="dxa"/>
            <w:vAlign w:val="center"/>
          </w:tcPr>
          <w:p>
            <w:pPr>
              <w:spacing w:line="0" w:lineRule="atLeast"/>
              <w:jc w:val="center"/>
              <w:rPr>
                <w:rFonts w:eastAsiaTheme="minorEastAsia"/>
                <w:color w:val="auto"/>
                <w:szCs w:val="21"/>
              </w:rPr>
            </w:pPr>
            <w:r>
              <w:rPr>
                <w:rFonts w:eastAsiaTheme="minorEastAsia"/>
                <w:color w:val="auto"/>
                <w:szCs w:val="21"/>
              </w:rPr>
              <w:t>NH</w:t>
            </w:r>
            <w:r>
              <w:rPr>
                <w:rFonts w:eastAsiaTheme="minorEastAsia"/>
                <w:color w:val="auto"/>
                <w:szCs w:val="21"/>
                <w:vertAlign w:val="subscript"/>
              </w:rPr>
              <w:t>3</w:t>
            </w:r>
          </w:p>
        </w:tc>
        <w:tc>
          <w:tcPr>
            <w:tcW w:w="726" w:type="dxa"/>
            <w:vAlign w:val="center"/>
          </w:tcPr>
          <w:p>
            <w:pPr>
              <w:spacing w:line="0" w:lineRule="atLeast"/>
              <w:jc w:val="center"/>
              <w:rPr>
                <w:rFonts w:eastAsiaTheme="minorEastAsia"/>
                <w:color w:val="auto"/>
                <w:szCs w:val="21"/>
              </w:rPr>
            </w:pPr>
            <w:r>
              <w:rPr>
                <w:rFonts w:eastAsiaTheme="minorEastAsia"/>
                <w:color w:val="auto"/>
                <w:szCs w:val="21"/>
              </w:rPr>
              <w:t>H</w:t>
            </w:r>
            <w:r>
              <w:rPr>
                <w:rFonts w:eastAsiaTheme="minorEastAsia"/>
                <w:color w:val="auto"/>
                <w:szCs w:val="21"/>
                <w:vertAlign w:val="subscript"/>
              </w:rPr>
              <w:t>2</w:t>
            </w:r>
            <w:r>
              <w:rPr>
                <w:rFonts w:eastAsiaTheme="minorEastAsia"/>
                <w:color w:val="auto"/>
                <w:szCs w:val="21"/>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372" w:type="dxa"/>
            <w:vAlign w:val="center"/>
          </w:tcPr>
          <w:p>
            <w:pPr>
              <w:spacing w:line="0" w:lineRule="atLeast"/>
              <w:jc w:val="center"/>
              <w:rPr>
                <w:rFonts w:eastAsiaTheme="minorEastAsia"/>
                <w:color w:val="auto"/>
                <w:szCs w:val="21"/>
              </w:rPr>
            </w:pPr>
            <w:r>
              <w:rPr>
                <w:rFonts w:eastAsiaTheme="minorEastAsia"/>
                <w:color w:val="auto"/>
                <w:szCs w:val="21"/>
              </w:rPr>
              <w:t>1</w:t>
            </w:r>
          </w:p>
        </w:tc>
        <w:tc>
          <w:tcPr>
            <w:tcW w:w="642" w:type="dxa"/>
            <w:vAlign w:val="center"/>
          </w:tcPr>
          <w:p>
            <w:pPr>
              <w:spacing w:line="0" w:lineRule="atLeast"/>
              <w:jc w:val="center"/>
              <w:rPr>
                <w:rFonts w:eastAsiaTheme="minorEastAsia"/>
                <w:bCs/>
                <w:color w:val="auto"/>
                <w:szCs w:val="21"/>
              </w:rPr>
            </w:pPr>
            <w:r>
              <w:rPr>
                <w:rFonts w:hint="eastAsia" w:hAnsiTheme="minorEastAsia" w:eastAsiaTheme="minorEastAsia"/>
                <w:bCs/>
                <w:color w:val="auto"/>
                <w:szCs w:val="21"/>
              </w:rPr>
              <w:t>屠宰</w:t>
            </w:r>
            <w:r>
              <w:rPr>
                <w:rFonts w:hAnsiTheme="minorEastAsia" w:eastAsiaTheme="minorEastAsia"/>
                <w:bCs/>
                <w:color w:val="auto"/>
                <w:szCs w:val="21"/>
              </w:rPr>
              <w:t>车间</w:t>
            </w:r>
          </w:p>
        </w:tc>
        <w:tc>
          <w:tcPr>
            <w:tcW w:w="990" w:type="dxa"/>
            <w:vAlign w:val="center"/>
          </w:tcPr>
          <w:p>
            <w:pPr>
              <w:jc w:val="center"/>
              <w:rPr>
                <w:rFonts w:eastAsiaTheme="minorEastAsia"/>
                <w:color w:val="auto"/>
                <w:szCs w:val="21"/>
              </w:rPr>
            </w:pPr>
            <w:r>
              <w:rPr>
                <w:rFonts w:eastAsiaTheme="minorEastAsia"/>
                <w:color w:val="auto"/>
                <w:szCs w:val="21"/>
              </w:rPr>
              <w:t>127.81004906</w:t>
            </w:r>
          </w:p>
        </w:tc>
        <w:tc>
          <w:tcPr>
            <w:tcW w:w="893" w:type="dxa"/>
            <w:vAlign w:val="center"/>
          </w:tcPr>
          <w:p>
            <w:pPr>
              <w:jc w:val="center"/>
              <w:rPr>
                <w:rFonts w:eastAsiaTheme="minorEastAsia"/>
                <w:color w:val="auto"/>
                <w:szCs w:val="21"/>
              </w:rPr>
            </w:pPr>
            <w:r>
              <w:rPr>
                <w:rFonts w:eastAsiaTheme="minorEastAsia"/>
                <w:color w:val="auto"/>
                <w:szCs w:val="21"/>
              </w:rPr>
              <w:t>45.30505556</w:t>
            </w:r>
          </w:p>
        </w:tc>
        <w:tc>
          <w:tcPr>
            <w:tcW w:w="651" w:type="dxa"/>
            <w:vAlign w:val="center"/>
          </w:tcPr>
          <w:p>
            <w:pPr>
              <w:jc w:val="center"/>
              <w:rPr>
                <w:rFonts w:eastAsiaTheme="minorEastAsia"/>
                <w:color w:val="auto"/>
                <w:szCs w:val="21"/>
              </w:rPr>
            </w:pPr>
            <w:r>
              <w:rPr>
                <w:rFonts w:hint="eastAsia" w:eastAsiaTheme="minorEastAsia"/>
                <w:color w:val="auto"/>
                <w:szCs w:val="21"/>
                <w:lang w:val="en-US" w:eastAsia="zh-CN"/>
              </w:rPr>
              <w:t>236</w:t>
            </w:r>
          </w:p>
        </w:tc>
        <w:tc>
          <w:tcPr>
            <w:tcW w:w="651" w:type="dxa"/>
            <w:vAlign w:val="center"/>
          </w:tcPr>
          <w:p>
            <w:pPr>
              <w:jc w:val="center"/>
              <w:rPr>
                <w:rFonts w:hint="eastAsia" w:eastAsiaTheme="minorEastAsia"/>
                <w:color w:val="auto"/>
                <w:szCs w:val="21"/>
                <w:lang w:val="en-US" w:eastAsia="zh-CN"/>
              </w:rPr>
            </w:pPr>
            <w:r>
              <w:rPr>
                <w:rFonts w:hint="eastAsia" w:eastAsiaTheme="minorEastAsia"/>
                <w:color w:val="auto"/>
                <w:szCs w:val="21"/>
              </w:rPr>
              <w:t>5</w:t>
            </w:r>
            <w:r>
              <w:rPr>
                <w:rFonts w:hint="eastAsia" w:eastAsiaTheme="minorEastAsia"/>
                <w:color w:val="auto"/>
                <w:szCs w:val="21"/>
                <w:lang w:val="en-US" w:eastAsia="zh-CN"/>
              </w:rPr>
              <w:t>0</w:t>
            </w:r>
          </w:p>
        </w:tc>
        <w:tc>
          <w:tcPr>
            <w:tcW w:w="651" w:type="dxa"/>
            <w:vAlign w:val="center"/>
          </w:tcPr>
          <w:p>
            <w:pPr>
              <w:jc w:val="center"/>
              <w:rPr>
                <w:rFonts w:hint="default" w:eastAsiaTheme="minorEastAsia"/>
                <w:color w:val="auto"/>
                <w:szCs w:val="21"/>
                <w:lang w:val="en-US" w:eastAsia="zh-CN"/>
              </w:rPr>
            </w:pPr>
            <w:r>
              <w:rPr>
                <w:rFonts w:hint="eastAsia" w:eastAsiaTheme="minorEastAsia"/>
                <w:color w:val="auto"/>
                <w:szCs w:val="21"/>
                <w:lang w:val="en-US" w:eastAsia="zh-CN"/>
              </w:rPr>
              <w:t>40</w:t>
            </w:r>
          </w:p>
        </w:tc>
        <w:tc>
          <w:tcPr>
            <w:tcW w:w="591" w:type="dxa"/>
            <w:vAlign w:val="center"/>
          </w:tcPr>
          <w:p>
            <w:pPr>
              <w:spacing w:line="0" w:lineRule="atLeast"/>
              <w:jc w:val="center"/>
              <w:rPr>
                <w:rFonts w:hint="default" w:eastAsiaTheme="minorEastAsia"/>
                <w:color w:val="auto"/>
                <w:szCs w:val="21"/>
                <w:lang w:val="en-US" w:eastAsia="zh-CN"/>
              </w:rPr>
            </w:pPr>
            <w:r>
              <w:rPr>
                <w:rFonts w:hint="eastAsia" w:eastAsiaTheme="minorEastAsia"/>
                <w:color w:val="auto"/>
                <w:szCs w:val="21"/>
                <w:lang w:val="en-US" w:eastAsia="zh-CN"/>
              </w:rPr>
              <w:t>20</w:t>
            </w:r>
          </w:p>
        </w:tc>
        <w:tc>
          <w:tcPr>
            <w:tcW w:w="651" w:type="dxa"/>
            <w:vAlign w:val="center"/>
          </w:tcPr>
          <w:p>
            <w:pPr>
              <w:spacing w:line="0" w:lineRule="atLeast"/>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4</w:t>
            </w:r>
          </w:p>
        </w:tc>
        <w:tc>
          <w:tcPr>
            <w:tcW w:w="607" w:type="dxa"/>
            <w:vAlign w:val="center"/>
          </w:tcPr>
          <w:p>
            <w:pPr>
              <w:spacing w:line="0" w:lineRule="atLeast"/>
              <w:jc w:val="center"/>
              <w:rPr>
                <w:rFonts w:eastAsiaTheme="minorEastAsia"/>
                <w:color w:val="auto"/>
                <w:szCs w:val="21"/>
              </w:rPr>
            </w:pPr>
            <w:r>
              <w:rPr>
                <w:rFonts w:hint="eastAsia" w:eastAsiaTheme="minorEastAsia"/>
                <w:color w:val="auto"/>
                <w:szCs w:val="21"/>
              </w:rPr>
              <w:t>2400</w:t>
            </w:r>
          </w:p>
        </w:tc>
        <w:tc>
          <w:tcPr>
            <w:tcW w:w="372"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正常排放</w:t>
            </w:r>
          </w:p>
        </w:tc>
        <w:tc>
          <w:tcPr>
            <w:tcW w:w="725" w:type="dxa"/>
            <w:vAlign w:val="center"/>
          </w:tcPr>
          <w:p>
            <w:pPr>
              <w:spacing w:line="0" w:lineRule="atLeast"/>
              <w:jc w:val="center"/>
              <w:rPr>
                <w:rFonts w:eastAsiaTheme="minorEastAsia"/>
                <w:color w:val="auto"/>
                <w:szCs w:val="21"/>
              </w:rPr>
            </w:pPr>
            <w:r>
              <w:rPr>
                <w:rFonts w:hint="eastAsia" w:hAnsi="Times New Roman"/>
                <w:color w:val="auto"/>
                <w:lang w:val="en-US" w:eastAsia="zh-CN"/>
              </w:rPr>
              <w:t>0.026</w:t>
            </w:r>
          </w:p>
        </w:tc>
        <w:tc>
          <w:tcPr>
            <w:tcW w:w="726" w:type="dxa"/>
            <w:vAlign w:val="center"/>
          </w:tcPr>
          <w:p>
            <w:pPr>
              <w:spacing w:line="0" w:lineRule="atLeast"/>
              <w:jc w:val="center"/>
              <w:rPr>
                <w:rFonts w:eastAsiaTheme="minorEastAsia"/>
                <w:color w:val="auto"/>
                <w:szCs w:val="21"/>
              </w:rPr>
            </w:pPr>
            <w:r>
              <w:rPr>
                <w:rFonts w:hint="eastAsia" w:hAnsi="Times New Roman"/>
                <w:color w:val="auto"/>
                <w:szCs w:val="24"/>
                <w:lang w:val="en-US" w:eastAsia="zh-CN"/>
              </w:rPr>
              <w:t>0.0027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372" w:type="dxa"/>
            <w:vAlign w:val="center"/>
          </w:tcPr>
          <w:p>
            <w:pPr>
              <w:spacing w:line="0" w:lineRule="atLeast"/>
              <w:jc w:val="center"/>
              <w:rPr>
                <w:rFonts w:eastAsiaTheme="minorEastAsia"/>
                <w:color w:val="auto"/>
                <w:szCs w:val="21"/>
              </w:rPr>
            </w:pPr>
            <w:r>
              <w:rPr>
                <w:rFonts w:hint="eastAsia" w:eastAsiaTheme="minorEastAsia"/>
                <w:color w:val="auto"/>
                <w:szCs w:val="21"/>
              </w:rPr>
              <w:t>2</w:t>
            </w:r>
          </w:p>
        </w:tc>
        <w:tc>
          <w:tcPr>
            <w:tcW w:w="642" w:type="dxa"/>
            <w:vAlign w:val="center"/>
          </w:tcPr>
          <w:p>
            <w:pPr>
              <w:spacing w:line="0" w:lineRule="atLeast"/>
              <w:jc w:val="center"/>
              <w:rPr>
                <w:rFonts w:hAnsiTheme="minorEastAsia" w:eastAsiaTheme="minorEastAsia"/>
                <w:bCs/>
                <w:color w:val="auto"/>
                <w:szCs w:val="21"/>
              </w:rPr>
            </w:pPr>
            <w:r>
              <w:rPr>
                <w:rFonts w:hAnsiTheme="minorEastAsia" w:eastAsiaTheme="minorEastAsia"/>
                <w:bCs/>
                <w:color w:val="auto"/>
                <w:szCs w:val="21"/>
              </w:rPr>
              <w:t>污水处理站</w:t>
            </w:r>
          </w:p>
        </w:tc>
        <w:tc>
          <w:tcPr>
            <w:tcW w:w="990" w:type="dxa"/>
            <w:vAlign w:val="center"/>
          </w:tcPr>
          <w:p>
            <w:pPr>
              <w:jc w:val="center"/>
              <w:rPr>
                <w:rFonts w:eastAsiaTheme="minorEastAsia"/>
                <w:color w:val="auto"/>
                <w:szCs w:val="21"/>
              </w:rPr>
            </w:pPr>
            <w:r>
              <w:rPr>
                <w:rFonts w:eastAsiaTheme="minorEastAsia"/>
                <w:color w:val="auto"/>
                <w:szCs w:val="21"/>
              </w:rPr>
              <w:t>127.81000882</w:t>
            </w:r>
          </w:p>
        </w:tc>
        <w:tc>
          <w:tcPr>
            <w:tcW w:w="893" w:type="dxa"/>
            <w:vAlign w:val="center"/>
          </w:tcPr>
          <w:p>
            <w:pPr>
              <w:jc w:val="center"/>
              <w:rPr>
                <w:rFonts w:eastAsiaTheme="minorEastAsia"/>
                <w:color w:val="auto"/>
                <w:szCs w:val="21"/>
              </w:rPr>
            </w:pPr>
            <w:r>
              <w:rPr>
                <w:rFonts w:eastAsiaTheme="minorEastAsia"/>
                <w:color w:val="auto"/>
                <w:szCs w:val="21"/>
              </w:rPr>
              <w:t>45.30526118</w:t>
            </w:r>
          </w:p>
        </w:tc>
        <w:tc>
          <w:tcPr>
            <w:tcW w:w="651" w:type="dxa"/>
            <w:vAlign w:val="center"/>
          </w:tcPr>
          <w:p>
            <w:pPr>
              <w:jc w:val="center"/>
              <w:rPr>
                <w:rFonts w:eastAsiaTheme="minorEastAsia"/>
                <w:color w:val="auto"/>
                <w:szCs w:val="21"/>
              </w:rPr>
            </w:pPr>
            <w:r>
              <w:rPr>
                <w:rFonts w:hint="eastAsia" w:eastAsiaTheme="minorEastAsia"/>
                <w:color w:val="auto"/>
                <w:szCs w:val="21"/>
                <w:lang w:val="en-US" w:eastAsia="zh-CN"/>
              </w:rPr>
              <w:t>236</w:t>
            </w:r>
          </w:p>
        </w:tc>
        <w:tc>
          <w:tcPr>
            <w:tcW w:w="651" w:type="dxa"/>
            <w:vAlign w:val="center"/>
          </w:tcPr>
          <w:p>
            <w:pPr>
              <w:jc w:val="center"/>
              <w:rPr>
                <w:rFonts w:hint="default" w:eastAsiaTheme="minorEastAsia"/>
                <w:color w:val="auto"/>
                <w:szCs w:val="21"/>
                <w:lang w:val="en-US" w:eastAsia="zh-CN"/>
              </w:rPr>
            </w:pPr>
            <w:r>
              <w:rPr>
                <w:rFonts w:hint="eastAsia" w:eastAsiaTheme="minorEastAsia"/>
                <w:color w:val="auto"/>
                <w:szCs w:val="21"/>
                <w:lang w:val="en-US" w:eastAsia="zh-CN"/>
              </w:rPr>
              <w:t>10</w:t>
            </w:r>
          </w:p>
        </w:tc>
        <w:tc>
          <w:tcPr>
            <w:tcW w:w="651" w:type="dxa"/>
            <w:vAlign w:val="center"/>
          </w:tcPr>
          <w:p>
            <w:pPr>
              <w:jc w:val="center"/>
              <w:rPr>
                <w:rFonts w:hint="default" w:eastAsiaTheme="minorEastAsia"/>
                <w:color w:val="auto"/>
                <w:szCs w:val="21"/>
                <w:lang w:val="en-US" w:eastAsia="zh-CN"/>
              </w:rPr>
            </w:pPr>
            <w:r>
              <w:rPr>
                <w:rFonts w:hint="eastAsia" w:eastAsiaTheme="minorEastAsia"/>
                <w:color w:val="auto"/>
                <w:szCs w:val="21"/>
                <w:lang w:val="en-US" w:eastAsia="zh-CN"/>
              </w:rPr>
              <w:t>10</w:t>
            </w:r>
          </w:p>
        </w:tc>
        <w:tc>
          <w:tcPr>
            <w:tcW w:w="591" w:type="dxa"/>
            <w:vAlign w:val="center"/>
          </w:tcPr>
          <w:p>
            <w:pPr>
              <w:spacing w:line="0" w:lineRule="atLeast"/>
              <w:jc w:val="center"/>
              <w:rPr>
                <w:rFonts w:hint="default" w:eastAsiaTheme="minorEastAsia"/>
                <w:color w:val="auto"/>
                <w:szCs w:val="21"/>
                <w:lang w:val="en-US" w:eastAsia="zh-CN"/>
              </w:rPr>
            </w:pPr>
            <w:r>
              <w:rPr>
                <w:rFonts w:hint="eastAsia" w:eastAsiaTheme="minorEastAsia"/>
                <w:color w:val="auto"/>
                <w:szCs w:val="21"/>
                <w:lang w:val="en-US" w:eastAsia="zh-CN"/>
              </w:rPr>
              <w:t>20</w:t>
            </w:r>
          </w:p>
        </w:tc>
        <w:tc>
          <w:tcPr>
            <w:tcW w:w="651" w:type="dxa"/>
            <w:vAlign w:val="center"/>
          </w:tcPr>
          <w:p>
            <w:pPr>
              <w:spacing w:line="0" w:lineRule="atLeast"/>
              <w:jc w:val="center"/>
              <w:rPr>
                <w:rFonts w:hint="eastAsia" w:eastAsiaTheme="minorEastAsia"/>
                <w:color w:val="auto"/>
                <w:szCs w:val="21"/>
                <w:highlight w:val="none"/>
                <w:lang w:eastAsia="zh-CN"/>
              </w:rPr>
            </w:pPr>
            <w:r>
              <w:rPr>
                <w:rFonts w:hint="eastAsia" w:eastAsiaTheme="minorEastAsia"/>
                <w:color w:val="auto"/>
                <w:szCs w:val="21"/>
                <w:highlight w:val="none"/>
                <w:lang w:val="en-US" w:eastAsia="zh-CN"/>
              </w:rPr>
              <w:t>4</w:t>
            </w:r>
          </w:p>
        </w:tc>
        <w:tc>
          <w:tcPr>
            <w:tcW w:w="607" w:type="dxa"/>
            <w:vAlign w:val="center"/>
          </w:tcPr>
          <w:p>
            <w:pPr>
              <w:spacing w:line="0" w:lineRule="atLeast"/>
              <w:jc w:val="center"/>
              <w:rPr>
                <w:rFonts w:eastAsiaTheme="minorEastAsia"/>
                <w:color w:val="auto"/>
                <w:szCs w:val="21"/>
              </w:rPr>
            </w:pPr>
            <w:r>
              <w:rPr>
                <w:rFonts w:hint="eastAsia" w:eastAsiaTheme="minorEastAsia"/>
                <w:color w:val="auto"/>
                <w:szCs w:val="21"/>
              </w:rPr>
              <w:t>2400</w:t>
            </w:r>
          </w:p>
        </w:tc>
        <w:tc>
          <w:tcPr>
            <w:tcW w:w="372" w:type="dxa"/>
            <w:vMerge w:val="continue"/>
            <w:vAlign w:val="center"/>
          </w:tcPr>
          <w:p>
            <w:pPr>
              <w:spacing w:line="0" w:lineRule="atLeast"/>
              <w:jc w:val="center"/>
              <w:rPr>
                <w:rFonts w:hAnsiTheme="minorEastAsia" w:eastAsiaTheme="minorEastAsia"/>
                <w:color w:val="auto"/>
                <w:szCs w:val="21"/>
              </w:rPr>
            </w:pPr>
          </w:p>
        </w:tc>
        <w:tc>
          <w:tcPr>
            <w:tcW w:w="725" w:type="dxa"/>
            <w:vAlign w:val="center"/>
          </w:tcPr>
          <w:p>
            <w:pPr>
              <w:spacing w:line="0" w:lineRule="atLeast"/>
              <w:jc w:val="center"/>
              <w:rPr>
                <w:rFonts w:eastAsiaTheme="minorEastAsia"/>
                <w:color w:val="auto"/>
                <w:szCs w:val="21"/>
              </w:rPr>
            </w:pPr>
            <w:r>
              <w:rPr>
                <w:rFonts w:hint="eastAsia" w:hAnsi="Times New Roman"/>
                <w:color w:val="auto"/>
                <w:lang w:val="en-US" w:eastAsia="zh-CN"/>
              </w:rPr>
              <w:t>0.0038</w:t>
            </w:r>
          </w:p>
        </w:tc>
        <w:tc>
          <w:tcPr>
            <w:tcW w:w="726" w:type="dxa"/>
            <w:vAlign w:val="center"/>
          </w:tcPr>
          <w:p>
            <w:pPr>
              <w:spacing w:line="0" w:lineRule="atLeast"/>
              <w:jc w:val="center"/>
              <w:rPr>
                <w:rFonts w:eastAsiaTheme="minorEastAsia"/>
                <w:color w:val="auto"/>
                <w:szCs w:val="21"/>
              </w:rPr>
            </w:pPr>
            <w:r>
              <w:rPr>
                <w:rFonts w:hint="eastAsia" w:hAnsi="Times New Roman"/>
                <w:color w:val="auto"/>
                <w:lang w:val="en-US" w:eastAsia="zh-CN"/>
              </w:rPr>
              <w:t>0.00015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372" w:type="dxa"/>
            <w:vAlign w:val="center"/>
          </w:tcPr>
          <w:p>
            <w:pPr>
              <w:spacing w:line="0" w:lineRule="atLeast"/>
              <w:jc w:val="center"/>
              <w:rPr>
                <w:rFonts w:eastAsiaTheme="minorEastAsia"/>
                <w:color w:val="auto"/>
                <w:szCs w:val="21"/>
              </w:rPr>
            </w:pPr>
            <w:r>
              <w:rPr>
                <w:rFonts w:hint="eastAsia" w:eastAsiaTheme="minorEastAsia"/>
                <w:color w:val="auto"/>
                <w:szCs w:val="21"/>
              </w:rPr>
              <w:t>3</w:t>
            </w:r>
          </w:p>
        </w:tc>
        <w:tc>
          <w:tcPr>
            <w:tcW w:w="642" w:type="dxa"/>
            <w:vAlign w:val="center"/>
          </w:tcPr>
          <w:p>
            <w:pPr>
              <w:spacing w:line="0" w:lineRule="atLeast"/>
              <w:jc w:val="center"/>
              <w:rPr>
                <w:rFonts w:hAnsiTheme="minorEastAsia" w:eastAsiaTheme="minorEastAsia"/>
                <w:bCs/>
                <w:color w:val="auto"/>
                <w:szCs w:val="21"/>
              </w:rPr>
            </w:pPr>
            <w:r>
              <w:rPr>
                <w:rFonts w:hAnsiTheme="minorEastAsia" w:eastAsiaTheme="minorEastAsia"/>
                <w:bCs/>
                <w:color w:val="auto"/>
                <w:szCs w:val="21"/>
              </w:rPr>
              <w:t>待宰间</w:t>
            </w:r>
          </w:p>
        </w:tc>
        <w:tc>
          <w:tcPr>
            <w:tcW w:w="990" w:type="dxa"/>
            <w:vAlign w:val="center"/>
          </w:tcPr>
          <w:p>
            <w:pPr>
              <w:jc w:val="center"/>
              <w:rPr>
                <w:rFonts w:eastAsiaTheme="minorEastAsia"/>
                <w:color w:val="auto"/>
                <w:szCs w:val="21"/>
              </w:rPr>
            </w:pPr>
            <w:r>
              <w:rPr>
                <w:rFonts w:eastAsiaTheme="minorEastAsia"/>
                <w:color w:val="auto"/>
                <w:szCs w:val="21"/>
              </w:rPr>
              <w:t>127.81025022</w:t>
            </w:r>
          </w:p>
        </w:tc>
        <w:tc>
          <w:tcPr>
            <w:tcW w:w="893" w:type="dxa"/>
            <w:vAlign w:val="center"/>
          </w:tcPr>
          <w:p>
            <w:pPr>
              <w:jc w:val="center"/>
              <w:rPr>
                <w:rFonts w:eastAsiaTheme="minorEastAsia"/>
                <w:color w:val="auto"/>
                <w:szCs w:val="21"/>
              </w:rPr>
            </w:pPr>
            <w:r>
              <w:rPr>
                <w:rFonts w:eastAsiaTheme="minorEastAsia"/>
                <w:color w:val="auto"/>
                <w:szCs w:val="21"/>
              </w:rPr>
              <w:t>45.30525175</w:t>
            </w:r>
          </w:p>
        </w:tc>
        <w:tc>
          <w:tcPr>
            <w:tcW w:w="651" w:type="dxa"/>
            <w:vAlign w:val="center"/>
          </w:tcPr>
          <w:p>
            <w:pPr>
              <w:jc w:val="center"/>
              <w:rPr>
                <w:rFonts w:eastAsiaTheme="minorEastAsia"/>
                <w:color w:val="auto"/>
                <w:szCs w:val="21"/>
              </w:rPr>
            </w:pPr>
            <w:r>
              <w:rPr>
                <w:rFonts w:hint="eastAsia" w:eastAsiaTheme="minorEastAsia"/>
                <w:color w:val="auto"/>
                <w:szCs w:val="21"/>
                <w:lang w:val="en-US" w:eastAsia="zh-CN"/>
              </w:rPr>
              <w:t>236</w:t>
            </w:r>
          </w:p>
        </w:tc>
        <w:tc>
          <w:tcPr>
            <w:tcW w:w="651" w:type="dxa"/>
            <w:vAlign w:val="center"/>
          </w:tcPr>
          <w:p>
            <w:pPr>
              <w:jc w:val="center"/>
              <w:rPr>
                <w:rFonts w:hint="default" w:eastAsiaTheme="minorEastAsia"/>
                <w:color w:val="auto"/>
                <w:szCs w:val="21"/>
                <w:lang w:val="en-US" w:eastAsia="zh-CN"/>
              </w:rPr>
            </w:pPr>
            <w:r>
              <w:rPr>
                <w:rFonts w:hint="eastAsia" w:eastAsiaTheme="minorEastAsia"/>
                <w:color w:val="auto"/>
                <w:szCs w:val="21"/>
                <w:lang w:val="en-US" w:eastAsia="zh-CN"/>
              </w:rPr>
              <w:t>40</w:t>
            </w:r>
          </w:p>
        </w:tc>
        <w:tc>
          <w:tcPr>
            <w:tcW w:w="651" w:type="dxa"/>
            <w:vAlign w:val="center"/>
          </w:tcPr>
          <w:p>
            <w:pPr>
              <w:jc w:val="center"/>
              <w:rPr>
                <w:rFonts w:hint="default" w:eastAsiaTheme="minorEastAsia"/>
                <w:color w:val="auto"/>
                <w:szCs w:val="21"/>
                <w:lang w:val="en-US" w:eastAsia="zh-CN"/>
              </w:rPr>
            </w:pPr>
            <w:r>
              <w:rPr>
                <w:rFonts w:hint="eastAsia" w:eastAsiaTheme="minorEastAsia"/>
                <w:color w:val="auto"/>
                <w:szCs w:val="21"/>
                <w:lang w:val="en-US" w:eastAsia="zh-CN"/>
              </w:rPr>
              <w:t>15</w:t>
            </w:r>
          </w:p>
        </w:tc>
        <w:tc>
          <w:tcPr>
            <w:tcW w:w="591" w:type="dxa"/>
            <w:vAlign w:val="center"/>
          </w:tcPr>
          <w:p>
            <w:pPr>
              <w:spacing w:line="0" w:lineRule="atLeast"/>
              <w:jc w:val="center"/>
              <w:rPr>
                <w:rFonts w:hint="default" w:eastAsiaTheme="minorEastAsia"/>
                <w:color w:val="auto"/>
                <w:szCs w:val="21"/>
                <w:lang w:val="en-US" w:eastAsia="zh-CN"/>
              </w:rPr>
            </w:pPr>
            <w:r>
              <w:rPr>
                <w:rFonts w:hint="eastAsia" w:eastAsiaTheme="minorEastAsia"/>
                <w:color w:val="auto"/>
                <w:szCs w:val="21"/>
                <w:lang w:val="en-US" w:eastAsia="zh-CN"/>
              </w:rPr>
              <w:t>15</w:t>
            </w:r>
          </w:p>
        </w:tc>
        <w:tc>
          <w:tcPr>
            <w:tcW w:w="651" w:type="dxa"/>
            <w:vAlign w:val="center"/>
          </w:tcPr>
          <w:p>
            <w:pPr>
              <w:spacing w:line="0" w:lineRule="atLeast"/>
              <w:jc w:val="center"/>
              <w:rPr>
                <w:rFonts w:hint="eastAsia" w:eastAsiaTheme="minorEastAsia"/>
                <w:color w:val="auto"/>
                <w:szCs w:val="21"/>
                <w:highlight w:val="none"/>
                <w:lang w:eastAsia="zh-CN"/>
              </w:rPr>
            </w:pPr>
            <w:r>
              <w:rPr>
                <w:rFonts w:hint="eastAsia" w:eastAsiaTheme="minorEastAsia"/>
                <w:color w:val="auto"/>
                <w:szCs w:val="21"/>
                <w:highlight w:val="none"/>
                <w:lang w:val="en-US" w:eastAsia="zh-CN"/>
              </w:rPr>
              <w:t>2</w:t>
            </w:r>
          </w:p>
        </w:tc>
        <w:tc>
          <w:tcPr>
            <w:tcW w:w="607" w:type="dxa"/>
            <w:vAlign w:val="center"/>
          </w:tcPr>
          <w:p>
            <w:pPr>
              <w:spacing w:line="0" w:lineRule="atLeast"/>
              <w:jc w:val="center"/>
              <w:rPr>
                <w:rFonts w:eastAsiaTheme="minorEastAsia"/>
                <w:color w:val="auto"/>
                <w:szCs w:val="21"/>
              </w:rPr>
            </w:pPr>
            <w:r>
              <w:rPr>
                <w:rFonts w:hint="eastAsia" w:eastAsiaTheme="minorEastAsia"/>
                <w:color w:val="auto"/>
                <w:szCs w:val="21"/>
              </w:rPr>
              <w:t>7200</w:t>
            </w:r>
          </w:p>
        </w:tc>
        <w:tc>
          <w:tcPr>
            <w:tcW w:w="372" w:type="dxa"/>
            <w:vMerge w:val="continue"/>
            <w:vAlign w:val="center"/>
          </w:tcPr>
          <w:p>
            <w:pPr>
              <w:spacing w:line="0" w:lineRule="atLeast"/>
              <w:jc w:val="center"/>
              <w:rPr>
                <w:rFonts w:hAnsiTheme="minorEastAsia" w:eastAsiaTheme="minorEastAsia"/>
                <w:color w:val="auto"/>
                <w:szCs w:val="21"/>
              </w:rPr>
            </w:pPr>
          </w:p>
        </w:tc>
        <w:tc>
          <w:tcPr>
            <w:tcW w:w="725" w:type="dxa"/>
            <w:vAlign w:val="center"/>
          </w:tcPr>
          <w:p>
            <w:pPr>
              <w:spacing w:line="0" w:lineRule="atLeast"/>
              <w:jc w:val="center"/>
              <w:rPr>
                <w:rFonts w:eastAsiaTheme="minorEastAsia"/>
                <w:color w:val="auto"/>
                <w:szCs w:val="21"/>
              </w:rPr>
            </w:pPr>
            <w:r>
              <w:rPr>
                <w:rFonts w:hint="eastAsia" w:hAnsi="Times New Roman"/>
                <w:bCs/>
                <w:snapToGrid w:val="0"/>
                <w:color w:val="auto"/>
                <w:szCs w:val="24"/>
                <w:lang w:val="en-US" w:eastAsia="zh-CN"/>
              </w:rPr>
              <w:t>0.00057</w:t>
            </w:r>
          </w:p>
        </w:tc>
        <w:tc>
          <w:tcPr>
            <w:tcW w:w="726" w:type="dxa"/>
            <w:vAlign w:val="center"/>
          </w:tcPr>
          <w:p>
            <w:pPr>
              <w:spacing w:line="0" w:lineRule="atLeast"/>
              <w:jc w:val="center"/>
              <w:rPr>
                <w:rFonts w:eastAsiaTheme="minorEastAsia"/>
                <w:color w:val="auto"/>
                <w:szCs w:val="21"/>
              </w:rPr>
            </w:pPr>
            <w:r>
              <w:rPr>
                <w:rFonts w:hint="eastAsia" w:eastAsiaTheme="minorEastAsia"/>
                <w:color w:val="auto"/>
                <w:szCs w:val="21"/>
                <w:lang w:val="en-US" w:eastAsia="zh-CN"/>
              </w:rPr>
              <w:t>0.00009</w:t>
            </w:r>
          </w:p>
        </w:tc>
      </w:tr>
    </w:tbl>
    <w:p>
      <w:pPr>
        <w:spacing w:line="360" w:lineRule="auto"/>
        <w:ind w:firstLine="482"/>
        <w:jc w:val="center"/>
        <w:rPr>
          <w:b/>
          <w:color w:val="auto"/>
          <w:sz w:val="24"/>
        </w:rPr>
      </w:pPr>
      <w:r>
        <w:rPr>
          <w:b/>
          <w:color w:val="auto"/>
          <w:sz w:val="24"/>
        </w:rPr>
        <w:t>表</w:t>
      </w:r>
      <w:r>
        <w:rPr>
          <w:rFonts w:hint="eastAsia"/>
          <w:b/>
          <w:color w:val="auto"/>
          <w:sz w:val="24"/>
        </w:rPr>
        <w:t>2</w:t>
      </w:r>
      <w:r>
        <w:rPr>
          <w:b/>
          <w:color w:val="auto"/>
          <w:sz w:val="24"/>
        </w:rPr>
        <w:t>-</w:t>
      </w:r>
      <w:r>
        <w:rPr>
          <w:rFonts w:hint="eastAsia"/>
          <w:b/>
          <w:color w:val="auto"/>
          <w:sz w:val="24"/>
        </w:rPr>
        <w:t>4</w:t>
      </w:r>
      <w:r>
        <w:rPr>
          <w:b/>
          <w:color w:val="auto"/>
          <w:sz w:val="24"/>
        </w:rPr>
        <w:t>-4估算模式参数表</w:t>
      </w:r>
    </w:p>
    <w:tbl>
      <w:tblPr>
        <w:tblStyle w:val="46"/>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350"/>
        <w:gridCol w:w="1510"/>
        <w:gridCol w:w="1355"/>
        <w:gridCol w:w="430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678" w:type="pct"/>
            <w:gridSpan w:val="2"/>
            <w:vAlign w:val="center"/>
          </w:tcPr>
          <w:p>
            <w:pPr>
              <w:spacing w:line="0" w:lineRule="atLeast"/>
              <w:jc w:val="center"/>
              <w:rPr>
                <w:color w:val="auto"/>
                <w:szCs w:val="21"/>
              </w:rPr>
            </w:pPr>
            <w:r>
              <w:rPr>
                <w:color w:val="auto"/>
                <w:szCs w:val="21"/>
              </w:rPr>
              <w:t>参数</w:t>
            </w:r>
          </w:p>
        </w:tc>
        <w:tc>
          <w:tcPr>
            <w:tcW w:w="795" w:type="pct"/>
            <w:vAlign w:val="center"/>
          </w:tcPr>
          <w:p>
            <w:pPr>
              <w:spacing w:line="0" w:lineRule="atLeast"/>
              <w:jc w:val="center"/>
              <w:rPr>
                <w:color w:val="auto"/>
                <w:szCs w:val="21"/>
              </w:rPr>
            </w:pPr>
            <w:r>
              <w:rPr>
                <w:color w:val="auto"/>
                <w:szCs w:val="21"/>
              </w:rPr>
              <w:t>取值</w:t>
            </w:r>
          </w:p>
        </w:tc>
        <w:tc>
          <w:tcPr>
            <w:tcW w:w="2526" w:type="pct"/>
            <w:vAlign w:val="center"/>
          </w:tcPr>
          <w:p>
            <w:pPr>
              <w:spacing w:line="0" w:lineRule="atLeast"/>
              <w:jc w:val="center"/>
              <w:rPr>
                <w:color w:val="auto"/>
                <w:szCs w:val="21"/>
              </w:rPr>
            </w:pPr>
            <w:r>
              <w:rPr>
                <w:color w:val="auto"/>
                <w:kern w:val="21"/>
                <w:szCs w:val="21"/>
              </w:rPr>
              <w:t>参数选取依据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2" w:type="pct"/>
            <w:vMerge w:val="restart"/>
            <w:vAlign w:val="center"/>
          </w:tcPr>
          <w:p>
            <w:pPr>
              <w:spacing w:line="0" w:lineRule="atLeast"/>
              <w:jc w:val="center"/>
              <w:rPr>
                <w:color w:val="auto"/>
                <w:szCs w:val="21"/>
              </w:rPr>
            </w:pPr>
            <w:r>
              <w:rPr>
                <w:color w:val="auto"/>
                <w:szCs w:val="21"/>
              </w:rPr>
              <w:t>城市农村/选项</w:t>
            </w:r>
          </w:p>
        </w:tc>
        <w:tc>
          <w:tcPr>
            <w:tcW w:w="886" w:type="pct"/>
            <w:vAlign w:val="center"/>
          </w:tcPr>
          <w:p>
            <w:pPr>
              <w:spacing w:line="0" w:lineRule="atLeast"/>
              <w:jc w:val="center"/>
              <w:rPr>
                <w:color w:val="auto"/>
                <w:szCs w:val="21"/>
              </w:rPr>
            </w:pPr>
            <w:r>
              <w:rPr>
                <w:color w:val="auto"/>
                <w:szCs w:val="21"/>
              </w:rPr>
              <w:t>城市/农村</w:t>
            </w:r>
          </w:p>
        </w:tc>
        <w:tc>
          <w:tcPr>
            <w:tcW w:w="795" w:type="pct"/>
            <w:vAlign w:val="center"/>
          </w:tcPr>
          <w:p>
            <w:pPr>
              <w:spacing w:line="0" w:lineRule="atLeast"/>
              <w:jc w:val="center"/>
              <w:rPr>
                <w:color w:val="auto"/>
                <w:szCs w:val="21"/>
              </w:rPr>
            </w:pPr>
            <w:r>
              <w:rPr>
                <w:color w:val="auto"/>
                <w:szCs w:val="21"/>
              </w:rPr>
              <w:t>农村</w:t>
            </w:r>
          </w:p>
        </w:tc>
        <w:tc>
          <w:tcPr>
            <w:tcW w:w="2526" w:type="pct"/>
            <w:vAlign w:val="center"/>
          </w:tcPr>
          <w:p>
            <w:pPr>
              <w:spacing w:line="0" w:lineRule="atLeast"/>
              <w:jc w:val="center"/>
              <w:rPr>
                <w:color w:val="auto"/>
                <w:szCs w:val="21"/>
              </w:rPr>
            </w:pPr>
            <w:r>
              <w:rPr>
                <w:color w:val="auto"/>
                <w:szCs w:val="21"/>
              </w:rPr>
              <w:t>根据《环境影响评价技术导则 大气环境》（HJ 2.2-2018）附录B中B.6.1 城市/农村选项：“当项目周边3km半径范围内一半以上面积属于城市建成区或者规划区时，选择城市，否则选择农村”。根据对本项目厂址周边3km半径范围内的为农村，故本次评价选取农村选项。</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2" w:type="pct"/>
            <w:vMerge w:val="continue"/>
            <w:vAlign w:val="center"/>
          </w:tcPr>
          <w:p>
            <w:pPr>
              <w:spacing w:line="0" w:lineRule="atLeast"/>
              <w:jc w:val="center"/>
              <w:rPr>
                <w:color w:val="auto"/>
                <w:szCs w:val="21"/>
              </w:rPr>
            </w:pPr>
          </w:p>
        </w:tc>
        <w:tc>
          <w:tcPr>
            <w:tcW w:w="886" w:type="pct"/>
            <w:vAlign w:val="center"/>
          </w:tcPr>
          <w:p>
            <w:pPr>
              <w:spacing w:line="0" w:lineRule="atLeast"/>
              <w:jc w:val="center"/>
              <w:rPr>
                <w:color w:val="auto"/>
                <w:szCs w:val="21"/>
              </w:rPr>
            </w:pPr>
            <w:r>
              <w:rPr>
                <w:color w:val="auto"/>
                <w:szCs w:val="21"/>
              </w:rPr>
              <w:t>人口数(城市人口数)</w:t>
            </w:r>
          </w:p>
        </w:tc>
        <w:tc>
          <w:tcPr>
            <w:tcW w:w="795" w:type="pct"/>
            <w:vAlign w:val="center"/>
          </w:tcPr>
          <w:p>
            <w:pPr>
              <w:spacing w:line="0" w:lineRule="atLeast"/>
              <w:jc w:val="center"/>
              <w:rPr>
                <w:color w:val="auto"/>
                <w:szCs w:val="21"/>
              </w:rPr>
            </w:pPr>
            <w:r>
              <w:rPr>
                <w:color w:val="auto"/>
                <w:szCs w:val="21"/>
              </w:rPr>
              <w:t>/</w:t>
            </w:r>
          </w:p>
        </w:tc>
        <w:tc>
          <w:tcPr>
            <w:tcW w:w="2526" w:type="pct"/>
            <w:vAlign w:val="center"/>
          </w:tcPr>
          <w:p>
            <w:pPr>
              <w:spacing w:line="0" w:lineRule="atLeast"/>
              <w:jc w:val="center"/>
              <w:rPr>
                <w:color w:val="auto"/>
                <w:szCs w:val="21"/>
              </w:rPr>
            </w:pPr>
            <w:r>
              <w:rPr>
                <w:rFonts w:hint="eastAsia"/>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678" w:type="pct"/>
            <w:gridSpan w:val="2"/>
            <w:vAlign w:val="center"/>
          </w:tcPr>
          <w:p>
            <w:pPr>
              <w:spacing w:line="0" w:lineRule="atLeast"/>
              <w:jc w:val="center"/>
              <w:rPr>
                <w:color w:val="auto"/>
                <w:szCs w:val="21"/>
              </w:rPr>
            </w:pPr>
            <w:r>
              <w:rPr>
                <w:color w:val="auto"/>
                <w:szCs w:val="21"/>
              </w:rPr>
              <w:t>最高环境温度</w:t>
            </w:r>
          </w:p>
        </w:tc>
        <w:tc>
          <w:tcPr>
            <w:tcW w:w="795" w:type="pct"/>
            <w:vAlign w:val="center"/>
          </w:tcPr>
          <w:p>
            <w:pPr>
              <w:spacing w:line="0" w:lineRule="atLeast"/>
              <w:jc w:val="center"/>
              <w:rPr>
                <w:color w:val="auto"/>
                <w:szCs w:val="21"/>
              </w:rPr>
            </w:pPr>
            <w:r>
              <w:rPr>
                <w:rFonts w:hint="eastAsia"/>
                <w:color w:val="auto"/>
                <w:szCs w:val="21"/>
                <w:lang w:eastAsia="zh-CN"/>
              </w:rPr>
              <w:t>35.4</w:t>
            </w:r>
            <w:r>
              <w:rPr>
                <w:color w:val="auto"/>
                <w:szCs w:val="21"/>
              </w:rPr>
              <w:t>℃</w:t>
            </w:r>
          </w:p>
        </w:tc>
        <w:tc>
          <w:tcPr>
            <w:tcW w:w="2526" w:type="pct"/>
            <w:vMerge w:val="restart"/>
            <w:vAlign w:val="center"/>
          </w:tcPr>
          <w:p>
            <w:pPr>
              <w:spacing w:line="0" w:lineRule="atLeast"/>
              <w:jc w:val="center"/>
              <w:rPr>
                <w:color w:val="auto"/>
                <w:szCs w:val="21"/>
              </w:rPr>
            </w:pPr>
            <w:r>
              <w:rPr>
                <w:color w:val="auto"/>
                <w:szCs w:val="21"/>
              </w:rPr>
              <w:t>最高及最低环境温度取值来源于</w:t>
            </w:r>
            <w:r>
              <w:rPr>
                <w:rFonts w:hint="eastAsia"/>
                <w:color w:val="auto"/>
                <w:szCs w:val="21"/>
                <w:lang w:eastAsia="zh-CN"/>
              </w:rPr>
              <w:t>尚志市</w:t>
            </w:r>
            <w:r>
              <w:rPr>
                <w:color w:val="auto"/>
                <w:szCs w:val="21"/>
              </w:rPr>
              <w:t>二十年气象数据统计结果</w:t>
            </w:r>
            <w:r>
              <w:rPr>
                <w:rFonts w:hint="eastAsia"/>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678" w:type="pct"/>
            <w:gridSpan w:val="2"/>
            <w:vAlign w:val="center"/>
          </w:tcPr>
          <w:p>
            <w:pPr>
              <w:spacing w:line="0" w:lineRule="atLeast"/>
              <w:jc w:val="center"/>
              <w:rPr>
                <w:color w:val="auto"/>
                <w:szCs w:val="21"/>
              </w:rPr>
            </w:pPr>
            <w:r>
              <w:rPr>
                <w:color w:val="auto"/>
                <w:szCs w:val="21"/>
              </w:rPr>
              <w:t>最低环境温度</w:t>
            </w:r>
          </w:p>
        </w:tc>
        <w:tc>
          <w:tcPr>
            <w:tcW w:w="795" w:type="pct"/>
            <w:vAlign w:val="center"/>
          </w:tcPr>
          <w:p>
            <w:pPr>
              <w:spacing w:line="0" w:lineRule="atLeast"/>
              <w:jc w:val="center"/>
              <w:rPr>
                <w:color w:val="auto"/>
                <w:szCs w:val="21"/>
              </w:rPr>
            </w:pPr>
            <w:r>
              <w:rPr>
                <w:color w:val="auto"/>
                <w:szCs w:val="21"/>
              </w:rPr>
              <w:t>-38.1℃</w:t>
            </w:r>
          </w:p>
        </w:tc>
        <w:tc>
          <w:tcPr>
            <w:tcW w:w="2526" w:type="pct"/>
            <w:vMerge w:val="continue"/>
            <w:vAlign w:val="center"/>
          </w:tcPr>
          <w:p>
            <w:pPr>
              <w:spacing w:line="0" w:lineRule="atLeast"/>
              <w:jc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678" w:type="pct"/>
            <w:gridSpan w:val="2"/>
            <w:vAlign w:val="center"/>
          </w:tcPr>
          <w:p>
            <w:pPr>
              <w:spacing w:line="0" w:lineRule="atLeast"/>
              <w:jc w:val="center"/>
              <w:rPr>
                <w:color w:val="auto"/>
                <w:szCs w:val="21"/>
              </w:rPr>
            </w:pPr>
            <w:r>
              <w:rPr>
                <w:color w:val="auto"/>
                <w:szCs w:val="21"/>
              </w:rPr>
              <w:t>土地利用类型</w:t>
            </w:r>
          </w:p>
        </w:tc>
        <w:tc>
          <w:tcPr>
            <w:tcW w:w="795" w:type="pct"/>
            <w:vAlign w:val="center"/>
          </w:tcPr>
          <w:p>
            <w:pPr>
              <w:spacing w:line="0" w:lineRule="atLeast"/>
              <w:jc w:val="center"/>
              <w:rPr>
                <w:color w:val="auto"/>
                <w:szCs w:val="21"/>
              </w:rPr>
            </w:pPr>
            <w:r>
              <w:rPr>
                <w:color w:val="auto"/>
                <w:szCs w:val="21"/>
              </w:rPr>
              <w:t>农作地</w:t>
            </w:r>
          </w:p>
        </w:tc>
        <w:tc>
          <w:tcPr>
            <w:tcW w:w="2526" w:type="pct"/>
            <w:vAlign w:val="center"/>
          </w:tcPr>
          <w:p>
            <w:pPr>
              <w:spacing w:line="0" w:lineRule="atLeast"/>
              <w:jc w:val="center"/>
              <w:rPr>
                <w:color w:val="auto"/>
                <w:szCs w:val="21"/>
              </w:rPr>
            </w:pPr>
            <w:r>
              <w:rPr>
                <w:color w:val="auto"/>
                <w:szCs w:val="21"/>
              </w:rPr>
              <w:t>厂址周边3km半径范围内占地面积最大的土地利用类型为农作地，故本次评价选取农作地。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678" w:type="pct"/>
            <w:gridSpan w:val="2"/>
            <w:vAlign w:val="center"/>
          </w:tcPr>
          <w:p>
            <w:pPr>
              <w:spacing w:line="0" w:lineRule="atLeast"/>
              <w:jc w:val="center"/>
              <w:rPr>
                <w:color w:val="auto"/>
                <w:szCs w:val="21"/>
              </w:rPr>
            </w:pPr>
            <w:r>
              <w:rPr>
                <w:color w:val="auto"/>
                <w:szCs w:val="21"/>
              </w:rPr>
              <w:t>区域湿度条件</w:t>
            </w:r>
          </w:p>
        </w:tc>
        <w:tc>
          <w:tcPr>
            <w:tcW w:w="795" w:type="pct"/>
            <w:vAlign w:val="center"/>
          </w:tcPr>
          <w:p>
            <w:pPr>
              <w:spacing w:line="0" w:lineRule="atLeast"/>
              <w:jc w:val="center"/>
              <w:rPr>
                <w:color w:val="auto"/>
                <w:szCs w:val="21"/>
              </w:rPr>
            </w:pPr>
            <w:r>
              <w:rPr>
                <w:color w:val="auto"/>
                <w:szCs w:val="21"/>
              </w:rPr>
              <w:t>中等湿度</w:t>
            </w:r>
          </w:p>
        </w:tc>
        <w:tc>
          <w:tcPr>
            <w:tcW w:w="2526" w:type="pct"/>
            <w:vAlign w:val="center"/>
          </w:tcPr>
          <w:p>
            <w:pPr>
              <w:spacing w:line="0" w:lineRule="atLeast"/>
              <w:jc w:val="center"/>
              <w:rPr>
                <w:color w:val="auto"/>
                <w:szCs w:val="21"/>
              </w:rPr>
            </w:pPr>
            <w:r>
              <w:rPr>
                <w:color w:val="auto"/>
                <w:szCs w:val="21"/>
              </w:rPr>
              <w:t>根据中国干湿地区划分图判断，本项目属于中等湿度气候。</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2" w:type="pct"/>
            <w:vMerge w:val="restart"/>
            <w:vAlign w:val="center"/>
          </w:tcPr>
          <w:p>
            <w:pPr>
              <w:spacing w:line="0" w:lineRule="atLeast"/>
              <w:jc w:val="center"/>
              <w:rPr>
                <w:color w:val="auto"/>
                <w:szCs w:val="21"/>
              </w:rPr>
            </w:pPr>
            <w:r>
              <w:rPr>
                <w:color w:val="auto"/>
                <w:szCs w:val="21"/>
              </w:rPr>
              <w:t>是否考虑地形</w:t>
            </w:r>
          </w:p>
        </w:tc>
        <w:tc>
          <w:tcPr>
            <w:tcW w:w="886" w:type="pct"/>
            <w:vAlign w:val="center"/>
          </w:tcPr>
          <w:p>
            <w:pPr>
              <w:spacing w:line="0" w:lineRule="atLeast"/>
              <w:jc w:val="center"/>
              <w:rPr>
                <w:color w:val="auto"/>
                <w:szCs w:val="21"/>
              </w:rPr>
            </w:pPr>
            <w:r>
              <w:rPr>
                <w:color w:val="auto"/>
                <w:szCs w:val="21"/>
              </w:rPr>
              <w:t>考虑地形</w:t>
            </w:r>
          </w:p>
        </w:tc>
        <w:tc>
          <w:tcPr>
            <w:tcW w:w="795" w:type="pct"/>
            <w:vAlign w:val="center"/>
          </w:tcPr>
          <w:p>
            <w:pPr>
              <w:spacing w:line="0" w:lineRule="atLeast"/>
              <w:jc w:val="center"/>
              <w:rPr>
                <w:color w:val="auto"/>
                <w:szCs w:val="21"/>
              </w:rPr>
            </w:pPr>
            <w:r>
              <w:rPr>
                <w:color w:val="auto"/>
                <w:szCs w:val="21"/>
              </w:rPr>
              <w:t>是</w:t>
            </w:r>
          </w:p>
        </w:tc>
        <w:tc>
          <w:tcPr>
            <w:tcW w:w="2526" w:type="pct"/>
            <w:vAlign w:val="center"/>
          </w:tcPr>
          <w:p>
            <w:pPr>
              <w:spacing w:line="0" w:lineRule="atLeast"/>
              <w:jc w:val="center"/>
              <w:rPr>
                <w:color w:val="auto"/>
                <w:szCs w:val="21"/>
              </w:rPr>
            </w:pPr>
            <w:r>
              <w:rPr>
                <w:color w:val="auto"/>
                <w:szCs w:val="21"/>
              </w:rPr>
              <w:t>根据《环境影响评价技术导则 大气环境》（HJ 2.2-2018）中5.3.2.2：“编制环境影响报告书的项目在采用估算模型计算评价等级时，应输入地形参数”。故本次评价考虑地形。</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2" w:type="pct"/>
            <w:vMerge w:val="continue"/>
            <w:vAlign w:val="center"/>
          </w:tcPr>
          <w:p>
            <w:pPr>
              <w:spacing w:line="0" w:lineRule="atLeast"/>
              <w:jc w:val="center"/>
              <w:rPr>
                <w:color w:val="auto"/>
                <w:szCs w:val="21"/>
              </w:rPr>
            </w:pPr>
          </w:p>
        </w:tc>
        <w:tc>
          <w:tcPr>
            <w:tcW w:w="886" w:type="pct"/>
            <w:vAlign w:val="center"/>
          </w:tcPr>
          <w:p>
            <w:pPr>
              <w:spacing w:line="0" w:lineRule="atLeast"/>
              <w:jc w:val="center"/>
              <w:rPr>
                <w:color w:val="auto"/>
                <w:szCs w:val="21"/>
              </w:rPr>
            </w:pPr>
            <w:r>
              <w:rPr>
                <w:color w:val="auto"/>
                <w:szCs w:val="21"/>
              </w:rPr>
              <w:t>地形数据分辨率(m)</w:t>
            </w:r>
          </w:p>
        </w:tc>
        <w:tc>
          <w:tcPr>
            <w:tcW w:w="795" w:type="pct"/>
            <w:vAlign w:val="center"/>
          </w:tcPr>
          <w:p>
            <w:pPr>
              <w:spacing w:line="0" w:lineRule="atLeast"/>
              <w:jc w:val="center"/>
              <w:rPr>
                <w:color w:val="auto"/>
                <w:szCs w:val="21"/>
              </w:rPr>
            </w:pPr>
            <w:r>
              <w:rPr>
                <w:color w:val="auto"/>
                <w:szCs w:val="21"/>
              </w:rPr>
              <w:t>90</w:t>
            </w:r>
          </w:p>
        </w:tc>
        <w:tc>
          <w:tcPr>
            <w:tcW w:w="2526" w:type="pct"/>
            <w:vAlign w:val="center"/>
          </w:tcPr>
          <w:p>
            <w:pPr>
              <w:spacing w:line="0" w:lineRule="atLeast"/>
              <w:jc w:val="center"/>
              <w:rPr>
                <w:color w:val="auto"/>
                <w:szCs w:val="21"/>
              </w:rPr>
            </w:pPr>
            <w:r>
              <w:rPr>
                <w:color w:val="auto"/>
                <w:szCs w:val="21"/>
              </w:rPr>
              <w:t>根据EIA2018大气预测软件的DEM地形文件，地形数据分辨率90m。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2" w:type="pct"/>
            <w:vMerge w:val="restart"/>
            <w:vAlign w:val="center"/>
          </w:tcPr>
          <w:p>
            <w:pPr>
              <w:spacing w:line="0" w:lineRule="atLeast"/>
              <w:jc w:val="center"/>
              <w:rPr>
                <w:color w:val="auto"/>
                <w:szCs w:val="21"/>
              </w:rPr>
            </w:pPr>
            <w:r>
              <w:rPr>
                <w:color w:val="auto"/>
                <w:szCs w:val="21"/>
              </w:rPr>
              <w:t>是否考虑海岸线熏烟</w:t>
            </w:r>
          </w:p>
        </w:tc>
        <w:tc>
          <w:tcPr>
            <w:tcW w:w="886" w:type="pct"/>
            <w:vAlign w:val="center"/>
          </w:tcPr>
          <w:p>
            <w:pPr>
              <w:spacing w:line="0" w:lineRule="atLeast"/>
              <w:jc w:val="center"/>
              <w:rPr>
                <w:color w:val="auto"/>
                <w:szCs w:val="21"/>
              </w:rPr>
            </w:pPr>
            <w:r>
              <w:rPr>
                <w:color w:val="auto"/>
                <w:szCs w:val="21"/>
              </w:rPr>
              <w:t>考虑海岸线熏烟</w:t>
            </w:r>
          </w:p>
        </w:tc>
        <w:tc>
          <w:tcPr>
            <w:tcW w:w="795" w:type="pct"/>
            <w:vAlign w:val="center"/>
          </w:tcPr>
          <w:p>
            <w:pPr>
              <w:spacing w:line="0" w:lineRule="atLeast"/>
              <w:jc w:val="center"/>
              <w:rPr>
                <w:color w:val="auto"/>
                <w:szCs w:val="21"/>
              </w:rPr>
            </w:pPr>
            <w:r>
              <w:rPr>
                <w:color w:val="auto"/>
                <w:szCs w:val="21"/>
              </w:rPr>
              <w:t>否</w:t>
            </w:r>
          </w:p>
        </w:tc>
        <w:tc>
          <w:tcPr>
            <w:tcW w:w="2526" w:type="pct"/>
            <w:vAlign w:val="center"/>
          </w:tcPr>
          <w:p>
            <w:pPr>
              <w:spacing w:line="0" w:lineRule="atLeast"/>
              <w:jc w:val="center"/>
              <w:rPr>
                <w:color w:val="auto"/>
                <w:szCs w:val="21"/>
              </w:rPr>
            </w:pPr>
            <w:r>
              <w:rPr>
                <w:color w:val="auto"/>
                <w:szCs w:val="21"/>
              </w:rPr>
              <w:t>根据《环境影响评价技术导则 大气环境》（HJ 2.2-2018）附录B中B6.2岸边熏烟选项：“对估算模型AERSCREEN,当污染源附近3km范围内有大型水体时，需选择岸边熏烟选项”。本项目附近3km范围内无大型水体时，故不考虑岸边熏烟。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2" w:type="pct"/>
            <w:vMerge w:val="continue"/>
            <w:vAlign w:val="center"/>
          </w:tcPr>
          <w:p>
            <w:pPr>
              <w:spacing w:line="0" w:lineRule="atLeast"/>
              <w:jc w:val="center"/>
              <w:rPr>
                <w:color w:val="auto"/>
                <w:szCs w:val="21"/>
              </w:rPr>
            </w:pPr>
          </w:p>
        </w:tc>
        <w:tc>
          <w:tcPr>
            <w:tcW w:w="886" w:type="pct"/>
            <w:vAlign w:val="center"/>
          </w:tcPr>
          <w:p>
            <w:pPr>
              <w:spacing w:line="0" w:lineRule="atLeast"/>
              <w:jc w:val="center"/>
              <w:rPr>
                <w:color w:val="auto"/>
                <w:szCs w:val="21"/>
              </w:rPr>
            </w:pPr>
            <w:r>
              <w:rPr>
                <w:color w:val="auto"/>
                <w:szCs w:val="21"/>
              </w:rPr>
              <w:t>海岸线距离/km</w:t>
            </w:r>
          </w:p>
        </w:tc>
        <w:tc>
          <w:tcPr>
            <w:tcW w:w="795" w:type="pct"/>
            <w:vAlign w:val="center"/>
          </w:tcPr>
          <w:p>
            <w:pPr>
              <w:spacing w:line="0" w:lineRule="atLeast"/>
              <w:jc w:val="center"/>
              <w:rPr>
                <w:color w:val="auto"/>
                <w:szCs w:val="21"/>
              </w:rPr>
            </w:pPr>
            <w:r>
              <w:rPr>
                <w:color w:val="auto"/>
                <w:szCs w:val="21"/>
              </w:rPr>
              <w:t>/</w:t>
            </w:r>
          </w:p>
        </w:tc>
        <w:tc>
          <w:tcPr>
            <w:tcW w:w="2526" w:type="pct"/>
            <w:vAlign w:val="center"/>
          </w:tcPr>
          <w:p>
            <w:pPr>
              <w:spacing w:line="0" w:lineRule="atLeast"/>
              <w:jc w:val="center"/>
              <w:rPr>
                <w:color w:val="auto"/>
                <w:szCs w:val="21"/>
              </w:rPr>
            </w:pPr>
            <w:r>
              <w:rPr>
                <w:rFonts w:hint="eastAsia"/>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2" w:type="pct"/>
            <w:vMerge w:val="continue"/>
            <w:vAlign w:val="center"/>
          </w:tcPr>
          <w:p>
            <w:pPr>
              <w:spacing w:line="0" w:lineRule="atLeast"/>
              <w:jc w:val="center"/>
              <w:rPr>
                <w:color w:val="auto"/>
                <w:szCs w:val="21"/>
              </w:rPr>
            </w:pPr>
          </w:p>
        </w:tc>
        <w:tc>
          <w:tcPr>
            <w:tcW w:w="886" w:type="pct"/>
            <w:vAlign w:val="center"/>
          </w:tcPr>
          <w:p>
            <w:pPr>
              <w:spacing w:line="0" w:lineRule="atLeast"/>
              <w:jc w:val="center"/>
              <w:rPr>
                <w:color w:val="auto"/>
                <w:szCs w:val="21"/>
              </w:rPr>
            </w:pPr>
            <w:r>
              <w:rPr>
                <w:color w:val="auto"/>
                <w:szCs w:val="21"/>
              </w:rPr>
              <w:t>海岸线方向/</w:t>
            </w:r>
            <w:r>
              <w:rPr>
                <w:color w:val="auto"/>
                <w:szCs w:val="21"/>
                <w:vertAlign w:val="superscript"/>
              </w:rPr>
              <w:t>o</w:t>
            </w:r>
          </w:p>
        </w:tc>
        <w:tc>
          <w:tcPr>
            <w:tcW w:w="795" w:type="pct"/>
            <w:vAlign w:val="center"/>
          </w:tcPr>
          <w:p>
            <w:pPr>
              <w:spacing w:line="0" w:lineRule="atLeast"/>
              <w:jc w:val="center"/>
              <w:rPr>
                <w:color w:val="auto"/>
                <w:szCs w:val="21"/>
              </w:rPr>
            </w:pPr>
            <w:r>
              <w:rPr>
                <w:color w:val="auto"/>
                <w:szCs w:val="21"/>
              </w:rPr>
              <w:t>/</w:t>
            </w:r>
          </w:p>
        </w:tc>
        <w:tc>
          <w:tcPr>
            <w:tcW w:w="2526" w:type="pct"/>
            <w:vAlign w:val="center"/>
          </w:tcPr>
          <w:p>
            <w:pPr>
              <w:spacing w:line="0" w:lineRule="atLeast"/>
              <w:jc w:val="center"/>
              <w:rPr>
                <w:color w:val="auto"/>
                <w:szCs w:val="21"/>
              </w:rPr>
            </w:pPr>
            <w:r>
              <w:rPr>
                <w:rFonts w:hint="eastAsia"/>
                <w:color w:val="auto"/>
                <w:szCs w:val="21"/>
              </w:rPr>
              <w:t>/</w:t>
            </w:r>
          </w:p>
        </w:tc>
      </w:tr>
    </w:tbl>
    <w:p>
      <w:pPr>
        <w:spacing w:line="360" w:lineRule="auto"/>
        <w:contextualSpacing/>
        <w:jc w:val="center"/>
        <w:rPr>
          <w:b/>
          <w:color w:val="auto"/>
          <w:sz w:val="24"/>
        </w:rPr>
      </w:pPr>
      <w:r>
        <w:rPr>
          <w:b/>
          <w:color w:val="auto"/>
          <w:sz w:val="24"/>
        </w:rPr>
        <w:t>表2-4-5</w:t>
      </w:r>
      <w:r>
        <w:rPr>
          <w:rFonts w:hint="eastAsia"/>
          <w:b/>
          <w:color w:val="auto"/>
          <w:sz w:val="24"/>
        </w:rPr>
        <w:t xml:space="preserve"> </w:t>
      </w:r>
      <w:r>
        <w:rPr>
          <w:b/>
          <w:color w:val="auto"/>
          <w:sz w:val="24"/>
        </w:rPr>
        <w:t>P</w:t>
      </w:r>
      <w:r>
        <w:rPr>
          <w:b/>
          <w:color w:val="auto"/>
          <w:sz w:val="24"/>
          <w:vertAlign w:val="subscript"/>
        </w:rPr>
        <w:t>max</w:t>
      </w:r>
      <w:r>
        <w:rPr>
          <w:b/>
          <w:color w:val="auto"/>
          <w:sz w:val="24"/>
        </w:rPr>
        <w:t>和D</w:t>
      </w:r>
      <w:r>
        <w:rPr>
          <w:b/>
          <w:color w:val="auto"/>
          <w:sz w:val="24"/>
          <w:vertAlign w:val="subscript"/>
        </w:rPr>
        <w:t>10%</w:t>
      </w:r>
      <w:r>
        <w:rPr>
          <w:b/>
          <w:color w:val="auto"/>
          <w:sz w:val="24"/>
        </w:rPr>
        <w:t>预测和计算结果一览表</w:t>
      </w:r>
    </w:p>
    <w:tbl>
      <w:tblPr>
        <w:tblStyle w:val="46"/>
        <w:tblW w:w="4994"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889"/>
        <w:gridCol w:w="1782"/>
        <w:gridCol w:w="1193"/>
        <w:gridCol w:w="1290"/>
        <w:gridCol w:w="1256"/>
        <w:gridCol w:w="1107"/>
        <w:gridCol w:w="99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0" w:hRule="atLeast"/>
          <w:jc w:val="center"/>
        </w:trPr>
        <w:tc>
          <w:tcPr>
            <w:tcW w:w="522" w:type="pct"/>
            <w:vAlign w:val="center"/>
          </w:tcPr>
          <w:p>
            <w:pPr>
              <w:spacing w:line="0" w:lineRule="atLeast"/>
              <w:jc w:val="center"/>
              <w:rPr>
                <w:rFonts w:eastAsiaTheme="minorEastAsia"/>
                <w:color w:val="auto"/>
                <w:szCs w:val="21"/>
              </w:rPr>
            </w:pPr>
            <w:r>
              <w:rPr>
                <w:rFonts w:hAnsiTheme="minorEastAsia" w:eastAsiaTheme="minorEastAsia"/>
                <w:color w:val="auto"/>
                <w:szCs w:val="21"/>
              </w:rPr>
              <w:t>排放</w:t>
            </w:r>
          </w:p>
          <w:p>
            <w:pPr>
              <w:spacing w:line="0" w:lineRule="atLeast"/>
              <w:jc w:val="center"/>
              <w:rPr>
                <w:rFonts w:eastAsiaTheme="minorEastAsia"/>
                <w:color w:val="auto"/>
                <w:szCs w:val="21"/>
              </w:rPr>
            </w:pPr>
            <w:r>
              <w:rPr>
                <w:rFonts w:hAnsiTheme="minorEastAsia" w:eastAsiaTheme="minorEastAsia"/>
                <w:color w:val="auto"/>
                <w:szCs w:val="21"/>
              </w:rPr>
              <w:t>方式</w:t>
            </w:r>
          </w:p>
        </w:tc>
        <w:tc>
          <w:tcPr>
            <w:tcW w:w="1046" w:type="pct"/>
            <w:vAlign w:val="center"/>
          </w:tcPr>
          <w:p>
            <w:pPr>
              <w:spacing w:line="0" w:lineRule="atLeast"/>
              <w:jc w:val="center"/>
              <w:rPr>
                <w:rFonts w:eastAsiaTheme="minorEastAsia"/>
                <w:color w:val="auto"/>
                <w:szCs w:val="21"/>
              </w:rPr>
            </w:pPr>
            <w:r>
              <w:rPr>
                <w:rFonts w:hAnsiTheme="minorEastAsia" w:eastAsiaTheme="minorEastAsia"/>
                <w:color w:val="auto"/>
                <w:szCs w:val="21"/>
              </w:rPr>
              <w:t>污染源名称</w:t>
            </w:r>
          </w:p>
        </w:tc>
        <w:tc>
          <w:tcPr>
            <w:tcW w:w="700" w:type="pct"/>
            <w:vAlign w:val="center"/>
          </w:tcPr>
          <w:p>
            <w:pPr>
              <w:spacing w:line="0" w:lineRule="atLeast"/>
              <w:jc w:val="center"/>
              <w:rPr>
                <w:rFonts w:eastAsiaTheme="minorEastAsia"/>
                <w:color w:val="auto"/>
                <w:szCs w:val="21"/>
              </w:rPr>
            </w:pPr>
            <w:r>
              <w:rPr>
                <w:rFonts w:hAnsiTheme="minorEastAsia" w:eastAsiaTheme="minorEastAsia"/>
                <w:color w:val="auto"/>
                <w:szCs w:val="21"/>
              </w:rPr>
              <w:t>评价因子</w:t>
            </w:r>
          </w:p>
        </w:tc>
        <w:tc>
          <w:tcPr>
            <w:tcW w:w="757" w:type="pct"/>
            <w:vAlign w:val="center"/>
          </w:tcPr>
          <w:p>
            <w:pPr>
              <w:spacing w:line="0" w:lineRule="atLeast"/>
              <w:jc w:val="center"/>
              <w:rPr>
                <w:rFonts w:eastAsiaTheme="minorEastAsia"/>
                <w:color w:val="auto"/>
                <w:szCs w:val="21"/>
              </w:rPr>
            </w:pPr>
            <w:r>
              <w:rPr>
                <w:rFonts w:hAnsiTheme="minorEastAsia" w:eastAsiaTheme="minorEastAsia"/>
                <w:color w:val="auto"/>
                <w:szCs w:val="21"/>
              </w:rPr>
              <w:t>评价标准</w:t>
            </w:r>
            <w:r>
              <w:rPr>
                <w:rFonts w:eastAsiaTheme="minorEastAsia"/>
                <w:color w:val="auto"/>
                <w:szCs w:val="21"/>
              </w:rPr>
              <w:t>(μg/m</w:t>
            </w:r>
            <w:r>
              <w:rPr>
                <w:rFonts w:eastAsiaTheme="minorEastAsia"/>
                <w:color w:val="auto"/>
                <w:szCs w:val="21"/>
                <w:vertAlign w:val="superscript"/>
              </w:rPr>
              <w:t>3</w:t>
            </w:r>
            <w:r>
              <w:rPr>
                <w:rFonts w:eastAsiaTheme="minorEastAsia"/>
                <w:color w:val="auto"/>
                <w:szCs w:val="21"/>
              </w:rPr>
              <w:t>)</w:t>
            </w:r>
          </w:p>
        </w:tc>
        <w:tc>
          <w:tcPr>
            <w:tcW w:w="737" w:type="pct"/>
            <w:vAlign w:val="center"/>
          </w:tcPr>
          <w:p>
            <w:pPr>
              <w:spacing w:line="0" w:lineRule="atLeast"/>
              <w:jc w:val="center"/>
              <w:rPr>
                <w:rFonts w:eastAsiaTheme="minorEastAsia"/>
                <w:color w:val="auto"/>
                <w:szCs w:val="21"/>
              </w:rPr>
            </w:pPr>
            <w:r>
              <w:rPr>
                <w:rFonts w:eastAsiaTheme="minorEastAsia"/>
                <w:color w:val="auto"/>
                <w:szCs w:val="21"/>
              </w:rPr>
              <w:t>C</w:t>
            </w:r>
            <w:r>
              <w:rPr>
                <w:rFonts w:eastAsiaTheme="minorEastAsia"/>
                <w:color w:val="auto"/>
                <w:szCs w:val="21"/>
                <w:vertAlign w:val="subscript"/>
              </w:rPr>
              <w:t>max</w:t>
            </w:r>
            <w:r>
              <w:rPr>
                <w:rFonts w:eastAsiaTheme="minorEastAsia"/>
                <w:color w:val="auto"/>
                <w:szCs w:val="21"/>
              </w:rPr>
              <w:t>(μg/m</w:t>
            </w:r>
            <w:r>
              <w:rPr>
                <w:rFonts w:eastAsiaTheme="minorEastAsia"/>
                <w:color w:val="auto"/>
                <w:szCs w:val="21"/>
                <w:vertAlign w:val="superscript"/>
              </w:rPr>
              <w:t>3</w:t>
            </w:r>
            <w:r>
              <w:rPr>
                <w:rFonts w:eastAsiaTheme="minorEastAsia"/>
                <w:color w:val="auto"/>
                <w:szCs w:val="21"/>
              </w:rPr>
              <w:t>)</w:t>
            </w:r>
          </w:p>
        </w:tc>
        <w:tc>
          <w:tcPr>
            <w:tcW w:w="650" w:type="pct"/>
            <w:vAlign w:val="center"/>
          </w:tcPr>
          <w:p>
            <w:pPr>
              <w:spacing w:line="0" w:lineRule="atLeast"/>
              <w:jc w:val="center"/>
              <w:rPr>
                <w:rFonts w:eastAsiaTheme="minorEastAsia"/>
                <w:color w:val="auto"/>
                <w:szCs w:val="21"/>
              </w:rPr>
            </w:pPr>
            <w:r>
              <w:rPr>
                <w:rFonts w:eastAsiaTheme="minorEastAsia"/>
                <w:color w:val="auto"/>
                <w:szCs w:val="21"/>
              </w:rPr>
              <w:t>P</w:t>
            </w:r>
            <w:r>
              <w:rPr>
                <w:rFonts w:eastAsiaTheme="minorEastAsia"/>
                <w:color w:val="auto"/>
                <w:szCs w:val="21"/>
                <w:vertAlign w:val="subscript"/>
              </w:rPr>
              <w:t>max</w:t>
            </w:r>
            <w:r>
              <w:rPr>
                <w:rFonts w:eastAsiaTheme="minorEastAsia"/>
                <w:color w:val="auto"/>
                <w:szCs w:val="21"/>
              </w:rPr>
              <w:t>(%)</w:t>
            </w:r>
          </w:p>
        </w:tc>
        <w:tc>
          <w:tcPr>
            <w:tcW w:w="584" w:type="pct"/>
            <w:vAlign w:val="center"/>
          </w:tcPr>
          <w:p>
            <w:pPr>
              <w:spacing w:line="0" w:lineRule="atLeast"/>
              <w:jc w:val="center"/>
              <w:rPr>
                <w:rFonts w:eastAsiaTheme="minorEastAsia"/>
                <w:color w:val="auto"/>
                <w:szCs w:val="21"/>
              </w:rPr>
            </w:pPr>
            <w:r>
              <w:rPr>
                <w:rFonts w:eastAsiaTheme="minorEastAsia"/>
                <w:color w:val="auto"/>
                <w:szCs w:val="21"/>
              </w:rPr>
              <w:t>D</w:t>
            </w:r>
            <w:r>
              <w:rPr>
                <w:rFonts w:eastAsiaTheme="minorEastAsia"/>
                <w:color w:val="auto"/>
                <w:szCs w:val="21"/>
                <w:vertAlign w:val="subscript"/>
              </w:rPr>
              <w:t>10%</w:t>
            </w:r>
            <w:r>
              <w:rPr>
                <w:rFonts w:eastAsiaTheme="minorEastAsia"/>
                <w:color w:val="auto"/>
                <w:szCs w:val="21"/>
              </w:rPr>
              <w:t>(m)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522" w:type="pct"/>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有组织</w:t>
            </w:r>
          </w:p>
        </w:tc>
        <w:tc>
          <w:tcPr>
            <w:tcW w:w="1046" w:type="pct"/>
            <w:vMerge w:val="restart"/>
            <w:vAlign w:val="center"/>
          </w:tcPr>
          <w:p>
            <w:pPr>
              <w:spacing w:line="0" w:lineRule="atLeast"/>
              <w:jc w:val="center"/>
              <w:rPr>
                <w:rFonts w:eastAsiaTheme="minorEastAsia"/>
                <w:color w:val="auto"/>
                <w:szCs w:val="21"/>
              </w:rPr>
            </w:pPr>
            <w:r>
              <w:rPr>
                <w:rFonts w:hint="eastAsia" w:hAnsiTheme="minorEastAsia" w:eastAsiaTheme="minorEastAsia"/>
                <w:bCs/>
                <w:color w:val="auto"/>
                <w:szCs w:val="21"/>
              </w:rPr>
              <w:t>屠宰</w:t>
            </w:r>
            <w:r>
              <w:rPr>
                <w:rFonts w:hAnsiTheme="minorEastAsia" w:eastAsiaTheme="minorEastAsia"/>
                <w:bCs/>
                <w:color w:val="auto"/>
                <w:szCs w:val="21"/>
              </w:rPr>
              <w:t>车间排气筒</w:t>
            </w:r>
          </w:p>
        </w:tc>
        <w:tc>
          <w:tcPr>
            <w:tcW w:w="700" w:type="pct"/>
            <w:vAlign w:val="center"/>
          </w:tcPr>
          <w:p>
            <w:pPr>
              <w:spacing w:line="0" w:lineRule="atLeast"/>
              <w:jc w:val="center"/>
              <w:rPr>
                <w:rFonts w:eastAsiaTheme="minorEastAsia"/>
                <w:color w:val="auto"/>
                <w:szCs w:val="21"/>
              </w:rPr>
            </w:pPr>
            <w:r>
              <w:rPr>
                <w:rFonts w:eastAsiaTheme="minorEastAsia"/>
                <w:color w:val="auto"/>
                <w:szCs w:val="21"/>
              </w:rPr>
              <w:t>NH</w:t>
            </w:r>
            <w:r>
              <w:rPr>
                <w:rFonts w:eastAsiaTheme="minorEastAsia"/>
                <w:color w:val="auto"/>
                <w:szCs w:val="21"/>
                <w:vertAlign w:val="subscript"/>
              </w:rPr>
              <w:t>3</w:t>
            </w:r>
          </w:p>
        </w:tc>
        <w:tc>
          <w:tcPr>
            <w:tcW w:w="757" w:type="pct"/>
            <w:vAlign w:val="center"/>
          </w:tcPr>
          <w:p>
            <w:pPr>
              <w:spacing w:line="0" w:lineRule="atLeast"/>
              <w:jc w:val="center"/>
              <w:rPr>
                <w:rFonts w:eastAsiaTheme="minorEastAsia"/>
                <w:color w:val="auto"/>
                <w:szCs w:val="21"/>
              </w:rPr>
            </w:pPr>
            <w:r>
              <w:rPr>
                <w:rFonts w:eastAsiaTheme="minorEastAsia"/>
                <w:color w:val="auto"/>
                <w:szCs w:val="21"/>
              </w:rPr>
              <w:t>200.0</w:t>
            </w:r>
          </w:p>
        </w:tc>
        <w:tc>
          <w:tcPr>
            <w:tcW w:w="737" w:type="pct"/>
            <w:vAlign w:val="center"/>
          </w:tcPr>
          <w:p>
            <w:pPr>
              <w:spacing w:line="0" w:lineRule="atLeast"/>
              <w:jc w:val="center"/>
              <w:rPr>
                <w:rFonts w:eastAsiaTheme="minorEastAsia"/>
                <w:color w:val="auto"/>
                <w:szCs w:val="21"/>
              </w:rPr>
            </w:pPr>
            <w:r>
              <w:rPr>
                <w:rFonts w:hint="eastAsia" w:eastAsiaTheme="minorEastAsia"/>
                <w:color w:val="auto"/>
                <w:szCs w:val="21"/>
              </w:rPr>
              <w:t>8.59E-03</w:t>
            </w:r>
          </w:p>
        </w:tc>
        <w:tc>
          <w:tcPr>
            <w:tcW w:w="650" w:type="pct"/>
            <w:vAlign w:val="center"/>
          </w:tcPr>
          <w:p>
            <w:pPr>
              <w:spacing w:line="0" w:lineRule="atLeast"/>
              <w:jc w:val="center"/>
              <w:rPr>
                <w:rFonts w:eastAsiaTheme="minorEastAsia"/>
                <w:color w:val="auto"/>
                <w:szCs w:val="21"/>
              </w:rPr>
            </w:pPr>
            <w:r>
              <w:rPr>
                <w:rFonts w:hint="eastAsia" w:eastAsiaTheme="minorEastAsia"/>
                <w:color w:val="auto"/>
                <w:szCs w:val="21"/>
              </w:rPr>
              <w:t>4.29</w:t>
            </w:r>
          </w:p>
        </w:tc>
        <w:tc>
          <w:tcPr>
            <w:tcW w:w="584" w:type="pct"/>
            <w:vAlign w:val="center"/>
          </w:tcPr>
          <w:p>
            <w:pPr>
              <w:spacing w:line="0" w:lineRule="atLeast"/>
              <w:jc w:val="center"/>
              <w:rPr>
                <w:rFonts w:eastAsiaTheme="minorEastAsia"/>
                <w:color w:val="auto"/>
                <w:szCs w:val="21"/>
              </w:rPr>
            </w:pPr>
            <w:r>
              <w:rPr>
                <w:rFonts w:eastAsiaTheme="minorEastAsia"/>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522" w:type="pct"/>
            <w:vMerge w:val="continue"/>
            <w:vAlign w:val="center"/>
          </w:tcPr>
          <w:p>
            <w:pPr>
              <w:spacing w:line="0" w:lineRule="atLeast"/>
              <w:jc w:val="center"/>
              <w:rPr>
                <w:rFonts w:eastAsiaTheme="minorEastAsia"/>
                <w:color w:val="auto"/>
                <w:szCs w:val="21"/>
              </w:rPr>
            </w:pPr>
          </w:p>
        </w:tc>
        <w:tc>
          <w:tcPr>
            <w:tcW w:w="1046" w:type="pct"/>
            <w:vMerge w:val="continue"/>
            <w:vAlign w:val="center"/>
          </w:tcPr>
          <w:p>
            <w:pPr>
              <w:spacing w:line="0" w:lineRule="atLeast"/>
              <w:jc w:val="center"/>
              <w:rPr>
                <w:rFonts w:eastAsiaTheme="minorEastAsia"/>
                <w:color w:val="auto"/>
                <w:szCs w:val="21"/>
              </w:rPr>
            </w:pPr>
          </w:p>
        </w:tc>
        <w:tc>
          <w:tcPr>
            <w:tcW w:w="700" w:type="pct"/>
            <w:vAlign w:val="center"/>
          </w:tcPr>
          <w:p>
            <w:pPr>
              <w:spacing w:line="0" w:lineRule="atLeast"/>
              <w:jc w:val="center"/>
              <w:rPr>
                <w:rFonts w:eastAsiaTheme="minorEastAsia"/>
                <w:color w:val="auto"/>
                <w:szCs w:val="21"/>
              </w:rPr>
            </w:pPr>
            <w:r>
              <w:rPr>
                <w:rFonts w:eastAsiaTheme="minorEastAsia"/>
                <w:color w:val="auto"/>
                <w:szCs w:val="21"/>
              </w:rPr>
              <w:t>H</w:t>
            </w:r>
            <w:r>
              <w:rPr>
                <w:rFonts w:eastAsiaTheme="minorEastAsia"/>
                <w:color w:val="auto"/>
                <w:szCs w:val="21"/>
                <w:vertAlign w:val="subscript"/>
              </w:rPr>
              <w:t>2</w:t>
            </w:r>
            <w:r>
              <w:rPr>
                <w:rFonts w:eastAsiaTheme="minorEastAsia"/>
                <w:color w:val="auto"/>
                <w:szCs w:val="21"/>
              </w:rPr>
              <w:t>S</w:t>
            </w:r>
          </w:p>
        </w:tc>
        <w:tc>
          <w:tcPr>
            <w:tcW w:w="757" w:type="pct"/>
            <w:vAlign w:val="center"/>
          </w:tcPr>
          <w:p>
            <w:pPr>
              <w:spacing w:line="0" w:lineRule="atLeast"/>
              <w:jc w:val="center"/>
              <w:rPr>
                <w:rFonts w:eastAsiaTheme="minorEastAsia"/>
                <w:color w:val="auto"/>
                <w:szCs w:val="21"/>
              </w:rPr>
            </w:pPr>
            <w:r>
              <w:rPr>
                <w:rFonts w:eastAsiaTheme="minorEastAsia"/>
                <w:color w:val="auto"/>
                <w:szCs w:val="21"/>
              </w:rPr>
              <w:t>10.0</w:t>
            </w:r>
          </w:p>
        </w:tc>
        <w:tc>
          <w:tcPr>
            <w:tcW w:w="1256"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9.14E-04</w:t>
            </w:r>
          </w:p>
        </w:tc>
        <w:tc>
          <w:tcPr>
            <w:tcW w:w="1107"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9.14</w:t>
            </w:r>
          </w:p>
        </w:tc>
        <w:tc>
          <w:tcPr>
            <w:tcW w:w="584" w:type="pct"/>
            <w:vAlign w:val="center"/>
          </w:tcPr>
          <w:p>
            <w:pPr>
              <w:spacing w:line="0" w:lineRule="atLeast"/>
              <w:jc w:val="center"/>
              <w:rPr>
                <w:rFonts w:eastAsiaTheme="minorEastAsia"/>
                <w:color w:val="auto"/>
                <w:szCs w:val="21"/>
              </w:rPr>
            </w:pPr>
            <w:r>
              <w:rPr>
                <w:rFonts w:eastAsiaTheme="minorEastAsia"/>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522" w:type="pct"/>
            <w:vMerge w:val="continue"/>
            <w:vAlign w:val="center"/>
          </w:tcPr>
          <w:p>
            <w:pPr>
              <w:spacing w:line="0" w:lineRule="atLeast"/>
              <w:jc w:val="center"/>
              <w:rPr>
                <w:rFonts w:eastAsiaTheme="minorEastAsia"/>
                <w:color w:val="auto"/>
                <w:szCs w:val="21"/>
              </w:rPr>
            </w:pPr>
          </w:p>
        </w:tc>
        <w:tc>
          <w:tcPr>
            <w:tcW w:w="1046" w:type="pct"/>
            <w:vMerge w:val="restart"/>
            <w:vAlign w:val="center"/>
          </w:tcPr>
          <w:p>
            <w:pPr>
              <w:spacing w:line="0" w:lineRule="atLeast"/>
              <w:jc w:val="center"/>
              <w:rPr>
                <w:rFonts w:hAnsiTheme="minorEastAsia" w:eastAsiaTheme="minorEastAsia"/>
                <w:bCs/>
                <w:color w:val="auto"/>
                <w:szCs w:val="21"/>
              </w:rPr>
            </w:pPr>
            <w:r>
              <w:rPr>
                <w:rFonts w:hAnsiTheme="minorEastAsia" w:eastAsiaTheme="minorEastAsia"/>
                <w:bCs/>
                <w:color w:val="auto"/>
                <w:szCs w:val="21"/>
              </w:rPr>
              <w:t>污水处理站排气筒</w:t>
            </w:r>
          </w:p>
        </w:tc>
        <w:tc>
          <w:tcPr>
            <w:tcW w:w="700" w:type="pct"/>
            <w:vAlign w:val="center"/>
          </w:tcPr>
          <w:p>
            <w:pPr>
              <w:spacing w:line="0" w:lineRule="atLeast"/>
              <w:jc w:val="center"/>
              <w:rPr>
                <w:rFonts w:eastAsiaTheme="minorEastAsia"/>
                <w:color w:val="auto"/>
                <w:szCs w:val="21"/>
              </w:rPr>
            </w:pPr>
            <w:r>
              <w:rPr>
                <w:rFonts w:eastAsiaTheme="minorEastAsia"/>
                <w:color w:val="auto"/>
                <w:szCs w:val="21"/>
              </w:rPr>
              <w:t>NH</w:t>
            </w:r>
            <w:r>
              <w:rPr>
                <w:rFonts w:eastAsiaTheme="minorEastAsia"/>
                <w:color w:val="auto"/>
                <w:szCs w:val="21"/>
                <w:vertAlign w:val="subscript"/>
              </w:rPr>
              <w:t>3</w:t>
            </w:r>
          </w:p>
        </w:tc>
        <w:tc>
          <w:tcPr>
            <w:tcW w:w="757" w:type="pct"/>
            <w:vAlign w:val="center"/>
          </w:tcPr>
          <w:p>
            <w:pPr>
              <w:spacing w:line="0" w:lineRule="atLeast"/>
              <w:jc w:val="center"/>
              <w:rPr>
                <w:rFonts w:eastAsiaTheme="minorEastAsia"/>
                <w:color w:val="auto"/>
                <w:szCs w:val="21"/>
              </w:rPr>
            </w:pPr>
            <w:r>
              <w:rPr>
                <w:rFonts w:eastAsiaTheme="minorEastAsia"/>
                <w:color w:val="auto"/>
                <w:szCs w:val="21"/>
              </w:rPr>
              <w:t>200.0</w:t>
            </w:r>
          </w:p>
        </w:tc>
        <w:tc>
          <w:tcPr>
            <w:tcW w:w="1256"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3.54E-04</w:t>
            </w:r>
          </w:p>
        </w:tc>
        <w:tc>
          <w:tcPr>
            <w:tcW w:w="1107"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0.18</w:t>
            </w:r>
          </w:p>
        </w:tc>
        <w:tc>
          <w:tcPr>
            <w:tcW w:w="584" w:type="pct"/>
            <w:vAlign w:val="center"/>
          </w:tcPr>
          <w:p>
            <w:pPr>
              <w:spacing w:line="0" w:lineRule="atLeast"/>
              <w:jc w:val="center"/>
              <w:rPr>
                <w:rFonts w:eastAsiaTheme="minorEastAsia"/>
                <w:color w:val="auto"/>
                <w:szCs w:val="21"/>
              </w:rPr>
            </w:pPr>
            <w:r>
              <w:rPr>
                <w:rFonts w:eastAsiaTheme="minorEastAsia"/>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522" w:type="pct"/>
            <w:vMerge w:val="continue"/>
            <w:vAlign w:val="center"/>
          </w:tcPr>
          <w:p>
            <w:pPr>
              <w:spacing w:line="0" w:lineRule="atLeast"/>
              <w:jc w:val="center"/>
              <w:rPr>
                <w:rFonts w:eastAsiaTheme="minorEastAsia"/>
                <w:color w:val="auto"/>
                <w:szCs w:val="21"/>
              </w:rPr>
            </w:pPr>
          </w:p>
        </w:tc>
        <w:tc>
          <w:tcPr>
            <w:tcW w:w="1046" w:type="pct"/>
            <w:vMerge w:val="continue"/>
            <w:vAlign w:val="center"/>
          </w:tcPr>
          <w:p>
            <w:pPr>
              <w:spacing w:line="0" w:lineRule="atLeast"/>
              <w:jc w:val="center"/>
              <w:rPr>
                <w:rFonts w:eastAsiaTheme="minorEastAsia"/>
                <w:color w:val="auto"/>
                <w:szCs w:val="21"/>
              </w:rPr>
            </w:pPr>
          </w:p>
        </w:tc>
        <w:tc>
          <w:tcPr>
            <w:tcW w:w="700" w:type="pct"/>
            <w:vAlign w:val="center"/>
          </w:tcPr>
          <w:p>
            <w:pPr>
              <w:spacing w:line="0" w:lineRule="atLeast"/>
              <w:jc w:val="center"/>
              <w:rPr>
                <w:rFonts w:eastAsiaTheme="minorEastAsia"/>
                <w:color w:val="auto"/>
                <w:szCs w:val="21"/>
              </w:rPr>
            </w:pPr>
            <w:r>
              <w:rPr>
                <w:rFonts w:eastAsiaTheme="minorEastAsia"/>
                <w:color w:val="auto"/>
                <w:szCs w:val="21"/>
              </w:rPr>
              <w:t>H</w:t>
            </w:r>
            <w:r>
              <w:rPr>
                <w:rFonts w:eastAsiaTheme="minorEastAsia"/>
                <w:color w:val="auto"/>
                <w:szCs w:val="21"/>
                <w:vertAlign w:val="subscript"/>
              </w:rPr>
              <w:t>2</w:t>
            </w:r>
            <w:r>
              <w:rPr>
                <w:rFonts w:eastAsiaTheme="minorEastAsia"/>
                <w:color w:val="auto"/>
                <w:szCs w:val="21"/>
              </w:rPr>
              <w:t>S</w:t>
            </w:r>
          </w:p>
        </w:tc>
        <w:tc>
          <w:tcPr>
            <w:tcW w:w="757" w:type="pct"/>
            <w:vAlign w:val="center"/>
          </w:tcPr>
          <w:p>
            <w:pPr>
              <w:spacing w:line="0" w:lineRule="atLeast"/>
              <w:jc w:val="center"/>
              <w:rPr>
                <w:rFonts w:eastAsiaTheme="minorEastAsia"/>
                <w:color w:val="auto"/>
                <w:szCs w:val="21"/>
              </w:rPr>
            </w:pPr>
            <w:r>
              <w:rPr>
                <w:rFonts w:eastAsiaTheme="minorEastAsia"/>
                <w:color w:val="auto"/>
                <w:szCs w:val="21"/>
              </w:rPr>
              <w:t>10.0</w:t>
            </w:r>
          </w:p>
        </w:tc>
        <w:tc>
          <w:tcPr>
            <w:tcW w:w="1256"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1.38E-05</w:t>
            </w:r>
          </w:p>
        </w:tc>
        <w:tc>
          <w:tcPr>
            <w:tcW w:w="1107" w:type="dxa"/>
            <w:vAlign w:val="center"/>
          </w:tcPr>
          <w:p>
            <w:pPr>
              <w:spacing w:line="0" w:lineRule="atLeast"/>
              <w:contextualSpacing/>
              <w:jc w:val="center"/>
              <w:rPr>
                <w:rFonts w:eastAsiaTheme="minorEastAsia"/>
                <w:color w:val="auto"/>
                <w:szCs w:val="21"/>
              </w:rPr>
            </w:pPr>
            <w:r>
              <w:rPr>
                <w:rFonts w:hint="eastAsia"/>
              </w:rPr>
              <w:t>0.14</w:t>
            </w:r>
          </w:p>
        </w:tc>
        <w:tc>
          <w:tcPr>
            <w:tcW w:w="584" w:type="pct"/>
            <w:vAlign w:val="center"/>
          </w:tcPr>
          <w:p>
            <w:pPr>
              <w:spacing w:line="0" w:lineRule="atLeast"/>
              <w:jc w:val="center"/>
              <w:rPr>
                <w:rFonts w:eastAsiaTheme="minorEastAsia"/>
                <w:color w:val="auto"/>
                <w:szCs w:val="21"/>
              </w:rPr>
            </w:pPr>
            <w:r>
              <w:rPr>
                <w:rFonts w:eastAsiaTheme="minorEastAsia"/>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522" w:type="pct"/>
            <w:vMerge w:val="continue"/>
            <w:vAlign w:val="center"/>
          </w:tcPr>
          <w:p>
            <w:pPr>
              <w:spacing w:line="0" w:lineRule="atLeast"/>
              <w:jc w:val="center"/>
              <w:rPr>
                <w:rFonts w:eastAsiaTheme="minorEastAsia"/>
                <w:color w:val="auto"/>
                <w:szCs w:val="21"/>
              </w:rPr>
            </w:pPr>
          </w:p>
        </w:tc>
        <w:tc>
          <w:tcPr>
            <w:tcW w:w="1046" w:type="pct"/>
            <w:vMerge w:val="restart"/>
            <w:vAlign w:val="center"/>
          </w:tcPr>
          <w:p>
            <w:pPr>
              <w:spacing w:line="0" w:lineRule="atLeast"/>
              <w:jc w:val="center"/>
              <w:rPr>
                <w:rFonts w:eastAsiaTheme="minorEastAsia"/>
                <w:color w:val="auto"/>
                <w:szCs w:val="21"/>
              </w:rPr>
            </w:pPr>
            <w:r>
              <w:rPr>
                <w:rFonts w:eastAsiaTheme="minorEastAsia"/>
                <w:color w:val="auto"/>
                <w:szCs w:val="21"/>
              </w:rPr>
              <w:t>待宰间排气筒</w:t>
            </w:r>
          </w:p>
        </w:tc>
        <w:tc>
          <w:tcPr>
            <w:tcW w:w="700" w:type="pct"/>
            <w:vAlign w:val="center"/>
          </w:tcPr>
          <w:p>
            <w:pPr>
              <w:spacing w:line="0" w:lineRule="atLeast"/>
              <w:jc w:val="center"/>
              <w:rPr>
                <w:rFonts w:eastAsiaTheme="minorEastAsia"/>
                <w:color w:val="auto"/>
                <w:szCs w:val="21"/>
              </w:rPr>
            </w:pPr>
            <w:r>
              <w:rPr>
                <w:rFonts w:eastAsiaTheme="minorEastAsia"/>
                <w:color w:val="auto"/>
                <w:szCs w:val="21"/>
              </w:rPr>
              <w:t>NH</w:t>
            </w:r>
            <w:r>
              <w:rPr>
                <w:rFonts w:eastAsiaTheme="minorEastAsia"/>
                <w:color w:val="auto"/>
                <w:szCs w:val="21"/>
                <w:vertAlign w:val="subscript"/>
              </w:rPr>
              <w:t>3</w:t>
            </w:r>
          </w:p>
        </w:tc>
        <w:tc>
          <w:tcPr>
            <w:tcW w:w="757" w:type="pct"/>
            <w:vAlign w:val="center"/>
          </w:tcPr>
          <w:p>
            <w:pPr>
              <w:spacing w:line="0" w:lineRule="atLeast"/>
              <w:jc w:val="center"/>
              <w:rPr>
                <w:rFonts w:eastAsiaTheme="minorEastAsia"/>
                <w:color w:val="auto"/>
                <w:szCs w:val="21"/>
              </w:rPr>
            </w:pPr>
            <w:r>
              <w:rPr>
                <w:rFonts w:eastAsiaTheme="minorEastAsia"/>
                <w:color w:val="auto"/>
                <w:szCs w:val="21"/>
              </w:rPr>
              <w:t>200.0</w:t>
            </w:r>
          </w:p>
        </w:tc>
        <w:tc>
          <w:tcPr>
            <w:tcW w:w="1256"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5.31E-05</w:t>
            </w:r>
          </w:p>
        </w:tc>
        <w:tc>
          <w:tcPr>
            <w:tcW w:w="1107" w:type="dxa"/>
            <w:vAlign w:val="center"/>
          </w:tcPr>
          <w:p>
            <w:pPr>
              <w:spacing w:line="0" w:lineRule="atLeast"/>
              <w:contextualSpacing/>
              <w:jc w:val="center"/>
              <w:rPr>
                <w:rFonts w:eastAsiaTheme="minorEastAsia"/>
                <w:color w:val="auto"/>
                <w:szCs w:val="21"/>
              </w:rPr>
            </w:pPr>
            <w:r>
              <w:rPr>
                <w:rFonts w:hint="eastAsia" w:eastAsiaTheme="minorEastAsia"/>
                <w:color w:val="auto"/>
                <w:szCs w:val="21"/>
                <w:lang w:val="en-US" w:eastAsia="zh-CN"/>
              </w:rPr>
              <w:t>0.03</w:t>
            </w:r>
          </w:p>
        </w:tc>
        <w:tc>
          <w:tcPr>
            <w:tcW w:w="584" w:type="pct"/>
            <w:vAlign w:val="center"/>
          </w:tcPr>
          <w:p>
            <w:pPr>
              <w:spacing w:line="0" w:lineRule="atLeast"/>
              <w:jc w:val="center"/>
              <w:rPr>
                <w:rFonts w:eastAsiaTheme="minorEastAsia"/>
                <w:color w:val="auto"/>
                <w:szCs w:val="21"/>
              </w:rPr>
            </w:pPr>
            <w:r>
              <w:rPr>
                <w:rFonts w:hint="eastAsia" w:eastAsiaTheme="minorEastAsia"/>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522" w:type="pct"/>
            <w:vMerge w:val="continue"/>
            <w:vAlign w:val="center"/>
          </w:tcPr>
          <w:p>
            <w:pPr>
              <w:spacing w:line="0" w:lineRule="atLeast"/>
              <w:jc w:val="center"/>
              <w:rPr>
                <w:rFonts w:eastAsiaTheme="minorEastAsia"/>
                <w:color w:val="auto"/>
                <w:szCs w:val="21"/>
              </w:rPr>
            </w:pPr>
          </w:p>
        </w:tc>
        <w:tc>
          <w:tcPr>
            <w:tcW w:w="1046" w:type="pct"/>
            <w:vMerge w:val="continue"/>
            <w:vAlign w:val="center"/>
          </w:tcPr>
          <w:p>
            <w:pPr>
              <w:spacing w:line="0" w:lineRule="atLeast"/>
              <w:jc w:val="center"/>
              <w:rPr>
                <w:rFonts w:eastAsiaTheme="minorEastAsia"/>
                <w:color w:val="auto"/>
                <w:szCs w:val="21"/>
              </w:rPr>
            </w:pPr>
          </w:p>
        </w:tc>
        <w:tc>
          <w:tcPr>
            <w:tcW w:w="700" w:type="pct"/>
            <w:vAlign w:val="center"/>
          </w:tcPr>
          <w:p>
            <w:pPr>
              <w:spacing w:line="0" w:lineRule="atLeast"/>
              <w:jc w:val="center"/>
              <w:rPr>
                <w:rFonts w:eastAsiaTheme="minorEastAsia"/>
                <w:color w:val="auto"/>
                <w:szCs w:val="21"/>
              </w:rPr>
            </w:pPr>
            <w:r>
              <w:rPr>
                <w:rFonts w:eastAsiaTheme="minorEastAsia"/>
                <w:color w:val="auto"/>
                <w:szCs w:val="21"/>
              </w:rPr>
              <w:t>H</w:t>
            </w:r>
            <w:r>
              <w:rPr>
                <w:rFonts w:eastAsiaTheme="minorEastAsia"/>
                <w:color w:val="auto"/>
                <w:szCs w:val="21"/>
                <w:vertAlign w:val="subscript"/>
              </w:rPr>
              <w:t>2</w:t>
            </w:r>
            <w:r>
              <w:rPr>
                <w:rFonts w:eastAsiaTheme="minorEastAsia"/>
                <w:color w:val="auto"/>
                <w:szCs w:val="21"/>
              </w:rPr>
              <w:t>S</w:t>
            </w:r>
          </w:p>
        </w:tc>
        <w:tc>
          <w:tcPr>
            <w:tcW w:w="757" w:type="pct"/>
            <w:vAlign w:val="center"/>
          </w:tcPr>
          <w:p>
            <w:pPr>
              <w:spacing w:line="0" w:lineRule="atLeast"/>
              <w:jc w:val="center"/>
              <w:rPr>
                <w:rFonts w:eastAsiaTheme="minorEastAsia"/>
                <w:color w:val="auto"/>
                <w:szCs w:val="21"/>
              </w:rPr>
            </w:pPr>
            <w:r>
              <w:rPr>
                <w:rFonts w:eastAsiaTheme="minorEastAsia"/>
                <w:color w:val="auto"/>
                <w:szCs w:val="21"/>
              </w:rPr>
              <w:t>10.0</w:t>
            </w:r>
          </w:p>
        </w:tc>
        <w:tc>
          <w:tcPr>
            <w:tcW w:w="1256"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8.46E-06</w:t>
            </w:r>
          </w:p>
        </w:tc>
        <w:tc>
          <w:tcPr>
            <w:tcW w:w="1107" w:type="dxa"/>
            <w:vAlign w:val="center"/>
          </w:tcPr>
          <w:p>
            <w:pPr>
              <w:spacing w:line="0" w:lineRule="atLeast"/>
              <w:contextualSpacing/>
              <w:jc w:val="center"/>
              <w:rPr>
                <w:rFonts w:eastAsiaTheme="minorEastAsia"/>
                <w:color w:val="auto"/>
                <w:szCs w:val="21"/>
              </w:rPr>
            </w:pPr>
            <w:r>
              <w:rPr>
                <w:rFonts w:hint="eastAsia" w:eastAsiaTheme="minorEastAsia"/>
                <w:color w:val="auto"/>
                <w:szCs w:val="21"/>
                <w:lang w:val="en-US" w:eastAsia="zh-CN"/>
              </w:rPr>
              <w:t>0.08</w:t>
            </w:r>
          </w:p>
        </w:tc>
        <w:tc>
          <w:tcPr>
            <w:tcW w:w="584" w:type="pct"/>
            <w:vAlign w:val="center"/>
          </w:tcPr>
          <w:p>
            <w:pPr>
              <w:spacing w:line="0" w:lineRule="atLeast"/>
              <w:jc w:val="center"/>
              <w:rPr>
                <w:rFonts w:eastAsiaTheme="minorEastAsia"/>
                <w:color w:val="auto"/>
                <w:szCs w:val="21"/>
              </w:rPr>
            </w:pPr>
            <w:r>
              <w:rPr>
                <w:rFonts w:hint="eastAsia" w:eastAsiaTheme="minorEastAsia"/>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 w:hRule="atLeast"/>
          <w:jc w:val="center"/>
        </w:trPr>
        <w:tc>
          <w:tcPr>
            <w:tcW w:w="522" w:type="pct"/>
            <w:vMerge w:val="continue"/>
            <w:vAlign w:val="center"/>
          </w:tcPr>
          <w:p>
            <w:pPr>
              <w:spacing w:line="0" w:lineRule="atLeast"/>
              <w:jc w:val="center"/>
              <w:rPr>
                <w:rFonts w:hAnsiTheme="minorEastAsia" w:eastAsiaTheme="minorEastAsia"/>
                <w:color w:val="auto"/>
                <w:szCs w:val="21"/>
              </w:rPr>
            </w:pPr>
          </w:p>
        </w:tc>
        <w:tc>
          <w:tcPr>
            <w:tcW w:w="1046" w:type="pct"/>
            <w:vMerge w:val="restart"/>
            <w:vAlign w:val="center"/>
          </w:tcPr>
          <w:p>
            <w:pPr>
              <w:spacing w:line="0" w:lineRule="atLeast"/>
              <w:jc w:val="center"/>
              <w:rPr>
                <w:rFonts w:hint="default" w:hAnsiTheme="minorEastAsia" w:eastAsiaTheme="minorEastAsia"/>
                <w:color w:val="auto"/>
                <w:szCs w:val="21"/>
                <w:lang w:val="en-US" w:eastAsia="zh-CN"/>
              </w:rPr>
            </w:pPr>
            <w:r>
              <w:rPr>
                <w:rFonts w:hint="eastAsia" w:hAnsiTheme="minorEastAsia" w:eastAsiaTheme="minorEastAsia"/>
                <w:color w:val="auto"/>
                <w:szCs w:val="21"/>
                <w:lang w:val="en-US" w:eastAsia="zh-CN"/>
              </w:rPr>
              <w:t>锅炉烟囱</w:t>
            </w:r>
          </w:p>
        </w:tc>
        <w:tc>
          <w:tcPr>
            <w:tcW w:w="119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eastAsiaTheme="minorEastAsia"/>
                <w:color w:val="auto"/>
                <w:szCs w:val="21"/>
              </w:rPr>
            </w:pPr>
            <w:r>
              <w:rPr>
                <w:rFonts w:hint="default" w:ascii="Times New Roman" w:hAnsi="Times New Roman" w:eastAsia="宋体" w:cs="Times New Roman"/>
                <w:smallCaps w:val="0"/>
                <w:snapToGrid w:val="0"/>
                <w:color w:val="auto"/>
                <w:kern w:val="2"/>
                <w:sz w:val="21"/>
                <w:szCs w:val="21"/>
                <w:lang w:val="en-US" w:eastAsia="zh-CN" w:bidi="ar-SA"/>
              </w:rPr>
              <w:t>氮氧化物</w:t>
            </w:r>
          </w:p>
        </w:tc>
        <w:tc>
          <w:tcPr>
            <w:tcW w:w="129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eastAsiaTheme="minorEastAsia"/>
                <w:color w:val="auto"/>
                <w:szCs w:val="21"/>
              </w:rPr>
            </w:pPr>
            <w:r>
              <w:rPr>
                <w:rFonts w:hint="default" w:ascii="Times New Roman" w:hAnsi="Times New Roman" w:cs="Times New Roman"/>
                <w:smallCaps w:val="0"/>
                <w:snapToGrid w:val="0"/>
                <w:color w:val="auto"/>
                <w:kern w:val="2"/>
                <w:sz w:val="21"/>
                <w:szCs w:val="21"/>
                <w:lang w:val="en-US" w:eastAsia="zh-CN" w:bidi="ar-SA"/>
              </w:rPr>
              <w:t>250</w:t>
            </w:r>
          </w:p>
        </w:tc>
        <w:tc>
          <w:tcPr>
            <w:tcW w:w="1256"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2.98E-03</w:t>
            </w:r>
          </w:p>
        </w:tc>
        <w:tc>
          <w:tcPr>
            <w:tcW w:w="1107"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lang w:val="en-US" w:eastAsia="zh-CN"/>
              </w:rPr>
              <w:t>1.49</w:t>
            </w:r>
          </w:p>
        </w:tc>
        <w:tc>
          <w:tcPr>
            <w:tcW w:w="584" w:type="pct"/>
            <w:vAlign w:val="center"/>
          </w:tcPr>
          <w:p>
            <w:pPr>
              <w:spacing w:line="0" w:lineRule="atLeast"/>
              <w:jc w:val="center"/>
              <w:rPr>
                <w:rFonts w:eastAsiaTheme="minorEastAsia"/>
                <w:color w:val="auto"/>
                <w:szCs w:val="21"/>
              </w:rPr>
            </w:pPr>
            <w:r>
              <w:rPr>
                <w:rFonts w:hint="eastAsia" w:eastAsiaTheme="minorEastAsia"/>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 w:hRule="atLeast"/>
          <w:jc w:val="center"/>
        </w:trPr>
        <w:tc>
          <w:tcPr>
            <w:tcW w:w="522" w:type="pct"/>
            <w:vMerge w:val="continue"/>
            <w:vAlign w:val="center"/>
          </w:tcPr>
          <w:p>
            <w:pPr>
              <w:spacing w:line="0" w:lineRule="atLeast"/>
              <w:jc w:val="center"/>
              <w:rPr>
                <w:rFonts w:hAnsiTheme="minorEastAsia" w:eastAsiaTheme="minorEastAsia"/>
                <w:color w:val="auto"/>
                <w:szCs w:val="21"/>
              </w:rPr>
            </w:pPr>
          </w:p>
        </w:tc>
        <w:tc>
          <w:tcPr>
            <w:tcW w:w="1046" w:type="pct"/>
            <w:vMerge w:val="continue"/>
            <w:vAlign w:val="center"/>
          </w:tcPr>
          <w:p>
            <w:pPr>
              <w:spacing w:line="0" w:lineRule="atLeast"/>
              <w:jc w:val="center"/>
              <w:rPr>
                <w:rFonts w:hint="eastAsia" w:hAnsiTheme="minorEastAsia" w:eastAsiaTheme="minorEastAsia"/>
                <w:color w:val="auto"/>
                <w:szCs w:val="21"/>
                <w:lang w:val="en-US" w:eastAsia="zh-CN"/>
              </w:rPr>
            </w:pPr>
          </w:p>
        </w:tc>
        <w:tc>
          <w:tcPr>
            <w:tcW w:w="119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eastAsiaTheme="minorEastAsia"/>
                <w:color w:val="auto"/>
                <w:szCs w:val="21"/>
              </w:rPr>
            </w:pPr>
            <w:r>
              <w:rPr>
                <w:rFonts w:hint="default" w:ascii="Times New Roman" w:hAnsi="Times New Roman" w:eastAsia="宋体" w:cs="Times New Roman"/>
                <w:smallCaps w:val="0"/>
                <w:snapToGrid w:val="0"/>
                <w:color w:val="auto"/>
                <w:kern w:val="2"/>
                <w:sz w:val="21"/>
                <w:szCs w:val="21"/>
                <w:lang w:val="en-US" w:eastAsia="zh-CN" w:bidi="ar-SA"/>
              </w:rPr>
              <w:t>二氧化硫</w:t>
            </w:r>
          </w:p>
        </w:tc>
        <w:tc>
          <w:tcPr>
            <w:tcW w:w="129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eastAsiaTheme="minorEastAsia"/>
                <w:color w:val="auto"/>
                <w:szCs w:val="21"/>
              </w:rPr>
            </w:pPr>
            <w:r>
              <w:rPr>
                <w:rFonts w:hint="default" w:ascii="Times New Roman" w:hAnsi="Times New Roman" w:cs="Times New Roman"/>
                <w:smallCaps w:val="0"/>
                <w:snapToGrid w:val="0"/>
                <w:color w:val="auto"/>
                <w:kern w:val="2"/>
                <w:sz w:val="21"/>
                <w:szCs w:val="21"/>
                <w:lang w:val="en-US" w:eastAsia="zh-CN" w:bidi="ar-SA"/>
              </w:rPr>
              <w:t>500</w:t>
            </w:r>
          </w:p>
        </w:tc>
        <w:tc>
          <w:tcPr>
            <w:tcW w:w="1256"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7.05E-04</w:t>
            </w:r>
          </w:p>
        </w:tc>
        <w:tc>
          <w:tcPr>
            <w:tcW w:w="1107"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0.14</w:t>
            </w:r>
          </w:p>
        </w:tc>
        <w:tc>
          <w:tcPr>
            <w:tcW w:w="584" w:type="pct"/>
            <w:vAlign w:val="center"/>
          </w:tcPr>
          <w:p>
            <w:pPr>
              <w:spacing w:line="0" w:lineRule="atLeast"/>
              <w:jc w:val="center"/>
              <w:rPr>
                <w:rFonts w:eastAsiaTheme="minorEastAsia"/>
                <w:color w:val="auto"/>
                <w:szCs w:val="21"/>
              </w:rPr>
            </w:pPr>
            <w:r>
              <w:rPr>
                <w:rFonts w:hint="eastAsia" w:eastAsiaTheme="minorEastAsia"/>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 w:hRule="atLeast"/>
          <w:jc w:val="center"/>
        </w:trPr>
        <w:tc>
          <w:tcPr>
            <w:tcW w:w="522" w:type="pct"/>
            <w:vMerge w:val="continue"/>
            <w:vAlign w:val="center"/>
          </w:tcPr>
          <w:p>
            <w:pPr>
              <w:spacing w:line="0" w:lineRule="atLeast"/>
              <w:jc w:val="center"/>
              <w:rPr>
                <w:rFonts w:hAnsiTheme="minorEastAsia" w:eastAsiaTheme="minorEastAsia"/>
                <w:color w:val="auto"/>
                <w:szCs w:val="21"/>
              </w:rPr>
            </w:pPr>
          </w:p>
        </w:tc>
        <w:tc>
          <w:tcPr>
            <w:tcW w:w="1046" w:type="pct"/>
            <w:vMerge w:val="continue"/>
            <w:vAlign w:val="center"/>
          </w:tcPr>
          <w:p>
            <w:pPr>
              <w:spacing w:line="0" w:lineRule="atLeast"/>
              <w:jc w:val="center"/>
              <w:rPr>
                <w:rFonts w:hint="eastAsia" w:hAnsiTheme="minorEastAsia" w:eastAsiaTheme="minorEastAsia"/>
                <w:color w:val="auto"/>
                <w:szCs w:val="21"/>
                <w:lang w:val="en-US" w:eastAsia="zh-CN"/>
              </w:rPr>
            </w:pPr>
          </w:p>
        </w:tc>
        <w:tc>
          <w:tcPr>
            <w:tcW w:w="119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eastAsiaTheme="minorEastAsia"/>
                <w:color w:val="auto"/>
                <w:szCs w:val="21"/>
              </w:rPr>
            </w:pPr>
            <w:r>
              <w:rPr>
                <w:rFonts w:hint="default" w:ascii="Times New Roman" w:hAnsi="Times New Roman" w:cs="Times New Roman"/>
                <w:smallCaps w:val="0"/>
                <w:snapToGrid w:val="0"/>
                <w:color w:val="auto"/>
                <w:kern w:val="2"/>
                <w:sz w:val="21"/>
                <w:szCs w:val="21"/>
                <w:lang w:val="en-US" w:eastAsia="zh-CN" w:bidi="ar-SA"/>
              </w:rPr>
              <w:t>颗粒物</w:t>
            </w:r>
          </w:p>
        </w:tc>
        <w:tc>
          <w:tcPr>
            <w:tcW w:w="129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eastAsiaTheme="minorEastAsia"/>
                <w:color w:val="auto"/>
                <w:szCs w:val="21"/>
              </w:rPr>
            </w:pPr>
            <w:r>
              <w:rPr>
                <w:rFonts w:hint="default" w:ascii="Times New Roman" w:hAnsi="Times New Roman" w:cs="Times New Roman"/>
                <w:smallCaps w:val="0"/>
                <w:snapToGrid w:val="0"/>
                <w:color w:val="auto"/>
                <w:kern w:val="2"/>
                <w:sz w:val="21"/>
                <w:szCs w:val="21"/>
                <w:lang w:val="en-US" w:eastAsia="zh-CN" w:bidi="ar-SA"/>
              </w:rPr>
              <w:t>150</w:t>
            </w:r>
          </w:p>
        </w:tc>
        <w:tc>
          <w:tcPr>
            <w:tcW w:w="1256"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5.17E-04</w:t>
            </w:r>
          </w:p>
        </w:tc>
        <w:tc>
          <w:tcPr>
            <w:tcW w:w="1107" w:type="dxa"/>
            <w:vAlign w:val="center"/>
          </w:tcPr>
          <w:p>
            <w:pPr>
              <w:spacing w:line="0" w:lineRule="atLeast"/>
              <w:contextualSpacing/>
              <w:jc w:val="center"/>
              <w:rPr>
                <w:rFonts w:eastAsiaTheme="minorEastAsia"/>
                <w:color w:val="auto"/>
                <w:szCs w:val="21"/>
              </w:rPr>
            </w:pPr>
            <w:r>
              <w:rPr>
                <w:rFonts w:hint="eastAsia" w:eastAsiaTheme="minorEastAsia"/>
                <w:color w:val="auto"/>
                <w:szCs w:val="21"/>
                <w:lang w:val="en-US" w:eastAsia="zh-CN"/>
              </w:rPr>
              <w:t>0.06</w:t>
            </w:r>
          </w:p>
        </w:tc>
        <w:tc>
          <w:tcPr>
            <w:tcW w:w="584" w:type="pct"/>
            <w:vAlign w:val="center"/>
          </w:tcPr>
          <w:p>
            <w:pPr>
              <w:spacing w:line="0" w:lineRule="atLeast"/>
              <w:jc w:val="center"/>
              <w:rPr>
                <w:rFonts w:eastAsiaTheme="minorEastAsia"/>
                <w:color w:val="auto"/>
                <w:szCs w:val="21"/>
              </w:rPr>
            </w:pPr>
            <w:r>
              <w:rPr>
                <w:rFonts w:hint="eastAsia" w:eastAsiaTheme="minorEastAsia"/>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 w:hRule="atLeast"/>
          <w:jc w:val="center"/>
        </w:trPr>
        <w:tc>
          <w:tcPr>
            <w:tcW w:w="522" w:type="pct"/>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无组织</w:t>
            </w:r>
          </w:p>
        </w:tc>
        <w:tc>
          <w:tcPr>
            <w:tcW w:w="1046" w:type="pct"/>
            <w:vMerge w:val="restart"/>
            <w:vAlign w:val="center"/>
          </w:tcPr>
          <w:p>
            <w:pPr>
              <w:spacing w:line="0" w:lineRule="atLeast"/>
              <w:jc w:val="center"/>
              <w:rPr>
                <w:rFonts w:eastAsiaTheme="minorEastAsia"/>
                <w:color w:val="auto"/>
                <w:szCs w:val="21"/>
              </w:rPr>
            </w:pPr>
            <w:r>
              <w:rPr>
                <w:rFonts w:hint="eastAsia" w:hAnsiTheme="minorEastAsia" w:eastAsiaTheme="minorEastAsia"/>
                <w:color w:val="auto"/>
                <w:szCs w:val="21"/>
              </w:rPr>
              <w:t>待宰</w:t>
            </w:r>
            <w:r>
              <w:rPr>
                <w:rFonts w:hAnsiTheme="minorEastAsia" w:eastAsiaTheme="minorEastAsia"/>
                <w:color w:val="auto"/>
                <w:szCs w:val="21"/>
              </w:rPr>
              <w:t>间</w:t>
            </w:r>
          </w:p>
        </w:tc>
        <w:tc>
          <w:tcPr>
            <w:tcW w:w="700" w:type="pct"/>
            <w:vAlign w:val="center"/>
          </w:tcPr>
          <w:p>
            <w:pPr>
              <w:spacing w:line="0" w:lineRule="atLeast"/>
              <w:jc w:val="center"/>
              <w:rPr>
                <w:rFonts w:eastAsiaTheme="minorEastAsia"/>
                <w:color w:val="auto"/>
                <w:szCs w:val="21"/>
              </w:rPr>
            </w:pPr>
            <w:r>
              <w:rPr>
                <w:rFonts w:eastAsiaTheme="minorEastAsia"/>
                <w:color w:val="auto"/>
                <w:szCs w:val="21"/>
              </w:rPr>
              <w:t>NH</w:t>
            </w:r>
            <w:r>
              <w:rPr>
                <w:rFonts w:eastAsiaTheme="minorEastAsia"/>
                <w:color w:val="auto"/>
                <w:szCs w:val="21"/>
                <w:vertAlign w:val="subscript"/>
              </w:rPr>
              <w:t>3</w:t>
            </w:r>
          </w:p>
        </w:tc>
        <w:tc>
          <w:tcPr>
            <w:tcW w:w="757" w:type="pct"/>
            <w:vAlign w:val="center"/>
          </w:tcPr>
          <w:p>
            <w:pPr>
              <w:spacing w:line="0" w:lineRule="atLeast"/>
              <w:jc w:val="center"/>
              <w:rPr>
                <w:rFonts w:eastAsiaTheme="minorEastAsia"/>
                <w:color w:val="auto"/>
                <w:szCs w:val="21"/>
                <w:highlight w:val="none"/>
              </w:rPr>
            </w:pPr>
            <w:r>
              <w:rPr>
                <w:rFonts w:eastAsiaTheme="minorEastAsia"/>
                <w:color w:val="auto"/>
                <w:szCs w:val="21"/>
                <w:highlight w:val="none"/>
              </w:rPr>
              <w:t>200.0</w:t>
            </w:r>
          </w:p>
        </w:tc>
        <w:tc>
          <w:tcPr>
            <w:tcW w:w="125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2.64E-03</w:t>
            </w:r>
          </w:p>
        </w:tc>
        <w:tc>
          <w:tcPr>
            <w:tcW w:w="1107"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1.32</w:t>
            </w:r>
          </w:p>
        </w:tc>
        <w:tc>
          <w:tcPr>
            <w:tcW w:w="584" w:type="pct"/>
            <w:vAlign w:val="center"/>
          </w:tcPr>
          <w:p>
            <w:pPr>
              <w:spacing w:line="0" w:lineRule="atLeast"/>
              <w:jc w:val="center"/>
              <w:rPr>
                <w:rFonts w:eastAsiaTheme="minorEastAsia"/>
                <w:color w:val="auto"/>
                <w:szCs w:val="21"/>
              </w:rPr>
            </w:pPr>
            <w:r>
              <w:rPr>
                <w:rFonts w:eastAsiaTheme="minorEastAsia"/>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 w:hRule="atLeast"/>
          <w:jc w:val="center"/>
        </w:trPr>
        <w:tc>
          <w:tcPr>
            <w:tcW w:w="522" w:type="pct"/>
            <w:vMerge w:val="continue"/>
            <w:vAlign w:val="center"/>
          </w:tcPr>
          <w:p>
            <w:pPr>
              <w:spacing w:line="0" w:lineRule="atLeast"/>
              <w:jc w:val="center"/>
              <w:rPr>
                <w:rFonts w:eastAsiaTheme="minorEastAsia"/>
                <w:color w:val="auto"/>
                <w:szCs w:val="21"/>
              </w:rPr>
            </w:pPr>
          </w:p>
        </w:tc>
        <w:tc>
          <w:tcPr>
            <w:tcW w:w="1046" w:type="pct"/>
            <w:vMerge w:val="continue"/>
            <w:vAlign w:val="center"/>
          </w:tcPr>
          <w:p>
            <w:pPr>
              <w:spacing w:line="0" w:lineRule="atLeast"/>
              <w:jc w:val="center"/>
              <w:rPr>
                <w:rFonts w:eastAsiaTheme="minorEastAsia"/>
                <w:color w:val="auto"/>
                <w:szCs w:val="21"/>
              </w:rPr>
            </w:pPr>
          </w:p>
        </w:tc>
        <w:tc>
          <w:tcPr>
            <w:tcW w:w="700" w:type="pct"/>
            <w:vAlign w:val="center"/>
          </w:tcPr>
          <w:p>
            <w:pPr>
              <w:spacing w:line="0" w:lineRule="atLeast"/>
              <w:jc w:val="center"/>
              <w:rPr>
                <w:rFonts w:eastAsiaTheme="minorEastAsia"/>
                <w:color w:val="auto"/>
                <w:szCs w:val="21"/>
              </w:rPr>
            </w:pPr>
            <w:r>
              <w:rPr>
                <w:rFonts w:eastAsiaTheme="minorEastAsia"/>
                <w:color w:val="auto"/>
                <w:szCs w:val="21"/>
              </w:rPr>
              <w:t>H</w:t>
            </w:r>
            <w:r>
              <w:rPr>
                <w:rFonts w:eastAsiaTheme="minorEastAsia"/>
                <w:color w:val="auto"/>
                <w:szCs w:val="21"/>
                <w:vertAlign w:val="subscript"/>
              </w:rPr>
              <w:t>2</w:t>
            </w:r>
            <w:r>
              <w:rPr>
                <w:rFonts w:eastAsiaTheme="minorEastAsia"/>
                <w:color w:val="auto"/>
                <w:szCs w:val="21"/>
              </w:rPr>
              <w:t>S</w:t>
            </w:r>
          </w:p>
        </w:tc>
        <w:tc>
          <w:tcPr>
            <w:tcW w:w="757" w:type="pct"/>
            <w:vAlign w:val="center"/>
          </w:tcPr>
          <w:p>
            <w:pPr>
              <w:spacing w:line="0" w:lineRule="atLeast"/>
              <w:jc w:val="center"/>
              <w:rPr>
                <w:rFonts w:eastAsiaTheme="minorEastAsia"/>
                <w:color w:val="auto"/>
                <w:szCs w:val="21"/>
                <w:highlight w:val="none"/>
              </w:rPr>
            </w:pPr>
            <w:r>
              <w:rPr>
                <w:rFonts w:eastAsiaTheme="minorEastAsia"/>
                <w:color w:val="auto"/>
                <w:szCs w:val="21"/>
                <w:highlight w:val="none"/>
              </w:rPr>
              <w:t>10.0</w:t>
            </w:r>
          </w:p>
        </w:tc>
        <w:tc>
          <w:tcPr>
            <w:tcW w:w="125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4.16E-04</w:t>
            </w:r>
          </w:p>
        </w:tc>
        <w:tc>
          <w:tcPr>
            <w:tcW w:w="1107"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lang w:val="en-US" w:eastAsia="zh-CN"/>
              </w:rPr>
              <w:t>4.16</w:t>
            </w:r>
          </w:p>
        </w:tc>
        <w:tc>
          <w:tcPr>
            <w:tcW w:w="584" w:type="pct"/>
            <w:vAlign w:val="center"/>
          </w:tcPr>
          <w:p>
            <w:pPr>
              <w:spacing w:line="0" w:lineRule="atLeast"/>
              <w:jc w:val="center"/>
              <w:rPr>
                <w:rFonts w:eastAsiaTheme="minorEastAsia"/>
                <w:color w:val="auto"/>
                <w:szCs w:val="21"/>
              </w:rPr>
            </w:pPr>
            <w:r>
              <w:rPr>
                <w:rFonts w:eastAsiaTheme="minorEastAsia"/>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 w:hRule="atLeast"/>
          <w:jc w:val="center"/>
        </w:trPr>
        <w:tc>
          <w:tcPr>
            <w:tcW w:w="522" w:type="pct"/>
            <w:vMerge w:val="continue"/>
            <w:vAlign w:val="center"/>
          </w:tcPr>
          <w:p>
            <w:pPr>
              <w:spacing w:line="0" w:lineRule="atLeast"/>
              <w:jc w:val="center"/>
              <w:rPr>
                <w:rFonts w:eastAsiaTheme="minorEastAsia"/>
                <w:color w:val="auto"/>
                <w:szCs w:val="21"/>
              </w:rPr>
            </w:pPr>
          </w:p>
        </w:tc>
        <w:tc>
          <w:tcPr>
            <w:tcW w:w="1046" w:type="pct"/>
            <w:vMerge w:val="restart"/>
            <w:vAlign w:val="center"/>
          </w:tcPr>
          <w:p>
            <w:pPr>
              <w:spacing w:line="0" w:lineRule="atLeast"/>
              <w:jc w:val="center"/>
              <w:rPr>
                <w:rFonts w:eastAsiaTheme="minorEastAsia"/>
                <w:color w:val="auto"/>
                <w:szCs w:val="21"/>
              </w:rPr>
            </w:pPr>
            <w:r>
              <w:rPr>
                <w:rFonts w:hint="eastAsia" w:hAnsiTheme="minorEastAsia" w:eastAsiaTheme="minorEastAsia"/>
                <w:color w:val="auto"/>
                <w:szCs w:val="21"/>
              </w:rPr>
              <w:t>屠宰车间</w:t>
            </w:r>
          </w:p>
        </w:tc>
        <w:tc>
          <w:tcPr>
            <w:tcW w:w="700" w:type="pct"/>
            <w:vAlign w:val="center"/>
          </w:tcPr>
          <w:p>
            <w:pPr>
              <w:spacing w:line="0" w:lineRule="atLeast"/>
              <w:jc w:val="center"/>
              <w:rPr>
                <w:rFonts w:eastAsiaTheme="minorEastAsia"/>
                <w:color w:val="auto"/>
                <w:szCs w:val="21"/>
              </w:rPr>
            </w:pPr>
            <w:r>
              <w:rPr>
                <w:rFonts w:eastAsiaTheme="minorEastAsia"/>
                <w:color w:val="auto"/>
                <w:szCs w:val="21"/>
              </w:rPr>
              <w:t>NH</w:t>
            </w:r>
            <w:r>
              <w:rPr>
                <w:rFonts w:eastAsiaTheme="minorEastAsia"/>
                <w:color w:val="auto"/>
                <w:szCs w:val="21"/>
                <w:vertAlign w:val="subscript"/>
              </w:rPr>
              <w:t>3</w:t>
            </w:r>
          </w:p>
        </w:tc>
        <w:tc>
          <w:tcPr>
            <w:tcW w:w="757" w:type="pct"/>
            <w:vAlign w:val="center"/>
          </w:tcPr>
          <w:p>
            <w:pPr>
              <w:spacing w:line="0" w:lineRule="atLeast"/>
              <w:jc w:val="center"/>
              <w:rPr>
                <w:rFonts w:eastAsiaTheme="minorEastAsia"/>
                <w:color w:val="auto"/>
                <w:szCs w:val="21"/>
                <w:highlight w:val="none"/>
              </w:rPr>
            </w:pPr>
            <w:r>
              <w:rPr>
                <w:rFonts w:eastAsiaTheme="minorEastAsia"/>
                <w:color w:val="auto"/>
                <w:szCs w:val="21"/>
                <w:highlight w:val="none"/>
              </w:rPr>
              <w:t>200.0</w:t>
            </w:r>
          </w:p>
        </w:tc>
        <w:tc>
          <w:tcPr>
            <w:tcW w:w="125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7.23E-03</w:t>
            </w:r>
          </w:p>
        </w:tc>
        <w:tc>
          <w:tcPr>
            <w:tcW w:w="1107"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3.61</w:t>
            </w:r>
          </w:p>
        </w:tc>
        <w:tc>
          <w:tcPr>
            <w:tcW w:w="584" w:type="pct"/>
            <w:vAlign w:val="center"/>
          </w:tcPr>
          <w:p>
            <w:pPr>
              <w:spacing w:line="0" w:lineRule="atLeast"/>
              <w:jc w:val="center"/>
              <w:rPr>
                <w:rFonts w:eastAsiaTheme="minorEastAsia"/>
                <w:color w:val="auto"/>
                <w:szCs w:val="21"/>
              </w:rPr>
            </w:pPr>
            <w:r>
              <w:rPr>
                <w:rFonts w:eastAsiaTheme="minorEastAsia"/>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 w:hRule="atLeast"/>
          <w:jc w:val="center"/>
        </w:trPr>
        <w:tc>
          <w:tcPr>
            <w:tcW w:w="522" w:type="pct"/>
            <w:vMerge w:val="continue"/>
            <w:vAlign w:val="center"/>
          </w:tcPr>
          <w:p>
            <w:pPr>
              <w:spacing w:line="0" w:lineRule="atLeast"/>
              <w:jc w:val="center"/>
              <w:rPr>
                <w:rFonts w:eastAsiaTheme="minorEastAsia"/>
                <w:color w:val="auto"/>
                <w:szCs w:val="21"/>
              </w:rPr>
            </w:pPr>
          </w:p>
        </w:tc>
        <w:tc>
          <w:tcPr>
            <w:tcW w:w="1046" w:type="pct"/>
            <w:vMerge w:val="continue"/>
            <w:vAlign w:val="center"/>
          </w:tcPr>
          <w:p>
            <w:pPr>
              <w:spacing w:line="0" w:lineRule="atLeast"/>
              <w:jc w:val="center"/>
              <w:rPr>
                <w:rFonts w:eastAsiaTheme="minorEastAsia"/>
                <w:color w:val="auto"/>
                <w:szCs w:val="21"/>
              </w:rPr>
            </w:pPr>
          </w:p>
        </w:tc>
        <w:tc>
          <w:tcPr>
            <w:tcW w:w="700" w:type="pct"/>
            <w:vAlign w:val="center"/>
          </w:tcPr>
          <w:p>
            <w:pPr>
              <w:spacing w:line="0" w:lineRule="atLeast"/>
              <w:jc w:val="center"/>
              <w:rPr>
                <w:rFonts w:eastAsiaTheme="minorEastAsia"/>
                <w:color w:val="auto"/>
                <w:szCs w:val="21"/>
              </w:rPr>
            </w:pPr>
            <w:r>
              <w:rPr>
                <w:rFonts w:eastAsiaTheme="minorEastAsia"/>
                <w:color w:val="auto"/>
                <w:szCs w:val="21"/>
              </w:rPr>
              <w:t>H</w:t>
            </w:r>
            <w:r>
              <w:rPr>
                <w:rFonts w:eastAsiaTheme="minorEastAsia"/>
                <w:color w:val="auto"/>
                <w:szCs w:val="21"/>
                <w:vertAlign w:val="subscript"/>
              </w:rPr>
              <w:t>2</w:t>
            </w:r>
            <w:r>
              <w:rPr>
                <w:rFonts w:eastAsiaTheme="minorEastAsia"/>
                <w:color w:val="auto"/>
                <w:szCs w:val="21"/>
              </w:rPr>
              <w:t>S</w:t>
            </w:r>
          </w:p>
        </w:tc>
        <w:tc>
          <w:tcPr>
            <w:tcW w:w="757" w:type="pct"/>
            <w:vAlign w:val="center"/>
          </w:tcPr>
          <w:p>
            <w:pPr>
              <w:spacing w:line="0" w:lineRule="atLeast"/>
              <w:jc w:val="center"/>
              <w:rPr>
                <w:rFonts w:eastAsiaTheme="minorEastAsia"/>
                <w:color w:val="auto"/>
                <w:szCs w:val="21"/>
                <w:highlight w:val="none"/>
              </w:rPr>
            </w:pPr>
            <w:r>
              <w:rPr>
                <w:rFonts w:eastAsiaTheme="minorEastAsia"/>
                <w:color w:val="auto"/>
                <w:szCs w:val="21"/>
                <w:highlight w:val="none"/>
              </w:rPr>
              <w:t>10.0</w:t>
            </w:r>
          </w:p>
        </w:tc>
        <w:tc>
          <w:tcPr>
            <w:tcW w:w="125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7.51E-04</w:t>
            </w:r>
          </w:p>
        </w:tc>
        <w:tc>
          <w:tcPr>
            <w:tcW w:w="1107" w:type="dxa"/>
            <w:vAlign w:val="center"/>
          </w:tcPr>
          <w:p>
            <w:pPr>
              <w:spacing w:line="0" w:lineRule="atLeast"/>
              <w:contextualSpacing/>
              <w:jc w:val="center"/>
              <w:rPr>
                <w:rFonts w:hint="eastAsia" w:eastAsiaTheme="minorEastAsia"/>
                <w:color w:val="auto"/>
                <w:szCs w:val="21"/>
                <w:highlight w:val="none"/>
                <w:lang w:eastAsia="zh-CN"/>
              </w:rPr>
            </w:pPr>
            <w:r>
              <w:rPr>
                <w:rFonts w:hint="eastAsia" w:eastAsiaTheme="minorEastAsia"/>
                <w:color w:val="auto"/>
                <w:szCs w:val="21"/>
                <w:highlight w:val="none"/>
              </w:rPr>
              <w:t>7.51</w:t>
            </w:r>
          </w:p>
        </w:tc>
        <w:tc>
          <w:tcPr>
            <w:tcW w:w="584" w:type="pct"/>
            <w:vAlign w:val="center"/>
          </w:tcPr>
          <w:p>
            <w:pPr>
              <w:spacing w:line="0" w:lineRule="atLeast"/>
              <w:jc w:val="center"/>
              <w:rPr>
                <w:rFonts w:eastAsiaTheme="minorEastAsia"/>
                <w:color w:val="auto"/>
                <w:szCs w:val="21"/>
              </w:rPr>
            </w:pPr>
            <w:r>
              <w:rPr>
                <w:rFonts w:eastAsiaTheme="minorEastAsia"/>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22" w:type="pct"/>
            <w:vMerge w:val="continue"/>
            <w:vAlign w:val="center"/>
          </w:tcPr>
          <w:p>
            <w:pPr>
              <w:spacing w:line="0" w:lineRule="atLeast"/>
              <w:jc w:val="center"/>
              <w:rPr>
                <w:rFonts w:eastAsiaTheme="minorEastAsia"/>
                <w:color w:val="auto"/>
                <w:szCs w:val="21"/>
              </w:rPr>
            </w:pPr>
          </w:p>
        </w:tc>
        <w:tc>
          <w:tcPr>
            <w:tcW w:w="1046" w:type="pct"/>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污水处理站</w:t>
            </w:r>
          </w:p>
        </w:tc>
        <w:tc>
          <w:tcPr>
            <w:tcW w:w="700" w:type="pct"/>
            <w:vAlign w:val="center"/>
          </w:tcPr>
          <w:p>
            <w:pPr>
              <w:spacing w:line="0" w:lineRule="atLeast"/>
              <w:jc w:val="center"/>
              <w:rPr>
                <w:rFonts w:eastAsiaTheme="minorEastAsia"/>
                <w:color w:val="auto"/>
                <w:szCs w:val="21"/>
              </w:rPr>
            </w:pPr>
            <w:r>
              <w:rPr>
                <w:rFonts w:eastAsiaTheme="minorEastAsia"/>
                <w:color w:val="auto"/>
                <w:szCs w:val="21"/>
              </w:rPr>
              <w:t>NH</w:t>
            </w:r>
            <w:r>
              <w:rPr>
                <w:rFonts w:eastAsiaTheme="minorEastAsia"/>
                <w:color w:val="auto"/>
                <w:szCs w:val="21"/>
                <w:vertAlign w:val="subscript"/>
              </w:rPr>
              <w:t>3</w:t>
            </w:r>
          </w:p>
        </w:tc>
        <w:tc>
          <w:tcPr>
            <w:tcW w:w="757" w:type="pct"/>
            <w:vAlign w:val="center"/>
          </w:tcPr>
          <w:p>
            <w:pPr>
              <w:spacing w:line="0" w:lineRule="atLeast"/>
              <w:jc w:val="center"/>
              <w:rPr>
                <w:rFonts w:eastAsiaTheme="minorEastAsia"/>
                <w:color w:val="auto"/>
                <w:szCs w:val="21"/>
                <w:highlight w:val="none"/>
              </w:rPr>
            </w:pPr>
            <w:r>
              <w:rPr>
                <w:rFonts w:eastAsiaTheme="minorEastAsia"/>
                <w:color w:val="auto"/>
                <w:szCs w:val="21"/>
                <w:highlight w:val="none"/>
              </w:rPr>
              <w:t>200.0</w:t>
            </w:r>
          </w:p>
        </w:tc>
        <w:tc>
          <w:tcPr>
            <w:tcW w:w="125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9.26E-03</w:t>
            </w:r>
          </w:p>
        </w:tc>
        <w:tc>
          <w:tcPr>
            <w:tcW w:w="1107"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4.63</w:t>
            </w:r>
          </w:p>
        </w:tc>
        <w:tc>
          <w:tcPr>
            <w:tcW w:w="584" w:type="pct"/>
            <w:vAlign w:val="center"/>
          </w:tcPr>
          <w:p>
            <w:pPr>
              <w:spacing w:line="0" w:lineRule="atLeast"/>
              <w:jc w:val="center"/>
              <w:rPr>
                <w:rFonts w:eastAsiaTheme="minorEastAsia"/>
                <w:color w:val="auto"/>
                <w:szCs w:val="21"/>
              </w:rPr>
            </w:pPr>
            <w:r>
              <w:rPr>
                <w:rFonts w:eastAsiaTheme="minorEastAsia"/>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 w:hRule="atLeast"/>
          <w:jc w:val="center"/>
        </w:trPr>
        <w:tc>
          <w:tcPr>
            <w:tcW w:w="522" w:type="pct"/>
            <w:vMerge w:val="continue"/>
            <w:vAlign w:val="center"/>
          </w:tcPr>
          <w:p>
            <w:pPr>
              <w:spacing w:line="0" w:lineRule="atLeast"/>
              <w:jc w:val="center"/>
              <w:rPr>
                <w:rFonts w:eastAsiaTheme="minorEastAsia"/>
                <w:color w:val="auto"/>
                <w:szCs w:val="21"/>
              </w:rPr>
            </w:pPr>
          </w:p>
        </w:tc>
        <w:tc>
          <w:tcPr>
            <w:tcW w:w="1046" w:type="pct"/>
            <w:vMerge w:val="continue"/>
            <w:vAlign w:val="center"/>
          </w:tcPr>
          <w:p>
            <w:pPr>
              <w:spacing w:line="0" w:lineRule="atLeast"/>
              <w:jc w:val="center"/>
              <w:rPr>
                <w:rFonts w:eastAsiaTheme="minorEastAsia"/>
                <w:color w:val="auto"/>
                <w:szCs w:val="21"/>
              </w:rPr>
            </w:pPr>
          </w:p>
        </w:tc>
        <w:tc>
          <w:tcPr>
            <w:tcW w:w="700" w:type="pct"/>
            <w:vAlign w:val="center"/>
          </w:tcPr>
          <w:p>
            <w:pPr>
              <w:spacing w:line="0" w:lineRule="atLeast"/>
              <w:jc w:val="center"/>
              <w:rPr>
                <w:rFonts w:eastAsiaTheme="minorEastAsia"/>
                <w:color w:val="auto"/>
                <w:szCs w:val="21"/>
              </w:rPr>
            </w:pPr>
            <w:r>
              <w:rPr>
                <w:rFonts w:eastAsiaTheme="minorEastAsia"/>
                <w:color w:val="auto"/>
                <w:szCs w:val="21"/>
              </w:rPr>
              <w:t>H</w:t>
            </w:r>
            <w:r>
              <w:rPr>
                <w:rFonts w:eastAsiaTheme="minorEastAsia"/>
                <w:color w:val="auto"/>
                <w:szCs w:val="21"/>
                <w:vertAlign w:val="subscript"/>
              </w:rPr>
              <w:t>2</w:t>
            </w:r>
            <w:r>
              <w:rPr>
                <w:rFonts w:eastAsiaTheme="minorEastAsia"/>
                <w:color w:val="auto"/>
                <w:szCs w:val="21"/>
              </w:rPr>
              <w:t>S</w:t>
            </w:r>
          </w:p>
        </w:tc>
        <w:tc>
          <w:tcPr>
            <w:tcW w:w="757" w:type="pct"/>
            <w:vAlign w:val="center"/>
          </w:tcPr>
          <w:p>
            <w:pPr>
              <w:spacing w:line="0" w:lineRule="atLeast"/>
              <w:jc w:val="center"/>
              <w:rPr>
                <w:rFonts w:eastAsiaTheme="minorEastAsia"/>
                <w:color w:val="auto"/>
                <w:szCs w:val="21"/>
                <w:highlight w:val="none"/>
              </w:rPr>
            </w:pPr>
            <w:r>
              <w:rPr>
                <w:rFonts w:eastAsiaTheme="minorEastAsia"/>
                <w:color w:val="auto"/>
                <w:szCs w:val="21"/>
                <w:highlight w:val="none"/>
              </w:rPr>
              <w:t>10.0</w:t>
            </w:r>
          </w:p>
        </w:tc>
        <w:tc>
          <w:tcPr>
            <w:tcW w:w="125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3.65E-04</w:t>
            </w:r>
          </w:p>
        </w:tc>
        <w:tc>
          <w:tcPr>
            <w:tcW w:w="1107"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3.65</w:t>
            </w:r>
          </w:p>
        </w:tc>
        <w:tc>
          <w:tcPr>
            <w:tcW w:w="584" w:type="pct"/>
            <w:vAlign w:val="center"/>
          </w:tcPr>
          <w:p>
            <w:pPr>
              <w:spacing w:line="0" w:lineRule="atLeast"/>
              <w:jc w:val="center"/>
              <w:rPr>
                <w:rFonts w:eastAsiaTheme="minorEastAsia"/>
                <w:color w:val="auto"/>
                <w:szCs w:val="21"/>
              </w:rPr>
            </w:pPr>
            <w:r>
              <w:rPr>
                <w:rFonts w:eastAsiaTheme="minorEastAsia"/>
                <w:color w:val="auto"/>
                <w:szCs w:val="21"/>
              </w:rPr>
              <w:t>/</w:t>
            </w:r>
          </w:p>
        </w:tc>
      </w:tr>
    </w:tbl>
    <w:p>
      <w:pPr>
        <w:spacing w:line="480" w:lineRule="exact"/>
        <w:ind w:firstLine="422" w:firstLineChars="176"/>
        <w:rPr>
          <w:rFonts w:hAnsiTheme="minorEastAsia" w:eastAsiaTheme="minorEastAsia"/>
          <w:snapToGrid w:val="0"/>
          <w:color w:val="auto"/>
          <w:kern w:val="0"/>
          <w:sz w:val="24"/>
        </w:rPr>
      </w:pPr>
      <w:r>
        <w:rPr>
          <w:rFonts w:hAnsiTheme="minorEastAsia" w:eastAsiaTheme="minorEastAsia"/>
          <w:snapToGrid w:val="0"/>
          <w:color w:val="auto"/>
          <w:sz w:val="24"/>
        </w:rPr>
        <w:t>根据《环境影响评价技术导则大气环境》（</w:t>
      </w:r>
      <w:r>
        <w:rPr>
          <w:rFonts w:eastAsiaTheme="minorEastAsia"/>
          <w:snapToGrid w:val="0"/>
          <w:color w:val="auto"/>
          <w:sz w:val="24"/>
        </w:rPr>
        <w:t>HJ2.2-2018</w:t>
      </w:r>
      <w:r>
        <w:rPr>
          <w:rFonts w:hAnsiTheme="minorEastAsia" w:eastAsiaTheme="minorEastAsia"/>
          <w:snapToGrid w:val="0"/>
          <w:color w:val="auto"/>
          <w:sz w:val="24"/>
        </w:rPr>
        <w:t>）</w:t>
      </w:r>
      <w:r>
        <w:rPr>
          <w:rFonts w:hAnsiTheme="minorEastAsia" w:eastAsiaTheme="minorEastAsia"/>
          <w:snapToGrid w:val="0"/>
          <w:color w:val="auto"/>
          <w:kern w:val="0"/>
          <w:sz w:val="24"/>
        </w:rPr>
        <w:t>中附录</w:t>
      </w:r>
      <w:r>
        <w:rPr>
          <w:rFonts w:eastAsiaTheme="minorEastAsia"/>
          <w:snapToGrid w:val="0"/>
          <w:color w:val="auto"/>
          <w:kern w:val="0"/>
          <w:sz w:val="24"/>
        </w:rPr>
        <w:t>A</w:t>
      </w:r>
      <w:r>
        <w:rPr>
          <w:rFonts w:hAnsiTheme="minorEastAsia" w:eastAsiaTheme="minorEastAsia"/>
          <w:snapToGrid w:val="0"/>
          <w:color w:val="auto"/>
          <w:kern w:val="0"/>
          <w:sz w:val="24"/>
        </w:rPr>
        <w:t>推荐的估算模式进行计算，由估算模式计算结果可知，本项目排放污染物</w:t>
      </w:r>
      <w:r>
        <w:rPr>
          <w:rFonts w:hAnsiTheme="minorEastAsia" w:eastAsiaTheme="minorEastAsia"/>
          <w:color w:val="auto"/>
          <w:sz w:val="24"/>
          <w:lang w:val="zh-CN"/>
        </w:rPr>
        <w:t>的</w:t>
      </w:r>
      <w:r>
        <w:rPr>
          <w:rFonts w:hAnsiTheme="minorEastAsia" w:eastAsiaTheme="minorEastAsia"/>
          <w:snapToGrid w:val="0"/>
          <w:color w:val="auto"/>
          <w:kern w:val="0"/>
          <w:sz w:val="24"/>
        </w:rPr>
        <w:t>最大地面空气质量浓度占标率</w:t>
      </w:r>
      <w:r>
        <w:rPr>
          <w:rFonts w:eastAsiaTheme="minorEastAsia"/>
          <w:snapToGrid w:val="0"/>
          <w:color w:val="auto"/>
          <w:kern w:val="0"/>
          <w:sz w:val="24"/>
        </w:rPr>
        <w:t>P</w:t>
      </w:r>
      <w:r>
        <w:rPr>
          <w:rFonts w:eastAsiaTheme="minorEastAsia"/>
          <w:snapToGrid w:val="0"/>
          <w:color w:val="auto"/>
          <w:kern w:val="0"/>
          <w:sz w:val="24"/>
          <w:vertAlign w:val="subscript"/>
        </w:rPr>
        <w:t>max</w:t>
      </w:r>
      <w:r>
        <w:rPr>
          <w:rFonts w:hAnsiTheme="minorEastAsia" w:eastAsiaTheme="minorEastAsia"/>
          <w:snapToGrid w:val="0"/>
          <w:color w:val="auto"/>
          <w:kern w:val="0"/>
          <w:sz w:val="24"/>
        </w:rPr>
        <w:t>为</w:t>
      </w:r>
      <w:r>
        <w:rPr>
          <w:rFonts w:hint="eastAsia" w:hAnsiTheme="minorEastAsia" w:eastAsiaTheme="minorEastAsia"/>
          <w:snapToGrid w:val="0"/>
          <w:color w:val="auto"/>
          <w:kern w:val="0"/>
          <w:sz w:val="24"/>
          <w:lang w:eastAsia="zh-CN"/>
        </w:rPr>
        <w:t>9.14</w:t>
      </w:r>
      <w:r>
        <w:rPr>
          <w:rFonts w:hint="eastAsia" w:hAnsiTheme="minorEastAsia" w:eastAsiaTheme="minorEastAsia"/>
          <w:snapToGrid w:val="0"/>
          <w:color w:val="auto"/>
          <w:kern w:val="0"/>
          <w:sz w:val="24"/>
        </w:rPr>
        <w:t>%</w:t>
      </w:r>
      <w:r>
        <w:rPr>
          <w:rFonts w:eastAsiaTheme="minorEastAsia"/>
          <w:snapToGrid w:val="0"/>
          <w:color w:val="auto"/>
          <w:kern w:val="0"/>
          <w:sz w:val="24"/>
        </w:rPr>
        <w:t>≤10%</w:t>
      </w:r>
      <w:r>
        <w:rPr>
          <w:rFonts w:hAnsiTheme="minorEastAsia" w:eastAsiaTheme="minorEastAsia"/>
          <w:snapToGrid w:val="0"/>
          <w:color w:val="auto"/>
          <w:kern w:val="0"/>
          <w:sz w:val="24"/>
          <w:lang w:val="zh-CN"/>
        </w:rPr>
        <w:t>且</w:t>
      </w:r>
      <w:r>
        <w:rPr>
          <w:rFonts w:hAnsiTheme="minorEastAsia" w:eastAsiaTheme="minorEastAsia"/>
          <w:snapToGrid w:val="0"/>
          <w:color w:val="auto"/>
          <w:kern w:val="0"/>
          <w:sz w:val="24"/>
        </w:rPr>
        <w:t>＞</w:t>
      </w:r>
      <w:r>
        <w:rPr>
          <w:rFonts w:eastAsiaTheme="minorEastAsia"/>
          <w:snapToGrid w:val="0"/>
          <w:color w:val="auto"/>
          <w:kern w:val="0"/>
          <w:sz w:val="24"/>
        </w:rPr>
        <w:t>1%</w:t>
      </w:r>
      <w:r>
        <w:rPr>
          <w:rFonts w:hAnsiTheme="minorEastAsia" w:eastAsiaTheme="minorEastAsia"/>
          <w:snapToGrid w:val="0"/>
          <w:color w:val="auto"/>
          <w:kern w:val="0"/>
          <w:sz w:val="24"/>
        </w:rPr>
        <w:t>。因此，本项目大气环境影响评价等级为</w:t>
      </w:r>
      <w:r>
        <w:rPr>
          <w:rFonts w:hAnsiTheme="minorEastAsia" w:eastAsiaTheme="minorEastAsia"/>
          <w:snapToGrid w:val="0"/>
          <w:color w:val="auto"/>
          <w:sz w:val="24"/>
        </w:rPr>
        <w:t>二级。</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2.4.2地表水环境</w:t>
      </w:r>
    </w:p>
    <w:p>
      <w:pPr>
        <w:spacing w:line="360" w:lineRule="auto"/>
        <w:ind w:firstLine="480" w:firstLineChars="200"/>
        <w:rPr>
          <w:snapToGrid w:val="0"/>
          <w:color w:val="auto"/>
          <w:kern w:val="0"/>
          <w:sz w:val="24"/>
        </w:rPr>
      </w:pPr>
      <w:r>
        <w:rPr>
          <w:snapToGrid w:val="0"/>
          <w:color w:val="auto"/>
          <w:kern w:val="0"/>
          <w:sz w:val="24"/>
        </w:rPr>
        <w:t>根据《环境影响评价技术导则地表水环境》（HJ2.3-2018）中的有关规定，将地表水环境影响评价工作等级分为一级、二级、三级A、三级B，划分依据见表2-4-6。</w:t>
      </w:r>
    </w:p>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b/>
          <w:color w:val="auto"/>
          <w:sz w:val="24"/>
        </w:rPr>
      </w:pPr>
      <w:bookmarkStart w:id="45" w:name="_Hlk10134411"/>
      <w:r>
        <w:rPr>
          <w:b/>
          <w:color w:val="auto"/>
          <w:sz w:val="24"/>
        </w:rPr>
        <w:t>表2-4-6地表水评价等级确定表</w:t>
      </w:r>
    </w:p>
    <w:bookmarkEnd w:id="45"/>
    <w:tbl>
      <w:tblPr>
        <w:tblStyle w:val="46"/>
        <w:tblW w:w="8306"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842"/>
        <w:gridCol w:w="2268"/>
        <w:gridCol w:w="419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842" w:type="dxa"/>
            <w:vMerge w:val="restart"/>
            <w:vAlign w:val="center"/>
          </w:tcPr>
          <w:p>
            <w:pPr>
              <w:jc w:val="center"/>
              <w:rPr>
                <w:snapToGrid w:val="0"/>
                <w:color w:val="auto"/>
                <w:kern w:val="0"/>
                <w:lang w:val="zh-CN"/>
              </w:rPr>
            </w:pPr>
            <w:r>
              <w:rPr>
                <w:snapToGrid w:val="0"/>
                <w:color w:val="auto"/>
                <w:kern w:val="0"/>
                <w:lang w:val="zh-CN"/>
              </w:rPr>
              <w:t>评价等级</w:t>
            </w:r>
          </w:p>
        </w:tc>
        <w:tc>
          <w:tcPr>
            <w:tcW w:w="6464" w:type="dxa"/>
            <w:gridSpan w:val="2"/>
          </w:tcPr>
          <w:p>
            <w:pPr>
              <w:jc w:val="center"/>
              <w:rPr>
                <w:snapToGrid w:val="0"/>
                <w:color w:val="auto"/>
                <w:kern w:val="0"/>
                <w:lang w:val="zh-CN"/>
              </w:rPr>
            </w:pPr>
            <w:r>
              <w:rPr>
                <w:snapToGrid w:val="0"/>
                <w:color w:val="auto"/>
                <w:kern w:val="0"/>
                <w:lang w:val="zh-CN"/>
              </w:rPr>
              <w:t>判定依据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842" w:type="dxa"/>
            <w:vMerge w:val="continue"/>
            <w:vAlign w:val="center"/>
          </w:tcPr>
          <w:p>
            <w:pPr>
              <w:jc w:val="center"/>
              <w:rPr>
                <w:snapToGrid w:val="0"/>
                <w:color w:val="auto"/>
                <w:kern w:val="0"/>
                <w:lang w:val="zh-CN"/>
              </w:rPr>
            </w:pPr>
          </w:p>
        </w:tc>
        <w:tc>
          <w:tcPr>
            <w:tcW w:w="2268" w:type="dxa"/>
            <w:vAlign w:val="center"/>
          </w:tcPr>
          <w:p>
            <w:pPr>
              <w:jc w:val="center"/>
              <w:rPr>
                <w:snapToGrid w:val="0"/>
                <w:color w:val="auto"/>
                <w:kern w:val="0"/>
                <w:lang w:val="zh-CN"/>
              </w:rPr>
            </w:pPr>
            <w:r>
              <w:rPr>
                <w:snapToGrid w:val="0"/>
                <w:color w:val="auto"/>
                <w:kern w:val="0"/>
                <w:lang w:val="zh-CN"/>
              </w:rPr>
              <w:t>排放方式</w:t>
            </w:r>
          </w:p>
        </w:tc>
        <w:tc>
          <w:tcPr>
            <w:tcW w:w="4196" w:type="dxa"/>
            <w:vAlign w:val="center"/>
          </w:tcPr>
          <w:p>
            <w:pPr>
              <w:jc w:val="center"/>
              <w:rPr>
                <w:snapToGrid w:val="0"/>
                <w:color w:val="auto"/>
                <w:kern w:val="0"/>
                <w:lang w:val="zh-CN"/>
              </w:rPr>
            </w:pPr>
            <w:r>
              <w:rPr>
                <w:snapToGrid w:val="0"/>
                <w:color w:val="auto"/>
                <w:kern w:val="0"/>
                <w:lang w:val="zh-CN"/>
              </w:rPr>
              <w:t>废水排放量Q/（m</w:t>
            </w:r>
            <w:r>
              <w:rPr>
                <w:snapToGrid w:val="0"/>
                <w:color w:val="auto"/>
                <w:kern w:val="0"/>
                <w:vertAlign w:val="superscript"/>
                <w:lang w:val="zh-CN"/>
              </w:rPr>
              <w:t>3</w:t>
            </w:r>
            <w:r>
              <w:rPr>
                <w:snapToGrid w:val="0"/>
                <w:color w:val="auto"/>
                <w:kern w:val="0"/>
                <w:lang w:val="zh-CN"/>
              </w:rPr>
              <w:t>/d）；</w:t>
            </w:r>
          </w:p>
          <w:p>
            <w:pPr>
              <w:jc w:val="center"/>
              <w:rPr>
                <w:snapToGrid w:val="0"/>
                <w:color w:val="auto"/>
                <w:kern w:val="0"/>
                <w:lang w:val="zh-CN"/>
              </w:rPr>
            </w:pPr>
            <w:r>
              <w:rPr>
                <w:snapToGrid w:val="0"/>
                <w:color w:val="auto"/>
                <w:kern w:val="0"/>
                <w:lang w:val="zh-CN"/>
              </w:rPr>
              <w:t>水污染物当量数W/（无量纲）</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1" w:hRule="atLeast"/>
          <w:jc w:val="center"/>
        </w:trPr>
        <w:tc>
          <w:tcPr>
            <w:tcW w:w="1842" w:type="dxa"/>
            <w:vAlign w:val="center"/>
          </w:tcPr>
          <w:p>
            <w:pPr>
              <w:jc w:val="center"/>
              <w:rPr>
                <w:snapToGrid w:val="0"/>
                <w:color w:val="auto"/>
                <w:kern w:val="0"/>
                <w:lang w:val="zh-CN"/>
              </w:rPr>
            </w:pPr>
            <w:r>
              <w:rPr>
                <w:snapToGrid w:val="0"/>
                <w:color w:val="auto"/>
                <w:kern w:val="0"/>
                <w:lang w:val="zh-CN"/>
              </w:rPr>
              <w:t>一级</w:t>
            </w:r>
          </w:p>
        </w:tc>
        <w:tc>
          <w:tcPr>
            <w:tcW w:w="2268" w:type="dxa"/>
            <w:vAlign w:val="center"/>
          </w:tcPr>
          <w:p>
            <w:pPr>
              <w:jc w:val="center"/>
              <w:rPr>
                <w:snapToGrid w:val="0"/>
                <w:color w:val="auto"/>
                <w:kern w:val="0"/>
                <w:lang w:val="zh-CN"/>
              </w:rPr>
            </w:pPr>
            <w:r>
              <w:rPr>
                <w:snapToGrid w:val="0"/>
                <w:color w:val="auto"/>
                <w:kern w:val="0"/>
                <w:lang w:val="zh-CN"/>
              </w:rPr>
              <w:t>直接排放</w:t>
            </w:r>
          </w:p>
        </w:tc>
        <w:tc>
          <w:tcPr>
            <w:tcW w:w="4196" w:type="dxa"/>
            <w:vAlign w:val="center"/>
          </w:tcPr>
          <w:p>
            <w:pPr>
              <w:jc w:val="center"/>
              <w:rPr>
                <w:snapToGrid w:val="0"/>
                <w:color w:val="auto"/>
                <w:kern w:val="0"/>
                <w:lang w:val="zh-CN"/>
              </w:rPr>
            </w:pPr>
            <w:r>
              <w:rPr>
                <w:snapToGrid w:val="0"/>
                <w:color w:val="auto"/>
                <w:kern w:val="0"/>
                <w:lang w:val="zh-CN"/>
              </w:rPr>
              <w:t>Q≥20000或W≥600000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842" w:type="dxa"/>
            <w:vAlign w:val="center"/>
          </w:tcPr>
          <w:p>
            <w:pPr>
              <w:jc w:val="center"/>
              <w:rPr>
                <w:snapToGrid w:val="0"/>
                <w:color w:val="auto"/>
                <w:kern w:val="0"/>
                <w:lang w:val="zh-CN"/>
              </w:rPr>
            </w:pPr>
            <w:r>
              <w:rPr>
                <w:snapToGrid w:val="0"/>
                <w:color w:val="auto"/>
                <w:kern w:val="0"/>
                <w:lang w:val="zh-CN"/>
              </w:rPr>
              <w:t>二级</w:t>
            </w:r>
          </w:p>
        </w:tc>
        <w:tc>
          <w:tcPr>
            <w:tcW w:w="2268" w:type="dxa"/>
            <w:vAlign w:val="center"/>
          </w:tcPr>
          <w:p>
            <w:pPr>
              <w:jc w:val="center"/>
              <w:rPr>
                <w:snapToGrid w:val="0"/>
                <w:color w:val="auto"/>
                <w:kern w:val="0"/>
                <w:lang w:val="zh-CN"/>
              </w:rPr>
            </w:pPr>
            <w:r>
              <w:rPr>
                <w:snapToGrid w:val="0"/>
                <w:color w:val="auto"/>
                <w:kern w:val="0"/>
                <w:lang w:val="zh-CN"/>
              </w:rPr>
              <w:t>直接排放</w:t>
            </w:r>
          </w:p>
        </w:tc>
        <w:tc>
          <w:tcPr>
            <w:tcW w:w="4196" w:type="dxa"/>
            <w:vAlign w:val="center"/>
          </w:tcPr>
          <w:p>
            <w:pPr>
              <w:jc w:val="center"/>
              <w:rPr>
                <w:snapToGrid w:val="0"/>
                <w:color w:val="auto"/>
                <w:kern w:val="0"/>
                <w:lang w:val="zh-CN"/>
              </w:rPr>
            </w:pPr>
            <w:r>
              <w:rPr>
                <w:snapToGrid w:val="0"/>
                <w:color w:val="auto"/>
                <w:kern w:val="0"/>
                <w:lang w:val="zh-CN"/>
              </w:rPr>
              <w:t>其他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842" w:type="dxa"/>
            <w:vAlign w:val="center"/>
          </w:tcPr>
          <w:p>
            <w:pPr>
              <w:jc w:val="center"/>
              <w:rPr>
                <w:snapToGrid w:val="0"/>
                <w:color w:val="auto"/>
                <w:kern w:val="0"/>
                <w:lang w:val="zh-CN"/>
              </w:rPr>
            </w:pPr>
            <w:r>
              <w:rPr>
                <w:snapToGrid w:val="0"/>
                <w:color w:val="auto"/>
                <w:kern w:val="0"/>
              </w:rPr>
              <w:t>三级A</w:t>
            </w:r>
          </w:p>
        </w:tc>
        <w:tc>
          <w:tcPr>
            <w:tcW w:w="2268" w:type="dxa"/>
            <w:vAlign w:val="center"/>
          </w:tcPr>
          <w:p>
            <w:pPr>
              <w:jc w:val="center"/>
              <w:rPr>
                <w:snapToGrid w:val="0"/>
                <w:color w:val="auto"/>
                <w:kern w:val="0"/>
                <w:lang w:val="zh-CN"/>
              </w:rPr>
            </w:pPr>
            <w:r>
              <w:rPr>
                <w:snapToGrid w:val="0"/>
                <w:color w:val="auto"/>
                <w:kern w:val="0"/>
                <w:lang w:val="zh-CN"/>
              </w:rPr>
              <w:t>直接排放</w:t>
            </w:r>
          </w:p>
        </w:tc>
        <w:tc>
          <w:tcPr>
            <w:tcW w:w="4196" w:type="dxa"/>
            <w:vAlign w:val="center"/>
          </w:tcPr>
          <w:p>
            <w:pPr>
              <w:jc w:val="center"/>
              <w:rPr>
                <w:snapToGrid w:val="0"/>
                <w:color w:val="auto"/>
                <w:kern w:val="0"/>
                <w:lang w:val="zh-CN"/>
              </w:rPr>
            </w:pPr>
            <w:r>
              <w:rPr>
                <w:snapToGrid w:val="0"/>
                <w:color w:val="auto"/>
                <w:kern w:val="0"/>
                <w:lang w:val="zh-CN"/>
              </w:rPr>
              <w:t>Q＜200或W＜6000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842" w:type="dxa"/>
            <w:vAlign w:val="center"/>
          </w:tcPr>
          <w:p>
            <w:pPr>
              <w:jc w:val="center"/>
              <w:rPr>
                <w:b/>
                <w:snapToGrid w:val="0"/>
                <w:color w:val="auto"/>
                <w:kern w:val="0"/>
              </w:rPr>
            </w:pPr>
            <w:r>
              <w:rPr>
                <w:b/>
                <w:snapToGrid w:val="0"/>
                <w:color w:val="auto"/>
                <w:kern w:val="0"/>
              </w:rPr>
              <w:t>三级B</w:t>
            </w:r>
          </w:p>
        </w:tc>
        <w:tc>
          <w:tcPr>
            <w:tcW w:w="2268" w:type="dxa"/>
            <w:vAlign w:val="center"/>
          </w:tcPr>
          <w:p>
            <w:pPr>
              <w:jc w:val="center"/>
              <w:rPr>
                <w:b/>
                <w:snapToGrid w:val="0"/>
                <w:color w:val="auto"/>
                <w:kern w:val="0"/>
                <w:lang w:val="zh-CN"/>
              </w:rPr>
            </w:pPr>
            <w:r>
              <w:rPr>
                <w:b/>
                <w:snapToGrid w:val="0"/>
                <w:color w:val="auto"/>
                <w:kern w:val="0"/>
                <w:lang w:val="zh-CN"/>
              </w:rPr>
              <w:t>间接排放</w:t>
            </w:r>
          </w:p>
        </w:tc>
        <w:tc>
          <w:tcPr>
            <w:tcW w:w="4196" w:type="dxa"/>
            <w:vAlign w:val="center"/>
          </w:tcPr>
          <w:p>
            <w:pPr>
              <w:jc w:val="center"/>
              <w:rPr>
                <w:b/>
                <w:snapToGrid w:val="0"/>
                <w:color w:val="auto"/>
                <w:kern w:val="0"/>
                <w:lang w:val="zh-CN"/>
              </w:rPr>
            </w:pPr>
            <w:r>
              <w:rPr>
                <w:b/>
                <w:snapToGrid w:val="0"/>
                <w:color w:val="auto"/>
                <w:kern w:val="0"/>
                <w:lang w:val="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306" w:type="dxa"/>
            <w:gridSpan w:val="3"/>
            <w:vAlign w:val="center"/>
          </w:tcPr>
          <w:p>
            <w:pPr>
              <w:pStyle w:val="84"/>
              <w:ind w:firstLine="319"/>
              <w:jc w:val="both"/>
              <w:rPr>
                <w:rFonts w:hAnsi="Times New Roman"/>
                <w:color w:val="auto"/>
                <w:sz w:val="18"/>
                <w:szCs w:val="22"/>
              </w:rPr>
            </w:pPr>
            <w:r>
              <w:rPr>
                <w:rFonts w:hAnsi="Times New Roman"/>
                <w:color w:val="auto"/>
                <w:sz w:val="18"/>
                <w:szCs w:val="22"/>
              </w:rPr>
              <w:t>注1：水污染物当量数等于该污染物的年排放量除以该污染物的污染当量值（见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pPr>
              <w:pStyle w:val="84"/>
              <w:ind w:firstLine="319"/>
              <w:jc w:val="both"/>
              <w:rPr>
                <w:rFonts w:hAnsi="Times New Roman"/>
                <w:color w:val="auto"/>
                <w:sz w:val="18"/>
                <w:szCs w:val="22"/>
              </w:rPr>
            </w:pPr>
            <w:r>
              <w:rPr>
                <w:rFonts w:hAnsi="Times New Roman"/>
                <w:color w:val="auto"/>
                <w:sz w:val="18"/>
                <w:szCs w:val="22"/>
              </w:rPr>
              <w:t>注2：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pPr>
              <w:pStyle w:val="84"/>
              <w:ind w:firstLine="319"/>
              <w:jc w:val="both"/>
              <w:rPr>
                <w:rFonts w:hAnsi="Times New Roman"/>
                <w:color w:val="auto"/>
                <w:sz w:val="18"/>
                <w:szCs w:val="22"/>
              </w:rPr>
            </w:pPr>
            <w:r>
              <w:rPr>
                <w:rFonts w:hAnsi="Times New Roman"/>
                <w:color w:val="auto"/>
                <w:sz w:val="18"/>
                <w:szCs w:val="22"/>
              </w:rPr>
              <w:t>注3：厂区存在堆积物（露天堆放的原料、燃料、废渣等以及垃圾堆放场）、降尘污染的，应将初期雨污水纳入废水排放量，相应的主要污染物纳入水污染当量计算。</w:t>
            </w:r>
          </w:p>
          <w:p>
            <w:pPr>
              <w:pStyle w:val="84"/>
              <w:ind w:firstLine="319"/>
              <w:jc w:val="both"/>
              <w:rPr>
                <w:rFonts w:hAnsi="Times New Roman"/>
                <w:color w:val="auto"/>
                <w:sz w:val="18"/>
                <w:szCs w:val="22"/>
              </w:rPr>
            </w:pPr>
            <w:r>
              <w:rPr>
                <w:rFonts w:hAnsi="Times New Roman"/>
                <w:color w:val="auto"/>
                <w:sz w:val="18"/>
                <w:szCs w:val="22"/>
              </w:rPr>
              <w:t>注4：建设项目直接排放第一类污染物的，其评价等级为一级；建设项目直接排放的污染物为受纳水体超标因子的，评价等级不低于二级。</w:t>
            </w:r>
          </w:p>
          <w:p>
            <w:pPr>
              <w:pStyle w:val="84"/>
              <w:ind w:firstLine="319"/>
              <w:jc w:val="both"/>
              <w:rPr>
                <w:rFonts w:hAnsi="Times New Roman"/>
                <w:color w:val="auto"/>
                <w:sz w:val="18"/>
                <w:szCs w:val="22"/>
              </w:rPr>
            </w:pPr>
            <w:r>
              <w:rPr>
                <w:rFonts w:hAnsi="Times New Roman"/>
                <w:color w:val="auto"/>
                <w:sz w:val="18"/>
                <w:szCs w:val="22"/>
              </w:rPr>
              <w:t>注5：直接排放受纳水体影响范围涉及饮用水水源保护区、饮用水取水口、重点保护与珍稀水生生物的栖息地、重要水生生物的自然产卵场等保护目标时，评价等级不低于二级。</w:t>
            </w:r>
          </w:p>
          <w:p>
            <w:pPr>
              <w:pStyle w:val="84"/>
              <w:ind w:firstLine="319"/>
              <w:jc w:val="both"/>
              <w:rPr>
                <w:rFonts w:hAnsi="Times New Roman"/>
                <w:b/>
                <w:snapToGrid w:val="0"/>
                <w:color w:val="auto"/>
                <w:kern w:val="0"/>
                <w:lang w:val="zh-CN"/>
              </w:rPr>
            </w:pPr>
            <w:r>
              <w:rPr>
                <w:rFonts w:hAnsi="Times New Roman"/>
                <w:color w:val="auto"/>
                <w:sz w:val="18"/>
                <w:szCs w:val="22"/>
              </w:rPr>
              <w:t>注6：建设项目向河流、湖库排放温排水引起受纳水体水温变化超过水环境质量标准要求，且评价范围有水温敏感目标时，评价等级为一级。</w:t>
            </w:r>
          </w:p>
          <w:p>
            <w:pPr>
              <w:pStyle w:val="84"/>
              <w:ind w:firstLine="319"/>
              <w:jc w:val="both"/>
              <w:rPr>
                <w:rFonts w:hAnsi="Times New Roman"/>
                <w:color w:val="auto"/>
                <w:sz w:val="18"/>
                <w:szCs w:val="22"/>
              </w:rPr>
            </w:pPr>
            <w:r>
              <w:rPr>
                <w:rFonts w:hAnsi="Times New Roman"/>
                <w:color w:val="auto"/>
                <w:sz w:val="18"/>
                <w:szCs w:val="22"/>
              </w:rPr>
              <w:t>注7：建设项目利用海水作为调节温度介质，排水量≥500万m</w:t>
            </w:r>
            <w:r>
              <w:rPr>
                <w:rFonts w:hAnsi="Times New Roman"/>
                <w:color w:val="auto"/>
                <w:sz w:val="18"/>
                <w:szCs w:val="22"/>
                <w:vertAlign w:val="superscript"/>
              </w:rPr>
              <w:t>3</w:t>
            </w:r>
            <w:r>
              <w:rPr>
                <w:rFonts w:hAnsi="Times New Roman"/>
                <w:color w:val="auto"/>
                <w:sz w:val="18"/>
                <w:szCs w:val="22"/>
              </w:rPr>
              <w:t>/d，评价等级为一级；排水量＜500万m</w:t>
            </w:r>
            <w:r>
              <w:rPr>
                <w:rFonts w:hAnsi="Times New Roman"/>
                <w:color w:val="auto"/>
                <w:sz w:val="18"/>
                <w:szCs w:val="22"/>
                <w:vertAlign w:val="superscript"/>
              </w:rPr>
              <w:t>3</w:t>
            </w:r>
            <w:r>
              <w:rPr>
                <w:rFonts w:hAnsi="Times New Roman"/>
                <w:color w:val="auto"/>
                <w:sz w:val="18"/>
                <w:szCs w:val="22"/>
              </w:rPr>
              <w:t>/d，评价等级为二级。</w:t>
            </w:r>
          </w:p>
          <w:p>
            <w:pPr>
              <w:pStyle w:val="84"/>
              <w:ind w:firstLine="319"/>
              <w:jc w:val="both"/>
              <w:rPr>
                <w:rFonts w:hAnsi="Times New Roman"/>
                <w:color w:val="auto"/>
                <w:sz w:val="18"/>
                <w:szCs w:val="22"/>
              </w:rPr>
            </w:pPr>
            <w:r>
              <w:rPr>
                <w:rFonts w:hAnsi="Times New Roman"/>
                <w:color w:val="auto"/>
                <w:sz w:val="18"/>
                <w:szCs w:val="22"/>
              </w:rPr>
              <w:t>注8：仅涉及清净下水排放的，如其排放水质满足受纳水体水环境质量标准要求的，评价等级为三级 A。</w:t>
            </w:r>
          </w:p>
          <w:p>
            <w:pPr>
              <w:pStyle w:val="84"/>
              <w:ind w:firstLine="319"/>
              <w:jc w:val="both"/>
              <w:rPr>
                <w:rFonts w:hAnsi="Times New Roman"/>
                <w:color w:val="auto"/>
                <w:sz w:val="18"/>
                <w:szCs w:val="22"/>
              </w:rPr>
            </w:pPr>
            <w:r>
              <w:rPr>
                <w:rFonts w:hAnsi="Times New Roman"/>
                <w:color w:val="auto"/>
                <w:sz w:val="18"/>
                <w:szCs w:val="22"/>
              </w:rPr>
              <w:t>注9：依托现有排放口，且对外环境未新增排放污染物的直接排放建设项目，评价等级参照间接排放，定为三级B。</w:t>
            </w:r>
          </w:p>
          <w:p>
            <w:pPr>
              <w:jc w:val="center"/>
              <w:rPr>
                <w:b/>
                <w:snapToGrid w:val="0"/>
                <w:color w:val="auto"/>
                <w:kern w:val="0"/>
                <w:lang w:val="zh-CN"/>
              </w:rPr>
            </w:pPr>
            <w:r>
              <w:rPr>
                <w:rFonts w:hAnsi="Times New Roman"/>
                <w:b/>
                <w:color w:val="auto"/>
                <w:sz w:val="18"/>
                <w:szCs w:val="22"/>
              </w:rPr>
              <w:t>注10：建设项目生产工艺中有废水产生，但作为回水利用，不排放到外环境的，按三级B评价。</w:t>
            </w:r>
          </w:p>
        </w:tc>
      </w:tr>
    </w:tbl>
    <w:p>
      <w:pPr>
        <w:spacing w:line="360" w:lineRule="auto"/>
        <w:ind w:firstLine="480" w:firstLineChars="200"/>
        <w:rPr>
          <w:color w:val="auto"/>
          <w:sz w:val="24"/>
          <w:szCs w:val="21"/>
        </w:rPr>
      </w:pPr>
      <w:r>
        <w:rPr>
          <w:rFonts w:hint="eastAsia"/>
          <w:color w:val="auto"/>
          <w:sz w:val="24"/>
          <w:szCs w:val="21"/>
        </w:rPr>
        <w:t>本项目产生的污水经自建污水处理站处理达标后暂存</w:t>
      </w:r>
      <w:r>
        <w:rPr>
          <w:color w:val="auto"/>
          <w:sz w:val="24"/>
          <w:szCs w:val="21"/>
        </w:rPr>
        <w:t>于贮水池，</w:t>
      </w:r>
      <w:r>
        <w:rPr>
          <w:rFonts w:hint="eastAsia"/>
          <w:color w:val="auto"/>
          <w:sz w:val="24"/>
          <w:szCs w:val="21"/>
        </w:rPr>
        <w:t>每天</w:t>
      </w:r>
      <w:r>
        <w:rPr>
          <w:color w:val="auto"/>
          <w:sz w:val="24"/>
          <w:szCs w:val="21"/>
        </w:rPr>
        <w:t>采用专用罐车</w:t>
      </w:r>
      <w:r>
        <w:rPr>
          <w:rFonts w:hint="eastAsia"/>
          <w:color w:val="auto"/>
          <w:sz w:val="24"/>
          <w:szCs w:val="21"/>
        </w:rPr>
        <w:t>运至</w:t>
      </w:r>
      <w:r>
        <w:rPr>
          <w:rFonts w:hint="eastAsia"/>
          <w:color w:val="auto"/>
          <w:sz w:val="24"/>
          <w:szCs w:val="21"/>
          <w:lang w:eastAsia="zh-CN"/>
        </w:rPr>
        <w:t>尚志污水处理厂</w:t>
      </w:r>
      <w:r>
        <w:rPr>
          <w:color w:val="auto"/>
          <w:sz w:val="24"/>
          <w:szCs w:val="21"/>
        </w:rPr>
        <w:t>集中处理，因此本项目废水排放方式为间接排放。根据《环境影响评价技术导则地面水环境》（HJ 2.3—2018），本项目评价等级为三级B</w:t>
      </w:r>
      <w:r>
        <w:rPr>
          <w:color w:val="auto"/>
          <w:kern w:val="0"/>
          <w:sz w:val="24"/>
        </w:rPr>
        <w:t>。</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2.4.3地下水环境</w:t>
      </w:r>
    </w:p>
    <w:p>
      <w:pPr>
        <w:spacing w:line="360" w:lineRule="auto"/>
        <w:ind w:firstLine="480" w:firstLineChars="200"/>
        <w:rPr>
          <w:color w:val="auto"/>
          <w:kern w:val="0"/>
          <w:sz w:val="24"/>
        </w:rPr>
      </w:pPr>
      <w:r>
        <w:rPr>
          <w:color w:val="auto"/>
          <w:kern w:val="0"/>
          <w:sz w:val="24"/>
        </w:rPr>
        <w:t>根据《环境影响评价技术导则地下水环境》（HJ610-2016）评价工作等级的划分应依据建设项目行业分类和地下水环境敏感程度分级进行判定。</w:t>
      </w:r>
    </w:p>
    <w:p>
      <w:pPr>
        <w:spacing w:line="360" w:lineRule="auto"/>
        <w:ind w:firstLine="480" w:firstLineChars="200"/>
        <w:rPr>
          <w:color w:val="auto"/>
          <w:kern w:val="0"/>
          <w:sz w:val="24"/>
        </w:rPr>
      </w:pPr>
      <w:r>
        <w:rPr>
          <w:color w:val="auto"/>
          <w:kern w:val="0"/>
          <w:sz w:val="24"/>
        </w:rPr>
        <w:t>（1）根据《环境影响评价技术导则地下水环境》附录A确定本项目所属的地下水环境影响评价项目类别为Ⅲ类。</w:t>
      </w:r>
    </w:p>
    <w:p>
      <w:pPr>
        <w:spacing w:line="360" w:lineRule="auto"/>
        <w:ind w:firstLine="480" w:firstLineChars="200"/>
        <w:rPr>
          <w:color w:val="auto"/>
          <w:kern w:val="0"/>
          <w:sz w:val="24"/>
        </w:rPr>
      </w:pPr>
      <w:r>
        <w:rPr>
          <w:color w:val="auto"/>
          <w:kern w:val="0"/>
          <w:sz w:val="24"/>
        </w:rPr>
        <w:t>（2）建设项目场地的地下水环境敏感程度可分为敏感、较敏感、不敏感三级，分级原则见表2-4-7。</w:t>
      </w:r>
    </w:p>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b/>
          <w:color w:val="auto"/>
          <w:kern w:val="0"/>
          <w:sz w:val="24"/>
        </w:rPr>
      </w:pPr>
      <w:r>
        <w:rPr>
          <w:b/>
          <w:color w:val="auto"/>
          <w:kern w:val="0"/>
          <w:sz w:val="24"/>
        </w:rPr>
        <w:t>表2-4-7地下水环境敏感程度分级</w:t>
      </w:r>
    </w:p>
    <w:tbl>
      <w:tblPr>
        <w:tblStyle w:val="46"/>
        <w:tblW w:w="868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5"/>
        <w:gridCol w:w="78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85" w:type="dxa"/>
            <w:tcBorders>
              <w:top w:val="single" w:color="auto" w:sz="12" w:space="0"/>
              <w:left w:val="nil"/>
              <w:bottom w:val="single" w:color="auto" w:sz="4" w:space="0"/>
              <w:right w:val="single" w:color="auto" w:sz="4" w:space="0"/>
            </w:tcBorders>
            <w:vAlign w:val="center"/>
          </w:tcPr>
          <w:p>
            <w:pPr>
              <w:jc w:val="center"/>
              <w:rPr>
                <w:color w:val="auto"/>
                <w:kern w:val="0"/>
                <w:szCs w:val="21"/>
              </w:rPr>
            </w:pPr>
            <w:r>
              <w:rPr>
                <w:color w:val="auto"/>
                <w:kern w:val="0"/>
                <w:szCs w:val="21"/>
              </w:rPr>
              <w:t>分级</w:t>
            </w:r>
          </w:p>
        </w:tc>
        <w:tc>
          <w:tcPr>
            <w:tcW w:w="7800" w:type="dxa"/>
            <w:tcBorders>
              <w:top w:val="single" w:color="auto" w:sz="12" w:space="0"/>
              <w:left w:val="single" w:color="auto" w:sz="4" w:space="0"/>
              <w:bottom w:val="single" w:color="auto" w:sz="4" w:space="0"/>
              <w:right w:val="nil"/>
            </w:tcBorders>
            <w:vAlign w:val="center"/>
          </w:tcPr>
          <w:p>
            <w:pPr>
              <w:jc w:val="center"/>
              <w:rPr>
                <w:color w:val="auto"/>
                <w:kern w:val="0"/>
                <w:szCs w:val="21"/>
              </w:rPr>
            </w:pPr>
            <w:r>
              <w:rPr>
                <w:color w:val="auto"/>
                <w:kern w:val="0"/>
                <w:szCs w:val="21"/>
              </w:rPr>
              <w:t>项目场地的地下水环境敏感特征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8" w:hRule="exact"/>
          <w:jc w:val="center"/>
        </w:trPr>
        <w:tc>
          <w:tcPr>
            <w:tcW w:w="885" w:type="dxa"/>
            <w:tcBorders>
              <w:top w:val="single" w:color="auto" w:sz="4" w:space="0"/>
              <w:left w:val="nil"/>
              <w:bottom w:val="single" w:color="auto" w:sz="4" w:space="0"/>
              <w:right w:val="single" w:color="auto" w:sz="4" w:space="0"/>
            </w:tcBorders>
            <w:vAlign w:val="center"/>
          </w:tcPr>
          <w:p>
            <w:pPr>
              <w:jc w:val="center"/>
              <w:rPr>
                <w:color w:val="auto"/>
                <w:kern w:val="0"/>
                <w:szCs w:val="21"/>
              </w:rPr>
            </w:pPr>
            <w:r>
              <w:rPr>
                <w:color w:val="auto"/>
                <w:kern w:val="0"/>
                <w:szCs w:val="21"/>
              </w:rPr>
              <w:t>敏感</w:t>
            </w:r>
          </w:p>
        </w:tc>
        <w:tc>
          <w:tcPr>
            <w:tcW w:w="7800" w:type="dxa"/>
            <w:tcBorders>
              <w:top w:val="single" w:color="auto" w:sz="4" w:space="0"/>
              <w:left w:val="single" w:color="auto" w:sz="4" w:space="0"/>
              <w:bottom w:val="single" w:color="auto" w:sz="4" w:space="0"/>
              <w:right w:val="nil"/>
            </w:tcBorders>
            <w:vAlign w:val="center"/>
          </w:tcPr>
          <w:p>
            <w:pPr>
              <w:jc w:val="center"/>
              <w:rPr>
                <w:color w:val="auto"/>
                <w:kern w:val="0"/>
                <w:szCs w:val="21"/>
              </w:rPr>
            </w:pPr>
            <w:r>
              <w:rPr>
                <w:color w:val="auto"/>
                <w:kern w:val="0"/>
                <w:szCs w:val="21"/>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3" w:hRule="exact"/>
          <w:jc w:val="center"/>
        </w:trPr>
        <w:tc>
          <w:tcPr>
            <w:tcW w:w="885" w:type="dxa"/>
            <w:tcBorders>
              <w:top w:val="single" w:color="auto" w:sz="4" w:space="0"/>
              <w:left w:val="nil"/>
              <w:bottom w:val="single" w:color="auto" w:sz="4" w:space="0"/>
              <w:right w:val="single" w:color="auto" w:sz="4" w:space="0"/>
            </w:tcBorders>
            <w:vAlign w:val="center"/>
          </w:tcPr>
          <w:p>
            <w:pPr>
              <w:jc w:val="center"/>
              <w:rPr>
                <w:color w:val="auto"/>
                <w:kern w:val="0"/>
                <w:szCs w:val="21"/>
              </w:rPr>
            </w:pPr>
            <w:r>
              <w:rPr>
                <w:color w:val="auto"/>
                <w:kern w:val="0"/>
                <w:szCs w:val="21"/>
              </w:rPr>
              <w:t>较敏感</w:t>
            </w:r>
          </w:p>
        </w:tc>
        <w:tc>
          <w:tcPr>
            <w:tcW w:w="7800" w:type="dxa"/>
            <w:tcBorders>
              <w:top w:val="single" w:color="auto" w:sz="4" w:space="0"/>
              <w:left w:val="single" w:color="auto" w:sz="4" w:space="0"/>
              <w:bottom w:val="single" w:color="auto" w:sz="4" w:space="0"/>
              <w:right w:val="nil"/>
            </w:tcBorders>
            <w:vAlign w:val="center"/>
          </w:tcPr>
          <w:p>
            <w:pPr>
              <w:jc w:val="center"/>
              <w:rPr>
                <w:color w:val="auto"/>
                <w:szCs w:val="21"/>
              </w:rPr>
            </w:pPr>
            <w:r>
              <w:rPr>
                <w:color w:val="auto"/>
                <w:kern w:val="0"/>
                <w:szCs w:val="21"/>
              </w:rPr>
              <w:t>集中式饮用水水源（包括已建成的在用、备用、应急水源，在建和规划的饮用水水源）准保护区以外的补给径流区；未划定准保护区的集中水式饮用水水源，其保护区以外的补给径</w:t>
            </w:r>
            <w:r>
              <w:rPr>
                <w:color w:val="auto"/>
                <w:kern w:val="0"/>
                <w:szCs w:val="21"/>
                <w:highlight w:val="none"/>
              </w:rPr>
              <w:t>流区；分散式饮用水水源地；特殊</w:t>
            </w:r>
            <w:r>
              <w:rPr>
                <w:color w:val="auto"/>
                <w:kern w:val="0"/>
                <w:szCs w:val="21"/>
              </w:rPr>
              <w:t>地下水资源（如矿泉水、温泉等）保护区以外的分布区等其他未列入上述敏感分级的环境敏感区a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85" w:type="dxa"/>
            <w:tcBorders>
              <w:top w:val="single" w:color="auto" w:sz="4" w:space="0"/>
              <w:left w:val="nil"/>
              <w:bottom w:val="single" w:color="auto" w:sz="4" w:space="0"/>
              <w:right w:val="single" w:color="auto" w:sz="4" w:space="0"/>
            </w:tcBorders>
            <w:vAlign w:val="center"/>
          </w:tcPr>
          <w:p>
            <w:pPr>
              <w:jc w:val="center"/>
              <w:rPr>
                <w:color w:val="auto"/>
                <w:kern w:val="0"/>
                <w:szCs w:val="21"/>
              </w:rPr>
            </w:pPr>
            <w:r>
              <w:rPr>
                <w:color w:val="auto"/>
                <w:kern w:val="0"/>
                <w:szCs w:val="21"/>
              </w:rPr>
              <w:t>不敏感</w:t>
            </w:r>
          </w:p>
        </w:tc>
        <w:tc>
          <w:tcPr>
            <w:tcW w:w="7800" w:type="dxa"/>
            <w:tcBorders>
              <w:top w:val="single" w:color="auto" w:sz="4" w:space="0"/>
              <w:left w:val="single" w:color="auto" w:sz="4" w:space="0"/>
              <w:bottom w:val="single" w:color="auto" w:sz="4" w:space="0"/>
              <w:right w:val="nil"/>
            </w:tcBorders>
            <w:vAlign w:val="center"/>
          </w:tcPr>
          <w:p>
            <w:pPr>
              <w:jc w:val="center"/>
              <w:rPr>
                <w:color w:val="auto"/>
                <w:kern w:val="0"/>
                <w:szCs w:val="21"/>
              </w:rPr>
            </w:pPr>
            <w:r>
              <w:rPr>
                <w:color w:val="auto"/>
                <w:kern w:val="0"/>
                <w:szCs w:val="21"/>
              </w:rPr>
              <w:t>上述地区之外的其他地区。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8685" w:type="dxa"/>
            <w:gridSpan w:val="2"/>
            <w:tcBorders>
              <w:top w:val="single" w:color="auto" w:sz="4" w:space="0"/>
              <w:left w:val="nil"/>
              <w:bottom w:val="single" w:color="auto" w:sz="12" w:space="0"/>
              <w:right w:val="nil"/>
            </w:tcBorders>
            <w:vAlign w:val="center"/>
          </w:tcPr>
          <w:p>
            <w:pPr>
              <w:rPr>
                <w:color w:val="auto"/>
                <w:kern w:val="0"/>
                <w:szCs w:val="21"/>
              </w:rPr>
            </w:pPr>
            <w:r>
              <w:rPr>
                <w:color w:val="auto"/>
                <w:kern w:val="0"/>
                <w:szCs w:val="21"/>
              </w:rPr>
              <w:t>注：a“环境敏感区”是指《建设项目环境影响评价分类管理名录》中所界定的涉及地下水的环境敏感区。</w:t>
            </w:r>
          </w:p>
        </w:tc>
      </w:tr>
    </w:tbl>
    <w:p>
      <w:pPr>
        <w:spacing w:line="360" w:lineRule="auto"/>
        <w:ind w:firstLine="480" w:firstLineChars="200"/>
        <w:rPr>
          <w:color w:val="auto"/>
          <w:sz w:val="24"/>
        </w:rPr>
      </w:pPr>
      <w:r>
        <w:rPr>
          <w:color w:val="auto"/>
          <w:sz w:val="24"/>
        </w:rPr>
        <w:t>本项目地下水走向由</w:t>
      </w:r>
      <w:r>
        <w:rPr>
          <w:rFonts w:hint="eastAsia"/>
          <w:color w:val="auto"/>
          <w:sz w:val="24"/>
          <w:highlight w:val="none"/>
          <w:lang w:eastAsia="zh-CN"/>
        </w:rPr>
        <w:t>西</w:t>
      </w:r>
      <w:r>
        <w:rPr>
          <w:color w:val="auto"/>
          <w:sz w:val="24"/>
          <w:highlight w:val="none"/>
        </w:rPr>
        <w:t>向</w:t>
      </w:r>
      <w:r>
        <w:rPr>
          <w:rFonts w:hint="eastAsia"/>
          <w:color w:val="auto"/>
          <w:sz w:val="24"/>
          <w:highlight w:val="none"/>
          <w:lang w:val="en-US" w:eastAsia="zh-CN"/>
        </w:rPr>
        <w:t>东</w:t>
      </w:r>
      <w:r>
        <w:rPr>
          <w:color w:val="auto"/>
          <w:sz w:val="24"/>
          <w:highlight w:val="none"/>
        </w:rPr>
        <w:t>。本项目生产用水</w:t>
      </w:r>
      <w:r>
        <w:rPr>
          <w:rFonts w:hint="eastAsia"/>
          <w:color w:val="auto"/>
          <w:sz w:val="24"/>
          <w:highlight w:val="none"/>
          <w:lang w:val="en-US" w:eastAsia="zh-CN"/>
        </w:rPr>
        <w:t>及生活用水</w:t>
      </w:r>
      <w:r>
        <w:rPr>
          <w:color w:val="auto"/>
          <w:sz w:val="24"/>
          <w:highlight w:val="none"/>
        </w:rPr>
        <w:t>由厂区自打水井</w:t>
      </w:r>
      <w:r>
        <w:rPr>
          <w:rFonts w:hint="eastAsia"/>
          <w:color w:val="auto"/>
          <w:sz w:val="24"/>
          <w:highlight w:val="none"/>
        </w:rPr>
        <w:t>提供</w:t>
      </w:r>
      <w:r>
        <w:rPr>
          <w:color w:val="auto"/>
          <w:sz w:val="24"/>
          <w:highlight w:val="none"/>
        </w:rPr>
        <w:t>。</w:t>
      </w:r>
      <w:r>
        <w:rPr>
          <w:rFonts w:hint="eastAsia"/>
          <w:color w:val="auto"/>
          <w:sz w:val="24"/>
          <w:highlight w:val="none"/>
          <w:lang w:val="en-US" w:eastAsia="zh-CN"/>
        </w:rPr>
        <w:t>项目所在区域周边分布有2个村屯：一曼村、一曼下屯。一曼村、一曼下屯</w:t>
      </w:r>
      <w:r>
        <w:rPr>
          <w:rFonts w:hint="default" w:ascii="Times New Roman" w:hAnsi="Times New Roman" w:eastAsia="宋体" w:cs="Times New Roman"/>
          <w:color w:val="auto"/>
          <w:kern w:val="21"/>
          <w:sz w:val="24"/>
          <w:szCs w:val="24"/>
          <w:highlight w:val="none"/>
          <w:u w:val="none"/>
        </w:rPr>
        <w:t>的饮用水取水方式为为以村为单位的饮用水水源供水机井，</w:t>
      </w:r>
      <w:r>
        <w:rPr>
          <w:rFonts w:hint="eastAsia"/>
          <w:color w:val="auto"/>
          <w:sz w:val="24"/>
          <w:highlight w:val="none"/>
          <w:lang w:val="en-US" w:eastAsia="zh-CN"/>
        </w:rPr>
        <w:t>一曼村</w:t>
      </w:r>
      <w:r>
        <w:rPr>
          <w:rFonts w:hint="default" w:ascii="Times New Roman" w:hAnsi="Times New Roman" w:eastAsia="宋体" w:cs="Times New Roman"/>
          <w:color w:val="auto"/>
          <w:kern w:val="21"/>
          <w:sz w:val="24"/>
          <w:szCs w:val="24"/>
          <w:highlight w:val="none"/>
          <w:u w:val="none"/>
        </w:rPr>
        <w:t>供水人数约</w:t>
      </w:r>
      <w:r>
        <w:rPr>
          <w:rFonts w:hint="eastAsia" w:ascii="Times New Roman" w:hAnsi="Times New Roman" w:eastAsia="宋体" w:cs="Times New Roman"/>
          <w:color w:val="auto"/>
          <w:kern w:val="21"/>
          <w:sz w:val="24"/>
          <w:szCs w:val="24"/>
          <w:highlight w:val="none"/>
          <w:u w:val="none"/>
          <w:lang w:val="en-US" w:eastAsia="zh-CN"/>
        </w:rPr>
        <w:t>220</w:t>
      </w:r>
      <w:r>
        <w:rPr>
          <w:rFonts w:hint="default" w:ascii="Times New Roman" w:hAnsi="Times New Roman" w:eastAsia="宋体" w:cs="Times New Roman"/>
          <w:color w:val="auto"/>
          <w:kern w:val="21"/>
          <w:sz w:val="24"/>
          <w:szCs w:val="24"/>
          <w:highlight w:val="none"/>
          <w:u w:val="none"/>
        </w:rPr>
        <w:t>人，</w:t>
      </w:r>
      <w:r>
        <w:rPr>
          <w:rFonts w:hint="eastAsia"/>
          <w:color w:val="auto"/>
          <w:sz w:val="24"/>
          <w:highlight w:val="none"/>
          <w:lang w:val="en-US" w:eastAsia="zh-CN"/>
        </w:rPr>
        <w:t>一曼下屯</w:t>
      </w:r>
      <w:r>
        <w:rPr>
          <w:rFonts w:hint="default" w:ascii="Times New Roman" w:hAnsi="Times New Roman" w:eastAsia="宋体" w:cs="Times New Roman"/>
          <w:color w:val="auto"/>
          <w:kern w:val="21"/>
          <w:sz w:val="24"/>
          <w:szCs w:val="24"/>
          <w:highlight w:val="none"/>
          <w:u w:val="none"/>
        </w:rPr>
        <w:t>供水人数约</w:t>
      </w:r>
      <w:r>
        <w:rPr>
          <w:rFonts w:hint="eastAsia" w:ascii="Times New Roman" w:hAnsi="Times New Roman" w:eastAsia="宋体" w:cs="Times New Roman"/>
          <w:color w:val="auto"/>
          <w:kern w:val="21"/>
          <w:sz w:val="24"/>
          <w:szCs w:val="24"/>
          <w:highlight w:val="none"/>
          <w:u w:val="none"/>
          <w:lang w:val="en-US" w:eastAsia="zh-CN"/>
        </w:rPr>
        <w:t>180</w:t>
      </w:r>
      <w:r>
        <w:rPr>
          <w:rFonts w:hint="default" w:ascii="Times New Roman" w:hAnsi="Times New Roman" w:eastAsia="宋体" w:cs="Times New Roman"/>
          <w:color w:val="auto"/>
          <w:kern w:val="21"/>
          <w:sz w:val="24"/>
          <w:szCs w:val="24"/>
          <w:highlight w:val="none"/>
          <w:u w:val="none"/>
        </w:rPr>
        <w:t>人，属分散式饮用水水源地</w:t>
      </w:r>
      <w:r>
        <w:rPr>
          <w:rFonts w:hint="eastAsia" w:ascii="Times New Roman" w:hAnsi="Times New Roman" w:eastAsia="宋体" w:cs="Times New Roman"/>
          <w:color w:val="auto"/>
          <w:kern w:val="21"/>
          <w:sz w:val="24"/>
          <w:szCs w:val="24"/>
          <w:highlight w:val="none"/>
          <w:u w:val="none"/>
          <w:lang w:eastAsia="zh-CN"/>
        </w:rPr>
        <w:t>。</w:t>
      </w:r>
      <w:r>
        <w:rPr>
          <w:rFonts w:hint="eastAsia" w:ascii="Times New Roman" w:hAnsi="Times New Roman" w:eastAsia="宋体" w:cs="Times New Roman"/>
          <w:color w:val="auto"/>
          <w:kern w:val="21"/>
          <w:sz w:val="24"/>
          <w:szCs w:val="24"/>
          <w:highlight w:val="none"/>
          <w:u w:val="none"/>
          <w:lang w:val="en-US" w:eastAsia="zh-CN"/>
        </w:rPr>
        <w:t>一曼村位于</w:t>
      </w:r>
      <w:r>
        <w:rPr>
          <w:rFonts w:hint="default" w:ascii="Times New Roman" w:hAnsi="Times New Roman" w:eastAsia="宋体" w:cs="Times New Roman"/>
          <w:color w:val="auto"/>
          <w:kern w:val="21"/>
          <w:sz w:val="24"/>
          <w:szCs w:val="24"/>
          <w:highlight w:val="none"/>
          <w:u w:val="none"/>
        </w:rPr>
        <w:t>区域地下水流向的侧上游</w:t>
      </w:r>
      <w:r>
        <w:rPr>
          <w:rFonts w:hint="eastAsia" w:ascii="Times New Roman" w:hAnsi="Times New Roman" w:eastAsia="宋体" w:cs="Times New Roman"/>
          <w:color w:val="auto"/>
          <w:kern w:val="21"/>
          <w:sz w:val="24"/>
          <w:szCs w:val="24"/>
          <w:highlight w:val="none"/>
          <w:u w:val="none"/>
          <w:lang w:eastAsia="zh-CN"/>
        </w:rPr>
        <w:t>，</w:t>
      </w:r>
      <w:r>
        <w:rPr>
          <w:rFonts w:hint="eastAsia" w:ascii="Times New Roman" w:hAnsi="Times New Roman" w:eastAsia="宋体" w:cs="Times New Roman"/>
          <w:color w:val="auto"/>
          <w:kern w:val="21"/>
          <w:sz w:val="24"/>
          <w:szCs w:val="24"/>
          <w:highlight w:val="none"/>
          <w:u w:val="none"/>
          <w:lang w:val="en-US" w:eastAsia="zh-CN"/>
        </w:rPr>
        <w:t>一曼下屯位于</w:t>
      </w:r>
      <w:r>
        <w:rPr>
          <w:rFonts w:hint="default" w:ascii="Times New Roman" w:hAnsi="Times New Roman" w:eastAsia="宋体" w:cs="Times New Roman"/>
          <w:color w:val="auto"/>
          <w:kern w:val="21"/>
          <w:sz w:val="24"/>
          <w:szCs w:val="24"/>
          <w:highlight w:val="none"/>
          <w:u w:val="none"/>
        </w:rPr>
        <w:t>区域地下水流向的</w:t>
      </w:r>
      <w:r>
        <w:rPr>
          <w:rFonts w:hint="eastAsia" w:ascii="Times New Roman" w:hAnsi="Times New Roman" w:eastAsia="宋体" w:cs="Times New Roman"/>
          <w:color w:val="auto"/>
          <w:kern w:val="21"/>
          <w:sz w:val="24"/>
          <w:szCs w:val="24"/>
          <w:highlight w:val="none"/>
          <w:u w:val="none"/>
          <w:lang w:eastAsia="zh-CN"/>
        </w:rPr>
        <w:t>下</w:t>
      </w:r>
      <w:r>
        <w:rPr>
          <w:rFonts w:hint="default" w:ascii="Times New Roman" w:hAnsi="Times New Roman" w:eastAsia="宋体" w:cs="Times New Roman"/>
          <w:color w:val="auto"/>
          <w:kern w:val="21"/>
          <w:sz w:val="24"/>
          <w:szCs w:val="24"/>
          <w:highlight w:val="none"/>
          <w:u w:val="none"/>
        </w:rPr>
        <w:t>游。</w:t>
      </w:r>
      <w:r>
        <w:rPr>
          <w:color w:val="auto"/>
          <w:sz w:val="24"/>
          <w:highlight w:val="none"/>
        </w:rPr>
        <w:t>因此判定为本项目</w:t>
      </w:r>
      <w:r>
        <w:rPr>
          <w:bCs/>
          <w:color w:val="auto"/>
          <w:sz w:val="24"/>
          <w:highlight w:val="none"/>
        </w:rPr>
        <w:t>地下水环境敏感程度为较敏感。</w:t>
      </w:r>
    </w:p>
    <w:p>
      <w:pPr>
        <w:spacing w:line="360" w:lineRule="auto"/>
        <w:ind w:firstLine="424" w:firstLineChars="177"/>
        <w:rPr>
          <w:color w:val="auto"/>
          <w:sz w:val="24"/>
        </w:rPr>
      </w:pPr>
      <w:r>
        <w:rPr>
          <w:color w:val="auto"/>
          <w:sz w:val="24"/>
        </w:rPr>
        <w:t>（</w:t>
      </w:r>
      <w:r>
        <w:rPr>
          <w:rFonts w:hint="eastAsia"/>
          <w:color w:val="auto"/>
          <w:sz w:val="24"/>
        </w:rPr>
        <w:t>3</w:t>
      </w:r>
      <w:r>
        <w:rPr>
          <w:color w:val="auto"/>
          <w:sz w:val="24"/>
        </w:rPr>
        <w:t>）根据《环境影响评价技术导则地下水环境》（HJ610-2016），建设项目地下水环境影响评价工作等级划分见表2-4-8。</w:t>
      </w:r>
    </w:p>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b/>
          <w:color w:val="auto"/>
          <w:kern w:val="0"/>
          <w:sz w:val="24"/>
        </w:rPr>
      </w:pPr>
      <w:r>
        <w:rPr>
          <w:b/>
          <w:color w:val="auto"/>
          <w:kern w:val="0"/>
          <w:sz w:val="24"/>
        </w:rPr>
        <w:t>表2-4-8地下水环境影响评价工作等级表</w:t>
      </w:r>
    </w:p>
    <w:tbl>
      <w:tblPr>
        <w:tblStyle w:val="46"/>
        <w:tblW w:w="4999"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799"/>
        <w:gridCol w:w="1621"/>
        <w:gridCol w:w="1681"/>
        <w:gridCol w:w="2419"/>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32" w:hRule="atLeast"/>
          <w:jc w:val="center"/>
        </w:trPr>
        <w:tc>
          <w:tcPr>
            <w:tcW w:w="1642" w:type="pct"/>
            <w:tcBorders>
              <w:top w:val="single" w:color="000000" w:sz="12" w:space="0"/>
              <w:left w:val="nil"/>
              <w:bottom w:val="single" w:color="000000" w:sz="4" w:space="0"/>
              <w:right w:val="single" w:color="000000" w:sz="4" w:space="0"/>
            </w:tcBorders>
            <w:vAlign w:val="center"/>
          </w:tcPr>
          <w:p>
            <w:pPr>
              <w:jc w:val="center"/>
              <w:rPr>
                <w:color w:val="auto"/>
                <w:kern w:val="0"/>
                <w:szCs w:val="21"/>
              </w:rPr>
            </w:pPr>
            <w:r>
              <w:rPr>
                <w:color w:val="auto"/>
                <w:kern w:val="0"/>
                <w:szCs w:val="21"/>
              </w:rPr>
              <w:pict>
                <v:shape id="_x0000_s2509" o:spid="_x0000_s2509" o:spt="32" type="#_x0000_t32" style="position:absolute;left:0pt;margin-left:-4.25pt;margin-top:-0.6pt;height:36.35pt;width:136.15pt;z-index:251663360;mso-width-relative:page;mso-height-relative:page;" filled="f" stroked="t" coordsize="21600,21600">
                  <v:path arrowok="t"/>
                  <v:fill on="f" focussize="0,0"/>
                  <v:stroke color="#000000"/>
                  <v:imagedata o:title=""/>
                  <o:lock v:ext="edit" aspectratio="f"/>
                </v:shape>
              </w:pict>
            </w:r>
            <w:r>
              <w:rPr>
                <w:rFonts w:hint="eastAsia"/>
                <w:color w:val="auto"/>
                <w:kern w:val="0"/>
                <w:szCs w:val="21"/>
                <w:lang w:val="en-US" w:eastAsia="zh-CN"/>
              </w:rPr>
              <w:t xml:space="preserve">         </w:t>
            </w:r>
            <w:r>
              <w:rPr>
                <w:color w:val="auto"/>
                <w:kern w:val="0"/>
                <w:szCs w:val="21"/>
              </w:rPr>
              <w:t>项目类别</w:t>
            </w:r>
          </w:p>
          <w:p>
            <w:pPr>
              <w:jc w:val="both"/>
              <w:rPr>
                <w:color w:val="auto"/>
                <w:szCs w:val="21"/>
              </w:rPr>
            </w:pPr>
            <w:r>
              <w:rPr>
                <w:color w:val="auto"/>
                <w:kern w:val="0"/>
                <w:szCs w:val="21"/>
              </w:rPr>
              <w:t>环境敏感程度</w:t>
            </w:r>
          </w:p>
        </w:tc>
        <w:tc>
          <w:tcPr>
            <w:tcW w:w="951" w:type="pct"/>
            <w:tcBorders>
              <w:top w:val="single" w:color="000000" w:sz="12" w:space="0"/>
              <w:left w:val="single" w:color="000000" w:sz="4" w:space="0"/>
              <w:bottom w:val="single" w:color="000000" w:sz="4" w:space="0"/>
              <w:right w:val="single" w:color="000000" w:sz="4" w:space="0"/>
            </w:tcBorders>
            <w:vAlign w:val="center"/>
          </w:tcPr>
          <w:p>
            <w:pPr>
              <w:jc w:val="center"/>
              <w:rPr>
                <w:color w:val="auto"/>
                <w:szCs w:val="21"/>
              </w:rPr>
            </w:pPr>
            <w:r>
              <w:rPr>
                <w:color w:val="auto"/>
                <w:kern w:val="0"/>
                <w:szCs w:val="21"/>
              </w:rPr>
              <w:t>Ⅰ类项目</w:t>
            </w:r>
          </w:p>
        </w:tc>
        <w:tc>
          <w:tcPr>
            <w:tcW w:w="986" w:type="pct"/>
            <w:tcBorders>
              <w:top w:val="single" w:color="000000" w:sz="12" w:space="0"/>
              <w:left w:val="single" w:color="000000" w:sz="4" w:space="0"/>
              <w:bottom w:val="single" w:color="000000" w:sz="4" w:space="0"/>
              <w:right w:val="single" w:color="000000" w:sz="4" w:space="0"/>
            </w:tcBorders>
            <w:vAlign w:val="center"/>
          </w:tcPr>
          <w:p>
            <w:pPr>
              <w:jc w:val="center"/>
              <w:rPr>
                <w:color w:val="auto"/>
                <w:szCs w:val="21"/>
              </w:rPr>
            </w:pPr>
            <w:r>
              <w:rPr>
                <w:color w:val="auto"/>
                <w:kern w:val="0"/>
                <w:szCs w:val="21"/>
              </w:rPr>
              <w:t>Ⅱ类项目</w:t>
            </w:r>
          </w:p>
        </w:tc>
        <w:tc>
          <w:tcPr>
            <w:tcW w:w="1419" w:type="pct"/>
            <w:tcBorders>
              <w:top w:val="single" w:color="000000" w:sz="12" w:space="0"/>
              <w:left w:val="single" w:color="000000" w:sz="4" w:space="0"/>
              <w:bottom w:val="single" w:color="000000" w:sz="4" w:space="0"/>
              <w:right w:val="nil"/>
            </w:tcBorders>
            <w:vAlign w:val="center"/>
          </w:tcPr>
          <w:p>
            <w:pPr>
              <w:jc w:val="center"/>
              <w:rPr>
                <w:color w:val="auto"/>
                <w:szCs w:val="21"/>
              </w:rPr>
            </w:pPr>
            <w:r>
              <w:rPr>
                <w:color w:val="auto"/>
                <w:kern w:val="0"/>
                <w:szCs w:val="21"/>
              </w:rPr>
              <w:t>Ⅲ类项目</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6" w:hRule="atLeast"/>
          <w:jc w:val="center"/>
        </w:trPr>
        <w:tc>
          <w:tcPr>
            <w:tcW w:w="1642" w:type="pct"/>
            <w:tcBorders>
              <w:top w:val="single" w:color="000000" w:sz="4" w:space="0"/>
              <w:left w:val="nil"/>
              <w:bottom w:val="single" w:color="000000" w:sz="4" w:space="0"/>
              <w:right w:val="single" w:color="000000" w:sz="4" w:space="0"/>
            </w:tcBorders>
            <w:vAlign w:val="center"/>
          </w:tcPr>
          <w:p>
            <w:pPr>
              <w:jc w:val="center"/>
              <w:rPr>
                <w:color w:val="auto"/>
                <w:szCs w:val="21"/>
              </w:rPr>
            </w:pPr>
            <w:r>
              <w:rPr>
                <w:color w:val="auto"/>
                <w:kern w:val="0"/>
                <w:szCs w:val="21"/>
              </w:rPr>
              <w:t>敏感</w:t>
            </w:r>
          </w:p>
        </w:tc>
        <w:tc>
          <w:tcPr>
            <w:tcW w:w="951" w:type="pct"/>
            <w:tcBorders>
              <w:top w:val="single" w:color="000000" w:sz="4" w:space="0"/>
              <w:left w:val="single" w:color="000000" w:sz="4" w:space="0"/>
              <w:bottom w:val="single" w:color="000000" w:sz="4" w:space="0"/>
              <w:right w:val="single" w:color="000000" w:sz="4" w:space="0"/>
            </w:tcBorders>
            <w:vAlign w:val="center"/>
          </w:tcPr>
          <w:p>
            <w:pPr>
              <w:jc w:val="center"/>
              <w:rPr>
                <w:color w:val="auto"/>
                <w:szCs w:val="21"/>
              </w:rPr>
            </w:pPr>
            <w:r>
              <w:rPr>
                <w:color w:val="auto"/>
                <w:kern w:val="0"/>
                <w:szCs w:val="21"/>
              </w:rPr>
              <w:t>一</w:t>
            </w:r>
          </w:p>
        </w:tc>
        <w:tc>
          <w:tcPr>
            <w:tcW w:w="986" w:type="pct"/>
            <w:tcBorders>
              <w:top w:val="single" w:color="000000" w:sz="4" w:space="0"/>
              <w:left w:val="single" w:color="000000" w:sz="4" w:space="0"/>
              <w:bottom w:val="single" w:color="000000" w:sz="4" w:space="0"/>
              <w:right w:val="single" w:color="000000" w:sz="4" w:space="0"/>
            </w:tcBorders>
            <w:vAlign w:val="center"/>
          </w:tcPr>
          <w:p>
            <w:pPr>
              <w:jc w:val="center"/>
              <w:rPr>
                <w:color w:val="auto"/>
                <w:szCs w:val="21"/>
              </w:rPr>
            </w:pPr>
            <w:r>
              <w:rPr>
                <w:color w:val="auto"/>
                <w:kern w:val="0"/>
                <w:szCs w:val="21"/>
              </w:rPr>
              <w:t>一</w:t>
            </w:r>
          </w:p>
        </w:tc>
        <w:tc>
          <w:tcPr>
            <w:tcW w:w="1419" w:type="pct"/>
            <w:tcBorders>
              <w:top w:val="single" w:color="000000" w:sz="4" w:space="0"/>
              <w:left w:val="single" w:color="000000" w:sz="4" w:space="0"/>
              <w:bottom w:val="single" w:color="000000" w:sz="4" w:space="0"/>
              <w:right w:val="nil"/>
            </w:tcBorders>
            <w:vAlign w:val="center"/>
          </w:tcPr>
          <w:p>
            <w:pPr>
              <w:jc w:val="center"/>
              <w:rPr>
                <w:color w:val="auto"/>
                <w:szCs w:val="21"/>
              </w:rPr>
            </w:pPr>
            <w:r>
              <w:rPr>
                <w:color w:val="auto"/>
                <w:kern w:val="0"/>
                <w:szCs w:val="21"/>
              </w:rPr>
              <w:t>二</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6" w:hRule="atLeast"/>
          <w:jc w:val="center"/>
        </w:trPr>
        <w:tc>
          <w:tcPr>
            <w:tcW w:w="1642" w:type="pct"/>
            <w:tcBorders>
              <w:top w:val="single" w:color="000000" w:sz="4" w:space="0"/>
              <w:left w:val="nil"/>
              <w:bottom w:val="single" w:color="000000" w:sz="4" w:space="0"/>
              <w:right w:val="single" w:color="000000" w:sz="4" w:space="0"/>
            </w:tcBorders>
            <w:vAlign w:val="center"/>
          </w:tcPr>
          <w:p>
            <w:pPr>
              <w:jc w:val="center"/>
              <w:rPr>
                <w:color w:val="auto"/>
                <w:szCs w:val="21"/>
              </w:rPr>
            </w:pPr>
            <w:r>
              <w:rPr>
                <w:color w:val="auto"/>
                <w:kern w:val="0"/>
                <w:szCs w:val="21"/>
              </w:rPr>
              <w:t>较敏感</w:t>
            </w:r>
          </w:p>
        </w:tc>
        <w:tc>
          <w:tcPr>
            <w:tcW w:w="951" w:type="pct"/>
            <w:tcBorders>
              <w:top w:val="single" w:color="000000" w:sz="4" w:space="0"/>
              <w:left w:val="single" w:color="000000" w:sz="4" w:space="0"/>
              <w:bottom w:val="single" w:color="000000" w:sz="4" w:space="0"/>
              <w:right w:val="single" w:color="000000" w:sz="4" w:space="0"/>
            </w:tcBorders>
            <w:vAlign w:val="center"/>
          </w:tcPr>
          <w:p>
            <w:pPr>
              <w:jc w:val="center"/>
              <w:rPr>
                <w:color w:val="auto"/>
                <w:szCs w:val="21"/>
              </w:rPr>
            </w:pPr>
            <w:r>
              <w:rPr>
                <w:color w:val="auto"/>
                <w:kern w:val="0"/>
                <w:szCs w:val="21"/>
              </w:rPr>
              <w:t>一</w:t>
            </w:r>
          </w:p>
        </w:tc>
        <w:tc>
          <w:tcPr>
            <w:tcW w:w="986" w:type="pct"/>
            <w:tcBorders>
              <w:top w:val="single" w:color="000000" w:sz="4" w:space="0"/>
              <w:left w:val="single" w:color="000000" w:sz="4" w:space="0"/>
              <w:bottom w:val="single" w:color="000000" w:sz="4" w:space="0"/>
              <w:right w:val="single" w:color="000000" w:sz="4" w:space="0"/>
            </w:tcBorders>
            <w:vAlign w:val="center"/>
          </w:tcPr>
          <w:p>
            <w:pPr>
              <w:jc w:val="center"/>
              <w:rPr>
                <w:color w:val="auto"/>
                <w:szCs w:val="21"/>
              </w:rPr>
            </w:pPr>
            <w:r>
              <w:rPr>
                <w:color w:val="auto"/>
                <w:kern w:val="0"/>
                <w:szCs w:val="21"/>
              </w:rPr>
              <w:t>二</w:t>
            </w:r>
          </w:p>
        </w:tc>
        <w:tc>
          <w:tcPr>
            <w:tcW w:w="1419" w:type="pct"/>
            <w:tcBorders>
              <w:top w:val="single" w:color="000000" w:sz="4" w:space="0"/>
              <w:left w:val="single" w:color="000000" w:sz="4" w:space="0"/>
              <w:bottom w:val="single" w:color="000000" w:sz="4" w:space="0"/>
              <w:right w:val="nil"/>
            </w:tcBorders>
            <w:vAlign w:val="center"/>
          </w:tcPr>
          <w:p>
            <w:pPr>
              <w:jc w:val="center"/>
              <w:rPr>
                <w:color w:val="auto"/>
                <w:szCs w:val="21"/>
              </w:rPr>
            </w:pPr>
            <w:r>
              <w:rPr>
                <w:color w:val="auto"/>
                <w:kern w:val="0"/>
                <w:szCs w:val="21"/>
              </w:rPr>
              <w:t>三</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6" w:hRule="atLeast"/>
          <w:jc w:val="center"/>
        </w:trPr>
        <w:tc>
          <w:tcPr>
            <w:tcW w:w="1642" w:type="pct"/>
            <w:tcBorders>
              <w:top w:val="single" w:color="000000" w:sz="4" w:space="0"/>
              <w:left w:val="nil"/>
              <w:bottom w:val="single" w:color="000000" w:sz="12" w:space="0"/>
              <w:right w:val="single" w:color="000000" w:sz="4" w:space="0"/>
            </w:tcBorders>
            <w:vAlign w:val="center"/>
          </w:tcPr>
          <w:p>
            <w:pPr>
              <w:jc w:val="center"/>
              <w:rPr>
                <w:color w:val="auto"/>
                <w:szCs w:val="21"/>
              </w:rPr>
            </w:pPr>
            <w:r>
              <w:rPr>
                <w:color w:val="auto"/>
                <w:kern w:val="0"/>
                <w:szCs w:val="21"/>
              </w:rPr>
              <w:t>不敏感</w:t>
            </w:r>
          </w:p>
        </w:tc>
        <w:tc>
          <w:tcPr>
            <w:tcW w:w="951" w:type="pct"/>
            <w:tcBorders>
              <w:top w:val="single" w:color="000000" w:sz="4" w:space="0"/>
              <w:left w:val="single" w:color="000000" w:sz="4" w:space="0"/>
              <w:bottom w:val="single" w:color="000000" w:sz="12" w:space="0"/>
              <w:right w:val="single" w:color="000000" w:sz="4" w:space="0"/>
            </w:tcBorders>
            <w:vAlign w:val="center"/>
          </w:tcPr>
          <w:p>
            <w:pPr>
              <w:jc w:val="center"/>
              <w:rPr>
                <w:color w:val="auto"/>
                <w:szCs w:val="21"/>
              </w:rPr>
            </w:pPr>
            <w:r>
              <w:rPr>
                <w:color w:val="auto"/>
                <w:kern w:val="0"/>
                <w:szCs w:val="21"/>
              </w:rPr>
              <w:t>二</w:t>
            </w:r>
          </w:p>
        </w:tc>
        <w:tc>
          <w:tcPr>
            <w:tcW w:w="986" w:type="pct"/>
            <w:tcBorders>
              <w:top w:val="single" w:color="000000" w:sz="4" w:space="0"/>
              <w:left w:val="single" w:color="000000" w:sz="4" w:space="0"/>
              <w:bottom w:val="single" w:color="000000" w:sz="12" w:space="0"/>
              <w:right w:val="single" w:color="000000" w:sz="4" w:space="0"/>
            </w:tcBorders>
            <w:vAlign w:val="center"/>
          </w:tcPr>
          <w:p>
            <w:pPr>
              <w:jc w:val="center"/>
              <w:rPr>
                <w:color w:val="auto"/>
                <w:szCs w:val="21"/>
              </w:rPr>
            </w:pPr>
            <w:r>
              <w:rPr>
                <w:color w:val="auto"/>
                <w:kern w:val="0"/>
                <w:szCs w:val="21"/>
              </w:rPr>
              <w:t>三</w:t>
            </w:r>
          </w:p>
        </w:tc>
        <w:tc>
          <w:tcPr>
            <w:tcW w:w="1419" w:type="pct"/>
            <w:tcBorders>
              <w:top w:val="single" w:color="000000" w:sz="4" w:space="0"/>
              <w:left w:val="single" w:color="000000" w:sz="4" w:space="0"/>
              <w:bottom w:val="single" w:color="000000" w:sz="12" w:space="0"/>
              <w:right w:val="nil"/>
            </w:tcBorders>
            <w:vAlign w:val="center"/>
          </w:tcPr>
          <w:p>
            <w:pPr>
              <w:jc w:val="center"/>
              <w:rPr>
                <w:b/>
                <w:color w:val="auto"/>
                <w:szCs w:val="21"/>
              </w:rPr>
            </w:pPr>
            <w:r>
              <w:rPr>
                <w:b/>
                <w:color w:val="auto"/>
                <w:kern w:val="0"/>
                <w:szCs w:val="21"/>
              </w:rPr>
              <w:t>三</w:t>
            </w:r>
          </w:p>
        </w:tc>
      </w:tr>
    </w:tbl>
    <w:p>
      <w:pPr>
        <w:widowControl/>
        <w:spacing w:line="360" w:lineRule="auto"/>
        <w:ind w:firstLine="480" w:firstLineChars="200"/>
        <w:contextualSpacing/>
        <w:rPr>
          <w:color w:val="auto"/>
          <w:kern w:val="0"/>
          <w:sz w:val="24"/>
        </w:rPr>
      </w:pPr>
      <w:r>
        <w:rPr>
          <w:color w:val="auto"/>
          <w:kern w:val="0"/>
          <w:sz w:val="24"/>
        </w:rPr>
        <w:t>综上分析，本项目属于地下水环境影响评价分类的Ⅲ类项目，地下水环境敏感程度为</w:t>
      </w:r>
      <w:r>
        <w:rPr>
          <w:rFonts w:hint="eastAsia"/>
          <w:color w:val="auto"/>
          <w:kern w:val="0"/>
          <w:sz w:val="24"/>
        </w:rPr>
        <w:t>较</w:t>
      </w:r>
      <w:r>
        <w:rPr>
          <w:color w:val="auto"/>
          <w:kern w:val="0"/>
          <w:sz w:val="24"/>
        </w:rPr>
        <w:t>敏感，因此评价工作等级确定为</w:t>
      </w:r>
      <w:r>
        <w:rPr>
          <w:b/>
          <w:color w:val="auto"/>
          <w:kern w:val="0"/>
          <w:sz w:val="24"/>
        </w:rPr>
        <w:t>三级</w:t>
      </w:r>
      <w:r>
        <w:rPr>
          <w:color w:val="auto"/>
          <w:kern w:val="0"/>
          <w:sz w:val="24"/>
        </w:rPr>
        <w:t>。</w:t>
      </w:r>
    </w:p>
    <w:p>
      <w:pPr>
        <w:spacing w:line="360" w:lineRule="auto"/>
        <w:ind w:firstLine="480" w:firstLineChars="200"/>
        <w:rPr>
          <w:color w:val="auto"/>
          <w:sz w:val="24"/>
        </w:rPr>
      </w:pPr>
      <w:r>
        <w:rPr>
          <w:rFonts w:hint="eastAsia"/>
          <w:color w:val="auto"/>
          <w:sz w:val="24"/>
        </w:rPr>
        <w:t>（4）评价范围</w:t>
      </w:r>
    </w:p>
    <w:p>
      <w:pPr>
        <w:widowControl/>
        <w:autoSpaceDE w:val="0"/>
        <w:autoSpaceDN w:val="0"/>
        <w:spacing w:line="360" w:lineRule="auto"/>
        <w:ind w:firstLine="480" w:firstLineChars="200"/>
        <w:textAlignment w:val="baseline"/>
        <w:rPr>
          <w:color w:val="auto"/>
          <w:kern w:val="24"/>
          <w:sz w:val="24"/>
        </w:rPr>
      </w:pPr>
      <w:r>
        <w:rPr>
          <w:color w:val="auto"/>
          <w:kern w:val="24"/>
          <w:sz w:val="24"/>
        </w:rPr>
        <w:t>地下水质点运移距离计算公式：</w:t>
      </w:r>
    </w:p>
    <w:p>
      <w:pPr>
        <w:widowControl/>
        <w:autoSpaceDE w:val="0"/>
        <w:autoSpaceDN w:val="0"/>
        <w:spacing w:line="360" w:lineRule="auto"/>
        <w:ind w:firstLine="480" w:firstLineChars="200"/>
        <w:textAlignment w:val="baseline"/>
        <w:rPr>
          <w:color w:val="auto"/>
          <w:kern w:val="24"/>
          <w:sz w:val="24"/>
          <w:vertAlign w:val="subscript"/>
        </w:rPr>
      </w:pPr>
      <w:r>
        <w:rPr>
          <w:color w:val="auto"/>
          <w:kern w:val="24"/>
          <w:sz w:val="24"/>
        </w:rPr>
        <w:t>L＝α×K×I×T/n</w:t>
      </w:r>
      <w:r>
        <w:rPr>
          <w:color w:val="auto"/>
          <w:kern w:val="24"/>
          <w:sz w:val="24"/>
          <w:vertAlign w:val="subscript"/>
        </w:rPr>
        <w:t>e</w:t>
      </w:r>
    </w:p>
    <w:p>
      <w:pPr>
        <w:widowControl/>
        <w:autoSpaceDE w:val="0"/>
        <w:autoSpaceDN w:val="0"/>
        <w:spacing w:line="360" w:lineRule="auto"/>
        <w:ind w:firstLine="480" w:firstLineChars="200"/>
        <w:textAlignment w:val="baseline"/>
        <w:rPr>
          <w:color w:val="auto"/>
          <w:kern w:val="24"/>
          <w:sz w:val="24"/>
        </w:rPr>
      </w:pPr>
      <w:r>
        <w:rPr>
          <w:color w:val="auto"/>
          <w:kern w:val="24"/>
          <w:sz w:val="24"/>
        </w:rPr>
        <w:t>式中：L—下游迁移距离，m；</w:t>
      </w:r>
    </w:p>
    <w:p>
      <w:pPr>
        <w:widowControl/>
        <w:autoSpaceDE w:val="0"/>
        <w:autoSpaceDN w:val="0"/>
        <w:spacing w:line="360" w:lineRule="auto"/>
        <w:ind w:firstLine="480" w:firstLineChars="200"/>
        <w:textAlignment w:val="baseline"/>
        <w:rPr>
          <w:color w:val="auto"/>
          <w:kern w:val="24"/>
          <w:sz w:val="24"/>
        </w:rPr>
      </w:pPr>
      <w:r>
        <w:rPr>
          <w:color w:val="auto"/>
          <w:kern w:val="24"/>
          <w:sz w:val="24"/>
        </w:rPr>
        <w:t>α—变化系数，α≥1，一般取2；</w:t>
      </w:r>
    </w:p>
    <w:p>
      <w:pPr>
        <w:widowControl/>
        <w:autoSpaceDE w:val="0"/>
        <w:autoSpaceDN w:val="0"/>
        <w:spacing w:line="360" w:lineRule="auto"/>
        <w:ind w:left="479" w:leftChars="228"/>
        <w:textAlignment w:val="baseline"/>
        <w:rPr>
          <w:color w:val="auto"/>
          <w:kern w:val="24"/>
          <w:sz w:val="24"/>
        </w:rPr>
      </w:pPr>
      <w:r>
        <w:rPr>
          <w:color w:val="auto"/>
          <w:kern w:val="24"/>
          <w:sz w:val="24"/>
        </w:rPr>
        <w:t>K—渗透系数，m/d，取</w:t>
      </w:r>
      <w:r>
        <w:rPr>
          <w:rFonts w:hint="eastAsia"/>
          <w:color w:val="auto"/>
          <w:kern w:val="24"/>
          <w:sz w:val="24"/>
          <w:lang w:val="en-US" w:eastAsia="zh-CN"/>
        </w:rPr>
        <w:t>1.0</w:t>
      </w:r>
      <w:r>
        <w:rPr>
          <w:color w:val="auto"/>
          <w:kern w:val="24"/>
          <w:sz w:val="24"/>
        </w:rPr>
        <w:t>；</w:t>
      </w:r>
    </w:p>
    <w:p>
      <w:pPr>
        <w:widowControl/>
        <w:autoSpaceDE w:val="0"/>
        <w:autoSpaceDN w:val="0"/>
        <w:spacing w:line="360" w:lineRule="auto"/>
        <w:ind w:left="479" w:leftChars="228"/>
        <w:textAlignment w:val="baseline"/>
        <w:rPr>
          <w:color w:val="auto"/>
          <w:kern w:val="24"/>
          <w:sz w:val="24"/>
        </w:rPr>
      </w:pPr>
      <w:r>
        <w:rPr>
          <w:color w:val="auto"/>
          <w:kern w:val="24"/>
          <w:sz w:val="24"/>
        </w:rPr>
        <w:t>I—水力坡度，无量纲，取1%；</w:t>
      </w:r>
    </w:p>
    <w:p>
      <w:pPr>
        <w:widowControl/>
        <w:autoSpaceDE w:val="0"/>
        <w:autoSpaceDN w:val="0"/>
        <w:spacing w:line="360" w:lineRule="auto"/>
        <w:ind w:firstLine="480" w:firstLineChars="200"/>
        <w:textAlignment w:val="baseline"/>
        <w:rPr>
          <w:color w:val="auto"/>
          <w:kern w:val="24"/>
          <w:sz w:val="24"/>
        </w:rPr>
      </w:pPr>
      <w:r>
        <w:rPr>
          <w:color w:val="auto"/>
          <w:kern w:val="24"/>
          <w:sz w:val="24"/>
        </w:rPr>
        <w:t>T—质点迁移天数，5000d；</w:t>
      </w:r>
    </w:p>
    <w:p>
      <w:pPr>
        <w:widowControl/>
        <w:autoSpaceDE w:val="0"/>
        <w:autoSpaceDN w:val="0"/>
        <w:spacing w:line="360" w:lineRule="auto"/>
        <w:ind w:firstLine="480" w:firstLineChars="200"/>
        <w:textAlignment w:val="baseline"/>
        <w:rPr>
          <w:color w:val="auto"/>
          <w:kern w:val="24"/>
          <w:sz w:val="24"/>
        </w:rPr>
      </w:pPr>
      <w:r>
        <w:rPr>
          <w:color w:val="auto"/>
          <w:kern w:val="24"/>
          <w:sz w:val="24"/>
        </w:rPr>
        <w:t>ne—有效孔隙度，无量纲，取0.</w:t>
      </w:r>
      <w:r>
        <w:rPr>
          <w:rFonts w:hint="eastAsia"/>
          <w:color w:val="auto"/>
          <w:kern w:val="24"/>
          <w:sz w:val="24"/>
          <w:lang w:val="en-US" w:eastAsia="zh-CN"/>
        </w:rPr>
        <w:t>1</w:t>
      </w:r>
      <w:r>
        <w:rPr>
          <w:color w:val="auto"/>
          <w:kern w:val="24"/>
          <w:sz w:val="24"/>
        </w:rPr>
        <w:t>。</w:t>
      </w:r>
    </w:p>
    <w:p>
      <w:pPr>
        <w:widowControl/>
        <w:autoSpaceDE w:val="0"/>
        <w:autoSpaceDN w:val="0"/>
        <w:spacing w:line="360" w:lineRule="auto"/>
        <w:ind w:firstLine="480" w:firstLineChars="200"/>
        <w:textAlignment w:val="baseline"/>
        <w:rPr>
          <w:color w:val="auto"/>
          <w:kern w:val="24"/>
          <w:sz w:val="24"/>
        </w:rPr>
      </w:pPr>
      <w:r>
        <w:rPr>
          <w:color w:val="auto"/>
          <w:kern w:val="24"/>
          <w:sz w:val="24"/>
        </w:rPr>
        <w:t>经计算，L＝</w:t>
      </w:r>
      <w:r>
        <w:rPr>
          <w:rFonts w:hint="eastAsia"/>
          <w:color w:val="auto"/>
          <w:kern w:val="24"/>
          <w:sz w:val="24"/>
        </w:rPr>
        <w:t>1</w:t>
      </w:r>
      <w:r>
        <w:rPr>
          <w:rFonts w:hint="eastAsia"/>
          <w:color w:val="auto"/>
          <w:kern w:val="24"/>
          <w:sz w:val="24"/>
          <w:lang w:val="en-US" w:eastAsia="zh-CN"/>
        </w:rPr>
        <w:t>00</w:t>
      </w:r>
      <w:r>
        <w:rPr>
          <w:rFonts w:hint="eastAsia"/>
          <w:color w:val="auto"/>
          <w:kern w:val="24"/>
          <w:sz w:val="24"/>
        </w:rPr>
        <w:t>0</w:t>
      </w:r>
      <w:r>
        <w:rPr>
          <w:color w:val="auto"/>
          <w:kern w:val="24"/>
          <w:sz w:val="24"/>
        </w:rPr>
        <w:t>m。根据《环境影响评价技术导则地下水环境》（HJ610-2016）要求，地下水的评价范围应为场地下游Lm及两侧各L/2m构成的区域范围。根据项目所在地区域水文地质资料表明，该区域地下水流向由</w:t>
      </w:r>
      <w:r>
        <w:rPr>
          <w:rFonts w:hint="eastAsia"/>
          <w:color w:val="auto"/>
          <w:kern w:val="24"/>
          <w:sz w:val="24"/>
          <w:lang w:val="en-US" w:eastAsia="zh-CN"/>
        </w:rPr>
        <w:t>西</w:t>
      </w:r>
      <w:r>
        <w:rPr>
          <w:color w:val="auto"/>
          <w:kern w:val="24"/>
          <w:sz w:val="24"/>
        </w:rPr>
        <w:t>向</w:t>
      </w:r>
      <w:r>
        <w:rPr>
          <w:rFonts w:hint="eastAsia"/>
          <w:color w:val="auto"/>
          <w:kern w:val="24"/>
          <w:sz w:val="24"/>
          <w:lang w:val="en-US" w:eastAsia="zh-CN"/>
        </w:rPr>
        <w:t>东</w:t>
      </w:r>
      <w:r>
        <w:rPr>
          <w:color w:val="auto"/>
          <w:kern w:val="24"/>
          <w:sz w:val="24"/>
        </w:rPr>
        <w:t>。因评价等级为三级评价，适当扩大范围，由此确定本项目地下水调查评价范围。</w:t>
      </w:r>
    </w:p>
    <w:p>
      <w:pPr>
        <w:widowControl/>
        <w:autoSpaceDE w:val="0"/>
        <w:autoSpaceDN w:val="0"/>
        <w:spacing w:line="360" w:lineRule="auto"/>
        <w:ind w:firstLine="480" w:firstLineChars="200"/>
        <w:textAlignment w:val="baseline"/>
        <w:rPr>
          <w:color w:val="FF0000"/>
          <w:sz w:val="24"/>
        </w:rPr>
      </w:pPr>
      <w:r>
        <w:rPr>
          <w:color w:val="auto"/>
          <w:sz w:val="24"/>
        </w:rPr>
        <w:t>根据地下水环境影响评价技术导则的规定，地下水环境现状调查范围应包括与建设项目相关的地下水环境保护目标。根据项目周边的区域地质条件、水文地质条件、地形地貌特征和地下水保护方案，为了说明地下水环境的基本状况，本次地下水环境影响评价工作的调查范围是以项目厂区为核心，调查评价范围：包括厂区、可影响的下游区域及厂区周边地下水保护目标，结合水文地质边界</w:t>
      </w:r>
      <w:r>
        <w:rPr>
          <w:rFonts w:hint="eastAsia"/>
          <w:color w:val="auto"/>
          <w:sz w:val="24"/>
          <w:lang w:eastAsia="zh-CN"/>
        </w:rPr>
        <w:t>蚂蚁河</w:t>
      </w:r>
      <w:r>
        <w:rPr>
          <w:color w:val="auto"/>
          <w:sz w:val="24"/>
        </w:rPr>
        <w:t>，评价区面积</w:t>
      </w:r>
      <w:r>
        <w:rPr>
          <w:rFonts w:hint="eastAsia"/>
          <w:color w:val="auto"/>
          <w:sz w:val="24"/>
          <w:lang w:eastAsia="zh-CN"/>
        </w:rPr>
        <w:t>6</w:t>
      </w:r>
      <w:r>
        <w:rPr>
          <w:color w:val="auto"/>
          <w:sz w:val="24"/>
        </w:rPr>
        <w:t>km</w:t>
      </w:r>
      <w:r>
        <w:rPr>
          <w:color w:val="auto"/>
          <w:sz w:val="24"/>
          <w:vertAlign w:val="superscript"/>
        </w:rPr>
        <w:t>2</w:t>
      </w:r>
      <w:r>
        <w:rPr>
          <w:color w:val="auto"/>
          <w:sz w:val="24"/>
        </w:rPr>
        <w:t>，上游1</w:t>
      </w:r>
      <w:r>
        <w:rPr>
          <w:rFonts w:hint="eastAsia"/>
          <w:color w:val="auto"/>
          <w:sz w:val="24"/>
          <w:lang w:val="en-US" w:eastAsia="zh-CN"/>
        </w:rPr>
        <w:t>.5</w:t>
      </w:r>
      <w:r>
        <w:rPr>
          <w:color w:val="auto"/>
          <w:sz w:val="24"/>
        </w:rPr>
        <w:t>km，两侧1km，下游</w:t>
      </w:r>
      <w:r>
        <w:rPr>
          <w:rFonts w:hint="eastAsia"/>
          <w:color w:val="auto"/>
          <w:sz w:val="24"/>
          <w:lang w:val="en-US" w:eastAsia="zh-CN"/>
        </w:rPr>
        <w:t>1.5</w:t>
      </w:r>
      <w:r>
        <w:rPr>
          <w:color w:val="auto"/>
          <w:sz w:val="24"/>
        </w:rPr>
        <w:t>km。评价范围见附图</w:t>
      </w:r>
      <w:r>
        <w:rPr>
          <w:rFonts w:hint="eastAsia"/>
          <w:color w:val="auto"/>
          <w:sz w:val="24"/>
        </w:rPr>
        <w:t>3</w:t>
      </w:r>
      <w:r>
        <w:rPr>
          <w:color w:val="auto"/>
          <w:sz w:val="24"/>
        </w:rPr>
        <w:t>。</w:t>
      </w:r>
    </w:p>
    <w:p>
      <w:pPr>
        <w:keepNext w:val="0"/>
        <w:keepLines w:val="0"/>
        <w:pageBreakBefore w:val="0"/>
        <w:widowControl/>
        <w:kinsoku/>
        <w:wordWrap/>
        <w:overflowPunct/>
        <w:topLinePunct w:val="0"/>
        <w:autoSpaceDE w:val="0"/>
        <w:autoSpaceDN w:val="0"/>
        <w:bidi w:val="0"/>
        <w:adjustRightInd/>
        <w:snapToGrid/>
        <w:spacing w:line="240" w:lineRule="auto"/>
        <w:jc w:val="center"/>
        <w:textAlignment w:val="baseline"/>
        <w:rPr>
          <w:b/>
          <w:bCs/>
          <w:color w:val="auto"/>
          <w:sz w:val="24"/>
        </w:rPr>
      </w:pPr>
      <w:r>
        <w:rPr>
          <w:b/>
          <w:bCs/>
          <w:color w:val="auto"/>
          <w:sz w:val="24"/>
        </w:rPr>
        <w:t>表2-</w:t>
      </w:r>
      <w:r>
        <w:rPr>
          <w:rFonts w:hint="eastAsia"/>
          <w:b/>
          <w:bCs/>
          <w:color w:val="auto"/>
          <w:sz w:val="24"/>
        </w:rPr>
        <w:t>4</w:t>
      </w:r>
      <w:r>
        <w:rPr>
          <w:b/>
          <w:bCs/>
          <w:color w:val="auto"/>
          <w:sz w:val="24"/>
        </w:rPr>
        <w:t>-</w:t>
      </w:r>
      <w:r>
        <w:rPr>
          <w:rFonts w:hint="eastAsia"/>
          <w:b/>
          <w:bCs/>
          <w:color w:val="auto"/>
          <w:sz w:val="24"/>
        </w:rPr>
        <w:t>9</w:t>
      </w:r>
      <w:r>
        <w:rPr>
          <w:b/>
          <w:bCs/>
          <w:color w:val="auto"/>
          <w:sz w:val="24"/>
        </w:rPr>
        <w:t xml:space="preserve">  地下水环境现状调查评价范围参照表</w:t>
      </w:r>
    </w:p>
    <w:tbl>
      <w:tblPr>
        <w:tblStyle w:val="46"/>
        <w:tblW w:w="4998" w:type="pct"/>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805"/>
        <w:gridCol w:w="2640"/>
        <w:gridCol w:w="3074"/>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646"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baseline"/>
              <w:rPr>
                <w:color w:val="auto"/>
                <w:szCs w:val="21"/>
              </w:rPr>
            </w:pPr>
            <w:r>
              <w:rPr>
                <w:color w:val="auto"/>
                <w:szCs w:val="21"/>
              </w:rPr>
              <w:t>评价等级</w:t>
            </w:r>
          </w:p>
        </w:tc>
        <w:tc>
          <w:tcPr>
            <w:tcW w:w="1549"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baseline"/>
              <w:rPr>
                <w:color w:val="auto"/>
                <w:szCs w:val="21"/>
              </w:rPr>
            </w:pPr>
            <w:r>
              <w:rPr>
                <w:color w:val="auto"/>
                <w:szCs w:val="21"/>
              </w:rPr>
              <w:t>调查评价面积（km</w:t>
            </w:r>
            <w:r>
              <w:rPr>
                <w:color w:val="auto"/>
                <w:szCs w:val="21"/>
                <w:vertAlign w:val="superscript"/>
              </w:rPr>
              <w:t>2</w:t>
            </w:r>
            <w:r>
              <w:rPr>
                <w:color w:val="auto"/>
                <w:szCs w:val="21"/>
              </w:rPr>
              <w:t>）</w:t>
            </w:r>
          </w:p>
        </w:tc>
        <w:tc>
          <w:tcPr>
            <w:tcW w:w="1803" w:type="pct"/>
            <w:tcBorders>
              <w:tl2br w:val="nil"/>
              <w:tr2bl w:val="nil"/>
            </w:tcBorders>
            <w:vAlign w:val="center"/>
          </w:tcPr>
          <w:p>
            <w:pPr>
              <w:widowControl/>
              <w:autoSpaceDE w:val="0"/>
              <w:autoSpaceDN w:val="0"/>
              <w:jc w:val="center"/>
              <w:textAlignment w:val="baseline"/>
              <w:rPr>
                <w:color w:val="auto"/>
                <w:szCs w:val="21"/>
              </w:rPr>
            </w:pPr>
            <w:r>
              <w:rPr>
                <w:color w:val="auto"/>
                <w:szCs w:val="21"/>
              </w:rPr>
              <w:t>备注</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646"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baseline"/>
              <w:rPr>
                <w:color w:val="auto"/>
                <w:szCs w:val="21"/>
              </w:rPr>
            </w:pPr>
            <w:r>
              <w:rPr>
                <w:color w:val="auto"/>
                <w:szCs w:val="21"/>
              </w:rPr>
              <w:t>一</w:t>
            </w:r>
          </w:p>
        </w:tc>
        <w:tc>
          <w:tcPr>
            <w:tcW w:w="1549"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baseline"/>
              <w:rPr>
                <w:color w:val="auto"/>
                <w:szCs w:val="21"/>
              </w:rPr>
            </w:pPr>
            <w:r>
              <w:rPr>
                <w:color w:val="auto"/>
                <w:szCs w:val="21"/>
              </w:rPr>
              <w:t>≥20</w:t>
            </w:r>
          </w:p>
        </w:tc>
        <w:tc>
          <w:tcPr>
            <w:tcW w:w="1803" w:type="pct"/>
            <w:vMerge w:val="restart"/>
            <w:tcBorders>
              <w:tl2br w:val="nil"/>
              <w:tr2bl w:val="nil"/>
            </w:tcBorders>
            <w:vAlign w:val="center"/>
          </w:tcPr>
          <w:p>
            <w:pPr>
              <w:widowControl/>
              <w:autoSpaceDE w:val="0"/>
              <w:autoSpaceDN w:val="0"/>
              <w:jc w:val="center"/>
              <w:textAlignment w:val="baseline"/>
              <w:rPr>
                <w:color w:val="auto"/>
                <w:szCs w:val="21"/>
              </w:rPr>
            </w:pPr>
            <w:r>
              <w:rPr>
                <w:color w:val="auto"/>
                <w:szCs w:val="21"/>
              </w:rPr>
              <w:t>应包括重要的地下水环境保护目标，必要时适当的扩大范围</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646"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baseline"/>
              <w:rPr>
                <w:color w:val="auto"/>
                <w:szCs w:val="21"/>
              </w:rPr>
            </w:pPr>
            <w:r>
              <w:rPr>
                <w:color w:val="auto"/>
                <w:szCs w:val="21"/>
              </w:rPr>
              <w:t>二</w:t>
            </w:r>
          </w:p>
        </w:tc>
        <w:tc>
          <w:tcPr>
            <w:tcW w:w="1549"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baseline"/>
              <w:rPr>
                <w:color w:val="auto"/>
                <w:szCs w:val="21"/>
              </w:rPr>
            </w:pPr>
            <w:r>
              <w:rPr>
                <w:color w:val="auto"/>
                <w:szCs w:val="21"/>
              </w:rPr>
              <w:t>6-20</w:t>
            </w:r>
          </w:p>
        </w:tc>
        <w:tc>
          <w:tcPr>
            <w:tcW w:w="1803" w:type="pct"/>
            <w:vMerge w:val="continue"/>
            <w:tcBorders>
              <w:tl2br w:val="nil"/>
              <w:tr2bl w:val="nil"/>
            </w:tcBorders>
            <w:vAlign w:val="center"/>
          </w:tcPr>
          <w:p>
            <w:pPr>
              <w:widowControl/>
              <w:autoSpaceDE w:val="0"/>
              <w:autoSpaceDN w:val="0"/>
              <w:jc w:val="center"/>
              <w:textAlignment w:val="baseline"/>
              <w:rPr>
                <w:color w:val="auto"/>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646"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baseline"/>
              <w:rPr>
                <w:color w:val="auto"/>
                <w:szCs w:val="21"/>
              </w:rPr>
            </w:pPr>
            <w:r>
              <w:rPr>
                <w:color w:val="auto"/>
                <w:szCs w:val="21"/>
              </w:rPr>
              <w:t>三</w:t>
            </w:r>
          </w:p>
        </w:tc>
        <w:tc>
          <w:tcPr>
            <w:tcW w:w="1549"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baseline"/>
              <w:rPr>
                <w:color w:val="auto"/>
                <w:szCs w:val="21"/>
              </w:rPr>
            </w:pPr>
            <w:r>
              <w:rPr>
                <w:color w:val="auto"/>
                <w:szCs w:val="21"/>
              </w:rPr>
              <w:t>≤6</w:t>
            </w:r>
          </w:p>
        </w:tc>
        <w:tc>
          <w:tcPr>
            <w:tcW w:w="1803" w:type="pct"/>
            <w:vMerge w:val="continue"/>
            <w:tcBorders>
              <w:tl2br w:val="nil"/>
              <w:tr2bl w:val="nil"/>
            </w:tcBorders>
            <w:vAlign w:val="center"/>
          </w:tcPr>
          <w:p>
            <w:pPr>
              <w:widowControl/>
              <w:autoSpaceDE w:val="0"/>
              <w:autoSpaceDN w:val="0"/>
              <w:jc w:val="center"/>
              <w:textAlignment w:val="baseline"/>
              <w:rPr>
                <w:color w:val="auto"/>
                <w:szCs w:val="21"/>
              </w:rPr>
            </w:pPr>
          </w:p>
        </w:tc>
      </w:tr>
    </w:tbl>
    <w:p>
      <w:pPr>
        <w:spacing w:line="360" w:lineRule="auto"/>
        <w:ind w:firstLine="480" w:firstLineChars="200"/>
        <w:rPr>
          <w:color w:val="auto"/>
          <w:sz w:val="24"/>
        </w:rPr>
      </w:pPr>
      <w:r>
        <w:rPr>
          <w:color w:val="auto"/>
          <w:sz w:val="24"/>
        </w:rPr>
        <w:t>综上分析，拟建项目</w:t>
      </w:r>
      <w:r>
        <w:rPr>
          <w:rFonts w:hint="eastAsia"/>
          <w:color w:val="auto"/>
          <w:sz w:val="24"/>
        </w:rPr>
        <w:t>地下水评价范围为</w:t>
      </w:r>
      <w:r>
        <w:rPr>
          <w:rFonts w:hint="eastAsia"/>
          <w:color w:val="auto"/>
          <w:sz w:val="24"/>
          <w:lang w:eastAsia="zh-CN"/>
        </w:rPr>
        <w:t>6</w:t>
      </w:r>
      <w:r>
        <w:rPr>
          <w:color w:val="auto"/>
          <w:sz w:val="24"/>
        </w:rPr>
        <w:t>km</w:t>
      </w:r>
      <w:r>
        <w:rPr>
          <w:color w:val="auto"/>
          <w:sz w:val="24"/>
          <w:vertAlign w:val="superscript"/>
        </w:rPr>
        <w:t>2</w:t>
      </w:r>
      <w:r>
        <w:rPr>
          <w:color w:val="auto"/>
          <w:sz w:val="24"/>
        </w:rPr>
        <w:t>，上游1</w:t>
      </w:r>
      <w:r>
        <w:rPr>
          <w:rFonts w:hint="eastAsia"/>
          <w:color w:val="auto"/>
          <w:sz w:val="24"/>
          <w:lang w:val="en-US" w:eastAsia="zh-CN"/>
        </w:rPr>
        <w:t>.5</w:t>
      </w:r>
      <w:r>
        <w:rPr>
          <w:color w:val="auto"/>
          <w:sz w:val="24"/>
        </w:rPr>
        <w:t>km，两侧1km，下游</w:t>
      </w:r>
      <w:r>
        <w:rPr>
          <w:rFonts w:hint="eastAsia"/>
          <w:color w:val="auto"/>
          <w:sz w:val="24"/>
        </w:rPr>
        <w:t>1.</w:t>
      </w:r>
      <w:r>
        <w:rPr>
          <w:rFonts w:hint="eastAsia"/>
          <w:color w:val="auto"/>
          <w:sz w:val="24"/>
          <w:lang w:val="en-US" w:eastAsia="zh-CN"/>
        </w:rPr>
        <w:t>5</w:t>
      </w:r>
      <w:r>
        <w:rPr>
          <w:color w:val="auto"/>
          <w:sz w:val="24"/>
        </w:rPr>
        <w:t>km。</w:t>
      </w:r>
    </w:p>
    <w:p>
      <w:pPr>
        <w:pStyle w:val="5"/>
        <w:spacing w:before="0" w:after="0" w:line="360" w:lineRule="auto"/>
        <w:ind w:firstLine="0" w:firstLineChars="0"/>
        <w:contextualSpacing/>
        <w:rPr>
          <w:rFonts w:ascii="Times New Roman" w:hAnsi="Times New Roman" w:cs="Times New Roman"/>
          <w:b/>
          <w:color w:val="auto"/>
          <w:sz w:val="28"/>
          <w:szCs w:val="28"/>
        </w:rPr>
      </w:pPr>
      <w:r>
        <w:rPr>
          <w:rFonts w:ascii="Times New Roman" w:hAnsi="Times New Roman" w:cs="Times New Roman"/>
          <w:b/>
          <w:color w:val="auto"/>
          <w:sz w:val="28"/>
          <w:szCs w:val="28"/>
        </w:rPr>
        <w:t>2.</w:t>
      </w:r>
      <w:bookmarkStart w:id="46" w:name="_Toc89231866"/>
      <w:bookmarkStart w:id="47" w:name="_Toc88969056"/>
      <w:bookmarkStart w:id="48" w:name="_Toc88900496"/>
      <w:bookmarkStart w:id="49" w:name="_Toc88968913"/>
      <w:r>
        <w:rPr>
          <w:rFonts w:ascii="Times New Roman" w:hAnsi="Times New Roman" w:cs="Times New Roman"/>
          <w:b/>
          <w:color w:val="auto"/>
          <w:sz w:val="28"/>
          <w:szCs w:val="28"/>
        </w:rPr>
        <w:t>4.4声环境</w:t>
      </w:r>
      <w:bookmarkEnd w:id="46"/>
      <w:bookmarkEnd w:id="47"/>
      <w:bookmarkEnd w:id="48"/>
      <w:bookmarkEnd w:id="49"/>
      <w:r>
        <w:rPr>
          <w:rFonts w:ascii="Times New Roman" w:hAnsi="Times New Roman" w:cs="Times New Roman"/>
          <w:b/>
          <w:color w:val="auto"/>
          <w:sz w:val="28"/>
          <w:szCs w:val="28"/>
        </w:rPr>
        <w:t>评价工作等级</w:t>
      </w:r>
    </w:p>
    <w:p>
      <w:pPr>
        <w:pStyle w:val="143"/>
        <w:rPr>
          <w:rFonts w:hint="eastAsia" w:eastAsia="宋体"/>
          <w:color w:val="auto"/>
          <w:highlight w:val="yellow"/>
          <w:lang w:eastAsia="zh-CN"/>
        </w:rPr>
      </w:pPr>
      <w:r>
        <w:rPr>
          <w:color w:val="auto"/>
        </w:rPr>
        <w:t>本项目所在功能区属于噪声功能区划的</w:t>
      </w:r>
      <w:r>
        <w:rPr>
          <w:rFonts w:hint="eastAsia"/>
          <w:color w:val="auto"/>
        </w:rPr>
        <w:t>2</w:t>
      </w:r>
      <w:r>
        <w:rPr>
          <w:color w:val="auto"/>
        </w:rPr>
        <w:t>类区，</w:t>
      </w:r>
      <w:r>
        <w:rPr>
          <w:rFonts w:hint="default" w:ascii="Times New Roman" w:hAnsi="Times New Roman" w:cs="Times New Roman"/>
          <w:color w:val="auto"/>
          <w:kern w:val="2"/>
          <w:sz w:val="24"/>
          <w:szCs w:val="24"/>
          <w:lang w:val="en-US" w:eastAsia="zh-CN" w:bidi="ar-SA"/>
        </w:rPr>
        <w:t>项目建成后，评价范围内敏感目标噪声增高量小于3dB(A)，受影响人数很少。</w:t>
      </w:r>
      <w:r>
        <w:rPr>
          <w:color w:val="auto"/>
        </w:rPr>
        <w:t>根据《环境影响评价技术导则声环境》（HJ2.4—2021）中评价等级划分相关依据，本项目声环境评价判定为二级。</w:t>
      </w:r>
    </w:p>
    <w:p>
      <w:pPr>
        <w:pStyle w:val="5"/>
        <w:spacing w:before="0" w:after="0" w:line="360" w:lineRule="auto"/>
        <w:ind w:firstLine="0" w:firstLineChars="0"/>
        <w:contextualSpacing/>
        <w:rPr>
          <w:rFonts w:ascii="Times New Roman" w:hAnsi="Times New Roman" w:cs="Times New Roman"/>
          <w:b/>
          <w:color w:val="auto"/>
          <w:sz w:val="28"/>
          <w:szCs w:val="28"/>
        </w:rPr>
      </w:pPr>
      <w:r>
        <w:rPr>
          <w:rFonts w:ascii="Times New Roman" w:hAnsi="Times New Roman" w:cs="Times New Roman"/>
          <w:b/>
          <w:color w:val="auto"/>
          <w:sz w:val="28"/>
          <w:szCs w:val="28"/>
        </w:rPr>
        <w:t>2.4.</w:t>
      </w:r>
      <w:r>
        <w:rPr>
          <w:rFonts w:hint="eastAsia" w:ascii="Times New Roman" w:hAnsi="Times New Roman" w:cs="Times New Roman"/>
          <w:b/>
          <w:color w:val="auto"/>
          <w:sz w:val="28"/>
          <w:szCs w:val="28"/>
        </w:rPr>
        <w:t>5</w:t>
      </w:r>
      <w:r>
        <w:rPr>
          <w:rFonts w:ascii="Times New Roman" w:hAnsi="Times New Roman" w:cs="Times New Roman"/>
          <w:b/>
          <w:color w:val="auto"/>
          <w:sz w:val="28"/>
          <w:szCs w:val="28"/>
        </w:rPr>
        <w:t>土壤评价工作等级</w:t>
      </w:r>
    </w:p>
    <w:p>
      <w:pPr>
        <w:spacing w:line="360" w:lineRule="auto"/>
        <w:ind w:firstLine="480" w:firstLineChars="200"/>
        <w:contextualSpacing/>
        <w:jc w:val="left"/>
        <w:rPr>
          <w:snapToGrid w:val="0"/>
          <w:color w:val="auto"/>
          <w:sz w:val="24"/>
          <w:szCs w:val="22"/>
        </w:rPr>
      </w:pPr>
      <w:r>
        <w:rPr>
          <w:rFonts w:hint="eastAsia"/>
          <w:snapToGrid w:val="0"/>
          <w:color w:val="auto"/>
          <w:sz w:val="24"/>
          <w:szCs w:val="22"/>
        </w:rPr>
        <w:t>根据</w:t>
      </w:r>
      <w:r>
        <w:rPr>
          <w:snapToGrid w:val="0"/>
          <w:color w:val="auto"/>
          <w:sz w:val="24"/>
          <w:szCs w:val="22"/>
        </w:rPr>
        <w:t>《环境影响评价技术导则土壤环境(试行)》</w:t>
      </w:r>
      <w:r>
        <w:rPr>
          <w:rFonts w:hint="eastAsia"/>
          <w:snapToGrid w:val="0"/>
          <w:color w:val="auto"/>
          <w:sz w:val="24"/>
          <w:szCs w:val="22"/>
        </w:rPr>
        <w:t>（</w:t>
      </w:r>
      <w:r>
        <w:rPr>
          <w:snapToGrid w:val="0"/>
          <w:color w:val="auto"/>
          <w:sz w:val="24"/>
          <w:szCs w:val="22"/>
        </w:rPr>
        <w:t>HJ964-2018</w:t>
      </w:r>
      <w:r>
        <w:rPr>
          <w:rFonts w:hint="eastAsia"/>
          <w:snapToGrid w:val="0"/>
          <w:color w:val="auto"/>
          <w:sz w:val="24"/>
          <w:szCs w:val="22"/>
        </w:rPr>
        <w:t>）附录A，本项目为农副食品加工业中的屠宰行业，属于IV类项目。故不开展土壤环境影响评价工作。</w:t>
      </w:r>
    </w:p>
    <w:p>
      <w:pPr>
        <w:pStyle w:val="5"/>
        <w:spacing w:before="0" w:after="0" w:line="360" w:lineRule="auto"/>
        <w:ind w:firstLine="0" w:firstLineChars="0"/>
        <w:contextualSpacing/>
        <w:rPr>
          <w:rFonts w:ascii="Times New Roman" w:hAnsi="Times New Roman" w:cs="Times New Roman"/>
          <w:b/>
          <w:color w:val="auto"/>
          <w:sz w:val="28"/>
          <w:szCs w:val="28"/>
        </w:rPr>
      </w:pPr>
      <w:r>
        <w:rPr>
          <w:rFonts w:ascii="Times New Roman" w:hAnsi="Times New Roman" w:cs="Times New Roman"/>
          <w:b/>
          <w:color w:val="auto"/>
          <w:sz w:val="28"/>
          <w:szCs w:val="28"/>
        </w:rPr>
        <w:t>2.4.</w:t>
      </w:r>
      <w:r>
        <w:rPr>
          <w:rFonts w:hint="eastAsia" w:ascii="Times New Roman" w:hAnsi="Times New Roman" w:cs="Times New Roman"/>
          <w:b/>
          <w:color w:val="auto"/>
          <w:sz w:val="28"/>
          <w:szCs w:val="28"/>
        </w:rPr>
        <w:t>6风险</w:t>
      </w:r>
      <w:r>
        <w:rPr>
          <w:rFonts w:ascii="Times New Roman" w:hAnsi="Times New Roman" w:cs="Times New Roman"/>
          <w:b/>
          <w:color w:val="auto"/>
          <w:sz w:val="28"/>
          <w:szCs w:val="28"/>
        </w:rPr>
        <w:t>评价工作等级</w:t>
      </w:r>
    </w:p>
    <w:p>
      <w:pPr>
        <w:pStyle w:val="74"/>
        <w:adjustRightInd/>
        <w:snapToGrid/>
        <w:rPr>
          <w:rFonts w:ascii="Times New Roman" w:hAnsi="Times New Roman" w:cs="Times New Roman"/>
          <w:color w:val="auto"/>
        </w:rPr>
      </w:pPr>
      <w:r>
        <w:rPr>
          <w:rFonts w:ascii="Times New Roman" w:cs="Times New Roman" w:hAnsiTheme="minorEastAsia"/>
          <w:color w:val="auto"/>
        </w:rPr>
        <w:t>（</w:t>
      </w:r>
      <w:r>
        <w:rPr>
          <w:rFonts w:ascii="Times New Roman" w:hAnsi="Times New Roman" w:cs="Times New Roman"/>
          <w:color w:val="auto"/>
        </w:rPr>
        <w:t>1</w:t>
      </w:r>
      <w:r>
        <w:rPr>
          <w:rFonts w:ascii="Times New Roman" w:cs="Times New Roman" w:hAnsiTheme="minorEastAsia"/>
          <w:color w:val="auto"/>
        </w:rPr>
        <w:t>）风险调查</w:t>
      </w:r>
    </w:p>
    <w:p>
      <w:pPr>
        <w:pStyle w:val="74"/>
        <w:adjustRightInd/>
        <w:snapToGrid/>
        <w:jc w:val="both"/>
        <w:rPr>
          <w:rFonts w:ascii="Times New Roman" w:hAnsi="Times New Roman" w:cs="Times New Roman"/>
          <w:color w:val="auto"/>
        </w:rPr>
      </w:pPr>
      <w:r>
        <w:rPr>
          <w:rFonts w:ascii="Times New Roman" w:cs="Times New Roman" w:hAnsiTheme="minorEastAsia"/>
          <w:color w:val="auto"/>
        </w:rPr>
        <w:t>根据《建设项目环境风险评价技术导则》（</w:t>
      </w:r>
      <w:r>
        <w:rPr>
          <w:rFonts w:ascii="Times New Roman" w:hAnsi="Times New Roman" w:cs="Times New Roman"/>
          <w:color w:val="auto"/>
        </w:rPr>
        <w:t>HJ169-2018</w:t>
      </w:r>
      <w:r>
        <w:rPr>
          <w:rFonts w:ascii="Times New Roman" w:cs="Times New Roman" w:hAnsiTheme="minorEastAsia"/>
          <w:color w:val="auto"/>
        </w:rPr>
        <w:t>）附录</w:t>
      </w:r>
      <w:r>
        <w:rPr>
          <w:rFonts w:ascii="Times New Roman" w:hAnsi="Times New Roman" w:cs="Times New Roman"/>
          <w:color w:val="auto"/>
        </w:rPr>
        <w:t>B</w:t>
      </w:r>
      <w:r>
        <w:rPr>
          <w:rFonts w:ascii="Times New Roman" w:cs="Times New Roman" w:hAnsiTheme="minorEastAsia"/>
          <w:color w:val="auto"/>
        </w:rPr>
        <w:t>及《</w:t>
      </w:r>
      <w:r>
        <w:rPr>
          <w:rFonts w:hint="eastAsia" w:ascii="Times New Roman" w:cs="Times New Roman" w:hAnsiTheme="minorEastAsia"/>
          <w:color w:val="auto"/>
          <w:highlight w:val="none"/>
          <w:lang w:eastAsia="zh-CN"/>
        </w:rPr>
        <w:t>危险化学品重大危险源辨识</w:t>
      </w:r>
      <w:r>
        <w:rPr>
          <w:rFonts w:ascii="Times New Roman" w:cs="Times New Roman" w:hAnsiTheme="minorEastAsia"/>
          <w:color w:val="auto"/>
        </w:rPr>
        <w:t>》（</w:t>
      </w:r>
      <w:r>
        <w:rPr>
          <w:rFonts w:ascii="Times New Roman" w:hAnsi="Times New Roman" w:cs="Times New Roman"/>
          <w:color w:val="auto"/>
        </w:rPr>
        <w:t>GB18218-2018</w:t>
      </w:r>
      <w:r>
        <w:rPr>
          <w:rFonts w:ascii="Times New Roman" w:cs="Times New Roman" w:hAnsiTheme="minorEastAsia"/>
          <w:color w:val="auto"/>
        </w:rPr>
        <w:t>），本项目主要风险物质为</w:t>
      </w:r>
      <w:r>
        <w:rPr>
          <w:rFonts w:hint="eastAsia" w:ascii="Times New Roman" w:cs="Times New Roman" w:hAnsiTheme="minorEastAsia"/>
          <w:color w:val="auto"/>
        </w:rPr>
        <w:t>次氯酸钠</w:t>
      </w:r>
      <w:r>
        <w:rPr>
          <w:rFonts w:hint="eastAsia" w:ascii="Times New Roman" w:cs="Times New Roman" w:hAnsiTheme="minorEastAsia"/>
          <w:color w:val="auto"/>
          <w:lang w:val="en-US" w:eastAsia="zh-CN"/>
        </w:rPr>
        <w:t>及液氨</w:t>
      </w:r>
      <w:r>
        <w:rPr>
          <w:rFonts w:ascii="Times New Roman" w:cs="Times New Roman" w:hAnsiTheme="minorEastAsia"/>
          <w:color w:val="auto"/>
        </w:rPr>
        <w:t>。</w:t>
      </w:r>
    </w:p>
    <w:p>
      <w:pPr>
        <w:pStyle w:val="74"/>
        <w:adjustRightInd/>
        <w:snapToGrid/>
        <w:jc w:val="both"/>
        <w:rPr>
          <w:rFonts w:ascii="Times New Roman" w:hAnsi="Times New Roman" w:cs="Times New Roman"/>
          <w:color w:val="auto"/>
        </w:rPr>
      </w:pPr>
      <w:r>
        <w:rPr>
          <w:rFonts w:ascii="Times New Roman" w:cs="Times New Roman" w:hAnsiTheme="minorEastAsia"/>
          <w:color w:val="auto"/>
        </w:rPr>
        <w:t>（</w:t>
      </w:r>
      <w:r>
        <w:rPr>
          <w:rFonts w:ascii="Times New Roman" w:hAnsi="Times New Roman" w:cs="Times New Roman"/>
          <w:color w:val="auto"/>
        </w:rPr>
        <w:t>2</w:t>
      </w:r>
      <w:r>
        <w:rPr>
          <w:rFonts w:ascii="Times New Roman" w:cs="Times New Roman" w:hAnsiTheme="minorEastAsia"/>
          <w:color w:val="auto"/>
        </w:rPr>
        <w:t>）环境风险潜势初判</w:t>
      </w:r>
    </w:p>
    <w:p>
      <w:pPr>
        <w:pStyle w:val="74"/>
        <w:adjustRightInd/>
        <w:snapToGrid/>
        <w:jc w:val="both"/>
        <w:rPr>
          <w:rFonts w:ascii="Times New Roman" w:hAnsi="Times New Roman" w:cs="Times New Roman"/>
          <w:color w:val="auto"/>
        </w:rPr>
      </w:pPr>
      <w:r>
        <w:rPr>
          <w:rFonts w:ascii="Times New Roman" w:cs="Times New Roman" w:hAnsiTheme="minorEastAsia"/>
          <w:color w:val="auto"/>
        </w:rPr>
        <w:t>根据建设项目涉及的物质和工艺系统的危险性及其所在地的环境敏感程度，结合事故情形下环境影响途径，对建设项目潜在环境危害程度进行概化分析，建设项目环境风险潜势划分表见下表。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b/>
          <w:color w:val="auto"/>
          <w:kern w:val="0"/>
          <w:sz w:val="24"/>
        </w:rPr>
      </w:pPr>
      <w:r>
        <w:rPr>
          <w:rFonts w:hAnsiTheme="minorEastAsia" w:eastAsiaTheme="minorEastAsia"/>
          <w:b/>
          <w:color w:val="auto"/>
          <w:kern w:val="0"/>
          <w:sz w:val="24"/>
        </w:rPr>
        <w:t>表</w:t>
      </w:r>
      <w:r>
        <w:rPr>
          <w:rFonts w:eastAsiaTheme="minorEastAsia"/>
          <w:b/>
          <w:color w:val="auto"/>
          <w:kern w:val="0"/>
          <w:sz w:val="24"/>
        </w:rPr>
        <w:t>2-4-</w:t>
      </w:r>
      <w:r>
        <w:rPr>
          <w:rFonts w:hint="eastAsia" w:eastAsiaTheme="minorEastAsia"/>
          <w:b/>
          <w:color w:val="auto"/>
          <w:kern w:val="0"/>
          <w:sz w:val="24"/>
        </w:rPr>
        <w:t>10</w:t>
      </w:r>
      <w:r>
        <w:rPr>
          <w:rFonts w:hAnsiTheme="minorEastAsia" w:eastAsiaTheme="minorEastAsia"/>
          <w:b/>
          <w:color w:val="auto"/>
          <w:kern w:val="0"/>
          <w:sz w:val="24"/>
        </w:rPr>
        <w:t>建设项目环境风险潜势划分表</w:t>
      </w:r>
    </w:p>
    <w:tbl>
      <w:tblPr>
        <w:tblStyle w:val="4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49"/>
        <w:gridCol w:w="1650"/>
        <w:gridCol w:w="1650"/>
        <w:gridCol w:w="1650"/>
        <w:gridCol w:w="1623"/>
      </w:tblGrid>
      <w:tr>
        <w:tblPrEx>
          <w:tblCellMar>
            <w:top w:w="0" w:type="dxa"/>
            <w:left w:w="108" w:type="dxa"/>
            <w:bottom w:w="0" w:type="dxa"/>
            <w:right w:w="108" w:type="dxa"/>
          </w:tblCellMar>
        </w:tblPrEx>
        <w:tc>
          <w:tcPr>
            <w:tcW w:w="1144" w:type="pct"/>
            <w:vMerge w:val="restart"/>
            <w:shd w:val="clear" w:color="auto" w:fill="auto"/>
            <w:vAlign w:val="center"/>
          </w:tcPr>
          <w:p>
            <w:pPr>
              <w:pStyle w:val="84"/>
              <w:spacing w:line="0" w:lineRule="atLeast"/>
              <w:rPr>
                <w:rFonts w:hAnsi="Times New Roman" w:eastAsiaTheme="minorEastAsia"/>
                <w:snapToGrid w:val="0"/>
                <w:color w:val="auto"/>
                <w:szCs w:val="22"/>
              </w:rPr>
            </w:pPr>
            <w:r>
              <w:rPr>
                <w:rFonts w:eastAsiaTheme="minorEastAsia"/>
                <w:snapToGrid w:val="0"/>
                <w:color w:val="auto"/>
                <w:szCs w:val="22"/>
              </w:rPr>
              <w:t>环境敏感程度（</w:t>
            </w:r>
            <w:r>
              <w:rPr>
                <w:rFonts w:hAnsi="Times New Roman" w:eastAsiaTheme="minorEastAsia"/>
                <w:snapToGrid w:val="0"/>
                <w:color w:val="auto"/>
                <w:szCs w:val="22"/>
              </w:rPr>
              <w:t>E</w:t>
            </w:r>
            <w:r>
              <w:rPr>
                <w:rFonts w:eastAsiaTheme="minorEastAsia"/>
                <w:snapToGrid w:val="0"/>
                <w:color w:val="auto"/>
                <w:szCs w:val="22"/>
              </w:rPr>
              <w:t>）</w:t>
            </w:r>
          </w:p>
        </w:tc>
        <w:tc>
          <w:tcPr>
            <w:tcW w:w="3856" w:type="pct"/>
            <w:gridSpan w:val="4"/>
            <w:shd w:val="clear" w:color="auto" w:fill="auto"/>
            <w:vAlign w:val="center"/>
          </w:tcPr>
          <w:p>
            <w:pPr>
              <w:pStyle w:val="84"/>
              <w:spacing w:line="0" w:lineRule="atLeast"/>
              <w:rPr>
                <w:rFonts w:hAnsi="Times New Roman" w:eastAsiaTheme="minorEastAsia"/>
                <w:snapToGrid w:val="0"/>
                <w:color w:val="auto"/>
                <w:szCs w:val="22"/>
              </w:rPr>
            </w:pPr>
            <w:r>
              <w:rPr>
                <w:rFonts w:eastAsiaTheme="minorEastAsia"/>
                <w:snapToGrid w:val="0"/>
                <w:color w:val="auto"/>
                <w:szCs w:val="22"/>
              </w:rPr>
              <w:t>危险物质及工艺系统危险性（</w:t>
            </w:r>
            <w:r>
              <w:rPr>
                <w:rFonts w:hAnsi="Times New Roman" w:eastAsiaTheme="minorEastAsia"/>
                <w:snapToGrid w:val="0"/>
                <w:color w:val="auto"/>
                <w:szCs w:val="22"/>
              </w:rPr>
              <w:t>P</w:t>
            </w:r>
            <w:r>
              <w:rPr>
                <w:rFonts w:eastAsiaTheme="minorEastAsia"/>
                <w:snapToGrid w:val="0"/>
                <w:color w:val="auto"/>
                <w:szCs w:val="2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44" w:type="pct"/>
            <w:vMerge w:val="continue"/>
            <w:shd w:val="clear" w:color="auto" w:fill="auto"/>
            <w:vAlign w:val="center"/>
          </w:tcPr>
          <w:p>
            <w:pPr>
              <w:pStyle w:val="84"/>
              <w:spacing w:line="0" w:lineRule="atLeast"/>
              <w:rPr>
                <w:rFonts w:hAnsi="Times New Roman" w:eastAsiaTheme="minorEastAsia"/>
                <w:snapToGrid w:val="0"/>
                <w:color w:val="auto"/>
                <w:szCs w:val="22"/>
              </w:rPr>
            </w:pPr>
          </w:p>
        </w:tc>
        <w:tc>
          <w:tcPr>
            <w:tcW w:w="968" w:type="pct"/>
            <w:shd w:val="clear" w:color="auto" w:fill="auto"/>
            <w:vAlign w:val="center"/>
          </w:tcPr>
          <w:p>
            <w:pPr>
              <w:pStyle w:val="84"/>
              <w:spacing w:line="0" w:lineRule="atLeast"/>
              <w:rPr>
                <w:rFonts w:hAnsi="Times New Roman" w:eastAsiaTheme="minorEastAsia"/>
                <w:snapToGrid w:val="0"/>
                <w:color w:val="auto"/>
                <w:szCs w:val="22"/>
              </w:rPr>
            </w:pPr>
            <w:r>
              <w:rPr>
                <w:rFonts w:eastAsiaTheme="minorEastAsia"/>
                <w:snapToGrid w:val="0"/>
                <w:color w:val="auto"/>
                <w:szCs w:val="22"/>
              </w:rPr>
              <w:t>极高危害（</w:t>
            </w:r>
            <w:r>
              <w:rPr>
                <w:rFonts w:hAnsi="Times New Roman" w:eastAsiaTheme="minorEastAsia"/>
                <w:snapToGrid w:val="0"/>
                <w:color w:val="auto"/>
                <w:szCs w:val="22"/>
              </w:rPr>
              <w:t>P1</w:t>
            </w:r>
            <w:r>
              <w:rPr>
                <w:rFonts w:eastAsiaTheme="minorEastAsia"/>
                <w:snapToGrid w:val="0"/>
                <w:color w:val="auto"/>
                <w:szCs w:val="22"/>
              </w:rPr>
              <w:t>）</w:t>
            </w:r>
          </w:p>
        </w:tc>
        <w:tc>
          <w:tcPr>
            <w:tcW w:w="968" w:type="pct"/>
            <w:shd w:val="clear" w:color="auto" w:fill="auto"/>
            <w:vAlign w:val="center"/>
          </w:tcPr>
          <w:p>
            <w:pPr>
              <w:pStyle w:val="84"/>
              <w:spacing w:line="0" w:lineRule="atLeast"/>
              <w:rPr>
                <w:rFonts w:hAnsi="Times New Roman" w:eastAsiaTheme="minorEastAsia"/>
                <w:snapToGrid w:val="0"/>
                <w:color w:val="auto"/>
                <w:szCs w:val="22"/>
              </w:rPr>
            </w:pPr>
            <w:r>
              <w:rPr>
                <w:rFonts w:eastAsiaTheme="minorEastAsia"/>
                <w:snapToGrid w:val="0"/>
                <w:color w:val="auto"/>
                <w:szCs w:val="22"/>
              </w:rPr>
              <w:t>高度危害（</w:t>
            </w:r>
            <w:r>
              <w:rPr>
                <w:rFonts w:hAnsi="Times New Roman" w:eastAsiaTheme="minorEastAsia"/>
                <w:snapToGrid w:val="0"/>
                <w:color w:val="auto"/>
                <w:szCs w:val="22"/>
              </w:rPr>
              <w:t>P2</w:t>
            </w:r>
            <w:r>
              <w:rPr>
                <w:rFonts w:eastAsiaTheme="minorEastAsia"/>
                <w:snapToGrid w:val="0"/>
                <w:color w:val="auto"/>
                <w:szCs w:val="22"/>
              </w:rPr>
              <w:t>）</w:t>
            </w:r>
          </w:p>
        </w:tc>
        <w:tc>
          <w:tcPr>
            <w:tcW w:w="968" w:type="pct"/>
            <w:shd w:val="clear" w:color="auto" w:fill="auto"/>
            <w:vAlign w:val="center"/>
          </w:tcPr>
          <w:p>
            <w:pPr>
              <w:pStyle w:val="84"/>
              <w:spacing w:line="0" w:lineRule="atLeast"/>
              <w:rPr>
                <w:rFonts w:hAnsi="Times New Roman" w:eastAsiaTheme="minorEastAsia"/>
                <w:snapToGrid w:val="0"/>
                <w:color w:val="auto"/>
                <w:szCs w:val="22"/>
              </w:rPr>
            </w:pPr>
            <w:r>
              <w:rPr>
                <w:rFonts w:eastAsiaTheme="minorEastAsia"/>
                <w:snapToGrid w:val="0"/>
                <w:color w:val="auto"/>
                <w:szCs w:val="22"/>
              </w:rPr>
              <w:t>中度危害（</w:t>
            </w:r>
            <w:r>
              <w:rPr>
                <w:rFonts w:hAnsi="Times New Roman" w:eastAsiaTheme="minorEastAsia"/>
                <w:snapToGrid w:val="0"/>
                <w:color w:val="auto"/>
                <w:szCs w:val="22"/>
              </w:rPr>
              <w:t>P3</w:t>
            </w:r>
            <w:r>
              <w:rPr>
                <w:rFonts w:eastAsiaTheme="minorEastAsia"/>
                <w:snapToGrid w:val="0"/>
                <w:color w:val="auto"/>
                <w:szCs w:val="22"/>
              </w:rPr>
              <w:t>）</w:t>
            </w:r>
          </w:p>
        </w:tc>
        <w:tc>
          <w:tcPr>
            <w:tcW w:w="952" w:type="pct"/>
            <w:shd w:val="clear" w:color="auto" w:fill="auto"/>
            <w:vAlign w:val="center"/>
          </w:tcPr>
          <w:p>
            <w:pPr>
              <w:pStyle w:val="84"/>
              <w:spacing w:line="0" w:lineRule="atLeast"/>
              <w:rPr>
                <w:rFonts w:hAnsi="Times New Roman" w:eastAsiaTheme="minorEastAsia"/>
                <w:snapToGrid w:val="0"/>
                <w:color w:val="auto"/>
                <w:szCs w:val="22"/>
              </w:rPr>
            </w:pPr>
            <w:r>
              <w:rPr>
                <w:rFonts w:eastAsiaTheme="minorEastAsia"/>
                <w:snapToGrid w:val="0"/>
                <w:color w:val="auto"/>
                <w:szCs w:val="22"/>
              </w:rPr>
              <w:t>轻度危害（</w:t>
            </w:r>
            <w:r>
              <w:rPr>
                <w:rFonts w:hAnsi="Times New Roman" w:eastAsiaTheme="minorEastAsia"/>
                <w:snapToGrid w:val="0"/>
                <w:color w:val="auto"/>
                <w:szCs w:val="22"/>
              </w:rPr>
              <w:t>P4</w:t>
            </w:r>
            <w:r>
              <w:rPr>
                <w:rFonts w:eastAsiaTheme="minorEastAsia"/>
                <w:snapToGrid w:val="0"/>
                <w:color w:val="auto"/>
                <w:szCs w:val="2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pStyle w:val="84"/>
              <w:spacing w:line="0" w:lineRule="atLeast"/>
              <w:rPr>
                <w:rFonts w:hAnsi="Times New Roman" w:eastAsiaTheme="minorEastAsia"/>
                <w:snapToGrid w:val="0"/>
                <w:color w:val="auto"/>
                <w:szCs w:val="22"/>
              </w:rPr>
            </w:pPr>
            <w:r>
              <w:rPr>
                <w:rFonts w:eastAsiaTheme="minorEastAsia"/>
                <w:snapToGrid w:val="0"/>
                <w:color w:val="auto"/>
                <w:szCs w:val="22"/>
              </w:rPr>
              <w:t>环境高度敏感区（</w:t>
            </w:r>
            <w:r>
              <w:rPr>
                <w:rFonts w:hAnsi="Times New Roman" w:eastAsiaTheme="minorEastAsia"/>
                <w:snapToGrid w:val="0"/>
                <w:color w:val="auto"/>
                <w:szCs w:val="22"/>
              </w:rPr>
              <w:t>E1</w:t>
            </w:r>
            <w:r>
              <w:rPr>
                <w:rFonts w:eastAsiaTheme="minorEastAsia"/>
                <w:snapToGrid w:val="0"/>
                <w:color w:val="auto"/>
                <w:szCs w:val="22"/>
              </w:rPr>
              <w:t>）</w:t>
            </w:r>
          </w:p>
        </w:tc>
        <w:tc>
          <w:tcPr>
            <w:tcW w:w="968" w:type="pct"/>
            <w:shd w:val="clear" w:color="auto" w:fill="auto"/>
            <w:vAlign w:val="center"/>
          </w:tcPr>
          <w:p>
            <w:pPr>
              <w:pStyle w:val="84"/>
              <w:spacing w:line="0" w:lineRule="atLeast"/>
              <w:rPr>
                <w:rFonts w:hAnsi="Times New Roman" w:eastAsiaTheme="minorEastAsia"/>
                <w:snapToGrid w:val="0"/>
                <w:color w:val="auto"/>
                <w:szCs w:val="22"/>
              </w:rPr>
            </w:pPr>
            <w:r>
              <w:rPr>
                <w:rFonts w:hAnsi="Times New Roman" w:eastAsiaTheme="minorEastAsia"/>
                <w:snapToGrid w:val="0"/>
                <w:color w:val="auto"/>
                <w:szCs w:val="22"/>
              </w:rPr>
              <w:t>Ⅳ+</w:t>
            </w:r>
          </w:p>
        </w:tc>
        <w:tc>
          <w:tcPr>
            <w:tcW w:w="968" w:type="pct"/>
            <w:shd w:val="clear" w:color="auto" w:fill="auto"/>
            <w:vAlign w:val="center"/>
          </w:tcPr>
          <w:p>
            <w:pPr>
              <w:pStyle w:val="84"/>
              <w:spacing w:line="0" w:lineRule="atLeast"/>
              <w:rPr>
                <w:rFonts w:hAnsi="Times New Roman" w:eastAsiaTheme="minorEastAsia"/>
                <w:snapToGrid w:val="0"/>
                <w:color w:val="auto"/>
                <w:szCs w:val="22"/>
              </w:rPr>
            </w:pPr>
            <w:r>
              <w:rPr>
                <w:rFonts w:hAnsi="Times New Roman" w:eastAsiaTheme="minorEastAsia"/>
                <w:snapToGrid w:val="0"/>
                <w:color w:val="auto"/>
                <w:szCs w:val="22"/>
              </w:rPr>
              <w:t>Ⅳ</w:t>
            </w:r>
          </w:p>
        </w:tc>
        <w:tc>
          <w:tcPr>
            <w:tcW w:w="968" w:type="pct"/>
            <w:shd w:val="clear" w:color="auto" w:fill="auto"/>
            <w:vAlign w:val="center"/>
          </w:tcPr>
          <w:p>
            <w:pPr>
              <w:pStyle w:val="84"/>
              <w:spacing w:line="0" w:lineRule="atLeast"/>
              <w:rPr>
                <w:rFonts w:hAnsi="Times New Roman" w:eastAsiaTheme="minorEastAsia"/>
                <w:snapToGrid w:val="0"/>
                <w:color w:val="auto"/>
                <w:szCs w:val="22"/>
              </w:rPr>
            </w:pPr>
            <w:r>
              <w:rPr>
                <w:rFonts w:hAnsi="Times New Roman" w:eastAsiaTheme="minorEastAsia"/>
                <w:snapToGrid w:val="0"/>
                <w:color w:val="auto"/>
                <w:szCs w:val="22"/>
              </w:rPr>
              <w:t>Ⅲ</w:t>
            </w:r>
          </w:p>
        </w:tc>
        <w:tc>
          <w:tcPr>
            <w:tcW w:w="952" w:type="pct"/>
            <w:shd w:val="clear" w:color="auto" w:fill="auto"/>
            <w:vAlign w:val="center"/>
          </w:tcPr>
          <w:p>
            <w:pPr>
              <w:pStyle w:val="84"/>
              <w:spacing w:line="0" w:lineRule="atLeast"/>
              <w:rPr>
                <w:rFonts w:hAnsi="Times New Roman" w:eastAsiaTheme="minorEastAsia"/>
                <w:snapToGrid w:val="0"/>
                <w:color w:val="auto"/>
                <w:szCs w:val="22"/>
              </w:rPr>
            </w:pPr>
            <w:r>
              <w:rPr>
                <w:rFonts w:hAnsi="Times New Roman" w:eastAsiaTheme="minorEastAsia"/>
                <w:snapToGrid w:val="0"/>
                <w:color w:val="auto"/>
                <w:szCs w:val="22"/>
              </w:rPr>
              <w:t>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pStyle w:val="84"/>
              <w:spacing w:line="0" w:lineRule="atLeast"/>
              <w:rPr>
                <w:rFonts w:hAnsi="Times New Roman" w:eastAsiaTheme="minorEastAsia"/>
                <w:snapToGrid w:val="0"/>
                <w:color w:val="auto"/>
                <w:szCs w:val="22"/>
              </w:rPr>
            </w:pPr>
            <w:r>
              <w:rPr>
                <w:rFonts w:eastAsiaTheme="minorEastAsia"/>
                <w:snapToGrid w:val="0"/>
                <w:color w:val="auto"/>
                <w:szCs w:val="22"/>
              </w:rPr>
              <w:t>环境中度敏感区（</w:t>
            </w:r>
            <w:r>
              <w:rPr>
                <w:rFonts w:hAnsi="Times New Roman" w:eastAsiaTheme="minorEastAsia"/>
                <w:snapToGrid w:val="0"/>
                <w:color w:val="auto"/>
                <w:szCs w:val="22"/>
              </w:rPr>
              <w:t>E2</w:t>
            </w:r>
            <w:r>
              <w:rPr>
                <w:rFonts w:eastAsiaTheme="minorEastAsia"/>
                <w:snapToGrid w:val="0"/>
                <w:color w:val="auto"/>
                <w:szCs w:val="22"/>
              </w:rPr>
              <w:t>）</w:t>
            </w:r>
          </w:p>
        </w:tc>
        <w:tc>
          <w:tcPr>
            <w:tcW w:w="968" w:type="pct"/>
            <w:shd w:val="clear" w:color="auto" w:fill="auto"/>
            <w:vAlign w:val="center"/>
          </w:tcPr>
          <w:p>
            <w:pPr>
              <w:pStyle w:val="84"/>
              <w:spacing w:line="0" w:lineRule="atLeast"/>
              <w:rPr>
                <w:rFonts w:hAnsi="Times New Roman" w:eastAsiaTheme="minorEastAsia"/>
                <w:snapToGrid w:val="0"/>
                <w:color w:val="auto"/>
                <w:szCs w:val="22"/>
              </w:rPr>
            </w:pPr>
            <w:r>
              <w:rPr>
                <w:rFonts w:hAnsi="Times New Roman" w:eastAsiaTheme="minorEastAsia"/>
                <w:snapToGrid w:val="0"/>
                <w:color w:val="auto"/>
                <w:szCs w:val="22"/>
              </w:rPr>
              <w:t>Ⅳ</w:t>
            </w:r>
          </w:p>
        </w:tc>
        <w:tc>
          <w:tcPr>
            <w:tcW w:w="968" w:type="pct"/>
            <w:shd w:val="clear" w:color="auto" w:fill="auto"/>
            <w:vAlign w:val="center"/>
          </w:tcPr>
          <w:p>
            <w:pPr>
              <w:pStyle w:val="84"/>
              <w:spacing w:line="0" w:lineRule="atLeast"/>
              <w:rPr>
                <w:rFonts w:hAnsi="Times New Roman" w:eastAsiaTheme="minorEastAsia"/>
                <w:snapToGrid w:val="0"/>
                <w:color w:val="auto"/>
                <w:szCs w:val="22"/>
              </w:rPr>
            </w:pPr>
            <w:r>
              <w:rPr>
                <w:rFonts w:hAnsi="Times New Roman" w:eastAsiaTheme="minorEastAsia"/>
                <w:snapToGrid w:val="0"/>
                <w:color w:val="auto"/>
                <w:szCs w:val="22"/>
              </w:rPr>
              <w:t>Ⅲ</w:t>
            </w:r>
          </w:p>
        </w:tc>
        <w:tc>
          <w:tcPr>
            <w:tcW w:w="968" w:type="pct"/>
            <w:shd w:val="clear" w:color="auto" w:fill="auto"/>
            <w:vAlign w:val="center"/>
          </w:tcPr>
          <w:p>
            <w:pPr>
              <w:pStyle w:val="84"/>
              <w:spacing w:line="0" w:lineRule="atLeast"/>
              <w:rPr>
                <w:rFonts w:hAnsi="Times New Roman" w:eastAsiaTheme="minorEastAsia"/>
                <w:snapToGrid w:val="0"/>
                <w:color w:val="auto"/>
                <w:szCs w:val="22"/>
              </w:rPr>
            </w:pPr>
            <w:r>
              <w:rPr>
                <w:rFonts w:hAnsi="Times New Roman" w:eastAsiaTheme="minorEastAsia"/>
                <w:snapToGrid w:val="0"/>
                <w:color w:val="auto"/>
                <w:szCs w:val="22"/>
              </w:rPr>
              <w:t>Ⅲ</w:t>
            </w:r>
          </w:p>
        </w:tc>
        <w:tc>
          <w:tcPr>
            <w:tcW w:w="952" w:type="pct"/>
            <w:shd w:val="clear" w:color="auto" w:fill="auto"/>
            <w:vAlign w:val="center"/>
          </w:tcPr>
          <w:p>
            <w:pPr>
              <w:pStyle w:val="84"/>
              <w:spacing w:line="0" w:lineRule="atLeast"/>
              <w:rPr>
                <w:rFonts w:hAnsi="Times New Roman" w:eastAsiaTheme="minorEastAsia"/>
                <w:snapToGrid w:val="0"/>
                <w:color w:val="auto"/>
                <w:szCs w:val="22"/>
              </w:rPr>
            </w:pPr>
            <w:r>
              <w:rPr>
                <w:rFonts w:hAnsi="Times New Roman" w:eastAsiaTheme="minorEastAsia"/>
                <w:snapToGrid w:val="0"/>
                <w:color w:val="auto"/>
                <w:szCs w:val="22"/>
              </w:rPr>
              <w:t>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44" w:type="pct"/>
            <w:shd w:val="clear" w:color="auto" w:fill="auto"/>
            <w:vAlign w:val="center"/>
          </w:tcPr>
          <w:p>
            <w:pPr>
              <w:pStyle w:val="84"/>
              <w:spacing w:line="0" w:lineRule="atLeast"/>
              <w:rPr>
                <w:rFonts w:hAnsi="Times New Roman" w:eastAsiaTheme="minorEastAsia"/>
                <w:snapToGrid w:val="0"/>
                <w:color w:val="auto"/>
                <w:szCs w:val="22"/>
              </w:rPr>
            </w:pPr>
            <w:r>
              <w:rPr>
                <w:rFonts w:eastAsiaTheme="minorEastAsia"/>
                <w:snapToGrid w:val="0"/>
                <w:color w:val="auto"/>
                <w:szCs w:val="22"/>
              </w:rPr>
              <w:t>环境低度敏感区（</w:t>
            </w:r>
            <w:r>
              <w:rPr>
                <w:rFonts w:hAnsi="Times New Roman" w:eastAsiaTheme="minorEastAsia"/>
                <w:snapToGrid w:val="0"/>
                <w:color w:val="auto"/>
                <w:szCs w:val="22"/>
              </w:rPr>
              <w:t>E3</w:t>
            </w:r>
            <w:r>
              <w:rPr>
                <w:rFonts w:eastAsiaTheme="minorEastAsia"/>
                <w:snapToGrid w:val="0"/>
                <w:color w:val="auto"/>
                <w:szCs w:val="22"/>
              </w:rPr>
              <w:t>）</w:t>
            </w:r>
          </w:p>
        </w:tc>
        <w:tc>
          <w:tcPr>
            <w:tcW w:w="968" w:type="pct"/>
            <w:shd w:val="clear" w:color="auto" w:fill="auto"/>
            <w:vAlign w:val="center"/>
          </w:tcPr>
          <w:p>
            <w:pPr>
              <w:pStyle w:val="84"/>
              <w:spacing w:line="0" w:lineRule="atLeast"/>
              <w:rPr>
                <w:rFonts w:hAnsi="Times New Roman" w:eastAsiaTheme="minorEastAsia"/>
                <w:snapToGrid w:val="0"/>
                <w:color w:val="auto"/>
                <w:szCs w:val="22"/>
              </w:rPr>
            </w:pPr>
            <w:r>
              <w:rPr>
                <w:rFonts w:hAnsi="Times New Roman" w:eastAsiaTheme="minorEastAsia"/>
                <w:snapToGrid w:val="0"/>
                <w:color w:val="auto"/>
                <w:szCs w:val="22"/>
              </w:rPr>
              <w:t>Ⅲ</w:t>
            </w:r>
          </w:p>
        </w:tc>
        <w:tc>
          <w:tcPr>
            <w:tcW w:w="968" w:type="pct"/>
            <w:shd w:val="clear" w:color="auto" w:fill="auto"/>
            <w:vAlign w:val="center"/>
          </w:tcPr>
          <w:p>
            <w:pPr>
              <w:pStyle w:val="84"/>
              <w:spacing w:line="0" w:lineRule="atLeast"/>
              <w:rPr>
                <w:rFonts w:hAnsi="Times New Roman" w:eastAsiaTheme="minorEastAsia"/>
                <w:snapToGrid w:val="0"/>
                <w:color w:val="auto"/>
                <w:szCs w:val="22"/>
              </w:rPr>
            </w:pPr>
            <w:r>
              <w:rPr>
                <w:rFonts w:hAnsi="Times New Roman" w:eastAsiaTheme="minorEastAsia"/>
                <w:snapToGrid w:val="0"/>
                <w:color w:val="auto"/>
                <w:szCs w:val="22"/>
              </w:rPr>
              <w:t>Ⅲ</w:t>
            </w:r>
          </w:p>
        </w:tc>
        <w:tc>
          <w:tcPr>
            <w:tcW w:w="968" w:type="pct"/>
            <w:shd w:val="clear" w:color="auto" w:fill="auto"/>
            <w:vAlign w:val="center"/>
          </w:tcPr>
          <w:p>
            <w:pPr>
              <w:pStyle w:val="84"/>
              <w:spacing w:line="0" w:lineRule="atLeast"/>
              <w:rPr>
                <w:rFonts w:hAnsi="Times New Roman" w:eastAsiaTheme="minorEastAsia"/>
                <w:snapToGrid w:val="0"/>
                <w:color w:val="auto"/>
                <w:szCs w:val="22"/>
              </w:rPr>
            </w:pPr>
            <w:r>
              <w:rPr>
                <w:rFonts w:hAnsi="Times New Roman" w:eastAsiaTheme="minorEastAsia"/>
                <w:snapToGrid w:val="0"/>
                <w:color w:val="auto"/>
                <w:szCs w:val="22"/>
              </w:rPr>
              <w:t>Ⅱ</w:t>
            </w:r>
          </w:p>
        </w:tc>
        <w:tc>
          <w:tcPr>
            <w:tcW w:w="952" w:type="pct"/>
            <w:shd w:val="clear" w:color="auto" w:fill="auto"/>
            <w:vAlign w:val="center"/>
          </w:tcPr>
          <w:p>
            <w:pPr>
              <w:pStyle w:val="84"/>
              <w:spacing w:line="0" w:lineRule="atLeast"/>
              <w:rPr>
                <w:rFonts w:hAnsi="Times New Roman" w:eastAsiaTheme="minorEastAsia"/>
                <w:b/>
                <w:snapToGrid w:val="0"/>
                <w:color w:val="auto"/>
                <w:szCs w:val="22"/>
              </w:rPr>
            </w:pPr>
            <w:r>
              <w:rPr>
                <w:rFonts w:hAnsi="Times New Roman" w:eastAsiaTheme="minorEastAsia"/>
                <w:b/>
                <w:snapToGrid w:val="0"/>
                <w:color w:val="auto"/>
                <w:szCs w:val="22"/>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5"/>
            <w:shd w:val="clear" w:color="auto" w:fill="auto"/>
            <w:vAlign w:val="center"/>
          </w:tcPr>
          <w:p>
            <w:pPr>
              <w:pStyle w:val="84"/>
              <w:spacing w:line="0" w:lineRule="atLeast"/>
              <w:jc w:val="both"/>
              <w:rPr>
                <w:rFonts w:hAnsi="Times New Roman" w:eastAsiaTheme="minorEastAsia"/>
                <w:snapToGrid w:val="0"/>
                <w:color w:val="auto"/>
                <w:szCs w:val="22"/>
              </w:rPr>
            </w:pPr>
            <w:r>
              <w:rPr>
                <w:rFonts w:eastAsiaTheme="minorEastAsia"/>
                <w:snapToGrid w:val="0"/>
                <w:color w:val="auto"/>
                <w:szCs w:val="22"/>
              </w:rPr>
              <w:t>注：</w:t>
            </w:r>
            <w:r>
              <w:rPr>
                <w:rFonts w:hAnsi="Times New Roman" w:eastAsiaTheme="minorEastAsia"/>
                <w:snapToGrid w:val="0"/>
                <w:color w:val="auto"/>
                <w:szCs w:val="22"/>
              </w:rPr>
              <w:t>Ⅳ</w:t>
            </w:r>
            <w:r>
              <w:rPr>
                <w:rFonts w:hAnsi="Times New Roman" w:eastAsiaTheme="minorEastAsia"/>
                <w:snapToGrid w:val="0"/>
                <w:color w:val="auto"/>
                <w:szCs w:val="22"/>
                <w:vertAlign w:val="superscript"/>
              </w:rPr>
              <w:t>+</w:t>
            </w:r>
            <w:r>
              <w:rPr>
                <w:rFonts w:eastAsiaTheme="minorEastAsia"/>
                <w:snapToGrid w:val="0"/>
                <w:color w:val="auto"/>
                <w:szCs w:val="22"/>
              </w:rPr>
              <w:t>为极高环境风险。</w:t>
            </w:r>
          </w:p>
        </w:tc>
      </w:tr>
    </w:tbl>
    <w:p>
      <w:pPr>
        <w:pStyle w:val="74"/>
        <w:adjustRightInd/>
        <w:snapToGrid/>
        <w:jc w:val="both"/>
        <w:rPr>
          <w:rFonts w:ascii="Times New Roman" w:hAnsi="Times New Roman" w:cs="Times New Roman"/>
          <w:color w:val="auto"/>
        </w:rPr>
      </w:pPr>
      <w:r>
        <w:rPr>
          <w:rFonts w:ascii="Times New Roman" w:hAnsi="Times New Roman" w:cs="Times New Roman"/>
          <w:color w:val="auto"/>
        </w:rPr>
        <w:t>P</w:t>
      </w:r>
      <w:r>
        <w:rPr>
          <w:rFonts w:ascii="Times New Roman" w:cs="Times New Roman" w:hAnsiTheme="minorEastAsia"/>
          <w:color w:val="auto"/>
        </w:rPr>
        <w:t>的分级确定</w:t>
      </w:r>
    </w:p>
    <w:p>
      <w:pPr>
        <w:pStyle w:val="74"/>
        <w:adjustRightInd/>
        <w:snapToGrid/>
        <w:jc w:val="both"/>
        <w:rPr>
          <w:rFonts w:ascii="Times New Roman" w:hAnsi="Times New Roman" w:cs="Times New Roman"/>
          <w:color w:val="auto"/>
        </w:rPr>
      </w:pPr>
      <w:r>
        <w:rPr>
          <w:rFonts w:ascii="Times New Roman" w:cs="Times New Roman" w:hAnsiTheme="minorEastAsia"/>
          <w:color w:val="auto"/>
        </w:rPr>
        <w:t>计算所涉及的每种危险物质在厂界内的最大存在总量与其在附录</w:t>
      </w:r>
      <w:r>
        <w:rPr>
          <w:rFonts w:ascii="Times New Roman" w:hAnsi="Times New Roman" w:cs="Times New Roman"/>
          <w:color w:val="auto"/>
        </w:rPr>
        <w:t>B</w:t>
      </w:r>
      <w:r>
        <w:rPr>
          <w:rFonts w:ascii="Times New Roman" w:cs="Times New Roman" w:hAnsiTheme="minorEastAsia"/>
          <w:color w:val="auto"/>
        </w:rPr>
        <w:t>中对应临界量的比值</w:t>
      </w:r>
      <w:r>
        <w:rPr>
          <w:rFonts w:ascii="Times New Roman" w:hAnsi="Times New Roman" w:cs="Times New Roman"/>
          <w:color w:val="auto"/>
        </w:rPr>
        <w:t>Q</w:t>
      </w:r>
      <w:r>
        <w:rPr>
          <w:rFonts w:ascii="Times New Roman" w:cs="Times New Roman" w:hAnsiTheme="minorEastAsia"/>
          <w:color w:val="auto"/>
        </w:rPr>
        <w:t>。</w:t>
      </w:r>
    </w:p>
    <w:p>
      <w:pPr>
        <w:pStyle w:val="74"/>
        <w:adjustRightInd/>
        <w:snapToGrid/>
        <w:jc w:val="both"/>
        <w:rPr>
          <w:rFonts w:ascii="Times New Roman" w:hAnsi="Times New Roman" w:cs="Times New Roman"/>
          <w:color w:val="auto"/>
        </w:rPr>
      </w:pPr>
      <w:r>
        <w:rPr>
          <w:rFonts w:ascii="Times New Roman" w:cs="Times New Roman" w:hAnsiTheme="minorEastAsia"/>
          <w:color w:val="auto"/>
        </w:rPr>
        <w:t>当只涉及一种危险物质时，计算该物质的总量与其临界量比值，即为</w:t>
      </w:r>
      <w:r>
        <w:rPr>
          <w:rFonts w:ascii="Times New Roman" w:hAnsi="Times New Roman" w:cs="Times New Roman"/>
          <w:color w:val="auto"/>
        </w:rPr>
        <w:t>Q</w:t>
      </w:r>
      <w:r>
        <w:rPr>
          <w:rFonts w:ascii="Times New Roman" w:cs="Times New Roman" w:hAnsiTheme="minorEastAsia"/>
          <w:color w:val="auto"/>
        </w:rPr>
        <w:t>；</w:t>
      </w:r>
    </w:p>
    <w:p>
      <w:pPr>
        <w:pStyle w:val="74"/>
        <w:adjustRightInd/>
        <w:snapToGrid/>
        <w:jc w:val="both"/>
        <w:rPr>
          <w:rFonts w:ascii="Times New Roman" w:hAnsi="Times New Roman" w:cs="Times New Roman"/>
          <w:color w:val="auto"/>
        </w:rPr>
      </w:pPr>
      <w:r>
        <w:rPr>
          <w:rFonts w:ascii="Times New Roman" w:cs="Times New Roman" w:hAnsiTheme="minorEastAsia"/>
          <w:color w:val="auto"/>
        </w:rPr>
        <w:t>当存在多种危险物质时，则按</w:t>
      </w:r>
      <w:r>
        <w:rPr>
          <w:rFonts w:hint="eastAsia" w:ascii="Times New Roman" w:cs="Times New Roman" w:hAnsiTheme="minorEastAsia"/>
          <w:color w:val="auto"/>
        </w:rPr>
        <w:t>下</w:t>
      </w:r>
      <w:r>
        <w:rPr>
          <w:rFonts w:ascii="Times New Roman" w:cs="Times New Roman" w:hAnsiTheme="minorEastAsia"/>
          <w:color w:val="auto"/>
        </w:rPr>
        <w:t>式计算物质总量与其临界量比值（</w:t>
      </w:r>
      <w:r>
        <w:rPr>
          <w:rFonts w:ascii="Times New Roman" w:hAnsi="Times New Roman" w:cs="Times New Roman"/>
          <w:color w:val="auto"/>
        </w:rPr>
        <w:t>Q</w:t>
      </w:r>
      <w:r>
        <w:rPr>
          <w:rFonts w:ascii="Times New Roman" w:cs="Times New Roman" w:hAnsiTheme="minorEastAsia"/>
          <w:color w:val="auto"/>
        </w:rPr>
        <w:t>）：</w:t>
      </w:r>
    </w:p>
    <w:p>
      <w:pPr>
        <w:pStyle w:val="74"/>
        <w:adjustRightInd/>
        <w:snapToGrid/>
        <w:jc w:val="center"/>
        <w:rPr>
          <w:rFonts w:ascii="Times New Roman" w:hAnsi="Times New Roman" w:cs="Times New Roman"/>
          <w:color w:val="auto"/>
        </w:rPr>
      </w:pPr>
      <w:r>
        <w:rPr>
          <w:rFonts w:ascii="Times New Roman" w:hAnsi="Times New Roman" w:cs="Times New Roman"/>
          <w:color w:val="auto"/>
        </w:rPr>
        <w:drawing>
          <wp:inline distT="0" distB="0" distL="0" distR="0">
            <wp:extent cx="1941195" cy="511810"/>
            <wp:effectExtent l="19050" t="0" r="1677" b="0"/>
            <wp:docPr id="14" name="图片 12" descr="1553825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descr="1553825092(1)"/>
                    <pic:cNvPicPr>
                      <a:picLocks noChangeAspect="1" noChangeArrowheads="1"/>
                    </pic:cNvPicPr>
                  </pic:nvPicPr>
                  <pic:blipFill>
                    <a:blip r:embed="rId18" cstate="print"/>
                    <a:srcRect r="44174"/>
                    <a:stretch>
                      <a:fillRect/>
                    </a:stretch>
                  </pic:blipFill>
                  <pic:spPr>
                    <a:xfrm>
                      <a:off x="0" y="0"/>
                      <a:ext cx="1941423" cy="512064"/>
                    </a:xfrm>
                    <a:prstGeom prst="rect">
                      <a:avLst/>
                    </a:prstGeom>
                    <a:noFill/>
                    <a:ln w="9525">
                      <a:noFill/>
                      <a:miter lim="800000"/>
                      <a:headEnd/>
                      <a:tailEnd/>
                    </a:ln>
                  </pic:spPr>
                </pic:pic>
              </a:graphicData>
            </a:graphic>
          </wp:inline>
        </w:drawing>
      </w:r>
    </w:p>
    <w:p>
      <w:pPr>
        <w:pStyle w:val="74"/>
        <w:adjustRightInd/>
        <w:snapToGrid/>
        <w:jc w:val="both"/>
        <w:rPr>
          <w:rFonts w:ascii="Times New Roman" w:hAnsi="Times New Roman" w:cs="Times New Roman"/>
          <w:color w:val="auto"/>
        </w:rPr>
      </w:pPr>
      <w:r>
        <w:rPr>
          <w:rFonts w:ascii="Times New Roman" w:cs="Times New Roman" w:hAnsiTheme="minorEastAsia"/>
          <w:color w:val="auto"/>
        </w:rPr>
        <w:t>式中：</w:t>
      </w:r>
      <w:r>
        <w:rPr>
          <w:rFonts w:ascii="Times New Roman" w:hAnsi="Times New Roman" w:cs="Times New Roman"/>
          <w:i/>
          <w:color w:val="auto"/>
        </w:rPr>
        <w:t>q</w:t>
      </w:r>
      <w:r>
        <w:rPr>
          <w:rFonts w:ascii="Times New Roman" w:hAnsi="Times New Roman" w:cs="Times New Roman"/>
          <w:color w:val="auto"/>
          <w:vertAlign w:val="subscript"/>
        </w:rPr>
        <w:t>1</w:t>
      </w:r>
      <w:r>
        <w:rPr>
          <w:rFonts w:ascii="Times New Roman" w:cs="Times New Roman" w:hAnsiTheme="minorEastAsia"/>
          <w:color w:val="auto"/>
        </w:rPr>
        <w:t>，</w:t>
      </w:r>
      <w:r>
        <w:rPr>
          <w:rFonts w:ascii="Times New Roman" w:hAnsi="Times New Roman" w:cs="Times New Roman"/>
          <w:i/>
          <w:color w:val="auto"/>
        </w:rPr>
        <w:t>q</w:t>
      </w:r>
      <w:r>
        <w:rPr>
          <w:rFonts w:ascii="Times New Roman" w:hAnsi="Times New Roman" w:cs="Times New Roman"/>
          <w:color w:val="auto"/>
          <w:vertAlign w:val="subscript"/>
        </w:rPr>
        <w:t>2</w:t>
      </w:r>
      <w:r>
        <w:rPr>
          <w:rFonts w:ascii="Times New Roman" w:cs="Times New Roman" w:hAnsiTheme="minorEastAsia"/>
          <w:color w:val="auto"/>
        </w:rPr>
        <w:t>，</w:t>
      </w:r>
      <w:r>
        <w:rPr>
          <w:rFonts w:ascii="Times New Roman" w:hAnsi="Times New Roman" w:cs="Times New Roman"/>
          <w:color w:val="auto"/>
        </w:rPr>
        <w:t>...</w:t>
      </w:r>
      <w:r>
        <w:rPr>
          <w:rFonts w:ascii="Times New Roman" w:cs="Times New Roman" w:hAnsiTheme="minorEastAsia"/>
          <w:color w:val="auto"/>
        </w:rPr>
        <w:t>，</w:t>
      </w:r>
      <w:r>
        <w:rPr>
          <w:rFonts w:ascii="Times New Roman" w:hAnsi="Times New Roman" w:cs="Times New Roman"/>
          <w:i/>
          <w:color w:val="auto"/>
        </w:rPr>
        <w:t>q</w:t>
      </w:r>
      <w:r>
        <w:rPr>
          <w:rFonts w:ascii="Times New Roman" w:hAnsi="Times New Roman" w:cs="Times New Roman"/>
          <w:color w:val="auto"/>
          <w:vertAlign w:val="subscript"/>
        </w:rPr>
        <w:t>n</w:t>
      </w:r>
      <w:r>
        <w:rPr>
          <w:rFonts w:ascii="Times New Roman" w:hAnsi="Times New Roman" w:cs="Times New Roman"/>
          <w:color w:val="auto"/>
        </w:rPr>
        <w:t>——</w:t>
      </w:r>
      <w:r>
        <w:rPr>
          <w:rFonts w:ascii="Times New Roman" w:cs="Times New Roman" w:hAnsiTheme="minorEastAsia"/>
          <w:color w:val="auto"/>
        </w:rPr>
        <w:t>每种危险物质的最大存在总量，</w:t>
      </w:r>
      <w:r>
        <w:rPr>
          <w:rFonts w:ascii="Times New Roman" w:hAnsi="Times New Roman" w:cs="Times New Roman"/>
          <w:color w:val="auto"/>
        </w:rPr>
        <w:t>t</w:t>
      </w:r>
      <w:r>
        <w:rPr>
          <w:rFonts w:ascii="Times New Roman" w:cs="Times New Roman" w:hAnsiTheme="minorEastAsia"/>
          <w:color w:val="auto"/>
        </w:rPr>
        <w:t>；</w:t>
      </w:r>
    </w:p>
    <w:p>
      <w:pPr>
        <w:pStyle w:val="74"/>
        <w:adjustRightInd/>
        <w:snapToGrid/>
        <w:jc w:val="both"/>
        <w:rPr>
          <w:rFonts w:ascii="Times New Roman" w:hAnsi="Times New Roman" w:cs="Times New Roman"/>
          <w:color w:val="auto"/>
        </w:rPr>
      </w:pPr>
      <w:r>
        <w:rPr>
          <w:rFonts w:ascii="Times New Roman" w:hAnsi="Times New Roman" w:cs="Times New Roman"/>
          <w:i/>
          <w:color w:val="auto"/>
        </w:rPr>
        <w:t>Q</w:t>
      </w:r>
      <w:r>
        <w:rPr>
          <w:rFonts w:ascii="Times New Roman" w:hAnsi="Times New Roman" w:cs="Times New Roman"/>
          <w:color w:val="auto"/>
          <w:vertAlign w:val="subscript"/>
        </w:rPr>
        <w:t>1</w:t>
      </w:r>
      <w:r>
        <w:rPr>
          <w:rFonts w:ascii="Times New Roman" w:cs="Times New Roman" w:hAnsiTheme="minorEastAsia"/>
          <w:color w:val="auto"/>
        </w:rPr>
        <w:t>，</w:t>
      </w:r>
      <w:r>
        <w:rPr>
          <w:rFonts w:ascii="Times New Roman" w:hAnsi="Times New Roman" w:cs="Times New Roman"/>
          <w:i/>
          <w:color w:val="auto"/>
        </w:rPr>
        <w:t>Q</w:t>
      </w:r>
      <w:r>
        <w:rPr>
          <w:rFonts w:ascii="Times New Roman" w:hAnsi="Times New Roman" w:cs="Times New Roman"/>
          <w:color w:val="auto"/>
          <w:vertAlign w:val="subscript"/>
        </w:rPr>
        <w:t>2</w:t>
      </w:r>
      <w:r>
        <w:rPr>
          <w:rFonts w:ascii="Times New Roman" w:cs="Times New Roman" w:hAnsiTheme="minorEastAsia"/>
          <w:color w:val="auto"/>
        </w:rPr>
        <w:t>，</w:t>
      </w:r>
      <w:r>
        <w:rPr>
          <w:rFonts w:ascii="Times New Roman" w:hAnsi="Times New Roman" w:cs="Times New Roman"/>
          <w:color w:val="auto"/>
        </w:rPr>
        <w:t>...</w:t>
      </w:r>
      <w:r>
        <w:rPr>
          <w:rFonts w:ascii="Times New Roman" w:cs="Times New Roman" w:hAnsiTheme="minorEastAsia"/>
          <w:color w:val="auto"/>
        </w:rPr>
        <w:t>，</w:t>
      </w:r>
      <w:r>
        <w:rPr>
          <w:rFonts w:ascii="Times New Roman" w:hAnsi="Times New Roman" w:cs="Times New Roman"/>
          <w:i/>
          <w:color w:val="auto"/>
        </w:rPr>
        <w:t>Q</w:t>
      </w:r>
      <w:r>
        <w:rPr>
          <w:rFonts w:ascii="Times New Roman" w:hAnsi="Times New Roman" w:cs="Times New Roman"/>
          <w:color w:val="auto"/>
          <w:vertAlign w:val="subscript"/>
        </w:rPr>
        <w:t>n</w:t>
      </w:r>
      <w:r>
        <w:rPr>
          <w:rFonts w:ascii="Times New Roman" w:hAnsi="Times New Roman" w:cs="Times New Roman"/>
          <w:color w:val="auto"/>
        </w:rPr>
        <w:t>——</w:t>
      </w:r>
      <w:r>
        <w:rPr>
          <w:rFonts w:ascii="Times New Roman" w:cs="Times New Roman" w:hAnsiTheme="minorEastAsia"/>
          <w:color w:val="auto"/>
        </w:rPr>
        <w:t>每种危险物质的临界量，</w:t>
      </w:r>
      <w:r>
        <w:rPr>
          <w:rFonts w:ascii="Times New Roman" w:hAnsi="Times New Roman" w:cs="Times New Roman"/>
          <w:color w:val="auto"/>
        </w:rPr>
        <w:t>t</w:t>
      </w:r>
      <w:r>
        <w:rPr>
          <w:rFonts w:ascii="Times New Roman" w:cs="Times New Roman" w:hAnsiTheme="minorEastAsia"/>
          <w:color w:val="auto"/>
        </w:rPr>
        <w:t>。</w:t>
      </w:r>
    </w:p>
    <w:p>
      <w:pPr>
        <w:pStyle w:val="74"/>
        <w:adjustRightInd/>
        <w:snapToGrid/>
        <w:jc w:val="both"/>
        <w:rPr>
          <w:rFonts w:ascii="Times New Roman" w:hAnsi="Times New Roman" w:cs="Times New Roman"/>
          <w:color w:val="auto"/>
        </w:rPr>
      </w:pPr>
      <w:r>
        <w:rPr>
          <w:rFonts w:ascii="Times New Roman" w:cs="Times New Roman" w:hAnsiTheme="minorEastAsia"/>
          <w:color w:val="auto"/>
        </w:rPr>
        <w:t>当</w:t>
      </w:r>
      <w:r>
        <w:rPr>
          <w:rFonts w:ascii="Times New Roman" w:hAnsi="Times New Roman" w:cs="Times New Roman"/>
          <w:i/>
          <w:color w:val="auto"/>
        </w:rPr>
        <w:t>Q</w:t>
      </w:r>
      <w:r>
        <w:rPr>
          <w:rFonts w:ascii="Times New Roman" w:cs="Times New Roman" w:hAnsiTheme="minorEastAsia"/>
          <w:color w:val="auto"/>
        </w:rPr>
        <w:t>＜</w:t>
      </w:r>
      <w:r>
        <w:rPr>
          <w:rFonts w:ascii="Times New Roman" w:hAnsi="Times New Roman" w:cs="Times New Roman"/>
          <w:color w:val="auto"/>
        </w:rPr>
        <w:t>1</w:t>
      </w:r>
      <w:r>
        <w:rPr>
          <w:rFonts w:ascii="Times New Roman" w:cs="Times New Roman" w:hAnsiTheme="minorEastAsia"/>
          <w:color w:val="auto"/>
        </w:rPr>
        <w:t>时，该项目环境风险潜势为</w:t>
      </w:r>
      <w:r>
        <w:rPr>
          <w:rFonts w:ascii="Times New Roman" w:hAnsi="Times New Roman" w:cs="Times New Roman"/>
          <w:color w:val="auto"/>
        </w:rPr>
        <w:t>Ⅰ</w:t>
      </w:r>
      <w:r>
        <w:rPr>
          <w:rFonts w:ascii="Times New Roman" w:cs="Times New Roman" w:hAnsiTheme="minorEastAsia"/>
          <w:color w:val="auto"/>
        </w:rPr>
        <w:t>。</w:t>
      </w:r>
    </w:p>
    <w:p>
      <w:pPr>
        <w:pStyle w:val="74"/>
        <w:adjustRightInd/>
        <w:snapToGrid/>
        <w:jc w:val="both"/>
        <w:rPr>
          <w:rFonts w:ascii="Times New Roman" w:hAnsi="Times New Roman" w:cs="Times New Roman"/>
          <w:color w:val="auto"/>
        </w:rPr>
      </w:pPr>
      <w:r>
        <w:rPr>
          <w:rFonts w:ascii="Times New Roman" w:cs="Times New Roman" w:hAnsiTheme="minorEastAsia"/>
          <w:color w:val="auto"/>
        </w:rPr>
        <w:t>当</w:t>
      </w:r>
      <w:r>
        <w:rPr>
          <w:rFonts w:ascii="Times New Roman" w:hAnsi="Times New Roman" w:cs="Times New Roman"/>
          <w:i/>
          <w:color w:val="auto"/>
        </w:rPr>
        <w:t>Q</w:t>
      </w:r>
      <w:r>
        <w:rPr>
          <w:rFonts w:ascii="Times New Roman" w:hAnsi="Times New Roman" w:cs="Times New Roman"/>
          <w:color w:val="auto"/>
        </w:rPr>
        <w:t>≥1</w:t>
      </w:r>
      <w:r>
        <w:rPr>
          <w:rFonts w:ascii="Times New Roman" w:cs="Times New Roman" w:hAnsiTheme="minorEastAsia"/>
          <w:color w:val="auto"/>
        </w:rPr>
        <w:t>时，将</w:t>
      </w:r>
      <w:r>
        <w:rPr>
          <w:rFonts w:ascii="Times New Roman" w:hAnsi="Times New Roman" w:cs="Times New Roman"/>
          <w:i/>
          <w:color w:val="auto"/>
        </w:rPr>
        <w:t>Q</w:t>
      </w:r>
      <w:r>
        <w:rPr>
          <w:rFonts w:ascii="Times New Roman" w:cs="Times New Roman" w:hAnsiTheme="minorEastAsia"/>
          <w:color w:val="auto"/>
        </w:rPr>
        <w:t>值划分为：（</w:t>
      </w:r>
      <w:r>
        <w:rPr>
          <w:rFonts w:ascii="Times New Roman" w:hAnsi="Times New Roman" w:cs="Times New Roman"/>
          <w:color w:val="auto"/>
        </w:rPr>
        <w:t>1</w:t>
      </w:r>
      <w:r>
        <w:rPr>
          <w:rFonts w:ascii="Times New Roman" w:cs="Times New Roman" w:hAnsiTheme="minorEastAsia"/>
          <w:color w:val="auto"/>
        </w:rPr>
        <w:t>）</w:t>
      </w:r>
      <w:r>
        <w:rPr>
          <w:rFonts w:ascii="Times New Roman" w:hAnsi="Times New Roman" w:cs="Times New Roman"/>
          <w:color w:val="auto"/>
        </w:rPr>
        <w:t>1≤</w:t>
      </w:r>
      <w:r>
        <w:rPr>
          <w:rFonts w:ascii="Times New Roman" w:hAnsi="Times New Roman" w:cs="Times New Roman"/>
          <w:i/>
          <w:color w:val="auto"/>
        </w:rPr>
        <w:t>Q</w:t>
      </w:r>
      <w:r>
        <w:rPr>
          <w:rFonts w:ascii="Times New Roman" w:cs="Times New Roman" w:hAnsiTheme="minorEastAsia"/>
          <w:color w:val="auto"/>
        </w:rPr>
        <w:t>＜</w:t>
      </w:r>
      <w:r>
        <w:rPr>
          <w:rFonts w:ascii="Times New Roman" w:hAnsi="Times New Roman" w:cs="Times New Roman"/>
          <w:color w:val="auto"/>
        </w:rPr>
        <w:t>10</w:t>
      </w:r>
      <w:r>
        <w:rPr>
          <w:rFonts w:ascii="Times New Roman" w:cs="Times New Roman" w:hAnsiTheme="minorEastAsia"/>
          <w:color w:val="auto"/>
        </w:rPr>
        <w:t>；（</w:t>
      </w:r>
      <w:r>
        <w:rPr>
          <w:rFonts w:ascii="Times New Roman" w:hAnsi="Times New Roman" w:cs="Times New Roman"/>
          <w:color w:val="auto"/>
        </w:rPr>
        <w:t>2</w:t>
      </w:r>
      <w:r>
        <w:rPr>
          <w:rFonts w:ascii="Times New Roman" w:cs="Times New Roman" w:hAnsiTheme="minorEastAsia"/>
          <w:color w:val="auto"/>
        </w:rPr>
        <w:t>）</w:t>
      </w:r>
      <w:r>
        <w:rPr>
          <w:rFonts w:ascii="Times New Roman" w:hAnsi="Times New Roman" w:cs="Times New Roman"/>
          <w:color w:val="auto"/>
        </w:rPr>
        <w:t>10≤</w:t>
      </w:r>
      <w:r>
        <w:rPr>
          <w:rFonts w:ascii="Times New Roman" w:hAnsi="Times New Roman" w:cs="Times New Roman"/>
          <w:i/>
          <w:color w:val="auto"/>
        </w:rPr>
        <w:t>Q</w:t>
      </w:r>
      <w:r>
        <w:rPr>
          <w:rFonts w:ascii="Times New Roman" w:cs="Times New Roman" w:hAnsiTheme="minorEastAsia"/>
          <w:color w:val="auto"/>
        </w:rPr>
        <w:t>＜</w:t>
      </w:r>
      <w:r>
        <w:rPr>
          <w:rFonts w:ascii="Times New Roman" w:hAnsi="Times New Roman" w:cs="Times New Roman"/>
          <w:color w:val="auto"/>
        </w:rPr>
        <w:t>100</w:t>
      </w:r>
      <w:r>
        <w:rPr>
          <w:rFonts w:ascii="Times New Roman" w:cs="Times New Roman" w:hAnsiTheme="minorEastAsia"/>
          <w:color w:val="auto"/>
        </w:rPr>
        <w:t>；（</w:t>
      </w:r>
      <w:r>
        <w:rPr>
          <w:rFonts w:ascii="Times New Roman" w:hAnsi="Times New Roman" w:cs="Times New Roman"/>
          <w:color w:val="auto"/>
        </w:rPr>
        <w:t>3</w:t>
      </w:r>
      <w:r>
        <w:rPr>
          <w:rFonts w:ascii="Times New Roman" w:cs="Times New Roman" w:hAnsiTheme="minorEastAsia"/>
          <w:color w:val="auto"/>
        </w:rPr>
        <w:t>）</w:t>
      </w:r>
      <w:r>
        <w:rPr>
          <w:rFonts w:ascii="Times New Roman" w:hAnsi="Times New Roman" w:cs="Times New Roman"/>
          <w:i/>
          <w:color w:val="auto"/>
        </w:rPr>
        <w:t>Q</w:t>
      </w:r>
      <w:r>
        <w:rPr>
          <w:rFonts w:ascii="Times New Roman" w:hAnsi="Times New Roman" w:cs="Times New Roman"/>
          <w:color w:val="auto"/>
        </w:rPr>
        <w:t>≥100</w:t>
      </w:r>
      <w:r>
        <w:rPr>
          <w:rFonts w:ascii="Times New Roman" w:cs="Times New Roman" w:hAnsiTheme="minorEastAsia"/>
          <w:color w:val="auto"/>
        </w:rPr>
        <w:t>。</w:t>
      </w:r>
    </w:p>
    <w:p>
      <w:pPr>
        <w:pStyle w:val="74"/>
        <w:adjustRightInd/>
        <w:snapToGrid/>
        <w:jc w:val="both"/>
        <w:rPr>
          <w:rFonts w:ascii="Times New Roman" w:hAnsi="Times New Roman" w:cs="Times New Roman"/>
          <w:color w:val="auto"/>
        </w:rPr>
      </w:pPr>
      <w:r>
        <w:rPr>
          <w:rFonts w:ascii="Times New Roman" w:cs="Times New Roman" w:hAnsiTheme="minorEastAsia"/>
          <w:color w:val="auto"/>
        </w:rPr>
        <w:t>本项目</w:t>
      </w:r>
      <w:r>
        <w:rPr>
          <w:rFonts w:hint="eastAsia" w:ascii="Times New Roman" w:cs="Times New Roman" w:hAnsiTheme="minorEastAsia"/>
          <w:color w:val="auto"/>
        </w:rPr>
        <w:t>厂区</w:t>
      </w:r>
      <w:r>
        <w:rPr>
          <w:rFonts w:ascii="Times New Roman" w:cs="Times New Roman" w:hAnsiTheme="minorEastAsia"/>
          <w:color w:val="auto"/>
        </w:rPr>
        <w:t>次氯酸钠</w:t>
      </w:r>
      <w:r>
        <w:rPr>
          <w:rFonts w:hint="eastAsia" w:ascii="Times New Roman" w:cs="Times New Roman" w:hAnsiTheme="minorEastAsia"/>
          <w:color w:val="auto"/>
        </w:rPr>
        <w:t>最大存在量约为0.2t，</w:t>
      </w:r>
      <w:r>
        <w:rPr>
          <w:rFonts w:ascii="Times New Roman" w:cs="Times New Roman" w:hAnsiTheme="minorEastAsia"/>
          <w:color w:val="auto"/>
        </w:rPr>
        <w:t>小于</w:t>
      </w:r>
      <w:r>
        <w:rPr>
          <w:rFonts w:hint="eastAsia" w:ascii="Times New Roman" w:hAnsi="Times New Roman" w:cs="Times New Roman"/>
          <w:color w:val="auto"/>
        </w:rPr>
        <w:t>5</w:t>
      </w:r>
      <w:r>
        <w:rPr>
          <w:rFonts w:ascii="Times New Roman" w:hAnsi="Times New Roman" w:cs="Times New Roman"/>
          <w:color w:val="auto"/>
        </w:rPr>
        <w:t>t</w:t>
      </w:r>
      <w:r>
        <w:rPr>
          <w:rFonts w:ascii="Times New Roman" w:cs="Times New Roman" w:hAnsiTheme="minorEastAsia"/>
          <w:color w:val="auto"/>
        </w:rPr>
        <w:t>（临界量），</w:t>
      </w:r>
      <w:r>
        <w:rPr>
          <w:rFonts w:hint="eastAsia" w:ascii="Times New Roman" w:cs="Times New Roman" w:hAnsiTheme="minorEastAsia"/>
          <w:color w:val="auto"/>
          <w:lang w:val="en-US" w:eastAsia="zh-CN"/>
        </w:rPr>
        <w:t>液氨最大存在量为8t，小于10t，</w:t>
      </w:r>
      <w:r>
        <w:rPr>
          <w:rFonts w:ascii="Times New Roman" w:cs="Times New Roman" w:hAnsiTheme="minorEastAsia"/>
          <w:color w:val="auto"/>
        </w:rPr>
        <w:t>因此根据以上分析，项目</w:t>
      </w:r>
      <w:r>
        <w:rPr>
          <w:rFonts w:ascii="Times New Roman" w:hAnsi="Times New Roman" w:cs="Times New Roman"/>
          <w:color w:val="auto"/>
        </w:rPr>
        <w:t>Q</w:t>
      </w:r>
      <w:r>
        <w:rPr>
          <w:rFonts w:ascii="Times New Roman" w:cs="Times New Roman" w:hAnsiTheme="minorEastAsia"/>
          <w:color w:val="auto"/>
        </w:rPr>
        <w:t>值小于</w:t>
      </w:r>
      <w:r>
        <w:rPr>
          <w:rFonts w:ascii="Times New Roman" w:hAnsi="Times New Roman" w:cs="Times New Roman"/>
          <w:color w:val="auto"/>
        </w:rPr>
        <w:t>1</w:t>
      </w:r>
      <w:r>
        <w:rPr>
          <w:rFonts w:ascii="Times New Roman" w:cs="Times New Roman" w:hAnsiTheme="minorEastAsia"/>
          <w:color w:val="auto"/>
        </w:rPr>
        <w:t>，故环境风险潜势为</w:t>
      </w:r>
      <w:r>
        <w:rPr>
          <w:rFonts w:ascii="Times New Roman" w:hAnsi="Times New Roman" w:cs="Times New Roman"/>
          <w:color w:val="auto"/>
        </w:rPr>
        <w:fldChar w:fldCharType="begin"/>
      </w:r>
      <w:r>
        <w:rPr>
          <w:rFonts w:ascii="Times New Roman" w:hAnsi="Times New Roman" w:cs="Times New Roman"/>
          <w:color w:val="auto"/>
        </w:rPr>
        <w:instrText xml:space="preserve"> = 1 \* ROMAN </w:instrText>
      </w:r>
      <w:r>
        <w:rPr>
          <w:rFonts w:ascii="Times New Roman" w:hAnsi="Times New Roman" w:cs="Times New Roman"/>
          <w:color w:val="auto"/>
        </w:rPr>
        <w:fldChar w:fldCharType="separate"/>
      </w:r>
      <w:r>
        <w:rPr>
          <w:rFonts w:ascii="Times New Roman" w:hAnsi="Times New Roman" w:cs="Times New Roman"/>
          <w:color w:val="auto"/>
        </w:rPr>
        <w:t>I</w:t>
      </w:r>
      <w:r>
        <w:rPr>
          <w:rFonts w:ascii="Times New Roman" w:hAnsi="Times New Roman" w:cs="Times New Roman"/>
          <w:color w:val="auto"/>
        </w:rPr>
        <w:fldChar w:fldCharType="end"/>
      </w:r>
      <w:r>
        <w:rPr>
          <w:rFonts w:ascii="Times New Roman" w:cs="Times New Roman" w:hAnsiTheme="minorEastAsia"/>
          <w:color w:val="auto"/>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b/>
          <w:color w:val="auto"/>
          <w:kern w:val="0"/>
          <w:sz w:val="24"/>
        </w:rPr>
      </w:pPr>
      <w:r>
        <w:rPr>
          <w:rFonts w:hAnsiTheme="minorEastAsia" w:eastAsiaTheme="minorEastAsia"/>
          <w:b/>
          <w:color w:val="auto"/>
          <w:kern w:val="0"/>
          <w:sz w:val="24"/>
        </w:rPr>
        <w:t>表</w:t>
      </w:r>
      <w:r>
        <w:rPr>
          <w:rFonts w:eastAsiaTheme="minorEastAsia"/>
          <w:b/>
          <w:color w:val="auto"/>
          <w:kern w:val="0"/>
          <w:sz w:val="24"/>
        </w:rPr>
        <w:t>2-4-1</w:t>
      </w:r>
      <w:r>
        <w:rPr>
          <w:rFonts w:hint="eastAsia" w:eastAsiaTheme="minorEastAsia"/>
          <w:b/>
          <w:color w:val="auto"/>
          <w:kern w:val="0"/>
          <w:sz w:val="24"/>
        </w:rPr>
        <w:t>1</w:t>
      </w:r>
      <w:r>
        <w:rPr>
          <w:rFonts w:hAnsiTheme="minorEastAsia" w:eastAsiaTheme="minorEastAsia"/>
          <w:b/>
          <w:color w:val="auto"/>
          <w:kern w:val="0"/>
          <w:sz w:val="24"/>
        </w:rPr>
        <w:t>项目危险物质存储情况</w:t>
      </w:r>
    </w:p>
    <w:tbl>
      <w:tblPr>
        <w:tblStyle w:val="4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2269"/>
        <w:gridCol w:w="1558"/>
        <w:gridCol w:w="2038"/>
        <w:gridCol w:w="16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563" w:type="pct"/>
            <w:shd w:val="clear" w:color="auto" w:fill="auto"/>
            <w:vAlign w:val="center"/>
          </w:tcPr>
          <w:p>
            <w:pPr>
              <w:pStyle w:val="84"/>
              <w:spacing w:line="0" w:lineRule="atLeast"/>
              <w:rPr>
                <w:rFonts w:hAnsi="Times New Roman" w:eastAsiaTheme="minorEastAsia"/>
                <w:snapToGrid w:val="0"/>
                <w:color w:val="auto"/>
                <w:szCs w:val="22"/>
              </w:rPr>
            </w:pPr>
            <w:r>
              <w:rPr>
                <w:rFonts w:eastAsiaTheme="minorEastAsia"/>
                <w:snapToGrid w:val="0"/>
                <w:color w:val="auto"/>
                <w:szCs w:val="22"/>
              </w:rPr>
              <w:t>序号</w:t>
            </w:r>
          </w:p>
        </w:tc>
        <w:tc>
          <w:tcPr>
            <w:tcW w:w="1331" w:type="pct"/>
            <w:shd w:val="clear" w:color="auto" w:fill="auto"/>
            <w:vAlign w:val="center"/>
          </w:tcPr>
          <w:p>
            <w:pPr>
              <w:pStyle w:val="84"/>
              <w:spacing w:line="0" w:lineRule="atLeast"/>
              <w:rPr>
                <w:rFonts w:hAnsi="Times New Roman" w:eastAsiaTheme="minorEastAsia"/>
                <w:snapToGrid w:val="0"/>
                <w:color w:val="auto"/>
                <w:szCs w:val="22"/>
              </w:rPr>
            </w:pPr>
            <w:r>
              <w:rPr>
                <w:rFonts w:eastAsiaTheme="minorEastAsia"/>
                <w:snapToGrid w:val="0"/>
                <w:color w:val="auto"/>
                <w:szCs w:val="22"/>
              </w:rPr>
              <w:t>物质名称</w:t>
            </w:r>
          </w:p>
        </w:tc>
        <w:tc>
          <w:tcPr>
            <w:tcW w:w="914" w:type="pct"/>
            <w:shd w:val="clear" w:color="auto" w:fill="auto"/>
            <w:vAlign w:val="center"/>
          </w:tcPr>
          <w:p>
            <w:pPr>
              <w:pStyle w:val="84"/>
              <w:spacing w:line="0" w:lineRule="atLeast"/>
              <w:rPr>
                <w:rFonts w:hAnsi="Times New Roman" w:eastAsiaTheme="minorEastAsia"/>
                <w:snapToGrid w:val="0"/>
                <w:color w:val="auto"/>
                <w:szCs w:val="22"/>
              </w:rPr>
            </w:pPr>
            <w:r>
              <w:rPr>
                <w:rFonts w:eastAsiaTheme="minorEastAsia"/>
                <w:snapToGrid w:val="0"/>
                <w:color w:val="auto"/>
                <w:szCs w:val="22"/>
              </w:rPr>
              <w:t>临界量（</w:t>
            </w:r>
            <w:r>
              <w:rPr>
                <w:rFonts w:hAnsi="Times New Roman" w:eastAsiaTheme="minorEastAsia"/>
                <w:snapToGrid w:val="0"/>
                <w:color w:val="auto"/>
                <w:szCs w:val="22"/>
              </w:rPr>
              <w:t>t</w:t>
            </w:r>
            <w:r>
              <w:rPr>
                <w:rFonts w:eastAsiaTheme="minorEastAsia"/>
                <w:snapToGrid w:val="0"/>
                <w:color w:val="auto"/>
                <w:szCs w:val="22"/>
              </w:rPr>
              <w:t>）</w:t>
            </w:r>
          </w:p>
        </w:tc>
        <w:tc>
          <w:tcPr>
            <w:tcW w:w="1196" w:type="pct"/>
            <w:shd w:val="clear" w:color="auto" w:fill="auto"/>
            <w:vAlign w:val="center"/>
          </w:tcPr>
          <w:p>
            <w:pPr>
              <w:pStyle w:val="84"/>
              <w:spacing w:line="0" w:lineRule="atLeast"/>
              <w:rPr>
                <w:rFonts w:hAnsi="Times New Roman" w:eastAsiaTheme="minorEastAsia"/>
                <w:snapToGrid w:val="0"/>
                <w:color w:val="auto"/>
                <w:szCs w:val="22"/>
              </w:rPr>
            </w:pPr>
            <w:r>
              <w:rPr>
                <w:rFonts w:hint="eastAsia" w:eastAsiaTheme="minorEastAsia"/>
                <w:snapToGrid w:val="0"/>
                <w:color w:val="auto"/>
                <w:szCs w:val="22"/>
              </w:rPr>
              <w:t>最大</w:t>
            </w:r>
            <w:r>
              <w:rPr>
                <w:rFonts w:eastAsiaTheme="minorEastAsia"/>
                <w:snapToGrid w:val="0"/>
                <w:color w:val="auto"/>
                <w:szCs w:val="22"/>
              </w:rPr>
              <w:t>存在量（</w:t>
            </w:r>
            <w:r>
              <w:rPr>
                <w:rFonts w:hAnsi="Times New Roman" w:eastAsiaTheme="minorEastAsia"/>
                <w:snapToGrid w:val="0"/>
                <w:color w:val="auto"/>
                <w:szCs w:val="22"/>
              </w:rPr>
              <w:t>t</w:t>
            </w:r>
            <w:r>
              <w:rPr>
                <w:rFonts w:eastAsiaTheme="minorEastAsia"/>
                <w:snapToGrid w:val="0"/>
                <w:color w:val="auto"/>
                <w:szCs w:val="22"/>
              </w:rPr>
              <w:t>）</w:t>
            </w:r>
          </w:p>
        </w:tc>
        <w:tc>
          <w:tcPr>
            <w:tcW w:w="996" w:type="pct"/>
            <w:shd w:val="clear" w:color="auto" w:fill="auto"/>
            <w:vAlign w:val="center"/>
          </w:tcPr>
          <w:p>
            <w:pPr>
              <w:pStyle w:val="84"/>
              <w:spacing w:line="0" w:lineRule="atLeast"/>
              <w:rPr>
                <w:rFonts w:hAnsi="Times New Roman" w:eastAsiaTheme="minorEastAsia"/>
                <w:snapToGrid w:val="0"/>
                <w:color w:val="auto"/>
                <w:szCs w:val="22"/>
              </w:rPr>
            </w:pPr>
            <w:r>
              <w:rPr>
                <w:rFonts w:hAnsi="Times New Roman" w:eastAsiaTheme="minorEastAsia"/>
                <w:snapToGrid w:val="0"/>
                <w:color w:val="auto"/>
                <w:szCs w:val="22"/>
              </w:rPr>
              <w:t>q/Q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3" w:type="pct"/>
            <w:shd w:val="clear" w:color="auto" w:fill="auto"/>
            <w:vAlign w:val="center"/>
          </w:tcPr>
          <w:p>
            <w:pPr>
              <w:pStyle w:val="84"/>
              <w:spacing w:line="0" w:lineRule="atLeast"/>
              <w:rPr>
                <w:rFonts w:hAnsi="Times New Roman" w:eastAsiaTheme="minorEastAsia"/>
                <w:snapToGrid w:val="0"/>
                <w:color w:val="auto"/>
                <w:szCs w:val="22"/>
              </w:rPr>
            </w:pPr>
            <w:r>
              <w:rPr>
                <w:rFonts w:hAnsi="Times New Roman" w:eastAsiaTheme="minorEastAsia"/>
                <w:snapToGrid w:val="0"/>
                <w:color w:val="auto"/>
                <w:szCs w:val="22"/>
              </w:rPr>
              <w:t>1</w:t>
            </w:r>
          </w:p>
        </w:tc>
        <w:tc>
          <w:tcPr>
            <w:tcW w:w="1331" w:type="pct"/>
            <w:shd w:val="clear" w:color="auto" w:fill="auto"/>
            <w:vAlign w:val="center"/>
          </w:tcPr>
          <w:p>
            <w:pPr>
              <w:pStyle w:val="84"/>
              <w:spacing w:line="0" w:lineRule="atLeast"/>
              <w:rPr>
                <w:rFonts w:hAnsi="Times New Roman" w:eastAsiaTheme="minorEastAsia"/>
                <w:snapToGrid w:val="0"/>
                <w:color w:val="auto"/>
                <w:szCs w:val="22"/>
              </w:rPr>
            </w:pPr>
            <w:r>
              <w:rPr>
                <w:rFonts w:hint="eastAsia" w:eastAsiaTheme="minorEastAsia"/>
                <w:snapToGrid w:val="0"/>
                <w:color w:val="auto"/>
                <w:szCs w:val="22"/>
              </w:rPr>
              <w:t>次氯酸钠</w:t>
            </w:r>
          </w:p>
        </w:tc>
        <w:tc>
          <w:tcPr>
            <w:tcW w:w="914" w:type="pct"/>
            <w:shd w:val="clear" w:color="auto" w:fill="auto"/>
            <w:vAlign w:val="center"/>
          </w:tcPr>
          <w:p>
            <w:pPr>
              <w:pStyle w:val="84"/>
              <w:spacing w:line="0" w:lineRule="atLeast"/>
              <w:rPr>
                <w:rFonts w:hAnsi="Times New Roman" w:eastAsiaTheme="minorEastAsia"/>
                <w:snapToGrid w:val="0"/>
                <w:color w:val="auto"/>
                <w:szCs w:val="22"/>
              </w:rPr>
            </w:pPr>
            <w:r>
              <w:rPr>
                <w:rFonts w:hint="eastAsia" w:hAnsi="Times New Roman" w:eastAsiaTheme="minorEastAsia"/>
                <w:snapToGrid w:val="0"/>
                <w:color w:val="auto"/>
                <w:szCs w:val="22"/>
              </w:rPr>
              <w:t>5</w:t>
            </w:r>
          </w:p>
        </w:tc>
        <w:tc>
          <w:tcPr>
            <w:tcW w:w="1196" w:type="pct"/>
            <w:shd w:val="clear" w:color="auto" w:fill="auto"/>
            <w:vAlign w:val="center"/>
          </w:tcPr>
          <w:p>
            <w:pPr>
              <w:pStyle w:val="84"/>
              <w:spacing w:line="0" w:lineRule="atLeast"/>
              <w:rPr>
                <w:rFonts w:hAnsi="Times New Roman" w:eastAsiaTheme="minorEastAsia"/>
                <w:snapToGrid w:val="0"/>
                <w:color w:val="auto"/>
                <w:szCs w:val="22"/>
              </w:rPr>
            </w:pPr>
            <w:r>
              <w:rPr>
                <w:rFonts w:hint="eastAsia" w:hAnsi="Times New Roman" w:eastAsiaTheme="minorEastAsia"/>
                <w:snapToGrid w:val="0"/>
                <w:color w:val="auto"/>
                <w:szCs w:val="22"/>
              </w:rPr>
              <w:t>0.2</w:t>
            </w:r>
          </w:p>
        </w:tc>
        <w:tc>
          <w:tcPr>
            <w:tcW w:w="996" w:type="pct"/>
            <w:shd w:val="clear" w:color="auto" w:fill="auto"/>
            <w:vAlign w:val="center"/>
          </w:tcPr>
          <w:p>
            <w:pPr>
              <w:pStyle w:val="84"/>
              <w:spacing w:line="0" w:lineRule="atLeast"/>
              <w:rPr>
                <w:rFonts w:hAnsi="Times New Roman" w:eastAsiaTheme="minorEastAsia"/>
                <w:snapToGrid w:val="0"/>
                <w:color w:val="auto"/>
                <w:szCs w:val="22"/>
              </w:rPr>
            </w:pPr>
            <w:r>
              <w:rPr>
                <w:rFonts w:hint="eastAsia" w:hAnsi="Times New Roman" w:eastAsiaTheme="minorEastAsia"/>
                <w:snapToGrid w:val="0"/>
                <w:color w:val="auto"/>
                <w:szCs w:val="22"/>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3" w:type="pct"/>
            <w:shd w:val="clear" w:color="auto" w:fill="auto"/>
            <w:vAlign w:val="center"/>
          </w:tcPr>
          <w:p>
            <w:pPr>
              <w:pStyle w:val="84"/>
              <w:spacing w:line="0" w:lineRule="atLeast"/>
              <w:rPr>
                <w:rFonts w:hint="eastAsia" w:hAnsi="Times New Roman" w:eastAsiaTheme="minorEastAsia"/>
                <w:snapToGrid w:val="0"/>
                <w:color w:val="auto"/>
                <w:szCs w:val="22"/>
                <w:lang w:val="en-US" w:eastAsia="zh-CN"/>
              </w:rPr>
            </w:pPr>
            <w:r>
              <w:rPr>
                <w:rFonts w:hint="eastAsia" w:hAnsi="Times New Roman" w:eastAsiaTheme="minorEastAsia"/>
                <w:snapToGrid w:val="0"/>
                <w:color w:val="auto"/>
                <w:szCs w:val="22"/>
                <w:lang w:val="en-US" w:eastAsia="zh-CN"/>
              </w:rPr>
              <w:t>2</w:t>
            </w:r>
          </w:p>
        </w:tc>
        <w:tc>
          <w:tcPr>
            <w:tcW w:w="1331" w:type="pct"/>
            <w:shd w:val="clear" w:color="auto" w:fill="auto"/>
            <w:vAlign w:val="center"/>
          </w:tcPr>
          <w:p>
            <w:pPr>
              <w:pStyle w:val="84"/>
              <w:spacing w:line="0" w:lineRule="atLeast"/>
              <w:rPr>
                <w:rFonts w:hint="eastAsia" w:eastAsiaTheme="minorEastAsia"/>
                <w:snapToGrid w:val="0"/>
                <w:color w:val="auto"/>
                <w:szCs w:val="22"/>
                <w:lang w:val="en-US" w:eastAsia="zh-CN"/>
              </w:rPr>
            </w:pPr>
            <w:r>
              <w:rPr>
                <w:rFonts w:hint="eastAsia" w:eastAsiaTheme="minorEastAsia"/>
                <w:snapToGrid w:val="0"/>
                <w:color w:val="auto"/>
                <w:szCs w:val="22"/>
                <w:lang w:val="en-US" w:eastAsia="zh-CN"/>
              </w:rPr>
              <w:t>液氨</w:t>
            </w:r>
          </w:p>
        </w:tc>
        <w:tc>
          <w:tcPr>
            <w:tcW w:w="914" w:type="pct"/>
            <w:shd w:val="clear" w:color="auto" w:fill="auto"/>
            <w:vAlign w:val="center"/>
          </w:tcPr>
          <w:p>
            <w:pPr>
              <w:pStyle w:val="84"/>
              <w:spacing w:line="0" w:lineRule="atLeast"/>
              <w:rPr>
                <w:rFonts w:hint="default" w:hAnsi="Times New Roman" w:eastAsiaTheme="minorEastAsia"/>
                <w:snapToGrid w:val="0"/>
                <w:color w:val="auto"/>
                <w:szCs w:val="22"/>
                <w:lang w:val="en-US" w:eastAsia="zh-CN"/>
              </w:rPr>
            </w:pPr>
            <w:r>
              <w:rPr>
                <w:rFonts w:hint="eastAsia" w:hAnsi="Times New Roman" w:eastAsiaTheme="minorEastAsia"/>
                <w:snapToGrid w:val="0"/>
                <w:color w:val="auto"/>
                <w:szCs w:val="22"/>
                <w:lang w:val="en-US" w:eastAsia="zh-CN"/>
              </w:rPr>
              <w:t>10</w:t>
            </w:r>
          </w:p>
        </w:tc>
        <w:tc>
          <w:tcPr>
            <w:tcW w:w="1196" w:type="pct"/>
            <w:shd w:val="clear" w:color="auto" w:fill="auto"/>
            <w:vAlign w:val="center"/>
          </w:tcPr>
          <w:p>
            <w:pPr>
              <w:pStyle w:val="84"/>
              <w:spacing w:line="0" w:lineRule="atLeast"/>
              <w:rPr>
                <w:rFonts w:hint="eastAsia" w:hAnsi="Times New Roman" w:eastAsiaTheme="minorEastAsia"/>
                <w:snapToGrid w:val="0"/>
                <w:color w:val="auto"/>
                <w:szCs w:val="22"/>
                <w:lang w:val="en-US" w:eastAsia="zh-CN"/>
              </w:rPr>
            </w:pPr>
            <w:r>
              <w:rPr>
                <w:rFonts w:hint="eastAsia" w:hAnsi="Times New Roman" w:eastAsiaTheme="minorEastAsia"/>
                <w:snapToGrid w:val="0"/>
                <w:color w:val="auto"/>
                <w:szCs w:val="22"/>
                <w:lang w:val="en-US" w:eastAsia="zh-CN"/>
              </w:rPr>
              <w:t>8</w:t>
            </w:r>
          </w:p>
        </w:tc>
        <w:tc>
          <w:tcPr>
            <w:tcW w:w="996" w:type="pct"/>
            <w:shd w:val="clear" w:color="auto" w:fill="auto"/>
            <w:vAlign w:val="center"/>
          </w:tcPr>
          <w:p>
            <w:pPr>
              <w:pStyle w:val="84"/>
              <w:spacing w:line="0" w:lineRule="atLeast"/>
              <w:rPr>
                <w:rFonts w:hint="default" w:hAnsi="Times New Roman" w:eastAsiaTheme="minorEastAsia"/>
                <w:snapToGrid w:val="0"/>
                <w:color w:val="auto"/>
                <w:szCs w:val="22"/>
                <w:lang w:val="en-US" w:eastAsia="zh-CN"/>
              </w:rPr>
            </w:pPr>
            <w:r>
              <w:rPr>
                <w:rFonts w:hint="eastAsia" w:hAnsi="Times New Roman" w:eastAsiaTheme="minorEastAsia"/>
                <w:snapToGrid w:val="0"/>
                <w:color w:val="auto"/>
                <w:szCs w:val="22"/>
                <w:lang w:val="en-US" w:eastAsia="zh-CN"/>
              </w:rPr>
              <w:t>0.8</w:t>
            </w:r>
          </w:p>
        </w:tc>
      </w:tr>
    </w:tbl>
    <w:p>
      <w:pPr>
        <w:pStyle w:val="74"/>
        <w:jc w:val="both"/>
        <w:rPr>
          <w:rFonts w:ascii="Times New Roman" w:hAnsi="Times New Roman" w:cs="Times New Roman"/>
          <w:color w:val="auto"/>
        </w:rPr>
      </w:pPr>
      <w:r>
        <w:rPr>
          <w:rFonts w:ascii="Times New Roman" w:cs="Times New Roman" w:hAnsiTheme="minorEastAsia"/>
          <w:color w:val="auto"/>
        </w:rPr>
        <w:t>（</w:t>
      </w:r>
      <w:r>
        <w:rPr>
          <w:rFonts w:ascii="Times New Roman" w:hAnsi="Times New Roman" w:cs="Times New Roman"/>
          <w:color w:val="auto"/>
        </w:rPr>
        <w:t>3</w:t>
      </w:r>
      <w:r>
        <w:rPr>
          <w:rFonts w:ascii="Times New Roman" w:cs="Times New Roman" w:hAnsiTheme="minorEastAsia"/>
          <w:color w:val="auto"/>
        </w:rPr>
        <w:t>）评价等级</w:t>
      </w:r>
    </w:p>
    <w:p>
      <w:pPr>
        <w:pStyle w:val="74"/>
        <w:jc w:val="both"/>
        <w:rPr>
          <w:rFonts w:ascii="Times New Roman" w:hAnsi="Times New Roman" w:cs="Times New Roman"/>
          <w:color w:val="auto"/>
        </w:rPr>
      </w:pPr>
      <w:r>
        <w:rPr>
          <w:rFonts w:ascii="Times New Roman" w:cs="Times New Roman" w:hAnsiTheme="minorEastAsia"/>
          <w:color w:val="auto"/>
        </w:rPr>
        <w:t>环境风险评价工作等级划分为一级、二级、三级。根据建设项目涉及的物质及工艺系统危险性和所在地的环境敏感性确定环境风险潜势，按照下表确定评价工作等级。</w:t>
      </w:r>
    </w:p>
    <w:p>
      <w:pPr>
        <w:ind w:firstLine="426" w:firstLineChars="177"/>
        <w:jc w:val="center"/>
        <w:rPr>
          <w:rFonts w:eastAsiaTheme="minorEastAsia"/>
          <w:b/>
          <w:color w:val="auto"/>
          <w:kern w:val="0"/>
          <w:sz w:val="24"/>
        </w:rPr>
      </w:pPr>
      <w:r>
        <w:rPr>
          <w:rFonts w:hAnsiTheme="minorEastAsia" w:eastAsiaTheme="minorEastAsia"/>
          <w:b/>
          <w:color w:val="auto"/>
          <w:kern w:val="0"/>
          <w:sz w:val="24"/>
        </w:rPr>
        <w:t>表</w:t>
      </w:r>
      <w:r>
        <w:rPr>
          <w:rFonts w:eastAsiaTheme="minorEastAsia"/>
          <w:b/>
          <w:color w:val="auto"/>
          <w:kern w:val="0"/>
          <w:sz w:val="24"/>
        </w:rPr>
        <w:t>2-4-1</w:t>
      </w:r>
      <w:r>
        <w:rPr>
          <w:rFonts w:hint="eastAsia" w:eastAsiaTheme="minorEastAsia"/>
          <w:b/>
          <w:color w:val="auto"/>
          <w:kern w:val="0"/>
          <w:sz w:val="24"/>
        </w:rPr>
        <w:t>2</w:t>
      </w:r>
      <w:r>
        <w:rPr>
          <w:rFonts w:hAnsiTheme="minorEastAsia" w:eastAsiaTheme="minorEastAsia"/>
          <w:b/>
          <w:color w:val="auto"/>
          <w:kern w:val="0"/>
          <w:sz w:val="24"/>
        </w:rPr>
        <w:t>环境风险评价工作等级划分</w:t>
      </w:r>
    </w:p>
    <w:tbl>
      <w:tblPr>
        <w:tblStyle w:val="4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82"/>
        <w:gridCol w:w="1812"/>
        <w:gridCol w:w="1619"/>
        <w:gridCol w:w="1619"/>
        <w:gridCol w:w="18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8" w:type="pct"/>
          </w:tcPr>
          <w:p>
            <w:pPr>
              <w:pStyle w:val="84"/>
              <w:spacing w:line="0" w:lineRule="atLeast"/>
              <w:rPr>
                <w:rFonts w:hAnsi="Times New Roman" w:eastAsiaTheme="minorEastAsia"/>
                <w:color w:val="auto"/>
              </w:rPr>
            </w:pPr>
            <w:r>
              <w:rPr>
                <w:rFonts w:eastAsiaTheme="minorEastAsia"/>
                <w:color w:val="auto"/>
              </w:rPr>
              <w:t>环境风险潜势</w:t>
            </w:r>
          </w:p>
        </w:tc>
        <w:tc>
          <w:tcPr>
            <w:tcW w:w="1063" w:type="pct"/>
          </w:tcPr>
          <w:p>
            <w:pPr>
              <w:pStyle w:val="84"/>
              <w:spacing w:line="0" w:lineRule="atLeast"/>
              <w:rPr>
                <w:rFonts w:hAnsi="Times New Roman" w:eastAsiaTheme="minorEastAsia"/>
                <w:color w:val="auto"/>
              </w:rPr>
            </w:pPr>
            <w:r>
              <w:rPr>
                <w:rFonts w:hAnsi="Times New Roman" w:eastAsiaTheme="minorEastAsia"/>
                <w:color w:val="auto"/>
              </w:rPr>
              <w:fldChar w:fldCharType="begin"/>
            </w:r>
            <w:r>
              <w:rPr>
                <w:rFonts w:hAnsi="Times New Roman" w:eastAsiaTheme="minorEastAsia"/>
                <w:color w:val="auto"/>
              </w:rPr>
              <w:instrText xml:space="preserve"> = 4 \* ROMAN </w:instrText>
            </w:r>
            <w:r>
              <w:rPr>
                <w:rFonts w:hAnsi="Times New Roman" w:eastAsiaTheme="minorEastAsia"/>
                <w:color w:val="auto"/>
              </w:rPr>
              <w:fldChar w:fldCharType="separate"/>
            </w:r>
            <w:r>
              <w:rPr>
                <w:rFonts w:hAnsi="Times New Roman" w:eastAsiaTheme="minorEastAsia"/>
                <w:color w:val="auto"/>
              </w:rPr>
              <w:t>IV</w:t>
            </w:r>
            <w:r>
              <w:rPr>
                <w:rFonts w:hAnsi="Times New Roman" w:eastAsiaTheme="minorEastAsia"/>
                <w:color w:val="auto"/>
              </w:rPr>
              <w:fldChar w:fldCharType="end"/>
            </w:r>
            <w:r>
              <w:rPr>
                <w:rFonts w:eastAsiaTheme="minorEastAsia"/>
                <w:color w:val="auto"/>
              </w:rPr>
              <w:t>、</w:t>
            </w:r>
            <w:r>
              <w:rPr>
                <w:rFonts w:hAnsi="Times New Roman" w:eastAsiaTheme="minorEastAsia"/>
                <w:color w:val="auto"/>
              </w:rPr>
              <w:fldChar w:fldCharType="begin"/>
            </w:r>
            <w:r>
              <w:rPr>
                <w:rFonts w:hAnsi="Times New Roman" w:eastAsiaTheme="minorEastAsia"/>
                <w:color w:val="auto"/>
              </w:rPr>
              <w:instrText xml:space="preserve"> = 4 \* ROMAN </w:instrText>
            </w:r>
            <w:r>
              <w:rPr>
                <w:rFonts w:hAnsi="Times New Roman" w:eastAsiaTheme="minorEastAsia"/>
                <w:color w:val="auto"/>
              </w:rPr>
              <w:fldChar w:fldCharType="separate"/>
            </w:r>
            <w:r>
              <w:rPr>
                <w:rFonts w:hAnsi="Times New Roman" w:eastAsiaTheme="minorEastAsia"/>
                <w:color w:val="auto"/>
              </w:rPr>
              <w:t>IV</w:t>
            </w:r>
            <w:r>
              <w:rPr>
                <w:rFonts w:hAnsi="Times New Roman" w:eastAsiaTheme="minorEastAsia"/>
                <w:color w:val="auto"/>
              </w:rPr>
              <w:fldChar w:fldCharType="end"/>
            </w:r>
            <w:r>
              <w:rPr>
                <w:rFonts w:hAnsi="Times New Roman" w:eastAsiaTheme="minorEastAsia"/>
                <w:color w:val="auto"/>
              </w:rPr>
              <w:t>*</w:t>
            </w:r>
          </w:p>
        </w:tc>
        <w:tc>
          <w:tcPr>
            <w:tcW w:w="950" w:type="pct"/>
          </w:tcPr>
          <w:p>
            <w:pPr>
              <w:pStyle w:val="84"/>
              <w:spacing w:line="0" w:lineRule="atLeast"/>
              <w:rPr>
                <w:rFonts w:hAnsi="Times New Roman" w:eastAsiaTheme="minorEastAsia"/>
                <w:color w:val="auto"/>
              </w:rPr>
            </w:pPr>
            <w:r>
              <w:rPr>
                <w:rFonts w:hAnsi="Times New Roman" w:eastAsiaTheme="minorEastAsia"/>
                <w:color w:val="auto"/>
              </w:rPr>
              <w:fldChar w:fldCharType="begin"/>
            </w:r>
            <w:r>
              <w:rPr>
                <w:rFonts w:hAnsi="Times New Roman" w:eastAsiaTheme="minorEastAsia"/>
                <w:color w:val="auto"/>
              </w:rPr>
              <w:instrText xml:space="preserve"> = 3 \* ROMAN </w:instrText>
            </w:r>
            <w:r>
              <w:rPr>
                <w:rFonts w:hAnsi="Times New Roman" w:eastAsiaTheme="minorEastAsia"/>
                <w:color w:val="auto"/>
              </w:rPr>
              <w:fldChar w:fldCharType="separate"/>
            </w:r>
            <w:r>
              <w:rPr>
                <w:rFonts w:hAnsi="Times New Roman" w:eastAsiaTheme="minorEastAsia"/>
                <w:color w:val="auto"/>
              </w:rPr>
              <w:t>III</w:t>
            </w:r>
            <w:r>
              <w:rPr>
                <w:rFonts w:hAnsi="Times New Roman" w:eastAsiaTheme="minorEastAsia"/>
                <w:color w:val="auto"/>
              </w:rPr>
              <w:fldChar w:fldCharType="end"/>
            </w:r>
          </w:p>
        </w:tc>
        <w:tc>
          <w:tcPr>
            <w:tcW w:w="950" w:type="pct"/>
          </w:tcPr>
          <w:p>
            <w:pPr>
              <w:pStyle w:val="84"/>
              <w:spacing w:line="0" w:lineRule="atLeast"/>
              <w:rPr>
                <w:rFonts w:hAnsi="Times New Roman" w:eastAsiaTheme="minorEastAsia"/>
                <w:color w:val="auto"/>
              </w:rPr>
            </w:pPr>
            <w:r>
              <w:rPr>
                <w:rFonts w:hAnsi="Times New Roman" w:eastAsiaTheme="minorEastAsia"/>
                <w:color w:val="auto"/>
              </w:rPr>
              <w:fldChar w:fldCharType="begin"/>
            </w:r>
            <w:r>
              <w:rPr>
                <w:rFonts w:hAnsi="Times New Roman" w:eastAsiaTheme="minorEastAsia"/>
                <w:color w:val="auto"/>
              </w:rPr>
              <w:instrText xml:space="preserve"> = 2 \* ROMAN </w:instrText>
            </w:r>
            <w:r>
              <w:rPr>
                <w:rFonts w:hAnsi="Times New Roman" w:eastAsiaTheme="minorEastAsia"/>
                <w:color w:val="auto"/>
              </w:rPr>
              <w:fldChar w:fldCharType="separate"/>
            </w:r>
            <w:r>
              <w:rPr>
                <w:rFonts w:hAnsi="Times New Roman" w:eastAsiaTheme="minorEastAsia"/>
                <w:color w:val="auto"/>
              </w:rPr>
              <w:t>II</w:t>
            </w:r>
            <w:r>
              <w:rPr>
                <w:rFonts w:hAnsi="Times New Roman" w:eastAsiaTheme="minorEastAsia"/>
                <w:color w:val="auto"/>
              </w:rPr>
              <w:fldChar w:fldCharType="end"/>
            </w:r>
          </w:p>
        </w:tc>
        <w:tc>
          <w:tcPr>
            <w:tcW w:w="1109" w:type="pct"/>
          </w:tcPr>
          <w:p>
            <w:pPr>
              <w:pStyle w:val="84"/>
              <w:spacing w:line="0" w:lineRule="atLeast"/>
              <w:rPr>
                <w:rFonts w:hAnsi="Times New Roman" w:eastAsiaTheme="minorEastAsia"/>
                <w:b/>
                <w:color w:val="auto"/>
              </w:rPr>
            </w:pPr>
            <w:r>
              <w:rPr>
                <w:rFonts w:hAnsi="Times New Roman" w:eastAsiaTheme="minorEastAsia"/>
                <w:b/>
                <w:color w:val="auto"/>
              </w:rPr>
              <w:fldChar w:fldCharType="begin"/>
            </w:r>
            <w:r>
              <w:rPr>
                <w:rFonts w:hAnsi="Times New Roman" w:eastAsiaTheme="minorEastAsia"/>
                <w:b/>
                <w:color w:val="auto"/>
              </w:rPr>
              <w:instrText xml:space="preserve"> = 1 \* ROMAN </w:instrText>
            </w:r>
            <w:r>
              <w:rPr>
                <w:rFonts w:hAnsi="Times New Roman" w:eastAsiaTheme="minorEastAsia"/>
                <w:b/>
                <w:color w:val="auto"/>
              </w:rPr>
              <w:fldChar w:fldCharType="separate"/>
            </w:r>
            <w:r>
              <w:rPr>
                <w:rFonts w:hAnsi="Times New Roman" w:eastAsiaTheme="minorEastAsia"/>
                <w:b/>
                <w:color w:val="auto"/>
              </w:rPr>
              <w:t>I</w:t>
            </w:r>
            <w:r>
              <w:rPr>
                <w:rFonts w:hAnsi="Times New Roman" w:eastAsiaTheme="minorEastAsia"/>
                <w:b/>
                <w:color w:val="auto"/>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8" w:type="pct"/>
          </w:tcPr>
          <w:p>
            <w:pPr>
              <w:pStyle w:val="84"/>
              <w:spacing w:line="0" w:lineRule="atLeast"/>
              <w:rPr>
                <w:rFonts w:hAnsi="Times New Roman" w:eastAsiaTheme="minorEastAsia"/>
                <w:color w:val="auto"/>
              </w:rPr>
            </w:pPr>
            <w:r>
              <w:rPr>
                <w:rFonts w:eastAsiaTheme="minorEastAsia"/>
                <w:color w:val="auto"/>
              </w:rPr>
              <w:t>评价工作等级</w:t>
            </w:r>
          </w:p>
        </w:tc>
        <w:tc>
          <w:tcPr>
            <w:tcW w:w="1063" w:type="pct"/>
          </w:tcPr>
          <w:p>
            <w:pPr>
              <w:pStyle w:val="84"/>
              <w:spacing w:line="0" w:lineRule="atLeast"/>
              <w:rPr>
                <w:rFonts w:hAnsi="Times New Roman" w:eastAsiaTheme="minorEastAsia"/>
                <w:color w:val="auto"/>
              </w:rPr>
            </w:pPr>
            <w:r>
              <w:rPr>
                <w:rFonts w:eastAsiaTheme="minorEastAsia"/>
                <w:color w:val="auto"/>
              </w:rPr>
              <w:t>一</w:t>
            </w:r>
          </w:p>
        </w:tc>
        <w:tc>
          <w:tcPr>
            <w:tcW w:w="950" w:type="pct"/>
          </w:tcPr>
          <w:p>
            <w:pPr>
              <w:pStyle w:val="84"/>
              <w:spacing w:line="0" w:lineRule="atLeast"/>
              <w:rPr>
                <w:rFonts w:hAnsi="Times New Roman" w:eastAsiaTheme="minorEastAsia"/>
                <w:color w:val="auto"/>
              </w:rPr>
            </w:pPr>
            <w:r>
              <w:rPr>
                <w:rFonts w:eastAsiaTheme="minorEastAsia"/>
                <w:color w:val="auto"/>
              </w:rPr>
              <w:t>二</w:t>
            </w:r>
          </w:p>
        </w:tc>
        <w:tc>
          <w:tcPr>
            <w:tcW w:w="950" w:type="pct"/>
          </w:tcPr>
          <w:p>
            <w:pPr>
              <w:pStyle w:val="84"/>
              <w:spacing w:line="0" w:lineRule="atLeast"/>
              <w:rPr>
                <w:rFonts w:hAnsi="Times New Roman" w:eastAsiaTheme="minorEastAsia"/>
                <w:color w:val="auto"/>
              </w:rPr>
            </w:pPr>
            <w:r>
              <w:rPr>
                <w:rFonts w:eastAsiaTheme="minorEastAsia"/>
                <w:color w:val="auto"/>
              </w:rPr>
              <w:t>三</w:t>
            </w:r>
          </w:p>
        </w:tc>
        <w:tc>
          <w:tcPr>
            <w:tcW w:w="1109" w:type="pct"/>
          </w:tcPr>
          <w:p>
            <w:pPr>
              <w:pStyle w:val="84"/>
              <w:spacing w:line="0" w:lineRule="atLeast"/>
              <w:rPr>
                <w:rFonts w:hAnsi="Times New Roman" w:eastAsiaTheme="minorEastAsia"/>
                <w:b/>
                <w:color w:val="auto"/>
              </w:rPr>
            </w:pPr>
            <w:r>
              <w:rPr>
                <w:rFonts w:eastAsiaTheme="minorEastAsia"/>
                <w:b/>
                <w:color w:val="auto"/>
              </w:rPr>
              <w:t>简单分析</w:t>
            </w:r>
            <w:r>
              <w:rPr>
                <w:rFonts w:hAnsi="Times New Roman" w:eastAsiaTheme="minorEastAsia"/>
                <w:b/>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5"/>
          </w:tcPr>
          <w:p>
            <w:pPr>
              <w:pStyle w:val="84"/>
              <w:spacing w:line="0" w:lineRule="atLeast"/>
              <w:jc w:val="both"/>
              <w:rPr>
                <w:rFonts w:hAnsi="Times New Roman" w:eastAsiaTheme="minorEastAsia"/>
                <w:color w:val="auto"/>
              </w:rPr>
            </w:pPr>
            <w:r>
              <w:rPr>
                <w:rFonts w:hAnsi="Times New Roman" w:eastAsiaTheme="minorEastAsia"/>
                <w:color w:val="auto"/>
              </w:rPr>
              <w:t>*</w:t>
            </w:r>
            <w:r>
              <w:rPr>
                <w:rFonts w:eastAsiaTheme="minorEastAsia"/>
                <w:color w:val="auto"/>
              </w:rPr>
              <w:t>是相对于详细评价工作内容而言，在描述危险物质、环境影响途径、环境危害后果、风险防范措施等方面给出定性的说明。见附录</w:t>
            </w:r>
            <w:r>
              <w:rPr>
                <w:rFonts w:hAnsi="Times New Roman" w:eastAsiaTheme="minorEastAsia"/>
                <w:color w:val="auto"/>
              </w:rPr>
              <w:t>A</w:t>
            </w:r>
          </w:p>
        </w:tc>
      </w:tr>
    </w:tbl>
    <w:p>
      <w:pPr>
        <w:spacing w:line="360" w:lineRule="auto"/>
        <w:ind w:firstLine="480" w:firstLineChars="200"/>
        <w:contextualSpacing/>
        <w:jc w:val="left"/>
        <w:rPr>
          <w:rFonts w:hAnsiTheme="minorEastAsia" w:eastAsiaTheme="minorEastAsia"/>
          <w:color w:val="auto"/>
          <w:sz w:val="24"/>
        </w:rPr>
      </w:pPr>
      <w:r>
        <w:rPr>
          <w:rFonts w:hAnsiTheme="minorEastAsia" w:eastAsiaTheme="minorEastAsia"/>
          <w:color w:val="auto"/>
          <w:sz w:val="24"/>
        </w:rPr>
        <w:t>通过计算可知本项目危险物质数量与临界量比值Q=0.</w:t>
      </w:r>
      <w:r>
        <w:rPr>
          <w:rFonts w:hint="eastAsia" w:hAnsiTheme="minorEastAsia" w:eastAsiaTheme="minorEastAsia"/>
          <w:color w:val="auto"/>
          <w:sz w:val="24"/>
          <w:lang w:val="en-US" w:eastAsia="zh-CN"/>
        </w:rPr>
        <w:t>84</w:t>
      </w:r>
      <w:r>
        <w:rPr>
          <w:rFonts w:hAnsiTheme="minorEastAsia" w:eastAsiaTheme="minorEastAsia"/>
          <w:color w:val="auto"/>
          <w:sz w:val="24"/>
        </w:rPr>
        <w:t>，Q＜1，直接确定本项目的环境风险潜势为I。根据《建设项目环境风险评价技术导则》(HJ169-2018)中表1的评价分级原则，风险潜势为</w:t>
      </w:r>
      <w:r>
        <w:rPr>
          <w:rFonts w:hAnsiTheme="minorEastAsia" w:eastAsiaTheme="minorEastAsia"/>
          <w:color w:val="auto"/>
          <w:sz w:val="24"/>
        </w:rPr>
        <w:fldChar w:fldCharType="begin"/>
      </w:r>
      <w:r>
        <w:rPr>
          <w:rFonts w:hAnsiTheme="minorEastAsia" w:eastAsiaTheme="minorEastAsia"/>
          <w:color w:val="auto"/>
          <w:sz w:val="24"/>
        </w:rPr>
        <w:instrText xml:space="preserve"> = 1 \* ROMAN </w:instrText>
      </w:r>
      <w:r>
        <w:rPr>
          <w:rFonts w:hAnsiTheme="minorEastAsia" w:eastAsiaTheme="minorEastAsia"/>
          <w:color w:val="auto"/>
          <w:sz w:val="24"/>
        </w:rPr>
        <w:fldChar w:fldCharType="separate"/>
      </w:r>
      <w:r>
        <w:rPr>
          <w:rFonts w:hAnsiTheme="minorEastAsia" w:eastAsiaTheme="minorEastAsia"/>
          <w:color w:val="auto"/>
          <w:sz w:val="24"/>
        </w:rPr>
        <w:t>I</w:t>
      </w:r>
      <w:r>
        <w:rPr>
          <w:rFonts w:hAnsiTheme="minorEastAsia" w:eastAsiaTheme="minorEastAsia"/>
          <w:color w:val="auto"/>
          <w:sz w:val="24"/>
        </w:rPr>
        <w:fldChar w:fldCharType="end"/>
      </w:r>
      <w:r>
        <w:rPr>
          <w:rFonts w:hAnsiTheme="minorEastAsia" w:eastAsiaTheme="minorEastAsia"/>
          <w:color w:val="auto"/>
          <w:sz w:val="24"/>
        </w:rPr>
        <w:t>，可开展简单分析。</w:t>
      </w:r>
    </w:p>
    <w:p>
      <w:pPr>
        <w:pStyle w:val="5"/>
        <w:spacing w:before="0" w:after="0" w:line="360" w:lineRule="auto"/>
        <w:ind w:firstLine="0" w:firstLineChars="0"/>
        <w:contextualSpacing/>
        <w:rPr>
          <w:rFonts w:ascii="Times New Roman" w:hAnsi="Times New Roman" w:cs="Times New Roman"/>
          <w:b/>
          <w:color w:val="auto"/>
          <w:sz w:val="28"/>
          <w:szCs w:val="28"/>
        </w:rPr>
      </w:pPr>
      <w:r>
        <w:rPr>
          <w:rFonts w:ascii="Times New Roman" w:hAnsi="Times New Roman" w:cs="Times New Roman"/>
          <w:b/>
          <w:color w:val="auto"/>
          <w:sz w:val="28"/>
          <w:szCs w:val="28"/>
        </w:rPr>
        <w:t>2.</w:t>
      </w:r>
      <w:r>
        <w:rPr>
          <w:rFonts w:hint="eastAsia" w:ascii="Times New Roman" w:hAnsi="Times New Roman" w:cs="Times New Roman"/>
          <w:b/>
          <w:color w:val="auto"/>
          <w:sz w:val="28"/>
          <w:szCs w:val="28"/>
        </w:rPr>
        <w:t>4</w:t>
      </w:r>
      <w:r>
        <w:rPr>
          <w:rFonts w:ascii="Times New Roman" w:hAnsi="Times New Roman" w:cs="Times New Roman"/>
          <w:b/>
          <w:color w:val="auto"/>
          <w:sz w:val="28"/>
          <w:szCs w:val="28"/>
        </w:rPr>
        <w:t>.</w:t>
      </w:r>
      <w:r>
        <w:rPr>
          <w:rFonts w:hint="eastAsia" w:ascii="Times New Roman" w:hAnsi="Times New Roman" w:cs="Times New Roman"/>
          <w:b/>
          <w:color w:val="auto"/>
          <w:sz w:val="28"/>
          <w:szCs w:val="28"/>
        </w:rPr>
        <w:t>7</w:t>
      </w:r>
      <w:r>
        <w:rPr>
          <w:rFonts w:ascii="Times New Roman" w:hAnsi="Times New Roman" w:cs="Times New Roman"/>
          <w:b/>
          <w:color w:val="auto"/>
          <w:sz w:val="28"/>
          <w:szCs w:val="28"/>
        </w:rPr>
        <w:t>生态环境评价工作等级</w:t>
      </w:r>
    </w:p>
    <w:p>
      <w:pPr>
        <w:spacing w:line="360" w:lineRule="auto"/>
        <w:ind w:firstLine="480" w:firstLineChars="200"/>
        <w:contextualSpacing/>
        <w:jc w:val="left"/>
        <w:rPr>
          <w:rFonts w:hAnsiTheme="minorEastAsia" w:eastAsiaTheme="minorEastAsia"/>
          <w:color w:val="auto"/>
          <w:sz w:val="24"/>
        </w:rPr>
      </w:pPr>
      <w:r>
        <w:rPr>
          <w:snapToGrid w:val="0"/>
          <w:color w:val="auto"/>
          <w:kern w:val="0"/>
          <w:sz w:val="24"/>
        </w:rPr>
        <w:t>本项目占地面积</w:t>
      </w:r>
      <w:r>
        <w:rPr>
          <w:rFonts w:hint="eastAsia"/>
          <w:color w:val="auto"/>
          <w:sz w:val="24"/>
          <w:shd w:val="clear" w:color="auto" w:fill="FFFFFF"/>
          <w:lang w:eastAsia="zh-CN"/>
        </w:rPr>
        <w:t>29672</w:t>
      </w:r>
      <w:r>
        <w:rPr>
          <w:snapToGrid w:val="0"/>
          <w:color w:val="auto"/>
          <w:kern w:val="0"/>
          <w:sz w:val="24"/>
        </w:rPr>
        <w:t>m</w:t>
      </w:r>
      <w:r>
        <w:rPr>
          <w:snapToGrid w:val="0"/>
          <w:color w:val="auto"/>
          <w:kern w:val="0"/>
          <w:sz w:val="24"/>
          <w:vertAlign w:val="superscript"/>
        </w:rPr>
        <w:t>2</w:t>
      </w:r>
      <w:r>
        <w:rPr>
          <w:snapToGrid w:val="0"/>
          <w:color w:val="auto"/>
          <w:kern w:val="0"/>
          <w:sz w:val="24"/>
        </w:rPr>
        <w:t>，仅为</w:t>
      </w:r>
      <w:r>
        <w:rPr>
          <w:rFonts w:hint="eastAsia"/>
          <w:snapToGrid w:val="0"/>
          <w:color w:val="auto"/>
          <w:kern w:val="0"/>
          <w:sz w:val="24"/>
          <w:lang w:eastAsia="zh-CN"/>
        </w:rPr>
        <w:t>0.029672</w:t>
      </w:r>
      <w:r>
        <w:rPr>
          <w:snapToGrid w:val="0"/>
          <w:color w:val="auto"/>
          <w:kern w:val="0"/>
          <w:sz w:val="24"/>
        </w:rPr>
        <w:t>km</w:t>
      </w:r>
      <w:r>
        <w:rPr>
          <w:snapToGrid w:val="0"/>
          <w:color w:val="auto"/>
          <w:kern w:val="0"/>
          <w:sz w:val="24"/>
          <w:vertAlign w:val="superscript"/>
        </w:rPr>
        <w:t>2</w:t>
      </w:r>
      <w:r>
        <w:rPr>
          <w:snapToGrid w:val="0"/>
          <w:color w:val="auto"/>
          <w:kern w:val="0"/>
          <w:sz w:val="24"/>
        </w:rPr>
        <w:t>，项目利用现有厂房及土地建设，</w:t>
      </w:r>
      <w:r>
        <w:rPr>
          <w:snapToGrid w:val="0"/>
          <w:color w:val="auto"/>
          <w:kern w:val="0"/>
          <w:sz w:val="24"/>
          <w:lang w:bidi="en-US"/>
        </w:rPr>
        <w:t>不涉及国家公园、自然保护区、世界自然遗产、自然公园</w:t>
      </w:r>
      <w:r>
        <w:rPr>
          <w:rFonts w:hint="eastAsia"/>
          <w:snapToGrid w:val="0"/>
          <w:color w:val="auto"/>
          <w:kern w:val="0"/>
          <w:sz w:val="24"/>
          <w:lang w:bidi="en-US"/>
        </w:rPr>
        <w:t>、生态红线</w:t>
      </w:r>
      <w:r>
        <w:rPr>
          <w:snapToGrid w:val="0"/>
          <w:color w:val="auto"/>
          <w:kern w:val="0"/>
          <w:sz w:val="24"/>
          <w:lang w:bidi="en-US"/>
        </w:rPr>
        <w:t>等特殊生态敏感区</w:t>
      </w:r>
      <w:r>
        <w:rPr>
          <w:rFonts w:hint="eastAsia"/>
          <w:snapToGrid w:val="0"/>
          <w:color w:val="auto"/>
          <w:kern w:val="0"/>
          <w:sz w:val="24"/>
          <w:lang w:bidi="en-US"/>
        </w:rPr>
        <w:t>，</w:t>
      </w:r>
      <w:r>
        <w:rPr>
          <w:snapToGrid w:val="0"/>
          <w:color w:val="auto"/>
          <w:kern w:val="0"/>
          <w:sz w:val="24"/>
        </w:rPr>
        <w:t>根据《环境影响评价技术导则 生态影响》（HJ19-20</w:t>
      </w:r>
      <w:r>
        <w:rPr>
          <w:rFonts w:hint="eastAsia"/>
          <w:snapToGrid w:val="0"/>
          <w:color w:val="auto"/>
          <w:kern w:val="0"/>
          <w:sz w:val="24"/>
        </w:rPr>
        <w:t>22</w:t>
      </w:r>
      <w:r>
        <w:rPr>
          <w:snapToGrid w:val="0"/>
          <w:color w:val="auto"/>
          <w:kern w:val="0"/>
          <w:sz w:val="24"/>
        </w:rPr>
        <w:t>）</w:t>
      </w:r>
      <w:r>
        <w:rPr>
          <w:snapToGrid w:val="0"/>
          <w:color w:val="auto"/>
          <w:kern w:val="0"/>
          <w:sz w:val="24"/>
          <w:lang w:bidi="zh-TW"/>
        </w:rPr>
        <w:t>项目生态影响评价工作等级为三级。</w:t>
      </w:r>
    </w:p>
    <w:p>
      <w:pPr>
        <w:spacing w:line="360" w:lineRule="auto"/>
        <w:contextualSpacing/>
        <w:jc w:val="left"/>
        <w:outlineLvl w:val="1"/>
        <w:rPr>
          <w:rFonts w:hint="eastAsia" w:eastAsia="宋体"/>
          <w:b/>
          <w:bCs/>
          <w:color w:val="auto"/>
          <w:kern w:val="44"/>
          <w:sz w:val="30"/>
          <w:szCs w:val="30"/>
          <w:lang w:eastAsia="zh-CN"/>
        </w:rPr>
      </w:pPr>
      <w:bookmarkStart w:id="50" w:name="_Toc9774"/>
      <w:r>
        <w:rPr>
          <w:b/>
          <w:bCs/>
          <w:color w:val="auto"/>
          <w:kern w:val="44"/>
          <w:sz w:val="30"/>
          <w:szCs w:val="30"/>
        </w:rPr>
        <w:t>2.5评价范围及</w:t>
      </w:r>
      <w:r>
        <w:rPr>
          <w:rFonts w:hint="eastAsia"/>
          <w:b/>
          <w:bCs/>
          <w:color w:val="auto"/>
          <w:kern w:val="44"/>
          <w:sz w:val="30"/>
          <w:szCs w:val="30"/>
          <w:lang w:eastAsia="zh-CN"/>
        </w:rPr>
        <w:t>评价重点</w:t>
      </w:r>
      <w:bookmarkEnd w:id="50"/>
    </w:p>
    <w:p>
      <w:pPr>
        <w:pStyle w:val="5"/>
        <w:spacing w:before="0" w:after="0" w:line="360" w:lineRule="auto"/>
        <w:ind w:firstLine="0" w:firstLineChars="0"/>
        <w:contextualSpacing/>
        <w:rPr>
          <w:rFonts w:ascii="Times New Roman" w:hAnsi="Times New Roman" w:cs="Times New Roman"/>
          <w:b/>
          <w:color w:val="auto"/>
          <w:sz w:val="28"/>
          <w:szCs w:val="28"/>
        </w:rPr>
      </w:pPr>
      <w:bookmarkStart w:id="51" w:name="_Toc11758479"/>
      <w:r>
        <w:rPr>
          <w:rFonts w:ascii="Times New Roman" w:hAnsi="Times New Roman" w:cs="Times New Roman"/>
          <w:b/>
          <w:color w:val="auto"/>
          <w:sz w:val="28"/>
          <w:szCs w:val="28"/>
        </w:rPr>
        <w:t>2.5.1评价范围</w:t>
      </w:r>
      <w:bookmarkEnd w:id="51"/>
    </w:p>
    <w:p>
      <w:pPr>
        <w:spacing w:line="360" w:lineRule="auto"/>
        <w:ind w:firstLine="480" w:firstLineChars="200"/>
        <w:contextualSpacing/>
        <w:rPr>
          <w:snapToGrid w:val="0"/>
          <w:color w:val="auto"/>
          <w:kern w:val="0"/>
          <w:sz w:val="24"/>
        </w:rPr>
      </w:pPr>
      <w:r>
        <w:rPr>
          <w:snapToGrid w:val="0"/>
          <w:color w:val="auto"/>
          <w:kern w:val="0"/>
          <w:sz w:val="24"/>
        </w:rPr>
        <w:t>根据评价区域环境特点、建设项目工程污染特征及环境影响评价工作等级要求，确定各环境要素评价范围。</w:t>
      </w:r>
    </w:p>
    <w:p>
      <w:pPr>
        <w:tabs>
          <w:tab w:val="left" w:leader="middleDot" w:pos="0"/>
        </w:tabs>
        <w:spacing w:line="360" w:lineRule="auto"/>
        <w:ind w:firstLine="480" w:firstLineChars="200"/>
        <w:contextualSpacing/>
        <w:rPr>
          <w:color w:val="auto"/>
          <w:sz w:val="24"/>
        </w:rPr>
      </w:pPr>
      <w:r>
        <w:rPr>
          <w:color w:val="auto"/>
          <w:sz w:val="24"/>
        </w:rPr>
        <w:t>根据工程特征与环境现状确定该项目评价范围见表2-5-1。</w:t>
      </w:r>
    </w:p>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b/>
          <w:color w:val="auto"/>
          <w:kern w:val="0"/>
          <w:sz w:val="24"/>
        </w:rPr>
      </w:pPr>
      <w:r>
        <w:rPr>
          <w:b/>
          <w:color w:val="auto"/>
          <w:kern w:val="0"/>
          <w:sz w:val="24"/>
        </w:rPr>
        <w:t>表2-5-1工程评价范围表</w:t>
      </w:r>
    </w:p>
    <w:tbl>
      <w:tblPr>
        <w:tblStyle w:val="46"/>
        <w:tblW w:w="4999"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316"/>
        <w:gridCol w:w="720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52" w:hRule="atLeast"/>
          <w:jc w:val="center"/>
        </w:trPr>
        <w:tc>
          <w:tcPr>
            <w:tcW w:w="772" w:type="pct"/>
            <w:vAlign w:val="center"/>
          </w:tcPr>
          <w:p>
            <w:pPr>
              <w:jc w:val="center"/>
              <w:rPr>
                <w:color w:val="auto"/>
                <w:szCs w:val="21"/>
              </w:rPr>
            </w:pPr>
            <w:r>
              <w:rPr>
                <w:color w:val="auto"/>
                <w:kern w:val="0"/>
                <w:szCs w:val="21"/>
              </w:rPr>
              <w:t>评价因子</w:t>
            </w:r>
          </w:p>
        </w:tc>
        <w:tc>
          <w:tcPr>
            <w:tcW w:w="4227" w:type="pct"/>
            <w:vAlign w:val="center"/>
          </w:tcPr>
          <w:p>
            <w:pPr>
              <w:jc w:val="center"/>
              <w:rPr>
                <w:color w:val="auto"/>
                <w:szCs w:val="21"/>
              </w:rPr>
            </w:pPr>
            <w:r>
              <w:rPr>
                <w:color w:val="auto"/>
                <w:kern w:val="0"/>
                <w:szCs w:val="21"/>
              </w:rPr>
              <w:t>评价范围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52" w:hRule="atLeast"/>
          <w:jc w:val="center"/>
        </w:trPr>
        <w:tc>
          <w:tcPr>
            <w:tcW w:w="772" w:type="pct"/>
            <w:vAlign w:val="center"/>
          </w:tcPr>
          <w:p>
            <w:pPr>
              <w:jc w:val="center"/>
              <w:rPr>
                <w:color w:val="auto"/>
                <w:kern w:val="0"/>
                <w:szCs w:val="21"/>
              </w:rPr>
            </w:pPr>
            <w:r>
              <w:rPr>
                <w:color w:val="auto"/>
                <w:kern w:val="0"/>
                <w:szCs w:val="21"/>
              </w:rPr>
              <w:t>环境空气</w:t>
            </w:r>
          </w:p>
        </w:tc>
        <w:tc>
          <w:tcPr>
            <w:tcW w:w="4227" w:type="pct"/>
            <w:vAlign w:val="center"/>
          </w:tcPr>
          <w:p>
            <w:pPr>
              <w:jc w:val="center"/>
              <w:rPr>
                <w:color w:val="auto"/>
                <w:kern w:val="0"/>
                <w:szCs w:val="21"/>
              </w:rPr>
            </w:pPr>
            <w:r>
              <w:rPr>
                <w:color w:val="auto"/>
                <w:kern w:val="0"/>
                <w:szCs w:val="21"/>
              </w:rPr>
              <w:t>以项目厂址为中心，边长5km的矩形区域</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62" w:hRule="atLeast"/>
          <w:jc w:val="center"/>
        </w:trPr>
        <w:tc>
          <w:tcPr>
            <w:tcW w:w="772" w:type="pct"/>
            <w:vAlign w:val="center"/>
          </w:tcPr>
          <w:p>
            <w:pPr>
              <w:jc w:val="center"/>
              <w:rPr>
                <w:color w:val="auto"/>
                <w:szCs w:val="21"/>
              </w:rPr>
            </w:pPr>
            <w:r>
              <w:rPr>
                <w:color w:val="auto"/>
                <w:kern w:val="0"/>
                <w:szCs w:val="21"/>
              </w:rPr>
              <w:t>地下水</w:t>
            </w:r>
          </w:p>
        </w:tc>
        <w:tc>
          <w:tcPr>
            <w:tcW w:w="4227" w:type="pct"/>
            <w:vAlign w:val="center"/>
          </w:tcPr>
          <w:p>
            <w:pPr>
              <w:jc w:val="center"/>
              <w:rPr>
                <w:color w:val="auto"/>
                <w:szCs w:val="21"/>
              </w:rPr>
            </w:pPr>
            <w:r>
              <w:rPr>
                <w:color w:val="auto"/>
                <w:szCs w:val="21"/>
              </w:rPr>
              <w:t>沿地下水流向，划定</w:t>
            </w:r>
            <w:r>
              <w:rPr>
                <w:rFonts w:hint="eastAsia"/>
                <w:color w:val="auto"/>
                <w:szCs w:val="21"/>
                <w:lang w:eastAsia="zh-CN"/>
              </w:rPr>
              <w:t>6</w:t>
            </w:r>
            <w:r>
              <w:rPr>
                <w:color w:val="auto"/>
                <w:szCs w:val="21"/>
              </w:rPr>
              <w:t>km</w:t>
            </w:r>
            <w:r>
              <w:rPr>
                <w:color w:val="auto"/>
                <w:szCs w:val="21"/>
                <w:vertAlign w:val="superscript"/>
              </w:rPr>
              <w:t>2</w:t>
            </w:r>
            <w:r>
              <w:rPr>
                <w:color w:val="auto"/>
                <w:szCs w:val="21"/>
              </w:rPr>
              <w:t>范围内</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52" w:hRule="atLeast"/>
          <w:jc w:val="center"/>
        </w:trPr>
        <w:tc>
          <w:tcPr>
            <w:tcW w:w="772" w:type="pct"/>
            <w:vAlign w:val="center"/>
          </w:tcPr>
          <w:p>
            <w:pPr>
              <w:jc w:val="center"/>
              <w:rPr>
                <w:color w:val="auto"/>
                <w:szCs w:val="21"/>
              </w:rPr>
            </w:pPr>
            <w:r>
              <w:rPr>
                <w:color w:val="auto"/>
                <w:kern w:val="0"/>
                <w:szCs w:val="21"/>
              </w:rPr>
              <w:t>噪声</w:t>
            </w:r>
          </w:p>
        </w:tc>
        <w:tc>
          <w:tcPr>
            <w:tcW w:w="4227" w:type="pct"/>
            <w:vAlign w:val="center"/>
          </w:tcPr>
          <w:p>
            <w:pPr>
              <w:jc w:val="center"/>
              <w:rPr>
                <w:color w:val="auto"/>
                <w:szCs w:val="21"/>
              </w:rPr>
            </w:pPr>
            <w:r>
              <w:rPr>
                <w:color w:val="auto"/>
                <w:kern w:val="0"/>
                <w:szCs w:val="21"/>
              </w:rPr>
              <w:t>厂界外200m范围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52" w:hRule="atLeast"/>
          <w:jc w:val="center"/>
        </w:trPr>
        <w:tc>
          <w:tcPr>
            <w:tcW w:w="772" w:type="pct"/>
            <w:vAlign w:val="center"/>
          </w:tcPr>
          <w:p>
            <w:pPr>
              <w:jc w:val="center"/>
              <w:rPr>
                <w:color w:val="auto"/>
                <w:kern w:val="0"/>
                <w:szCs w:val="21"/>
              </w:rPr>
            </w:pPr>
            <w:r>
              <w:rPr>
                <w:color w:val="auto"/>
                <w:kern w:val="0"/>
                <w:szCs w:val="21"/>
              </w:rPr>
              <w:t>生态</w:t>
            </w:r>
          </w:p>
        </w:tc>
        <w:tc>
          <w:tcPr>
            <w:tcW w:w="4227" w:type="pct"/>
            <w:vAlign w:val="center"/>
          </w:tcPr>
          <w:p>
            <w:pPr>
              <w:jc w:val="center"/>
              <w:rPr>
                <w:color w:val="auto"/>
                <w:kern w:val="0"/>
                <w:szCs w:val="21"/>
              </w:rPr>
            </w:pPr>
            <w:r>
              <w:rPr>
                <w:color w:val="auto"/>
                <w:kern w:val="0"/>
                <w:szCs w:val="21"/>
              </w:rPr>
              <w:t>厂界外200m范围</w:t>
            </w:r>
          </w:p>
        </w:tc>
      </w:tr>
    </w:tbl>
    <w:p>
      <w:pPr>
        <w:pStyle w:val="5"/>
        <w:spacing w:before="0" w:after="0" w:line="360" w:lineRule="auto"/>
        <w:ind w:firstLine="0" w:firstLineChars="0"/>
        <w:rPr>
          <w:rFonts w:hint="eastAsia" w:ascii="Times New Roman" w:hAnsi="Times New Roman" w:eastAsia="宋体" w:cs="Times New Roman"/>
          <w:b/>
          <w:color w:val="auto"/>
          <w:sz w:val="28"/>
          <w:szCs w:val="28"/>
          <w:lang w:eastAsia="zh-CN"/>
        </w:rPr>
      </w:pPr>
      <w:bookmarkStart w:id="52" w:name="_Toc15991636"/>
      <w:bookmarkStart w:id="53" w:name="_Toc524431294"/>
      <w:r>
        <w:rPr>
          <w:rFonts w:ascii="Times New Roman" w:hAnsi="Times New Roman" w:cs="Times New Roman"/>
          <w:b/>
          <w:color w:val="auto"/>
          <w:sz w:val="28"/>
          <w:szCs w:val="28"/>
        </w:rPr>
        <w:t>2.5.2</w:t>
      </w:r>
      <w:bookmarkEnd w:id="52"/>
      <w:bookmarkEnd w:id="53"/>
      <w:r>
        <w:rPr>
          <w:rFonts w:hint="eastAsia" w:ascii="Times New Roman" w:hAnsi="Times New Roman" w:cs="Times New Roman"/>
          <w:b/>
          <w:color w:val="auto"/>
          <w:sz w:val="28"/>
          <w:szCs w:val="28"/>
          <w:lang w:eastAsia="zh-CN"/>
        </w:rPr>
        <w:t>评价重点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napToGrid w:val="0"/>
          <w:color w:val="FF0000"/>
          <w:kern w:val="0"/>
          <w:sz w:val="24"/>
        </w:rPr>
      </w:pPr>
      <w:r>
        <w:rPr>
          <w:rFonts w:hint="default" w:ascii="Times New Roman" w:hAnsi="Times New Roman" w:eastAsia="宋体" w:cs="Times New Roman"/>
          <w:color w:val="auto"/>
          <w:kern w:val="2"/>
          <w:sz w:val="24"/>
          <w:szCs w:val="24"/>
          <w:lang w:val="en-US" w:eastAsia="zh-CN" w:bidi="ar-SA"/>
        </w:rPr>
        <w:t>根据建设项目的性质、排污特点及所在区域的环境特征，确定本次评价工作重点为：在屠宰污染源分析过程中产生的废弃物种类和数量，废弃物综合利用和无害化处理方案和措施，废弃物的消纳和处理情况以及向环境直接排放的情况，最终可能对大气、水体、生态等环境产生的影响以及控制和减少影响的方案和措施等</w:t>
      </w:r>
      <w:r>
        <w:rPr>
          <w:rFonts w:hint="eastAsia" w:ascii="Times New Roman" w:hAnsi="Times New Roman" w:eastAsia="宋体" w:cs="Times New Roman"/>
          <w:color w:val="auto"/>
          <w:kern w:val="2"/>
          <w:sz w:val="24"/>
          <w:szCs w:val="24"/>
          <w:lang w:val="en-US" w:eastAsia="zh-CN" w:bidi="ar-SA"/>
        </w:rPr>
        <w:t>。</w:t>
      </w:r>
    </w:p>
    <w:p>
      <w:pPr>
        <w:spacing w:line="360" w:lineRule="auto"/>
        <w:jc w:val="left"/>
        <w:outlineLvl w:val="1"/>
        <w:rPr>
          <w:b/>
          <w:bCs/>
          <w:color w:val="auto"/>
          <w:kern w:val="44"/>
          <w:sz w:val="30"/>
          <w:szCs w:val="30"/>
        </w:rPr>
      </w:pPr>
      <w:bookmarkStart w:id="54" w:name="_Toc833"/>
      <w:r>
        <w:rPr>
          <w:b/>
          <w:bCs/>
          <w:color w:val="auto"/>
          <w:kern w:val="44"/>
          <w:sz w:val="30"/>
          <w:szCs w:val="30"/>
        </w:rPr>
        <w:t>2.6污染控制与环境保护目标</w:t>
      </w:r>
      <w:bookmarkEnd w:id="54"/>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2.</w:t>
      </w:r>
      <w:r>
        <w:rPr>
          <w:rFonts w:hint="eastAsia" w:ascii="Times New Roman" w:hAnsi="Times New Roman" w:cs="Times New Roman"/>
          <w:b/>
          <w:color w:val="auto"/>
          <w:sz w:val="28"/>
          <w:szCs w:val="28"/>
        </w:rPr>
        <w:t>6</w:t>
      </w:r>
      <w:r>
        <w:rPr>
          <w:rFonts w:ascii="Times New Roman" w:hAnsi="Times New Roman" w:cs="Times New Roman"/>
          <w:b/>
          <w:color w:val="auto"/>
          <w:sz w:val="28"/>
          <w:szCs w:val="28"/>
        </w:rPr>
        <w:t>.1</w:t>
      </w:r>
      <w:r>
        <w:rPr>
          <w:rFonts w:hint="eastAsia" w:ascii="Times New Roman" w:hAnsi="Times New Roman" w:cs="Times New Roman"/>
          <w:b/>
          <w:color w:val="auto"/>
          <w:sz w:val="28"/>
          <w:szCs w:val="28"/>
        </w:rPr>
        <w:t>污染控制</w:t>
      </w:r>
    </w:p>
    <w:p>
      <w:pPr>
        <w:spacing w:line="360" w:lineRule="auto"/>
        <w:ind w:firstLine="480" w:firstLineChars="200"/>
        <w:rPr>
          <w:snapToGrid w:val="0"/>
          <w:color w:val="auto"/>
          <w:sz w:val="24"/>
        </w:rPr>
      </w:pPr>
      <w:r>
        <w:rPr>
          <w:snapToGrid w:val="0"/>
          <w:color w:val="auto"/>
          <w:sz w:val="24"/>
        </w:rPr>
        <w:t>本评价区内无国家、省级自然保护区，名胜古迹，以及重要人文设施及水源地，项目区现状为闲置厂房</w:t>
      </w:r>
      <w:r>
        <w:rPr>
          <w:rFonts w:hint="eastAsia"/>
          <w:snapToGrid w:val="0"/>
          <w:color w:val="auto"/>
          <w:sz w:val="24"/>
        </w:rPr>
        <w:t>，</w:t>
      </w:r>
      <w:r>
        <w:rPr>
          <w:snapToGrid w:val="0"/>
          <w:color w:val="auto"/>
          <w:sz w:val="24"/>
        </w:rPr>
        <w:t>四周为农田。根据项目特点及周边环境要素，确定本项目主要控制污染为：</w:t>
      </w:r>
    </w:p>
    <w:p>
      <w:pPr>
        <w:pStyle w:val="74"/>
        <w:adjustRightInd/>
        <w:snapToGrid/>
        <w:contextualSpacing/>
        <w:jc w:val="both"/>
        <w:rPr>
          <w:rFonts w:ascii="Times New Roman" w:hAnsi="Times New Roman" w:eastAsia="宋体" w:cs="Times New Roman"/>
          <w:snapToGrid w:val="0"/>
          <w:color w:val="auto"/>
        </w:rPr>
      </w:pPr>
      <w:r>
        <w:rPr>
          <w:rFonts w:ascii="Times New Roman" w:hAnsi="Times New Roman" w:eastAsia="宋体" w:cs="Times New Roman"/>
          <w:snapToGrid w:val="0"/>
          <w:color w:val="auto"/>
        </w:rPr>
        <w:t>（1）控制本项目投产后</w:t>
      </w:r>
      <w:r>
        <w:rPr>
          <w:rFonts w:hint="eastAsia" w:ascii="Times New Roman" w:hAnsi="Times New Roman" w:eastAsia="宋体" w:cs="Times New Roman"/>
          <w:snapToGrid w:val="0"/>
          <w:color w:val="auto"/>
        </w:rPr>
        <w:t>生产</w:t>
      </w:r>
      <w:r>
        <w:rPr>
          <w:rFonts w:ascii="Times New Roman" w:hAnsi="Times New Roman" w:eastAsia="宋体" w:cs="Times New Roman"/>
          <w:snapToGrid w:val="0"/>
          <w:color w:val="auto"/>
        </w:rPr>
        <w:t>废水</w:t>
      </w:r>
      <w:r>
        <w:rPr>
          <w:rFonts w:hint="eastAsia" w:ascii="Times New Roman" w:hAnsi="Times New Roman" w:eastAsia="宋体" w:cs="Times New Roman"/>
          <w:snapToGrid w:val="0"/>
          <w:color w:val="auto"/>
        </w:rPr>
        <w:t>和生活污水（含食堂废水）一起排入污水处理站，污水处理站出水满足</w:t>
      </w:r>
      <w:r>
        <w:rPr>
          <w:rFonts w:ascii="Times New Roman" w:hAnsi="Times New Roman" w:eastAsia="宋体" w:cs="Times New Roman"/>
          <w:bCs/>
          <w:snapToGrid w:val="0"/>
          <w:color w:val="auto"/>
        </w:rPr>
        <w:t>《肉类加工工业水污染物排放标准》（GB13457-92）表3三级畜类屠宰加工标准限值，</w:t>
      </w:r>
      <w:r>
        <w:rPr>
          <w:rFonts w:hint="eastAsia" w:ascii="Times New Roman" w:hAnsi="Times New Roman" w:eastAsia="宋体" w:cs="Times New Roman"/>
          <w:bCs/>
          <w:snapToGrid w:val="0"/>
          <w:color w:val="auto"/>
        </w:rPr>
        <w:t>暂存</w:t>
      </w:r>
      <w:r>
        <w:rPr>
          <w:rFonts w:ascii="Times New Roman" w:hAnsi="Times New Roman" w:eastAsia="宋体" w:cs="Times New Roman"/>
          <w:bCs/>
          <w:snapToGrid w:val="0"/>
          <w:color w:val="auto"/>
        </w:rPr>
        <w:t>于贮水池，</w:t>
      </w:r>
      <w:r>
        <w:rPr>
          <w:rFonts w:hint="eastAsia" w:ascii="Times New Roman" w:hAnsi="Times New Roman" w:eastAsia="宋体" w:cs="Times New Roman"/>
          <w:bCs/>
          <w:snapToGrid w:val="0"/>
          <w:color w:val="auto"/>
        </w:rPr>
        <w:t>每天</w:t>
      </w:r>
      <w:r>
        <w:rPr>
          <w:rFonts w:ascii="Times New Roman" w:hAnsi="Times New Roman" w:eastAsia="宋体" w:cs="Times New Roman"/>
          <w:bCs/>
          <w:snapToGrid w:val="0"/>
          <w:color w:val="auto"/>
        </w:rPr>
        <w:t>采用专用罐车</w:t>
      </w:r>
      <w:r>
        <w:rPr>
          <w:rFonts w:hint="eastAsia" w:ascii="Times New Roman" w:hAnsi="Times New Roman" w:eastAsia="宋体" w:cs="Times New Roman"/>
          <w:bCs/>
          <w:snapToGrid w:val="0"/>
          <w:color w:val="auto"/>
        </w:rPr>
        <w:t>运至</w:t>
      </w:r>
      <w:r>
        <w:rPr>
          <w:rFonts w:hint="eastAsia" w:ascii="Times New Roman" w:hAnsi="Times New Roman" w:eastAsia="宋体" w:cs="Times New Roman"/>
          <w:bCs/>
          <w:snapToGrid w:val="0"/>
          <w:color w:val="auto"/>
          <w:lang w:eastAsia="zh-CN"/>
        </w:rPr>
        <w:t>尚志污水处理厂</w:t>
      </w:r>
      <w:r>
        <w:rPr>
          <w:rFonts w:hint="eastAsia" w:ascii="Times New Roman" w:hAnsi="Times New Roman" w:eastAsia="宋体" w:cs="Times New Roman"/>
          <w:snapToGrid w:val="0"/>
          <w:color w:val="auto"/>
        </w:rPr>
        <w:t>，严禁直接</w:t>
      </w:r>
      <w:r>
        <w:rPr>
          <w:rFonts w:ascii="Times New Roman" w:hAnsi="Times New Roman" w:eastAsia="宋体" w:cs="Times New Roman"/>
          <w:snapToGrid w:val="0"/>
          <w:color w:val="auto"/>
        </w:rPr>
        <w:t>外排污染周边环境。</w:t>
      </w:r>
    </w:p>
    <w:p>
      <w:pPr>
        <w:spacing w:line="360" w:lineRule="auto"/>
        <w:ind w:firstLine="480" w:firstLineChars="200"/>
        <w:contextualSpacing/>
        <w:rPr>
          <w:snapToGrid w:val="0"/>
          <w:color w:val="auto"/>
          <w:kern w:val="0"/>
          <w:sz w:val="24"/>
        </w:rPr>
      </w:pPr>
      <w:r>
        <w:rPr>
          <w:snapToGrid w:val="0"/>
          <w:color w:val="auto"/>
          <w:kern w:val="0"/>
          <w:sz w:val="24"/>
        </w:rPr>
        <w:t>（2）营运期要严格控制</w:t>
      </w:r>
      <w:r>
        <w:rPr>
          <w:rFonts w:hint="default"/>
          <w:snapToGrid w:val="0"/>
          <w:color w:val="auto"/>
          <w:kern w:val="0"/>
          <w:sz w:val="24"/>
        </w:rPr>
        <w:t>锅炉烟气</w:t>
      </w:r>
      <w:r>
        <w:rPr>
          <w:rFonts w:hint="eastAsia"/>
          <w:snapToGrid w:val="0"/>
          <w:color w:val="auto"/>
          <w:kern w:val="0"/>
          <w:sz w:val="24"/>
          <w:lang w:val="en-US" w:eastAsia="zh-CN"/>
        </w:rPr>
        <w:t>及</w:t>
      </w:r>
      <w:r>
        <w:rPr>
          <w:snapToGrid w:val="0"/>
          <w:color w:val="auto"/>
          <w:kern w:val="0"/>
          <w:sz w:val="24"/>
        </w:rPr>
        <w:t>恶臭气体的排放，</w:t>
      </w:r>
      <w:r>
        <w:rPr>
          <w:rFonts w:hint="eastAsia"/>
          <w:snapToGrid w:val="0"/>
          <w:color w:val="auto"/>
          <w:kern w:val="0"/>
          <w:sz w:val="24"/>
        </w:rPr>
        <w:t>保证待宰间、</w:t>
      </w:r>
      <w:r>
        <w:rPr>
          <w:snapToGrid w:val="0"/>
          <w:color w:val="auto"/>
          <w:kern w:val="0"/>
          <w:sz w:val="24"/>
        </w:rPr>
        <w:t>屠宰车间、污水处理站排气筒排放满足《恶臭污染物排放标准》（GB14554-93）</w:t>
      </w:r>
      <w:r>
        <w:rPr>
          <w:rFonts w:hint="eastAsia"/>
          <w:snapToGrid w:val="0"/>
          <w:color w:val="auto"/>
          <w:kern w:val="0"/>
          <w:sz w:val="24"/>
        </w:rPr>
        <w:t>表2中</w:t>
      </w:r>
      <w:r>
        <w:rPr>
          <w:snapToGrid w:val="0"/>
          <w:color w:val="auto"/>
          <w:kern w:val="0"/>
          <w:sz w:val="24"/>
        </w:rPr>
        <w:t>15m高排气筒对应</w:t>
      </w:r>
      <w:r>
        <w:rPr>
          <w:rFonts w:hint="eastAsia"/>
          <w:snapToGrid w:val="0"/>
          <w:color w:val="auto"/>
          <w:kern w:val="0"/>
          <w:sz w:val="24"/>
        </w:rPr>
        <w:t>的标准限值要求</w:t>
      </w:r>
      <w:r>
        <w:rPr>
          <w:snapToGrid w:val="0"/>
          <w:color w:val="auto"/>
          <w:kern w:val="0"/>
          <w:sz w:val="24"/>
        </w:rPr>
        <w:t>，H</w:t>
      </w:r>
      <w:r>
        <w:rPr>
          <w:snapToGrid w:val="0"/>
          <w:color w:val="auto"/>
          <w:kern w:val="0"/>
          <w:sz w:val="24"/>
          <w:vertAlign w:val="subscript"/>
        </w:rPr>
        <w:t>2</w:t>
      </w:r>
      <w:r>
        <w:rPr>
          <w:snapToGrid w:val="0"/>
          <w:color w:val="auto"/>
          <w:kern w:val="0"/>
          <w:sz w:val="24"/>
        </w:rPr>
        <w:t>S、NH</w:t>
      </w:r>
      <w:r>
        <w:rPr>
          <w:snapToGrid w:val="0"/>
          <w:color w:val="auto"/>
          <w:kern w:val="0"/>
          <w:sz w:val="24"/>
          <w:vertAlign w:val="subscript"/>
        </w:rPr>
        <w:t>3</w:t>
      </w:r>
      <w:r>
        <w:rPr>
          <w:snapToGrid w:val="0"/>
          <w:color w:val="auto"/>
          <w:kern w:val="0"/>
          <w:sz w:val="24"/>
        </w:rPr>
        <w:t>、臭气浓度在厂界浓度满足《恶臭污染物排放标准》（GB14554-93）表1中二级新改扩建标准</w:t>
      </w:r>
      <w:r>
        <w:rPr>
          <w:rFonts w:hint="eastAsia"/>
          <w:snapToGrid w:val="0"/>
          <w:color w:val="auto"/>
          <w:kern w:val="0"/>
          <w:sz w:val="24"/>
          <w:lang w:eastAsia="zh-CN"/>
        </w:rPr>
        <w:t>，</w:t>
      </w:r>
      <w:r>
        <w:rPr>
          <w:rFonts w:hint="eastAsia"/>
          <w:snapToGrid w:val="0"/>
          <w:color w:val="auto"/>
          <w:kern w:val="0"/>
          <w:sz w:val="24"/>
          <w:lang w:val="en-US" w:eastAsia="zh-CN"/>
        </w:rPr>
        <w:t>锅炉烟气满足《锅炉大气污染物排放标准》（GB13271-2014）表3中“燃煤锅炉”大气污染物特别排放标准</w:t>
      </w:r>
      <w:r>
        <w:rPr>
          <w:snapToGrid w:val="0"/>
          <w:color w:val="auto"/>
          <w:kern w:val="0"/>
          <w:sz w:val="24"/>
        </w:rPr>
        <w:t>。</w:t>
      </w:r>
    </w:p>
    <w:p>
      <w:pPr>
        <w:spacing w:line="360" w:lineRule="auto"/>
        <w:ind w:firstLine="480" w:firstLineChars="200"/>
        <w:contextualSpacing/>
        <w:rPr>
          <w:snapToGrid w:val="0"/>
          <w:color w:val="auto"/>
          <w:kern w:val="0"/>
          <w:sz w:val="24"/>
        </w:rPr>
      </w:pPr>
      <w:r>
        <w:rPr>
          <w:rFonts w:hint="eastAsia"/>
          <w:snapToGrid w:val="0"/>
          <w:color w:val="auto"/>
          <w:kern w:val="0"/>
          <w:sz w:val="24"/>
        </w:rPr>
        <w:t>（3）</w:t>
      </w:r>
      <w:r>
        <w:rPr>
          <w:snapToGrid w:val="0"/>
          <w:color w:val="auto"/>
          <w:kern w:val="0"/>
          <w:sz w:val="24"/>
        </w:rPr>
        <w:t>控制本项目投产后固体废物处置，一般固体废物严格按照《一般工业固体废物贮存和填埋污染控制标准》（GB18599-2020）进行贮存及处置，危险废物按照《危险废物贮存污染控制标准》（GB 18597-2023）中有关规定，暂存</w:t>
      </w:r>
      <w:r>
        <w:rPr>
          <w:rFonts w:hint="eastAsia"/>
          <w:snapToGrid w:val="0"/>
          <w:color w:val="auto"/>
          <w:kern w:val="0"/>
          <w:sz w:val="24"/>
          <w:lang w:eastAsia="zh-CN"/>
        </w:rPr>
        <w:t>危险废物贮存点</w:t>
      </w:r>
      <w:r>
        <w:rPr>
          <w:snapToGrid w:val="0"/>
          <w:color w:val="auto"/>
          <w:kern w:val="0"/>
          <w:sz w:val="24"/>
        </w:rPr>
        <w:t>，</w:t>
      </w:r>
      <w:r>
        <w:rPr>
          <w:rFonts w:hint="eastAsia"/>
          <w:snapToGrid w:val="0"/>
          <w:color w:val="auto"/>
          <w:kern w:val="0"/>
          <w:sz w:val="24"/>
        </w:rPr>
        <w:t>定期交由</w:t>
      </w:r>
      <w:r>
        <w:rPr>
          <w:snapToGrid w:val="0"/>
          <w:color w:val="auto"/>
          <w:kern w:val="0"/>
          <w:sz w:val="24"/>
        </w:rPr>
        <w:t>有资质单位处置。严禁固体废物乱堆乱放及丢弃外环境。</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2.</w:t>
      </w:r>
      <w:r>
        <w:rPr>
          <w:rFonts w:hint="eastAsia" w:ascii="Times New Roman" w:hAnsi="Times New Roman" w:cs="Times New Roman"/>
          <w:b/>
          <w:color w:val="auto"/>
          <w:sz w:val="28"/>
          <w:szCs w:val="28"/>
        </w:rPr>
        <w:t>6</w:t>
      </w:r>
      <w:r>
        <w:rPr>
          <w:rFonts w:ascii="Times New Roman" w:hAnsi="Times New Roman" w:cs="Times New Roman"/>
          <w:b/>
          <w:color w:val="auto"/>
          <w:sz w:val="28"/>
          <w:szCs w:val="28"/>
        </w:rPr>
        <w:t>.</w:t>
      </w:r>
      <w:r>
        <w:rPr>
          <w:rFonts w:hint="eastAsia" w:ascii="Times New Roman" w:hAnsi="Times New Roman" w:cs="Times New Roman"/>
          <w:b/>
          <w:color w:val="auto"/>
          <w:sz w:val="28"/>
          <w:szCs w:val="28"/>
        </w:rPr>
        <w:t>2主要环境保护目标</w:t>
      </w:r>
    </w:p>
    <w:p>
      <w:pPr>
        <w:spacing w:line="360" w:lineRule="auto"/>
        <w:ind w:firstLine="480" w:firstLineChars="200"/>
        <w:rPr>
          <w:snapToGrid w:val="0"/>
          <w:color w:val="auto"/>
          <w:kern w:val="0"/>
          <w:sz w:val="24"/>
        </w:rPr>
      </w:pPr>
      <w:r>
        <w:rPr>
          <w:rFonts w:eastAsiaTheme="minorEastAsia"/>
          <w:snapToGrid w:val="0"/>
          <w:color w:val="auto"/>
          <w:sz w:val="24"/>
        </w:rPr>
        <w:t>评价区域内无国家、省、市重点保护文物、自然保护区、濒危珍稀动植物等重点保护目标。根据项目性质及周边环境特征，</w:t>
      </w:r>
      <w:r>
        <w:rPr>
          <w:snapToGrid w:val="0"/>
          <w:color w:val="auto"/>
          <w:kern w:val="0"/>
          <w:sz w:val="24"/>
        </w:rPr>
        <w:t>本项目环境</w:t>
      </w:r>
      <w:r>
        <w:rPr>
          <w:rFonts w:hint="eastAsia"/>
          <w:snapToGrid w:val="0"/>
          <w:color w:val="auto"/>
          <w:kern w:val="0"/>
          <w:sz w:val="24"/>
        </w:rPr>
        <w:t>保护</w:t>
      </w:r>
      <w:r>
        <w:rPr>
          <w:snapToGrid w:val="0"/>
          <w:color w:val="auto"/>
          <w:kern w:val="0"/>
          <w:sz w:val="24"/>
        </w:rPr>
        <w:t>目标见表2-</w:t>
      </w:r>
      <w:r>
        <w:rPr>
          <w:rFonts w:hint="eastAsia"/>
          <w:snapToGrid w:val="0"/>
          <w:color w:val="auto"/>
          <w:kern w:val="0"/>
          <w:sz w:val="24"/>
        </w:rPr>
        <w:t>6</w:t>
      </w:r>
      <w:r>
        <w:rPr>
          <w:snapToGrid w:val="0"/>
          <w:color w:val="auto"/>
          <w:kern w:val="0"/>
          <w:sz w:val="24"/>
        </w:rPr>
        <w:t>-1及表2-</w:t>
      </w:r>
      <w:r>
        <w:rPr>
          <w:rFonts w:hint="eastAsia"/>
          <w:snapToGrid w:val="0"/>
          <w:color w:val="auto"/>
          <w:kern w:val="0"/>
          <w:sz w:val="24"/>
        </w:rPr>
        <w:t>6</w:t>
      </w:r>
      <w:r>
        <w:rPr>
          <w:snapToGrid w:val="0"/>
          <w:color w:val="auto"/>
          <w:kern w:val="0"/>
          <w:sz w:val="24"/>
        </w:rPr>
        <w:t>-2，保护目标分布图见附图3。</w:t>
      </w:r>
    </w:p>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b/>
          <w:color w:val="auto"/>
          <w:kern w:val="0"/>
          <w:sz w:val="24"/>
        </w:rPr>
      </w:pPr>
      <w:bookmarkStart w:id="55" w:name="_Hlk10463811"/>
      <w:r>
        <w:rPr>
          <w:b/>
          <w:color w:val="auto"/>
          <w:kern w:val="0"/>
          <w:sz w:val="24"/>
        </w:rPr>
        <w:t>表2-</w:t>
      </w:r>
      <w:r>
        <w:rPr>
          <w:rFonts w:hint="eastAsia"/>
          <w:b/>
          <w:color w:val="auto"/>
          <w:kern w:val="0"/>
          <w:sz w:val="24"/>
        </w:rPr>
        <w:t>6</w:t>
      </w:r>
      <w:r>
        <w:rPr>
          <w:b/>
          <w:color w:val="auto"/>
          <w:kern w:val="0"/>
          <w:sz w:val="24"/>
        </w:rPr>
        <w:t>-1环境空气保护目标一览表</w:t>
      </w:r>
    </w:p>
    <w:tbl>
      <w:tblPr>
        <w:tblStyle w:val="4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68"/>
        <w:gridCol w:w="1540"/>
        <w:gridCol w:w="1456"/>
        <w:gridCol w:w="726"/>
        <w:gridCol w:w="726"/>
        <w:gridCol w:w="873"/>
        <w:gridCol w:w="871"/>
        <w:gridCol w:w="9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02" w:type="pct"/>
            <w:vMerge w:val="restart"/>
            <w:shd w:val="clear" w:color="auto" w:fill="auto"/>
            <w:vAlign w:val="center"/>
          </w:tcPr>
          <w:p>
            <w:pPr>
              <w:pStyle w:val="84"/>
              <w:adjustRightInd w:val="0"/>
              <w:snapToGrid w:val="0"/>
              <w:rPr>
                <w:rFonts w:hAnsi="Times New Roman"/>
                <w:snapToGrid w:val="0"/>
                <w:color w:val="auto"/>
              </w:rPr>
            </w:pPr>
            <w:bookmarkStart w:id="56" w:name="_Hlk10134467"/>
            <w:r>
              <w:rPr>
                <w:rFonts w:hAnsi="Times New Roman"/>
                <w:snapToGrid w:val="0"/>
                <w:color w:val="auto"/>
              </w:rPr>
              <w:t>名称</w:t>
            </w:r>
          </w:p>
        </w:tc>
        <w:tc>
          <w:tcPr>
            <w:tcW w:w="1757" w:type="pct"/>
            <w:gridSpan w:val="2"/>
            <w:vAlign w:val="center"/>
          </w:tcPr>
          <w:p>
            <w:pPr>
              <w:pStyle w:val="84"/>
              <w:adjustRightInd w:val="0"/>
              <w:snapToGrid w:val="0"/>
              <w:rPr>
                <w:rFonts w:hAnsi="Times New Roman"/>
                <w:snapToGrid w:val="0"/>
                <w:color w:val="auto"/>
              </w:rPr>
            </w:pPr>
            <w:r>
              <w:rPr>
                <w:rFonts w:hAnsi="Times New Roman"/>
                <w:snapToGrid w:val="0"/>
                <w:color w:val="auto"/>
              </w:rPr>
              <w:t>坐标</w:t>
            </w:r>
          </w:p>
        </w:tc>
        <w:tc>
          <w:tcPr>
            <w:tcW w:w="426" w:type="pct"/>
            <w:vMerge w:val="restart"/>
            <w:vAlign w:val="center"/>
          </w:tcPr>
          <w:p>
            <w:pPr>
              <w:pStyle w:val="84"/>
              <w:adjustRightInd w:val="0"/>
              <w:snapToGrid w:val="0"/>
              <w:rPr>
                <w:rFonts w:hAnsi="Times New Roman"/>
                <w:snapToGrid w:val="0"/>
                <w:color w:val="auto"/>
              </w:rPr>
            </w:pPr>
            <w:r>
              <w:rPr>
                <w:rFonts w:hAnsi="Times New Roman"/>
                <w:snapToGrid w:val="0"/>
                <w:color w:val="auto"/>
              </w:rPr>
              <w:t>保护对象</w:t>
            </w:r>
          </w:p>
        </w:tc>
        <w:tc>
          <w:tcPr>
            <w:tcW w:w="426" w:type="pct"/>
            <w:vMerge w:val="restart"/>
            <w:vAlign w:val="center"/>
          </w:tcPr>
          <w:p>
            <w:pPr>
              <w:pStyle w:val="84"/>
              <w:adjustRightInd w:val="0"/>
              <w:snapToGrid w:val="0"/>
              <w:rPr>
                <w:rFonts w:hAnsi="Times New Roman"/>
                <w:snapToGrid w:val="0"/>
                <w:color w:val="auto"/>
              </w:rPr>
            </w:pPr>
            <w:r>
              <w:rPr>
                <w:rFonts w:hAnsi="Times New Roman"/>
                <w:snapToGrid w:val="0"/>
                <w:color w:val="auto"/>
              </w:rPr>
              <w:t>保护</w:t>
            </w:r>
          </w:p>
          <w:p>
            <w:pPr>
              <w:pStyle w:val="84"/>
              <w:adjustRightInd w:val="0"/>
              <w:snapToGrid w:val="0"/>
              <w:rPr>
                <w:rFonts w:hAnsi="Times New Roman"/>
                <w:snapToGrid w:val="0"/>
                <w:color w:val="auto"/>
              </w:rPr>
            </w:pPr>
            <w:r>
              <w:rPr>
                <w:rFonts w:hAnsi="Times New Roman"/>
                <w:snapToGrid w:val="0"/>
                <w:color w:val="auto"/>
              </w:rPr>
              <w:t>内容</w:t>
            </w:r>
          </w:p>
        </w:tc>
        <w:tc>
          <w:tcPr>
            <w:tcW w:w="512" w:type="pct"/>
            <w:vMerge w:val="restart"/>
            <w:vAlign w:val="center"/>
          </w:tcPr>
          <w:p>
            <w:pPr>
              <w:pStyle w:val="84"/>
              <w:adjustRightInd w:val="0"/>
              <w:snapToGrid w:val="0"/>
              <w:rPr>
                <w:rFonts w:hAnsi="Times New Roman"/>
                <w:snapToGrid w:val="0"/>
                <w:color w:val="auto"/>
              </w:rPr>
            </w:pPr>
            <w:r>
              <w:rPr>
                <w:rFonts w:hAnsi="Times New Roman"/>
                <w:snapToGrid w:val="0"/>
                <w:color w:val="auto"/>
              </w:rPr>
              <w:t>环境功能区</w:t>
            </w:r>
          </w:p>
        </w:tc>
        <w:tc>
          <w:tcPr>
            <w:tcW w:w="511" w:type="pct"/>
            <w:vMerge w:val="restart"/>
            <w:vAlign w:val="center"/>
          </w:tcPr>
          <w:p>
            <w:pPr>
              <w:pStyle w:val="84"/>
              <w:adjustRightInd w:val="0"/>
              <w:snapToGrid w:val="0"/>
              <w:rPr>
                <w:rFonts w:hAnsi="Times New Roman"/>
                <w:snapToGrid w:val="0"/>
                <w:color w:val="auto"/>
              </w:rPr>
            </w:pPr>
            <w:r>
              <w:rPr>
                <w:rFonts w:hAnsi="Times New Roman"/>
                <w:snapToGrid w:val="0"/>
                <w:color w:val="auto"/>
              </w:rPr>
              <w:t>相对厂址方位</w:t>
            </w:r>
          </w:p>
        </w:tc>
        <w:tc>
          <w:tcPr>
            <w:tcW w:w="562" w:type="pct"/>
            <w:vMerge w:val="restart"/>
            <w:shd w:val="clear" w:color="auto" w:fill="auto"/>
            <w:vAlign w:val="center"/>
          </w:tcPr>
          <w:p>
            <w:pPr>
              <w:pStyle w:val="84"/>
              <w:adjustRightInd w:val="0"/>
              <w:snapToGrid w:val="0"/>
              <w:rPr>
                <w:rFonts w:hint="default" w:hAnsi="Times New Roman" w:eastAsia="宋体"/>
                <w:snapToGrid w:val="0"/>
                <w:color w:val="auto"/>
                <w:lang w:val="en-US" w:eastAsia="zh-CN"/>
              </w:rPr>
            </w:pPr>
            <w:r>
              <w:rPr>
                <w:rFonts w:hAnsi="Times New Roman"/>
                <w:snapToGrid w:val="0"/>
                <w:color w:val="auto"/>
              </w:rPr>
              <w:t>相对厂界距离</w:t>
            </w:r>
            <w:r>
              <w:rPr>
                <w:rFonts w:hint="eastAsia" w:hAnsi="Times New Roman"/>
                <w:snapToGrid w:val="0"/>
                <w:color w:val="auto"/>
                <w:lang w:val="en-US" w:eastAsia="zh-CN"/>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02" w:type="pct"/>
            <w:vMerge w:val="continue"/>
            <w:shd w:val="clear" w:color="auto" w:fill="auto"/>
            <w:vAlign w:val="center"/>
          </w:tcPr>
          <w:p>
            <w:pPr>
              <w:pStyle w:val="84"/>
              <w:adjustRightInd w:val="0"/>
              <w:snapToGrid w:val="0"/>
              <w:rPr>
                <w:rFonts w:hAnsi="Times New Roman"/>
                <w:snapToGrid w:val="0"/>
                <w:color w:val="auto"/>
              </w:rPr>
            </w:pPr>
          </w:p>
        </w:tc>
        <w:tc>
          <w:tcPr>
            <w:tcW w:w="90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东经</w:t>
            </w:r>
          </w:p>
        </w:tc>
        <w:tc>
          <w:tcPr>
            <w:tcW w:w="85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北纬</w:t>
            </w:r>
          </w:p>
        </w:tc>
        <w:tc>
          <w:tcPr>
            <w:tcW w:w="426" w:type="pct"/>
            <w:vMerge w:val="continue"/>
            <w:vAlign w:val="center"/>
          </w:tcPr>
          <w:p>
            <w:pPr>
              <w:pStyle w:val="84"/>
              <w:adjustRightInd w:val="0"/>
              <w:snapToGrid w:val="0"/>
              <w:rPr>
                <w:rFonts w:hAnsi="Times New Roman"/>
                <w:snapToGrid w:val="0"/>
                <w:color w:val="auto"/>
              </w:rPr>
            </w:pPr>
          </w:p>
        </w:tc>
        <w:tc>
          <w:tcPr>
            <w:tcW w:w="426" w:type="pct"/>
            <w:vMerge w:val="continue"/>
            <w:vAlign w:val="center"/>
          </w:tcPr>
          <w:p>
            <w:pPr>
              <w:pStyle w:val="84"/>
              <w:adjustRightInd w:val="0"/>
              <w:snapToGrid w:val="0"/>
              <w:rPr>
                <w:rFonts w:hAnsi="Times New Roman"/>
                <w:snapToGrid w:val="0"/>
                <w:color w:val="auto"/>
              </w:rPr>
            </w:pPr>
          </w:p>
        </w:tc>
        <w:tc>
          <w:tcPr>
            <w:tcW w:w="512" w:type="pct"/>
            <w:vMerge w:val="continue"/>
            <w:vAlign w:val="center"/>
          </w:tcPr>
          <w:p>
            <w:pPr>
              <w:pStyle w:val="84"/>
              <w:adjustRightInd w:val="0"/>
              <w:snapToGrid w:val="0"/>
              <w:rPr>
                <w:rFonts w:hAnsi="Times New Roman"/>
                <w:snapToGrid w:val="0"/>
                <w:color w:val="auto"/>
              </w:rPr>
            </w:pPr>
          </w:p>
        </w:tc>
        <w:tc>
          <w:tcPr>
            <w:tcW w:w="511" w:type="pct"/>
            <w:vMerge w:val="continue"/>
            <w:vAlign w:val="center"/>
          </w:tcPr>
          <w:p>
            <w:pPr>
              <w:pStyle w:val="84"/>
              <w:adjustRightInd w:val="0"/>
              <w:snapToGrid w:val="0"/>
              <w:rPr>
                <w:rFonts w:hAnsi="Times New Roman"/>
                <w:snapToGrid w:val="0"/>
                <w:color w:val="auto"/>
              </w:rPr>
            </w:pPr>
          </w:p>
        </w:tc>
        <w:tc>
          <w:tcPr>
            <w:tcW w:w="562" w:type="pct"/>
            <w:vMerge w:val="continue"/>
            <w:shd w:val="clear" w:color="auto" w:fill="auto"/>
            <w:vAlign w:val="center"/>
          </w:tcPr>
          <w:p>
            <w:pPr>
              <w:pStyle w:val="84"/>
              <w:adjustRightInd w:val="0"/>
              <w:snapToGrid w:val="0"/>
              <w:rPr>
                <w:rFonts w:hAnsi="Times New Roman"/>
                <w:snapToGrid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2" w:type="pct"/>
            <w:shd w:val="clear" w:color="auto" w:fill="auto"/>
            <w:vAlign w:val="center"/>
          </w:tcPr>
          <w:p>
            <w:pPr>
              <w:pStyle w:val="84"/>
              <w:adjustRightInd w:val="0"/>
              <w:snapToGrid w:val="0"/>
              <w:rPr>
                <w:rFonts w:hint="eastAsia" w:hAnsi="Times New Roman" w:eastAsia="宋体"/>
                <w:snapToGrid w:val="0"/>
                <w:color w:val="auto"/>
                <w:lang w:eastAsia="zh-CN"/>
              </w:rPr>
            </w:pPr>
            <w:r>
              <w:rPr>
                <w:rFonts w:hint="eastAsia" w:hAnsi="Times New Roman"/>
                <w:snapToGrid w:val="0"/>
                <w:color w:val="auto"/>
                <w:lang w:eastAsia="zh-CN"/>
              </w:rPr>
              <w:t>一曼下屯</w:t>
            </w:r>
          </w:p>
        </w:tc>
        <w:tc>
          <w:tcPr>
            <w:tcW w:w="903" w:type="pct"/>
            <w:vAlign w:val="center"/>
          </w:tcPr>
          <w:p>
            <w:pPr>
              <w:pStyle w:val="84"/>
              <w:adjustRightInd w:val="0"/>
              <w:snapToGrid w:val="0"/>
              <w:rPr>
                <w:rFonts w:hAnsi="Times New Roman"/>
                <w:snapToGrid w:val="0"/>
                <w:color w:val="auto"/>
              </w:rPr>
            </w:pPr>
            <w:r>
              <w:rPr>
                <w:rFonts w:hAnsi="Times New Roman"/>
                <w:snapToGrid w:val="0"/>
                <w:color w:val="auto"/>
              </w:rPr>
              <w:t>127.82008052</w:t>
            </w:r>
          </w:p>
        </w:tc>
        <w:tc>
          <w:tcPr>
            <w:tcW w:w="853" w:type="pct"/>
            <w:vAlign w:val="center"/>
          </w:tcPr>
          <w:p>
            <w:pPr>
              <w:pStyle w:val="84"/>
              <w:adjustRightInd w:val="0"/>
              <w:snapToGrid w:val="0"/>
              <w:rPr>
                <w:rFonts w:hAnsi="Times New Roman"/>
                <w:snapToGrid w:val="0"/>
                <w:color w:val="auto"/>
              </w:rPr>
            </w:pPr>
            <w:r>
              <w:rPr>
                <w:rFonts w:hAnsi="Times New Roman"/>
                <w:snapToGrid w:val="0"/>
                <w:color w:val="auto"/>
              </w:rPr>
              <w:t>45.30522157</w:t>
            </w:r>
          </w:p>
        </w:tc>
        <w:tc>
          <w:tcPr>
            <w:tcW w:w="426" w:type="pct"/>
            <w:vMerge w:val="restart"/>
            <w:vAlign w:val="center"/>
          </w:tcPr>
          <w:p>
            <w:pPr>
              <w:pStyle w:val="84"/>
              <w:adjustRightInd w:val="0"/>
              <w:snapToGrid w:val="0"/>
              <w:rPr>
                <w:rFonts w:hAnsi="Times New Roman"/>
                <w:snapToGrid w:val="0"/>
                <w:color w:val="auto"/>
              </w:rPr>
            </w:pPr>
            <w:r>
              <w:rPr>
                <w:rFonts w:hAnsi="Times New Roman"/>
                <w:snapToGrid w:val="0"/>
                <w:color w:val="auto"/>
              </w:rPr>
              <w:t>农村地区中人群较集中的区域</w:t>
            </w:r>
          </w:p>
        </w:tc>
        <w:tc>
          <w:tcPr>
            <w:tcW w:w="426" w:type="pct"/>
            <w:vMerge w:val="restart"/>
            <w:vAlign w:val="center"/>
          </w:tcPr>
          <w:p>
            <w:pPr>
              <w:pStyle w:val="84"/>
              <w:adjustRightInd w:val="0"/>
              <w:snapToGrid w:val="0"/>
              <w:rPr>
                <w:rFonts w:hAnsi="Times New Roman"/>
                <w:snapToGrid w:val="0"/>
                <w:color w:val="auto"/>
              </w:rPr>
            </w:pPr>
            <w:r>
              <w:rPr>
                <w:rFonts w:hAnsi="Times New Roman"/>
                <w:snapToGrid w:val="0"/>
                <w:color w:val="auto"/>
              </w:rPr>
              <w:t>人群</w:t>
            </w:r>
          </w:p>
        </w:tc>
        <w:tc>
          <w:tcPr>
            <w:tcW w:w="512" w:type="pct"/>
            <w:vMerge w:val="restart"/>
            <w:vAlign w:val="center"/>
          </w:tcPr>
          <w:p>
            <w:pPr>
              <w:pStyle w:val="84"/>
              <w:adjustRightInd w:val="0"/>
              <w:snapToGrid w:val="0"/>
              <w:rPr>
                <w:rFonts w:hAnsi="Times New Roman"/>
                <w:snapToGrid w:val="0"/>
                <w:color w:val="auto"/>
              </w:rPr>
            </w:pPr>
            <w:r>
              <w:rPr>
                <w:rFonts w:hAnsi="Times New Roman"/>
                <w:snapToGrid w:val="0"/>
                <w:color w:val="auto"/>
              </w:rPr>
              <w:t>二类区</w:t>
            </w:r>
          </w:p>
        </w:tc>
        <w:tc>
          <w:tcPr>
            <w:tcW w:w="511" w:type="pct"/>
            <w:vAlign w:val="center"/>
          </w:tcPr>
          <w:p>
            <w:pPr>
              <w:pStyle w:val="84"/>
              <w:adjustRightInd w:val="0"/>
              <w:snapToGrid w:val="0"/>
              <w:rPr>
                <w:rFonts w:hint="default" w:hAnsi="Times New Roman" w:eastAsia="宋体"/>
                <w:snapToGrid w:val="0"/>
                <w:color w:val="auto"/>
                <w:lang w:val="en-US" w:eastAsia="zh-CN"/>
              </w:rPr>
            </w:pPr>
            <w:r>
              <w:rPr>
                <w:rFonts w:hint="eastAsia" w:hAnsi="Times New Roman"/>
                <w:snapToGrid w:val="0"/>
                <w:color w:val="auto"/>
                <w:lang w:val="en-US" w:eastAsia="zh-CN"/>
              </w:rPr>
              <w:t>E</w:t>
            </w:r>
          </w:p>
        </w:tc>
        <w:tc>
          <w:tcPr>
            <w:tcW w:w="562" w:type="pct"/>
            <w:shd w:val="clear" w:color="auto" w:fill="auto"/>
            <w:vAlign w:val="center"/>
          </w:tcPr>
          <w:p>
            <w:pPr>
              <w:pStyle w:val="84"/>
              <w:adjustRightInd w:val="0"/>
              <w:snapToGrid w:val="0"/>
              <w:rPr>
                <w:rFonts w:hint="default" w:hAnsi="Times New Roman" w:eastAsia="宋体"/>
                <w:snapToGrid w:val="0"/>
                <w:color w:val="auto"/>
                <w:lang w:val="en-US" w:eastAsia="zh-CN"/>
              </w:rPr>
            </w:pPr>
            <w:r>
              <w:rPr>
                <w:rFonts w:hint="eastAsia" w:hAnsi="Times New Roman"/>
                <w:snapToGrid w:val="0"/>
                <w:color w:val="auto"/>
                <w:lang w:val="en-US" w:eastAsia="zh-CN"/>
              </w:rPr>
              <w:t>330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2" w:type="pct"/>
            <w:shd w:val="clear" w:color="auto" w:fill="auto"/>
            <w:vAlign w:val="center"/>
          </w:tcPr>
          <w:p>
            <w:pPr>
              <w:pStyle w:val="84"/>
              <w:adjustRightInd w:val="0"/>
              <w:snapToGrid w:val="0"/>
              <w:rPr>
                <w:rFonts w:hint="eastAsia" w:hAnsi="Times New Roman" w:eastAsia="宋体"/>
                <w:snapToGrid w:val="0"/>
                <w:color w:val="auto"/>
                <w:lang w:val="en-US" w:eastAsia="zh-CN"/>
              </w:rPr>
            </w:pPr>
            <w:r>
              <w:rPr>
                <w:rFonts w:hint="eastAsia" w:hAnsi="Times New Roman"/>
                <w:snapToGrid w:val="0"/>
                <w:color w:val="auto"/>
                <w:lang w:val="en-US" w:eastAsia="zh-CN"/>
              </w:rPr>
              <w:t>四胜村</w:t>
            </w:r>
          </w:p>
        </w:tc>
        <w:tc>
          <w:tcPr>
            <w:tcW w:w="903" w:type="pct"/>
            <w:vAlign w:val="center"/>
          </w:tcPr>
          <w:p>
            <w:pPr>
              <w:pStyle w:val="84"/>
              <w:adjustRightInd w:val="0"/>
              <w:snapToGrid w:val="0"/>
              <w:rPr>
                <w:rFonts w:hAnsi="Times New Roman"/>
                <w:snapToGrid w:val="0"/>
                <w:color w:val="auto"/>
              </w:rPr>
            </w:pPr>
            <w:r>
              <w:rPr>
                <w:rFonts w:hAnsi="Times New Roman"/>
                <w:snapToGrid w:val="0"/>
                <w:color w:val="auto"/>
              </w:rPr>
              <w:t>127.82409310</w:t>
            </w:r>
          </w:p>
        </w:tc>
        <w:tc>
          <w:tcPr>
            <w:tcW w:w="853" w:type="pct"/>
            <w:vAlign w:val="center"/>
          </w:tcPr>
          <w:p>
            <w:pPr>
              <w:pStyle w:val="84"/>
              <w:adjustRightInd w:val="0"/>
              <w:snapToGrid w:val="0"/>
              <w:rPr>
                <w:rFonts w:hAnsi="Times New Roman"/>
                <w:snapToGrid w:val="0"/>
                <w:color w:val="auto"/>
              </w:rPr>
            </w:pPr>
            <w:r>
              <w:rPr>
                <w:rFonts w:hAnsi="Times New Roman"/>
                <w:snapToGrid w:val="0"/>
                <w:color w:val="auto"/>
              </w:rPr>
              <w:t>45.34752324</w:t>
            </w:r>
          </w:p>
        </w:tc>
        <w:tc>
          <w:tcPr>
            <w:tcW w:w="426" w:type="pct"/>
            <w:vMerge w:val="continue"/>
            <w:vAlign w:val="center"/>
          </w:tcPr>
          <w:p>
            <w:pPr>
              <w:pStyle w:val="84"/>
              <w:adjustRightInd w:val="0"/>
              <w:snapToGrid w:val="0"/>
              <w:rPr>
                <w:rFonts w:hAnsi="Times New Roman"/>
                <w:snapToGrid w:val="0"/>
                <w:color w:val="auto"/>
              </w:rPr>
            </w:pPr>
          </w:p>
        </w:tc>
        <w:tc>
          <w:tcPr>
            <w:tcW w:w="426" w:type="pct"/>
            <w:vMerge w:val="continue"/>
            <w:vAlign w:val="center"/>
          </w:tcPr>
          <w:p>
            <w:pPr>
              <w:pStyle w:val="84"/>
              <w:adjustRightInd w:val="0"/>
              <w:snapToGrid w:val="0"/>
              <w:rPr>
                <w:rFonts w:hAnsi="Times New Roman"/>
                <w:snapToGrid w:val="0"/>
                <w:color w:val="auto"/>
              </w:rPr>
            </w:pPr>
          </w:p>
        </w:tc>
        <w:tc>
          <w:tcPr>
            <w:tcW w:w="512" w:type="pct"/>
            <w:vMerge w:val="continue"/>
            <w:vAlign w:val="center"/>
          </w:tcPr>
          <w:p>
            <w:pPr>
              <w:pStyle w:val="84"/>
              <w:adjustRightInd w:val="0"/>
              <w:snapToGrid w:val="0"/>
              <w:rPr>
                <w:rFonts w:hAnsi="Times New Roman"/>
                <w:snapToGrid w:val="0"/>
                <w:color w:val="auto"/>
              </w:rPr>
            </w:pPr>
          </w:p>
        </w:tc>
        <w:tc>
          <w:tcPr>
            <w:tcW w:w="511" w:type="pct"/>
            <w:vAlign w:val="center"/>
          </w:tcPr>
          <w:p>
            <w:pPr>
              <w:adjustRightInd w:val="0"/>
              <w:snapToGrid w:val="0"/>
              <w:jc w:val="center"/>
              <w:rPr>
                <w:rFonts w:hAnsi="Times New Roman"/>
                <w:snapToGrid w:val="0"/>
                <w:color w:val="auto"/>
              </w:rPr>
            </w:pPr>
            <w:r>
              <w:rPr>
                <w:rFonts w:hint="eastAsia" w:hAnsi="Times New Roman"/>
                <w:snapToGrid w:val="0"/>
                <w:color w:val="auto"/>
                <w:lang w:val="en-US" w:eastAsia="zh-CN"/>
              </w:rPr>
              <w:t>NE</w:t>
            </w:r>
          </w:p>
        </w:tc>
        <w:tc>
          <w:tcPr>
            <w:tcW w:w="562" w:type="pct"/>
            <w:shd w:val="clear" w:color="auto" w:fill="auto"/>
            <w:vAlign w:val="center"/>
          </w:tcPr>
          <w:p>
            <w:pPr>
              <w:pStyle w:val="84"/>
              <w:adjustRightInd w:val="0"/>
              <w:snapToGrid w:val="0"/>
              <w:rPr>
                <w:rFonts w:hint="default" w:hAnsi="Times New Roman" w:eastAsia="宋体"/>
                <w:snapToGrid w:val="0"/>
                <w:color w:val="auto"/>
                <w:lang w:val="en-US" w:eastAsia="zh-CN"/>
              </w:rPr>
            </w:pPr>
            <w:r>
              <w:rPr>
                <w:rFonts w:hint="eastAsia" w:hAnsi="Times New Roman"/>
                <w:snapToGrid w:val="0"/>
                <w:color w:val="auto"/>
                <w:lang w:val="en-US" w:eastAsia="zh-CN"/>
              </w:rPr>
              <w:t>4610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2" w:type="pct"/>
            <w:shd w:val="clear" w:color="auto" w:fill="auto"/>
            <w:vAlign w:val="center"/>
          </w:tcPr>
          <w:p>
            <w:pPr>
              <w:pStyle w:val="84"/>
              <w:adjustRightInd w:val="0"/>
              <w:snapToGrid w:val="0"/>
              <w:rPr>
                <w:rFonts w:hint="eastAsia" w:hAnsi="Times New Roman" w:eastAsia="宋体"/>
                <w:snapToGrid w:val="0"/>
                <w:color w:val="auto"/>
                <w:lang w:val="en-US" w:eastAsia="zh-CN"/>
              </w:rPr>
            </w:pPr>
            <w:r>
              <w:rPr>
                <w:rFonts w:hint="eastAsia" w:hAnsi="Times New Roman"/>
                <w:snapToGrid w:val="0"/>
                <w:color w:val="auto"/>
                <w:lang w:val="en-US" w:eastAsia="zh-CN"/>
              </w:rPr>
              <w:t>仁和屯</w:t>
            </w:r>
          </w:p>
        </w:tc>
        <w:tc>
          <w:tcPr>
            <w:tcW w:w="903" w:type="pct"/>
            <w:vAlign w:val="center"/>
          </w:tcPr>
          <w:p>
            <w:pPr>
              <w:pStyle w:val="84"/>
              <w:adjustRightInd w:val="0"/>
              <w:snapToGrid w:val="0"/>
              <w:rPr>
                <w:rFonts w:hAnsi="Times New Roman"/>
                <w:snapToGrid w:val="0"/>
                <w:color w:val="auto"/>
              </w:rPr>
            </w:pPr>
            <w:r>
              <w:rPr>
                <w:rFonts w:hAnsi="Times New Roman"/>
                <w:snapToGrid w:val="0"/>
                <w:color w:val="auto"/>
              </w:rPr>
              <w:t>127.82053113</w:t>
            </w:r>
          </w:p>
        </w:tc>
        <w:tc>
          <w:tcPr>
            <w:tcW w:w="853" w:type="pct"/>
            <w:vAlign w:val="center"/>
          </w:tcPr>
          <w:p>
            <w:pPr>
              <w:pStyle w:val="84"/>
              <w:adjustRightInd w:val="0"/>
              <w:snapToGrid w:val="0"/>
              <w:rPr>
                <w:rFonts w:hAnsi="Times New Roman"/>
                <w:snapToGrid w:val="0"/>
                <w:color w:val="auto"/>
              </w:rPr>
            </w:pPr>
            <w:r>
              <w:rPr>
                <w:rFonts w:hAnsi="Times New Roman"/>
                <w:snapToGrid w:val="0"/>
                <w:color w:val="auto"/>
              </w:rPr>
              <w:t>45.32990641</w:t>
            </w:r>
          </w:p>
        </w:tc>
        <w:tc>
          <w:tcPr>
            <w:tcW w:w="426" w:type="pct"/>
            <w:vMerge w:val="continue"/>
            <w:vAlign w:val="center"/>
          </w:tcPr>
          <w:p>
            <w:pPr>
              <w:pStyle w:val="84"/>
              <w:adjustRightInd w:val="0"/>
              <w:snapToGrid w:val="0"/>
              <w:rPr>
                <w:rFonts w:hAnsi="Times New Roman"/>
                <w:snapToGrid w:val="0"/>
                <w:color w:val="auto"/>
              </w:rPr>
            </w:pPr>
          </w:p>
        </w:tc>
        <w:tc>
          <w:tcPr>
            <w:tcW w:w="426" w:type="pct"/>
            <w:vMerge w:val="continue"/>
            <w:vAlign w:val="center"/>
          </w:tcPr>
          <w:p>
            <w:pPr>
              <w:pStyle w:val="84"/>
              <w:adjustRightInd w:val="0"/>
              <w:snapToGrid w:val="0"/>
              <w:rPr>
                <w:rFonts w:hAnsi="Times New Roman"/>
                <w:snapToGrid w:val="0"/>
                <w:color w:val="auto"/>
              </w:rPr>
            </w:pPr>
          </w:p>
        </w:tc>
        <w:tc>
          <w:tcPr>
            <w:tcW w:w="512" w:type="pct"/>
            <w:vMerge w:val="continue"/>
            <w:vAlign w:val="center"/>
          </w:tcPr>
          <w:p>
            <w:pPr>
              <w:pStyle w:val="84"/>
              <w:adjustRightInd w:val="0"/>
              <w:snapToGrid w:val="0"/>
              <w:rPr>
                <w:rFonts w:hAnsi="Times New Roman"/>
                <w:snapToGrid w:val="0"/>
                <w:color w:val="auto"/>
              </w:rPr>
            </w:pPr>
          </w:p>
        </w:tc>
        <w:tc>
          <w:tcPr>
            <w:tcW w:w="511" w:type="pct"/>
            <w:vAlign w:val="center"/>
          </w:tcPr>
          <w:p>
            <w:pPr>
              <w:adjustRightInd w:val="0"/>
              <w:snapToGrid w:val="0"/>
              <w:jc w:val="center"/>
              <w:rPr>
                <w:rFonts w:hAnsi="Times New Roman"/>
                <w:snapToGrid w:val="0"/>
                <w:color w:val="auto"/>
              </w:rPr>
            </w:pPr>
            <w:r>
              <w:rPr>
                <w:rFonts w:hint="eastAsia" w:hAnsi="Times New Roman"/>
                <w:snapToGrid w:val="0"/>
                <w:color w:val="auto"/>
                <w:lang w:val="en-US" w:eastAsia="zh-CN"/>
              </w:rPr>
              <w:t>NE</w:t>
            </w:r>
          </w:p>
        </w:tc>
        <w:tc>
          <w:tcPr>
            <w:tcW w:w="562" w:type="pct"/>
            <w:shd w:val="clear" w:color="auto" w:fill="auto"/>
            <w:vAlign w:val="center"/>
          </w:tcPr>
          <w:p>
            <w:pPr>
              <w:pStyle w:val="84"/>
              <w:adjustRightInd w:val="0"/>
              <w:snapToGrid w:val="0"/>
              <w:rPr>
                <w:rFonts w:hint="default" w:hAnsi="Times New Roman" w:eastAsia="宋体"/>
                <w:snapToGrid w:val="0"/>
                <w:color w:val="auto"/>
                <w:lang w:val="en-US" w:eastAsia="zh-CN"/>
              </w:rPr>
            </w:pPr>
            <w:r>
              <w:rPr>
                <w:rFonts w:hint="eastAsia" w:hAnsi="Times New Roman"/>
                <w:snapToGrid w:val="0"/>
                <w:color w:val="auto"/>
                <w:lang w:val="en-US" w:eastAsia="zh-CN"/>
              </w:rPr>
              <w:t>2790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2" w:type="pct"/>
            <w:shd w:val="clear" w:color="auto" w:fill="auto"/>
            <w:vAlign w:val="center"/>
          </w:tcPr>
          <w:p>
            <w:pPr>
              <w:pStyle w:val="84"/>
              <w:adjustRightInd w:val="0"/>
              <w:snapToGrid w:val="0"/>
              <w:rPr>
                <w:rFonts w:hint="eastAsia" w:hAnsi="Times New Roman" w:eastAsia="宋体"/>
                <w:snapToGrid w:val="0"/>
                <w:color w:val="auto"/>
                <w:lang w:val="en-US" w:eastAsia="zh-CN"/>
              </w:rPr>
            </w:pPr>
            <w:r>
              <w:rPr>
                <w:rFonts w:hint="eastAsia" w:hAnsi="Times New Roman"/>
                <w:snapToGrid w:val="0"/>
                <w:color w:val="auto"/>
                <w:lang w:val="en-US" w:eastAsia="zh-CN"/>
              </w:rPr>
              <w:t>国庆村</w:t>
            </w:r>
          </w:p>
        </w:tc>
        <w:tc>
          <w:tcPr>
            <w:tcW w:w="903" w:type="pct"/>
            <w:vAlign w:val="center"/>
          </w:tcPr>
          <w:p>
            <w:pPr>
              <w:pStyle w:val="84"/>
              <w:adjustRightInd w:val="0"/>
              <w:snapToGrid w:val="0"/>
              <w:rPr>
                <w:rFonts w:hAnsi="Times New Roman"/>
                <w:snapToGrid w:val="0"/>
                <w:color w:val="auto"/>
              </w:rPr>
            </w:pPr>
            <w:r>
              <w:rPr>
                <w:rFonts w:hAnsi="Times New Roman"/>
                <w:snapToGrid w:val="0"/>
                <w:color w:val="auto"/>
              </w:rPr>
              <w:t>127.83219337</w:t>
            </w:r>
          </w:p>
        </w:tc>
        <w:tc>
          <w:tcPr>
            <w:tcW w:w="853" w:type="pct"/>
            <w:vAlign w:val="center"/>
          </w:tcPr>
          <w:p>
            <w:pPr>
              <w:pStyle w:val="84"/>
              <w:adjustRightInd w:val="0"/>
              <w:snapToGrid w:val="0"/>
              <w:rPr>
                <w:rFonts w:hAnsi="Times New Roman"/>
                <w:snapToGrid w:val="0"/>
                <w:color w:val="auto"/>
              </w:rPr>
            </w:pPr>
            <w:r>
              <w:rPr>
                <w:rFonts w:hAnsi="Times New Roman"/>
                <w:snapToGrid w:val="0"/>
                <w:color w:val="auto"/>
              </w:rPr>
              <w:t>45.32475457</w:t>
            </w:r>
          </w:p>
        </w:tc>
        <w:tc>
          <w:tcPr>
            <w:tcW w:w="426" w:type="pct"/>
            <w:vMerge w:val="continue"/>
            <w:vAlign w:val="center"/>
          </w:tcPr>
          <w:p>
            <w:pPr>
              <w:pStyle w:val="84"/>
              <w:adjustRightInd w:val="0"/>
              <w:snapToGrid w:val="0"/>
              <w:rPr>
                <w:rFonts w:hAnsi="Times New Roman"/>
                <w:snapToGrid w:val="0"/>
                <w:color w:val="auto"/>
              </w:rPr>
            </w:pPr>
          </w:p>
        </w:tc>
        <w:tc>
          <w:tcPr>
            <w:tcW w:w="426" w:type="pct"/>
            <w:vMerge w:val="continue"/>
            <w:vAlign w:val="center"/>
          </w:tcPr>
          <w:p>
            <w:pPr>
              <w:pStyle w:val="84"/>
              <w:adjustRightInd w:val="0"/>
              <w:snapToGrid w:val="0"/>
              <w:rPr>
                <w:rFonts w:hAnsi="Times New Roman"/>
                <w:snapToGrid w:val="0"/>
                <w:color w:val="auto"/>
              </w:rPr>
            </w:pPr>
          </w:p>
        </w:tc>
        <w:tc>
          <w:tcPr>
            <w:tcW w:w="512" w:type="pct"/>
            <w:vMerge w:val="continue"/>
            <w:vAlign w:val="center"/>
          </w:tcPr>
          <w:p>
            <w:pPr>
              <w:pStyle w:val="84"/>
              <w:adjustRightInd w:val="0"/>
              <w:snapToGrid w:val="0"/>
              <w:rPr>
                <w:rFonts w:hAnsi="Times New Roman"/>
                <w:snapToGrid w:val="0"/>
                <w:color w:val="auto"/>
              </w:rPr>
            </w:pPr>
          </w:p>
        </w:tc>
        <w:tc>
          <w:tcPr>
            <w:tcW w:w="511" w:type="pct"/>
            <w:vAlign w:val="center"/>
          </w:tcPr>
          <w:p>
            <w:pPr>
              <w:adjustRightInd w:val="0"/>
              <w:snapToGrid w:val="0"/>
              <w:jc w:val="center"/>
              <w:rPr>
                <w:rFonts w:hAnsi="Times New Roman"/>
                <w:snapToGrid w:val="0"/>
                <w:color w:val="auto"/>
              </w:rPr>
            </w:pPr>
            <w:r>
              <w:rPr>
                <w:rFonts w:hint="eastAsia" w:hAnsi="Times New Roman"/>
                <w:snapToGrid w:val="0"/>
                <w:color w:val="auto"/>
                <w:lang w:val="en-US" w:eastAsia="zh-CN"/>
              </w:rPr>
              <w:t>NE</w:t>
            </w:r>
          </w:p>
        </w:tc>
        <w:tc>
          <w:tcPr>
            <w:tcW w:w="562" w:type="pct"/>
            <w:shd w:val="clear" w:color="auto" w:fill="auto"/>
            <w:vAlign w:val="center"/>
          </w:tcPr>
          <w:p>
            <w:pPr>
              <w:pStyle w:val="84"/>
              <w:adjustRightInd w:val="0"/>
              <w:snapToGrid w:val="0"/>
              <w:rPr>
                <w:rFonts w:hint="default" w:hAnsi="Times New Roman" w:eastAsia="宋体"/>
                <w:snapToGrid w:val="0"/>
                <w:color w:val="auto"/>
                <w:lang w:val="en-US" w:eastAsia="zh-CN"/>
              </w:rPr>
            </w:pPr>
            <w:r>
              <w:rPr>
                <w:rFonts w:hint="eastAsia" w:hAnsi="Times New Roman"/>
                <w:snapToGrid w:val="0"/>
                <w:color w:val="auto"/>
                <w:lang w:val="en-US" w:eastAsia="zh-CN"/>
              </w:rPr>
              <w:t>2340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2" w:type="pct"/>
            <w:shd w:val="clear" w:color="auto" w:fill="auto"/>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苇塘沟</w:t>
            </w:r>
          </w:p>
        </w:tc>
        <w:tc>
          <w:tcPr>
            <w:tcW w:w="90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127.85699844</w:t>
            </w:r>
          </w:p>
        </w:tc>
        <w:tc>
          <w:tcPr>
            <w:tcW w:w="85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45.31957962</w:t>
            </w:r>
          </w:p>
        </w:tc>
        <w:tc>
          <w:tcPr>
            <w:tcW w:w="426" w:type="pct"/>
            <w:vMerge w:val="continue"/>
            <w:vAlign w:val="center"/>
          </w:tcPr>
          <w:p>
            <w:pPr>
              <w:pStyle w:val="84"/>
              <w:adjustRightInd w:val="0"/>
              <w:snapToGrid w:val="0"/>
              <w:rPr>
                <w:rFonts w:hAnsi="Times New Roman"/>
                <w:snapToGrid w:val="0"/>
                <w:color w:val="auto"/>
              </w:rPr>
            </w:pPr>
          </w:p>
        </w:tc>
        <w:tc>
          <w:tcPr>
            <w:tcW w:w="426" w:type="pct"/>
            <w:vMerge w:val="continue"/>
            <w:vAlign w:val="center"/>
          </w:tcPr>
          <w:p>
            <w:pPr>
              <w:pStyle w:val="84"/>
              <w:adjustRightInd w:val="0"/>
              <w:snapToGrid w:val="0"/>
              <w:rPr>
                <w:rFonts w:hAnsi="Times New Roman"/>
                <w:snapToGrid w:val="0"/>
                <w:color w:val="auto"/>
              </w:rPr>
            </w:pPr>
          </w:p>
        </w:tc>
        <w:tc>
          <w:tcPr>
            <w:tcW w:w="512" w:type="pct"/>
            <w:vMerge w:val="continue"/>
            <w:vAlign w:val="center"/>
          </w:tcPr>
          <w:p>
            <w:pPr>
              <w:pStyle w:val="84"/>
              <w:adjustRightInd w:val="0"/>
              <w:snapToGrid w:val="0"/>
              <w:rPr>
                <w:rFonts w:hAnsi="Times New Roman"/>
                <w:snapToGrid w:val="0"/>
                <w:color w:val="auto"/>
              </w:rPr>
            </w:pPr>
          </w:p>
        </w:tc>
        <w:tc>
          <w:tcPr>
            <w:tcW w:w="511" w:type="pct"/>
            <w:vAlign w:val="center"/>
          </w:tcPr>
          <w:p>
            <w:pPr>
              <w:adjustRightInd w:val="0"/>
              <w:snapToGrid w:val="0"/>
              <w:jc w:val="center"/>
              <w:rPr>
                <w:rFonts w:hAnsi="Times New Roman"/>
                <w:color w:val="auto"/>
              </w:rPr>
            </w:pPr>
            <w:r>
              <w:rPr>
                <w:rFonts w:hint="eastAsia" w:hAnsi="Times New Roman"/>
                <w:snapToGrid w:val="0"/>
                <w:color w:val="auto"/>
                <w:lang w:val="en-US" w:eastAsia="zh-CN"/>
              </w:rPr>
              <w:t>NE</w:t>
            </w:r>
          </w:p>
        </w:tc>
        <w:tc>
          <w:tcPr>
            <w:tcW w:w="562" w:type="pct"/>
            <w:shd w:val="clear" w:color="auto" w:fill="auto"/>
            <w:vAlign w:val="center"/>
          </w:tcPr>
          <w:p>
            <w:pPr>
              <w:pStyle w:val="84"/>
              <w:adjustRightInd w:val="0"/>
              <w:snapToGrid w:val="0"/>
              <w:rPr>
                <w:rFonts w:hint="default" w:hAnsi="Times New Roman" w:eastAsia="宋体"/>
                <w:snapToGrid w:val="0"/>
                <w:color w:val="auto"/>
                <w:kern w:val="0"/>
                <w:lang w:val="en-US" w:eastAsia="zh-CN"/>
              </w:rPr>
            </w:pPr>
            <w:r>
              <w:rPr>
                <w:rFonts w:hint="eastAsia" w:hAnsi="Times New Roman"/>
                <w:snapToGrid w:val="0"/>
                <w:color w:val="auto"/>
                <w:kern w:val="0"/>
                <w:lang w:val="en-US" w:eastAsia="zh-CN"/>
              </w:rPr>
              <w:t>3650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2" w:type="pct"/>
            <w:shd w:val="clear" w:color="auto" w:fill="auto"/>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五丰村</w:t>
            </w:r>
          </w:p>
        </w:tc>
        <w:tc>
          <w:tcPr>
            <w:tcW w:w="90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127.86602139</w:t>
            </w:r>
          </w:p>
        </w:tc>
        <w:tc>
          <w:tcPr>
            <w:tcW w:w="85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45.30196919</w:t>
            </w:r>
          </w:p>
        </w:tc>
        <w:tc>
          <w:tcPr>
            <w:tcW w:w="426" w:type="pct"/>
            <w:vMerge w:val="continue"/>
            <w:vAlign w:val="center"/>
          </w:tcPr>
          <w:p>
            <w:pPr>
              <w:pStyle w:val="84"/>
              <w:adjustRightInd w:val="0"/>
              <w:snapToGrid w:val="0"/>
              <w:rPr>
                <w:rFonts w:hAnsi="Times New Roman"/>
                <w:snapToGrid w:val="0"/>
                <w:color w:val="auto"/>
              </w:rPr>
            </w:pPr>
          </w:p>
        </w:tc>
        <w:tc>
          <w:tcPr>
            <w:tcW w:w="426" w:type="pct"/>
            <w:vMerge w:val="continue"/>
            <w:vAlign w:val="center"/>
          </w:tcPr>
          <w:p>
            <w:pPr>
              <w:pStyle w:val="84"/>
              <w:adjustRightInd w:val="0"/>
              <w:snapToGrid w:val="0"/>
              <w:rPr>
                <w:rFonts w:hAnsi="Times New Roman"/>
                <w:snapToGrid w:val="0"/>
                <w:color w:val="auto"/>
              </w:rPr>
            </w:pPr>
          </w:p>
        </w:tc>
        <w:tc>
          <w:tcPr>
            <w:tcW w:w="512" w:type="pct"/>
            <w:vMerge w:val="continue"/>
            <w:vAlign w:val="center"/>
          </w:tcPr>
          <w:p>
            <w:pPr>
              <w:pStyle w:val="84"/>
              <w:adjustRightInd w:val="0"/>
              <w:snapToGrid w:val="0"/>
              <w:rPr>
                <w:rFonts w:hAnsi="Times New Roman"/>
                <w:snapToGrid w:val="0"/>
                <w:color w:val="auto"/>
              </w:rPr>
            </w:pPr>
          </w:p>
        </w:tc>
        <w:tc>
          <w:tcPr>
            <w:tcW w:w="511" w:type="pct"/>
            <w:vAlign w:val="center"/>
          </w:tcPr>
          <w:p>
            <w:pPr>
              <w:pStyle w:val="84"/>
              <w:adjustRightInd w:val="0"/>
              <w:snapToGrid w:val="0"/>
              <w:rPr>
                <w:rFonts w:hint="eastAsia" w:hAnsi="Times New Roman" w:eastAsia="宋体"/>
                <w:color w:val="auto"/>
                <w:lang w:val="en-US" w:eastAsia="zh-CN"/>
              </w:rPr>
            </w:pPr>
            <w:r>
              <w:rPr>
                <w:rFonts w:hint="eastAsia" w:hAnsi="Times New Roman"/>
                <w:color w:val="auto"/>
                <w:lang w:val="en-US" w:eastAsia="zh-CN"/>
              </w:rPr>
              <w:t>E</w:t>
            </w:r>
          </w:p>
        </w:tc>
        <w:tc>
          <w:tcPr>
            <w:tcW w:w="562" w:type="pct"/>
            <w:shd w:val="clear" w:color="auto" w:fill="auto"/>
            <w:vAlign w:val="center"/>
          </w:tcPr>
          <w:p>
            <w:pPr>
              <w:pStyle w:val="84"/>
              <w:adjustRightInd w:val="0"/>
              <w:snapToGrid w:val="0"/>
              <w:rPr>
                <w:rFonts w:hint="default" w:hAnsi="Times New Roman" w:eastAsia="宋体"/>
                <w:snapToGrid w:val="0"/>
                <w:color w:val="auto"/>
                <w:kern w:val="0"/>
                <w:lang w:val="en-US" w:eastAsia="zh-CN"/>
              </w:rPr>
            </w:pPr>
            <w:r>
              <w:rPr>
                <w:rFonts w:hint="eastAsia" w:hAnsi="Times New Roman"/>
                <w:snapToGrid w:val="0"/>
                <w:color w:val="auto"/>
                <w:kern w:val="0"/>
                <w:lang w:val="en-US" w:eastAsia="zh-CN"/>
              </w:rPr>
              <w:t>3770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2" w:type="pct"/>
            <w:shd w:val="clear" w:color="auto" w:fill="auto"/>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西沟屯</w:t>
            </w:r>
          </w:p>
        </w:tc>
        <w:tc>
          <w:tcPr>
            <w:tcW w:w="90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127.84228921</w:t>
            </w:r>
          </w:p>
        </w:tc>
        <w:tc>
          <w:tcPr>
            <w:tcW w:w="85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45.28664804</w:t>
            </w:r>
          </w:p>
        </w:tc>
        <w:tc>
          <w:tcPr>
            <w:tcW w:w="426" w:type="pct"/>
            <w:vMerge w:val="continue"/>
            <w:vAlign w:val="center"/>
          </w:tcPr>
          <w:p>
            <w:pPr>
              <w:pStyle w:val="84"/>
              <w:adjustRightInd w:val="0"/>
              <w:snapToGrid w:val="0"/>
              <w:rPr>
                <w:rFonts w:hAnsi="Times New Roman"/>
                <w:snapToGrid w:val="0"/>
                <w:color w:val="auto"/>
              </w:rPr>
            </w:pPr>
          </w:p>
        </w:tc>
        <w:tc>
          <w:tcPr>
            <w:tcW w:w="426" w:type="pct"/>
            <w:vMerge w:val="continue"/>
            <w:vAlign w:val="center"/>
          </w:tcPr>
          <w:p>
            <w:pPr>
              <w:pStyle w:val="84"/>
              <w:adjustRightInd w:val="0"/>
              <w:snapToGrid w:val="0"/>
              <w:rPr>
                <w:rFonts w:hAnsi="Times New Roman"/>
                <w:snapToGrid w:val="0"/>
                <w:color w:val="auto"/>
              </w:rPr>
            </w:pPr>
          </w:p>
        </w:tc>
        <w:tc>
          <w:tcPr>
            <w:tcW w:w="512" w:type="pct"/>
            <w:vMerge w:val="continue"/>
            <w:vAlign w:val="center"/>
          </w:tcPr>
          <w:p>
            <w:pPr>
              <w:pStyle w:val="84"/>
              <w:adjustRightInd w:val="0"/>
              <w:snapToGrid w:val="0"/>
              <w:rPr>
                <w:rFonts w:hAnsi="Times New Roman"/>
                <w:snapToGrid w:val="0"/>
                <w:color w:val="auto"/>
              </w:rPr>
            </w:pPr>
          </w:p>
        </w:tc>
        <w:tc>
          <w:tcPr>
            <w:tcW w:w="511" w:type="pct"/>
            <w:vAlign w:val="center"/>
          </w:tcPr>
          <w:p>
            <w:pPr>
              <w:pStyle w:val="84"/>
              <w:adjustRightInd w:val="0"/>
              <w:snapToGrid w:val="0"/>
              <w:rPr>
                <w:rFonts w:hint="eastAsia" w:hAnsi="Times New Roman" w:eastAsia="宋体"/>
                <w:color w:val="auto"/>
                <w:lang w:val="en-US" w:eastAsia="zh-CN"/>
              </w:rPr>
            </w:pPr>
            <w:r>
              <w:rPr>
                <w:rFonts w:hint="eastAsia" w:hAnsi="Times New Roman"/>
                <w:color w:val="auto"/>
                <w:lang w:val="en-US" w:eastAsia="zh-CN"/>
              </w:rPr>
              <w:t>SE</w:t>
            </w:r>
          </w:p>
        </w:tc>
        <w:tc>
          <w:tcPr>
            <w:tcW w:w="562" w:type="pct"/>
            <w:shd w:val="clear" w:color="auto" w:fill="auto"/>
            <w:vAlign w:val="center"/>
          </w:tcPr>
          <w:p>
            <w:pPr>
              <w:pStyle w:val="84"/>
              <w:adjustRightInd w:val="0"/>
              <w:snapToGrid w:val="0"/>
              <w:rPr>
                <w:rFonts w:hint="default" w:hAnsi="Times New Roman" w:eastAsia="宋体"/>
                <w:snapToGrid w:val="0"/>
                <w:color w:val="auto"/>
                <w:kern w:val="0"/>
                <w:lang w:val="en-US" w:eastAsia="zh-CN"/>
              </w:rPr>
            </w:pPr>
            <w:r>
              <w:rPr>
                <w:rFonts w:hint="eastAsia" w:hAnsi="Times New Roman"/>
                <w:snapToGrid w:val="0"/>
                <w:color w:val="auto"/>
                <w:kern w:val="0"/>
                <w:lang w:val="en-US" w:eastAsia="zh-CN"/>
              </w:rPr>
              <w:t>2870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2" w:type="pct"/>
            <w:shd w:val="clear" w:color="auto" w:fill="auto"/>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会桐村</w:t>
            </w:r>
          </w:p>
        </w:tc>
        <w:tc>
          <w:tcPr>
            <w:tcW w:w="90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127.87484050</w:t>
            </w:r>
          </w:p>
        </w:tc>
        <w:tc>
          <w:tcPr>
            <w:tcW w:w="85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45.28325871</w:t>
            </w:r>
          </w:p>
        </w:tc>
        <w:tc>
          <w:tcPr>
            <w:tcW w:w="426" w:type="pct"/>
            <w:vMerge w:val="continue"/>
            <w:vAlign w:val="center"/>
          </w:tcPr>
          <w:p>
            <w:pPr>
              <w:pStyle w:val="84"/>
              <w:adjustRightInd w:val="0"/>
              <w:snapToGrid w:val="0"/>
              <w:rPr>
                <w:rFonts w:hAnsi="Times New Roman"/>
                <w:snapToGrid w:val="0"/>
                <w:color w:val="auto"/>
              </w:rPr>
            </w:pPr>
          </w:p>
        </w:tc>
        <w:tc>
          <w:tcPr>
            <w:tcW w:w="426" w:type="pct"/>
            <w:vMerge w:val="continue"/>
            <w:vAlign w:val="center"/>
          </w:tcPr>
          <w:p>
            <w:pPr>
              <w:pStyle w:val="84"/>
              <w:adjustRightInd w:val="0"/>
              <w:snapToGrid w:val="0"/>
              <w:rPr>
                <w:rFonts w:hAnsi="Times New Roman"/>
                <w:snapToGrid w:val="0"/>
                <w:color w:val="auto"/>
              </w:rPr>
            </w:pPr>
          </w:p>
        </w:tc>
        <w:tc>
          <w:tcPr>
            <w:tcW w:w="512" w:type="pct"/>
            <w:vMerge w:val="continue"/>
            <w:vAlign w:val="center"/>
          </w:tcPr>
          <w:p>
            <w:pPr>
              <w:pStyle w:val="84"/>
              <w:adjustRightInd w:val="0"/>
              <w:snapToGrid w:val="0"/>
              <w:rPr>
                <w:rFonts w:hAnsi="Times New Roman"/>
                <w:snapToGrid w:val="0"/>
                <w:color w:val="auto"/>
              </w:rPr>
            </w:pPr>
          </w:p>
        </w:tc>
        <w:tc>
          <w:tcPr>
            <w:tcW w:w="511" w:type="pct"/>
            <w:vAlign w:val="center"/>
          </w:tcPr>
          <w:p>
            <w:pPr>
              <w:pStyle w:val="84"/>
              <w:adjustRightInd w:val="0"/>
              <w:snapToGrid w:val="0"/>
              <w:rPr>
                <w:rFonts w:hAnsi="Times New Roman"/>
                <w:color w:val="auto"/>
              </w:rPr>
            </w:pPr>
            <w:r>
              <w:rPr>
                <w:rFonts w:hint="eastAsia" w:hAnsi="Times New Roman"/>
                <w:color w:val="auto"/>
                <w:lang w:val="en-US" w:eastAsia="zh-CN"/>
              </w:rPr>
              <w:t>SE</w:t>
            </w:r>
          </w:p>
        </w:tc>
        <w:tc>
          <w:tcPr>
            <w:tcW w:w="562" w:type="pct"/>
            <w:shd w:val="clear" w:color="auto" w:fill="auto"/>
            <w:vAlign w:val="center"/>
          </w:tcPr>
          <w:p>
            <w:pPr>
              <w:pStyle w:val="84"/>
              <w:adjustRightInd w:val="0"/>
              <w:snapToGrid w:val="0"/>
              <w:rPr>
                <w:rFonts w:hint="default" w:hAnsi="Times New Roman" w:eastAsia="宋体"/>
                <w:snapToGrid w:val="0"/>
                <w:color w:val="auto"/>
                <w:kern w:val="0"/>
                <w:lang w:val="en-US" w:eastAsia="zh-CN"/>
              </w:rPr>
            </w:pPr>
            <w:r>
              <w:rPr>
                <w:rFonts w:hint="eastAsia" w:hAnsi="Times New Roman"/>
                <w:snapToGrid w:val="0"/>
                <w:color w:val="auto"/>
                <w:kern w:val="0"/>
                <w:lang w:val="en-US" w:eastAsia="zh-CN"/>
              </w:rPr>
              <w:t>5120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2" w:type="pct"/>
            <w:shd w:val="clear" w:color="auto" w:fill="auto"/>
            <w:vAlign w:val="center"/>
          </w:tcPr>
          <w:p>
            <w:pPr>
              <w:pStyle w:val="84"/>
              <w:adjustRightInd w:val="0"/>
              <w:snapToGrid w:val="0"/>
              <w:rPr>
                <w:rFonts w:hint="default" w:hAnsi="Times New Roman" w:eastAsia="宋体"/>
                <w:snapToGrid w:val="0"/>
                <w:color w:val="auto"/>
                <w:kern w:val="0"/>
                <w:lang w:val="en-US" w:eastAsia="zh-CN"/>
              </w:rPr>
            </w:pPr>
            <w:r>
              <w:rPr>
                <w:rFonts w:hint="eastAsia" w:hAnsi="Times New Roman"/>
                <w:snapToGrid w:val="0"/>
                <w:color w:val="auto"/>
                <w:kern w:val="0"/>
                <w:lang w:val="en-US" w:eastAsia="zh-CN"/>
              </w:rPr>
              <w:t>春秋屯</w:t>
            </w:r>
          </w:p>
        </w:tc>
        <w:tc>
          <w:tcPr>
            <w:tcW w:w="90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127.86655784</w:t>
            </w:r>
          </w:p>
        </w:tc>
        <w:tc>
          <w:tcPr>
            <w:tcW w:w="85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45.26945021</w:t>
            </w:r>
          </w:p>
        </w:tc>
        <w:tc>
          <w:tcPr>
            <w:tcW w:w="426" w:type="pct"/>
            <w:vMerge w:val="continue"/>
            <w:vAlign w:val="center"/>
          </w:tcPr>
          <w:p>
            <w:pPr>
              <w:pStyle w:val="84"/>
              <w:adjustRightInd w:val="0"/>
              <w:snapToGrid w:val="0"/>
              <w:rPr>
                <w:rFonts w:hAnsi="Times New Roman"/>
                <w:snapToGrid w:val="0"/>
                <w:color w:val="auto"/>
              </w:rPr>
            </w:pPr>
          </w:p>
        </w:tc>
        <w:tc>
          <w:tcPr>
            <w:tcW w:w="426" w:type="pct"/>
            <w:vMerge w:val="continue"/>
            <w:vAlign w:val="center"/>
          </w:tcPr>
          <w:p>
            <w:pPr>
              <w:pStyle w:val="84"/>
              <w:adjustRightInd w:val="0"/>
              <w:snapToGrid w:val="0"/>
              <w:rPr>
                <w:rFonts w:hAnsi="Times New Roman"/>
                <w:snapToGrid w:val="0"/>
                <w:color w:val="auto"/>
              </w:rPr>
            </w:pPr>
          </w:p>
        </w:tc>
        <w:tc>
          <w:tcPr>
            <w:tcW w:w="512" w:type="pct"/>
            <w:vMerge w:val="continue"/>
            <w:vAlign w:val="center"/>
          </w:tcPr>
          <w:p>
            <w:pPr>
              <w:pStyle w:val="84"/>
              <w:adjustRightInd w:val="0"/>
              <w:snapToGrid w:val="0"/>
              <w:rPr>
                <w:rFonts w:hAnsi="Times New Roman"/>
                <w:snapToGrid w:val="0"/>
                <w:color w:val="auto"/>
              </w:rPr>
            </w:pPr>
          </w:p>
        </w:tc>
        <w:tc>
          <w:tcPr>
            <w:tcW w:w="511" w:type="pct"/>
            <w:vAlign w:val="center"/>
          </w:tcPr>
          <w:p>
            <w:pPr>
              <w:pStyle w:val="84"/>
              <w:adjustRightInd w:val="0"/>
              <w:snapToGrid w:val="0"/>
              <w:rPr>
                <w:rFonts w:hAnsi="Times New Roman"/>
                <w:color w:val="auto"/>
              </w:rPr>
            </w:pPr>
            <w:r>
              <w:rPr>
                <w:rFonts w:hint="eastAsia" w:hAnsi="Times New Roman"/>
                <w:color w:val="auto"/>
                <w:lang w:val="en-US" w:eastAsia="zh-CN"/>
              </w:rPr>
              <w:t>SE</w:t>
            </w:r>
          </w:p>
        </w:tc>
        <w:tc>
          <w:tcPr>
            <w:tcW w:w="562" w:type="pct"/>
            <w:shd w:val="clear" w:color="auto" w:fill="auto"/>
            <w:vAlign w:val="center"/>
          </w:tcPr>
          <w:p>
            <w:pPr>
              <w:pStyle w:val="84"/>
              <w:adjustRightInd w:val="0"/>
              <w:snapToGrid w:val="0"/>
              <w:rPr>
                <w:rFonts w:hint="default" w:hAnsi="Times New Roman" w:eastAsia="宋体"/>
                <w:snapToGrid w:val="0"/>
                <w:color w:val="auto"/>
                <w:kern w:val="0"/>
                <w:lang w:val="en-US" w:eastAsia="zh-CN"/>
              </w:rPr>
            </w:pPr>
            <w:r>
              <w:rPr>
                <w:rFonts w:hint="eastAsia" w:hAnsi="Times New Roman"/>
                <w:snapToGrid w:val="0"/>
                <w:color w:val="auto"/>
                <w:kern w:val="0"/>
                <w:lang w:val="en-US" w:eastAsia="zh-CN"/>
              </w:rPr>
              <w:t>5230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2" w:type="pct"/>
            <w:shd w:val="clear" w:color="auto" w:fill="auto"/>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新富村</w:t>
            </w:r>
          </w:p>
        </w:tc>
        <w:tc>
          <w:tcPr>
            <w:tcW w:w="90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127.81424403</w:t>
            </w:r>
          </w:p>
        </w:tc>
        <w:tc>
          <w:tcPr>
            <w:tcW w:w="85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45.26720762</w:t>
            </w:r>
          </w:p>
        </w:tc>
        <w:tc>
          <w:tcPr>
            <w:tcW w:w="426" w:type="pct"/>
            <w:vMerge w:val="continue"/>
            <w:vAlign w:val="center"/>
          </w:tcPr>
          <w:p>
            <w:pPr>
              <w:pStyle w:val="84"/>
              <w:adjustRightInd w:val="0"/>
              <w:snapToGrid w:val="0"/>
              <w:rPr>
                <w:rFonts w:hAnsi="Times New Roman"/>
                <w:snapToGrid w:val="0"/>
                <w:color w:val="auto"/>
              </w:rPr>
            </w:pPr>
          </w:p>
        </w:tc>
        <w:tc>
          <w:tcPr>
            <w:tcW w:w="426" w:type="pct"/>
            <w:vMerge w:val="continue"/>
            <w:vAlign w:val="center"/>
          </w:tcPr>
          <w:p>
            <w:pPr>
              <w:pStyle w:val="84"/>
              <w:adjustRightInd w:val="0"/>
              <w:snapToGrid w:val="0"/>
              <w:rPr>
                <w:rFonts w:hAnsi="Times New Roman"/>
                <w:snapToGrid w:val="0"/>
                <w:color w:val="auto"/>
              </w:rPr>
            </w:pPr>
          </w:p>
        </w:tc>
        <w:tc>
          <w:tcPr>
            <w:tcW w:w="512" w:type="pct"/>
            <w:vMerge w:val="continue"/>
            <w:vAlign w:val="center"/>
          </w:tcPr>
          <w:p>
            <w:pPr>
              <w:pStyle w:val="84"/>
              <w:adjustRightInd w:val="0"/>
              <w:snapToGrid w:val="0"/>
              <w:rPr>
                <w:rFonts w:hAnsi="Times New Roman"/>
                <w:snapToGrid w:val="0"/>
                <w:color w:val="auto"/>
              </w:rPr>
            </w:pPr>
          </w:p>
        </w:tc>
        <w:tc>
          <w:tcPr>
            <w:tcW w:w="511" w:type="pct"/>
            <w:vAlign w:val="center"/>
          </w:tcPr>
          <w:p>
            <w:pPr>
              <w:pStyle w:val="84"/>
              <w:adjustRightInd w:val="0"/>
              <w:snapToGrid w:val="0"/>
              <w:rPr>
                <w:rFonts w:hint="eastAsia" w:hAnsi="Times New Roman" w:eastAsia="宋体"/>
                <w:color w:val="auto"/>
                <w:lang w:val="en-US" w:eastAsia="zh-CN"/>
              </w:rPr>
            </w:pPr>
            <w:r>
              <w:rPr>
                <w:rFonts w:hint="eastAsia" w:hAnsi="Times New Roman"/>
                <w:color w:val="auto"/>
                <w:lang w:val="en-US" w:eastAsia="zh-CN"/>
              </w:rPr>
              <w:t>S</w:t>
            </w:r>
          </w:p>
        </w:tc>
        <w:tc>
          <w:tcPr>
            <w:tcW w:w="562" w:type="pct"/>
            <w:shd w:val="clear" w:color="auto" w:fill="auto"/>
            <w:vAlign w:val="center"/>
          </w:tcPr>
          <w:p>
            <w:pPr>
              <w:pStyle w:val="84"/>
              <w:adjustRightInd w:val="0"/>
              <w:snapToGrid w:val="0"/>
              <w:rPr>
                <w:rFonts w:hint="default" w:hAnsi="Times New Roman" w:eastAsia="宋体"/>
                <w:snapToGrid w:val="0"/>
                <w:color w:val="auto"/>
                <w:kern w:val="0"/>
                <w:lang w:val="en-US" w:eastAsia="zh-CN"/>
              </w:rPr>
            </w:pPr>
            <w:r>
              <w:rPr>
                <w:rFonts w:hint="eastAsia" w:hAnsi="Times New Roman"/>
                <w:snapToGrid w:val="0"/>
                <w:color w:val="auto"/>
                <w:kern w:val="0"/>
                <w:lang w:val="en-US" w:eastAsia="zh-CN"/>
              </w:rPr>
              <w:t>3840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2" w:type="pct"/>
            <w:shd w:val="clear" w:color="auto" w:fill="auto"/>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一曼村</w:t>
            </w:r>
          </w:p>
        </w:tc>
        <w:tc>
          <w:tcPr>
            <w:tcW w:w="90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127.79775381</w:t>
            </w:r>
          </w:p>
        </w:tc>
        <w:tc>
          <w:tcPr>
            <w:tcW w:w="85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45.29779590</w:t>
            </w:r>
          </w:p>
        </w:tc>
        <w:tc>
          <w:tcPr>
            <w:tcW w:w="426" w:type="pct"/>
            <w:vMerge w:val="continue"/>
            <w:vAlign w:val="center"/>
          </w:tcPr>
          <w:p>
            <w:pPr>
              <w:pStyle w:val="84"/>
              <w:adjustRightInd w:val="0"/>
              <w:snapToGrid w:val="0"/>
              <w:rPr>
                <w:rFonts w:hAnsi="Times New Roman"/>
                <w:snapToGrid w:val="0"/>
                <w:color w:val="auto"/>
              </w:rPr>
            </w:pPr>
          </w:p>
        </w:tc>
        <w:tc>
          <w:tcPr>
            <w:tcW w:w="426" w:type="pct"/>
            <w:vMerge w:val="continue"/>
            <w:vAlign w:val="center"/>
          </w:tcPr>
          <w:p>
            <w:pPr>
              <w:pStyle w:val="84"/>
              <w:adjustRightInd w:val="0"/>
              <w:snapToGrid w:val="0"/>
              <w:rPr>
                <w:rFonts w:hAnsi="Times New Roman"/>
                <w:snapToGrid w:val="0"/>
                <w:color w:val="auto"/>
              </w:rPr>
            </w:pPr>
          </w:p>
        </w:tc>
        <w:tc>
          <w:tcPr>
            <w:tcW w:w="512" w:type="pct"/>
            <w:vMerge w:val="continue"/>
            <w:vAlign w:val="center"/>
          </w:tcPr>
          <w:p>
            <w:pPr>
              <w:pStyle w:val="84"/>
              <w:adjustRightInd w:val="0"/>
              <w:snapToGrid w:val="0"/>
              <w:rPr>
                <w:rFonts w:hAnsi="Times New Roman"/>
                <w:snapToGrid w:val="0"/>
                <w:color w:val="auto"/>
              </w:rPr>
            </w:pPr>
          </w:p>
        </w:tc>
        <w:tc>
          <w:tcPr>
            <w:tcW w:w="511" w:type="pct"/>
            <w:vAlign w:val="center"/>
          </w:tcPr>
          <w:p>
            <w:pPr>
              <w:pStyle w:val="84"/>
              <w:adjustRightInd w:val="0"/>
              <w:snapToGrid w:val="0"/>
              <w:rPr>
                <w:rFonts w:hint="eastAsia" w:hAnsi="Times New Roman" w:eastAsia="宋体"/>
                <w:color w:val="auto"/>
                <w:lang w:val="en-US" w:eastAsia="zh-CN"/>
              </w:rPr>
            </w:pPr>
            <w:r>
              <w:rPr>
                <w:rFonts w:hint="eastAsia" w:hAnsi="Times New Roman"/>
                <w:color w:val="auto"/>
                <w:lang w:val="en-US" w:eastAsia="zh-CN"/>
              </w:rPr>
              <w:t>SW</w:t>
            </w:r>
          </w:p>
        </w:tc>
        <w:tc>
          <w:tcPr>
            <w:tcW w:w="562" w:type="pct"/>
            <w:shd w:val="clear" w:color="auto" w:fill="auto"/>
            <w:vAlign w:val="center"/>
          </w:tcPr>
          <w:p>
            <w:pPr>
              <w:pStyle w:val="84"/>
              <w:adjustRightInd w:val="0"/>
              <w:snapToGrid w:val="0"/>
              <w:rPr>
                <w:rFonts w:hint="default" w:hAnsi="Times New Roman" w:eastAsia="宋体"/>
                <w:snapToGrid w:val="0"/>
                <w:color w:val="auto"/>
                <w:kern w:val="0"/>
                <w:lang w:val="en-US" w:eastAsia="zh-CN"/>
              </w:rPr>
            </w:pPr>
            <w:r>
              <w:rPr>
                <w:rFonts w:hint="eastAsia" w:hAnsi="Times New Roman"/>
                <w:snapToGrid w:val="0"/>
                <w:color w:val="auto"/>
                <w:kern w:val="0"/>
                <w:lang w:val="en-US" w:eastAsia="zh-CN"/>
              </w:rPr>
              <w:t>1050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2" w:type="pct"/>
            <w:shd w:val="clear" w:color="auto" w:fill="auto"/>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九北村</w:t>
            </w:r>
          </w:p>
        </w:tc>
        <w:tc>
          <w:tcPr>
            <w:tcW w:w="90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127.74889469</w:t>
            </w:r>
          </w:p>
        </w:tc>
        <w:tc>
          <w:tcPr>
            <w:tcW w:w="85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45.26771353</w:t>
            </w:r>
          </w:p>
        </w:tc>
        <w:tc>
          <w:tcPr>
            <w:tcW w:w="426" w:type="pct"/>
            <w:vMerge w:val="continue"/>
            <w:vAlign w:val="center"/>
          </w:tcPr>
          <w:p>
            <w:pPr>
              <w:pStyle w:val="84"/>
              <w:adjustRightInd w:val="0"/>
              <w:snapToGrid w:val="0"/>
              <w:rPr>
                <w:rFonts w:hAnsi="Times New Roman"/>
                <w:snapToGrid w:val="0"/>
                <w:color w:val="auto"/>
              </w:rPr>
            </w:pPr>
          </w:p>
        </w:tc>
        <w:tc>
          <w:tcPr>
            <w:tcW w:w="426" w:type="pct"/>
            <w:vMerge w:val="continue"/>
            <w:vAlign w:val="center"/>
          </w:tcPr>
          <w:p>
            <w:pPr>
              <w:pStyle w:val="84"/>
              <w:adjustRightInd w:val="0"/>
              <w:snapToGrid w:val="0"/>
              <w:rPr>
                <w:rFonts w:hAnsi="Times New Roman"/>
                <w:snapToGrid w:val="0"/>
                <w:color w:val="auto"/>
              </w:rPr>
            </w:pPr>
          </w:p>
        </w:tc>
        <w:tc>
          <w:tcPr>
            <w:tcW w:w="512" w:type="pct"/>
            <w:vMerge w:val="continue"/>
            <w:vAlign w:val="center"/>
          </w:tcPr>
          <w:p>
            <w:pPr>
              <w:pStyle w:val="84"/>
              <w:adjustRightInd w:val="0"/>
              <w:snapToGrid w:val="0"/>
              <w:rPr>
                <w:rFonts w:hAnsi="Times New Roman"/>
                <w:snapToGrid w:val="0"/>
                <w:color w:val="auto"/>
              </w:rPr>
            </w:pPr>
          </w:p>
        </w:tc>
        <w:tc>
          <w:tcPr>
            <w:tcW w:w="511" w:type="pct"/>
            <w:vAlign w:val="center"/>
          </w:tcPr>
          <w:p>
            <w:pPr>
              <w:pStyle w:val="84"/>
              <w:adjustRightInd w:val="0"/>
              <w:snapToGrid w:val="0"/>
              <w:rPr>
                <w:rFonts w:hAnsi="Times New Roman"/>
                <w:color w:val="auto"/>
              </w:rPr>
            </w:pPr>
            <w:r>
              <w:rPr>
                <w:rFonts w:hint="eastAsia" w:hAnsi="Times New Roman"/>
                <w:color w:val="auto"/>
                <w:lang w:val="en-US" w:eastAsia="zh-CN"/>
              </w:rPr>
              <w:t>SW</w:t>
            </w:r>
          </w:p>
        </w:tc>
        <w:tc>
          <w:tcPr>
            <w:tcW w:w="562" w:type="pct"/>
            <w:shd w:val="clear" w:color="auto" w:fill="auto"/>
            <w:vAlign w:val="center"/>
          </w:tcPr>
          <w:p>
            <w:pPr>
              <w:pStyle w:val="84"/>
              <w:adjustRightInd w:val="0"/>
              <w:snapToGrid w:val="0"/>
              <w:rPr>
                <w:rFonts w:hint="default" w:hAnsi="Times New Roman" w:eastAsia="宋体"/>
                <w:snapToGrid w:val="0"/>
                <w:color w:val="auto"/>
                <w:kern w:val="0"/>
                <w:lang w:val="en-US" w:eastAsia="zh-CN"/>
              </w:rPr>
            </w:pPr>
            <w:r>
              <w:rPr>
                <w:rFonts w:hint="eastAsia" w:hAnsi="Times New Roman"/>
                <w:snapToGrid w:val="0"/>
                <w:color w:val="auto"/>
                <w:kern w:val="0"/>
                <w:lang w:val="en-US" w:eastAsia="zh-CN"/>
              </w:rPr>
              <w:t>5940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2" w:type="pct"/>
            <w:shd w:val="clear" w:color="auto" w:fill="auto"/>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桦树甸子</w:t>
            </w:r>
          </w:p>
        </w:tc>
        <w:tc>
          <w:tcPr>
            <w:tcW w:w="90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127.76357174</w:t>
            </w:r>
          </w:p>
        </w:tc>
        <w:tc>
          <w:tcPr>
            <w:tcW w:w="85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45.32257451</w:t>
            </w:r>
          </w:p>
        </w:tc>
        <w:tc>
          <w:tcPr>
            <w:tcW w:w="426" w:type="pct"/>
            <w:vMerge w:val="continue"/>
            <w:vAlign w:val="center"/>
          </w:tcPr>
          <w:p>
            <w:pPr>
              <w:pStyle w:val="84"/>
              <w:adjustRightInd w:val="0"/>
              <w:snapToGrid w:val="0"/>
              <w:rPr>
                <w:rFonts w:hAnsi="Times New Roman"/>
                <w:snapToGrid w:val="0"/>
                <w:color w:val="auto"/>
              </w:rPr>
            </w:pPr>
          </w:p>
        </w:tc>
        <w:tc>
          <w:tcPr>
            <w:tcW w:w="426" w:type="pct"/>
            <w:vMerge w:val="continue"/>
            <w:vAlign w:val="center"/>
          </w:tcPr>
          <w:p>
            <w:pPr>
              <w:pStyle w:val="84"/>
              <w:adjustRightInd w:val="0"/>
              <w:snapToGrid w:val="0"/>
              <w:rPr>
                <w:rFonts w:hAnsi="Times New Roman"/>
                <w:snapToGrid w:val="0"/>
                <w:color w:val="auto"/>
              </w:rPr>
            </w:pPr>
          </w:p>
        </w:tc>
        <w:tc>
          <w:tcPr>
            <w:tcW w:w="512" w:type="pct"/>
            <w:vMerge w:val="continue"/>
            <w:vAlign w:val="center"/>
          </w:tcPr>
          <w:p>
            <w:pPr>
              <w:pStyle w:val="84"/>
              <w:adjustRightInd w:val="0"/>
              <w:snapToGrid w:val="0"/>
              <w:rPr>
                <w:rFonts w:hAnsi="Times New Roman"/>
                <w:snapToGrid w:val="0"/>
                <w:color w:val="auto"/>
              </w:rPr>
            </w:pPr>
          </w:p>
        </w:tc>
        <w:tc>
          <w:tcPr>
            <w:tcW w:w="511" w:type="pct"/>
            <w:vAlign w:val="center"/>
          </w:tcPr>
          <w:p>
            <w:pPr>
              <w:pStyle w:val="84"/>
              <w:adjustRightInd w:val="0"/>
              <w:snapToGrid w:val="0"/>
              <w:rPr>
                <w:rFonts w:hint="eastAsia" w:hAnsi="Times New Roman" w:eastAsia="宋体"/>
                <w:color w:val="auto"/>
                <w:lang w:val="en-US" w:eastAsia="zh-CN"/>
              </w:rPr>
            </w:pPr>
            <w:r>
              <w:rPr>
                <w:rFonts w:hint="eastAsia" w:hAnsi="Times New Roman"/>
                <w:color w:val="auto"/>
                <w:lang w:val="en-US" w:eastAsia="zh-CN"/>
              </w:rPr>
              <w:t>NW</w:t>
            </w:r>
          </w:p>
        </w:tc>
        <w:tc>
          <w:tcPr>
            <w:tcW w:w="562" w:type="pct"/>
            <w:shd w:val="clear" w:color="auto" w:fill="auto"/>
            <w:vAlign w:val="center"/>
          </w:tcPr>
          <w:p>
            <w:pPr>
              <w:pStyle w:val="84"/>
              <w:adjustRightInd w:val="0"/>
              <w:snapToGrid w:val="0"/>
              <w:rPr>
                <w:rFonts w:hint="default" w:hAnsi="Times New Roman" w:eastAsia="宋体"/>
                <w:snapToGrid w:val="0"/>
                <w:color w:val="auto"/>
                <w:lang w:val="en-US" w:eastAsia="zh-CN"/>
              </w:rPr>
            </w:pPr>
            <w:r>
              <w:rPr>
                <w:rFonts w:hint="eastAsia" w:hAnsi="Times New Roman"/>
                <w:snapToGrid w:val="0"/>
                <w:color w:val="auto"/>
                <w:lang w:val="en-US" w:eastAsia="zh-CN"/>
              </w:rPr>
              <w:t>3880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2" w:type="pct"/>
            <w:shd w:val="clear" w:color="auto" w:fill="auto"/>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三胜村</w:t>
            </w:r>
          </w:p>
        </w:tc>
        <w:tc>
          <w:tcPr>
            <w:tcW w:w="90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127.74842262</w:t>
            </w:r>
          </w:p>
        </w:tc>
        <w:tc>
          <w:tcPr>
            <w:tcW w:w="85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45.32938597</w:t>
            </w:r>
          </w:p>
        </w:tc>
        <w:tc>
          <w:tcPr>
            <w:tcW w:w="426" w:type="pct"/>
            <w:vMerge w:val="continue"/>
            <w:vAlign w:val="center"/>
          </w:tcPr>
          <w:p>
            <w:pPr>
              <w:pStyle w:val="84"/>
              <w:adjustRightInd w:val="0"/>
              <w:snapToGrid w:val="0"/>
              <w:rPr>
                <w:rFonts w:hAnsi="Times New Roman"/>
                <w:snapToGrid w:val="0"/>
                <w:color w:val="auto"/>
              </w:rPr>
            </w:pPr>
          </w:p>
        </w:tc>
        <w:tc>
          <w:tcPr>
            <w:tcW w:w="426" w:type="pct"/>
            <w:vMerge w:val="continue"/>
            <w:vAlign w:val="center"/>
          </w:tcPr>
          <w:p>
            <w:pPr>
              <w:pStyle w:val="84"/>
              <w:adjustRightInd w:val="0"/>
              <w:snapToGrid w:val="0"/>
              <w:rPr>
                <w:rFonts w:hAnsi="Times New Roman"/>
                <w:snapToGrid w:val="0"/>
                <w:color w:val="auto"/>
              </w:rPr>
            </w:pPr>
          </w:p>
        </w:tc>
        <w:tc>
          <w:tcPr>
            <w:tcW w:w="512" w:type="pct"/>
            <w:vMerge w:val="continue"/>
            <w:vAlign w:val="center"/>
          </w:tcPr>
          <w:p>
            <w:pPr>
              <w:pStyle w:val="84"/>
              <w:adjustRightInd w:val="0"/>
              <w:snapToGrid w:val="0"/>
              <w:rPr>
                <w:rFonts w:hAnsi="Times New Roman"/>
                <w:snapToGrid w:val="0"/>
                <w:color w:val="auto"/>
              </w:rPr>
            </w:pPr>
          </w:p>
        </w:tc>
        <w:tc>
          <w:tcPr>
            <w:tcW w:w="511" w:type="pct"/>
            <w:vAlign w:val="center"/>
          </w:tcPr>
          <w:p>
            <w:pPr>
              <w:pStyle w:val="84"/>
              <w:adjustRightInd w:val="0"/>
              <w:snapToGrid w:val="0"/>
              <w:rPr>
                <w:rFonts w:hAnsi="Times New Roman"/>
                <w:color w:val="auto"/>
              </w:rPr>
            </w:pPr>
            <w:r>
              <w:rPr>
                <w:rFonts w:hint="eastAsia" w:hAnsi="Times New Roman"/>
                <w:color w:val="auto"/>
                <w:lang w:val="en-US" w:eastAsia="zh-CN"/>
              </w:rPr>
              <w:t>NW</w:t>
            </w:r>
          </w:p>
        </w:tc>
        <w:tc>
          <w:tcPr>
            <w:tcW w:w="562" w:type="pct"/>
            <w:shd w:val="clear" w:color="auto" w:fill="auto"/>
            <w:vAlign w:val="center"/>
          </w:tcPr>
          <w:p>
            <w:pPr>
              <w:pStyle w:val="84"/>
              <w:adjustRightInd w:val="0"/>
              <w:snapToGrid w:val="0"/>
              <w:rPr>
                <w:rFonts w:hint="default" w:hAnsi="Times New Roman" w:eastAsia="宋体"/>
                <w:snapToGrid w:val="0"/>
                <w:color w:val="auto"/>
                <w:lang w:val="en-US" w:eastAsia="zh-CN"/>
              </w:rPr>
            </w:pPr>
            <w:r>
              <w:rPr>
                <w:rFonts w:hint="eastAsia" w:hAnsi="Times New Roman"/>
                <w:snapToGrid w:val="0"/>
                <w:color w:val="auto"/>
                <w:lang w:val="en-US" w:eastAsia="zh-CN"/>
              </w:rPr>
              <w:t>5270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2" w:type="pct"/>
            <w:shd w:val="clear" w:color="auto" w:fill="auto"/>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金钢村</w:t>
            </w:r>
          </w:p>
        </w:tc>
        <w:tc>
          <w:tcPr>
            <w:tcW w:w="90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127.77452588</w:t>
            </w:r>
          </w:p>
        </w:tc>
        <w:tc>
          <w:tcPr>
            <w:tcW w:w="85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45.34095528</w:t>
            </w:r>
          </w:p>
        </w:tc>
        <w:tc>
          <w:tcPr>
            <w:tcW w:w="426" w:type="pct"/>
            <w:vMerge w:val="continue"/>
            <w:vAlign w:val="center"/>
          </w:tcPr>
          <w:p>
            <w:pPr>
              <w:pStyle w:val="84"/>
              <w:adjustRightInd w:val="0"/>
              <w:snapToGrid w:val="0"/>
              <w:rPr>
                <w:rFonts w:hAnsi="Times New Roman"/>
                <w:snapToGrid w:val="0"/>
                <w:color w:val="auto"/>
              </w:rPr>
            </w:pPr>
          </w:p>
        </w:tc>
        <w:tc>
          <w:tcPr>
            <w:tcW w:w="426" w:type="pct"/>
            <w:vMerge w:val="continue"/>
            <w:vAlign w:val="center"/>
          </w:tcPr>
          <w:p>
            <w:pPr>
              <w:pStyle w:val="84"/>
              <w:adjustRightInd w:val="0"/>
              <w:snapToGrid w:val="0"/>
              <w:rPr>
                <w:rFonts w:hAnsi="Times New Roman"/>
                <w:snapToGrid w:val="0"/>
                <w:color w:val="auto"/>
              </w:rPr>
            </w:pPr>
          </w:p>
        </w:tc>
        <w:tc>
          <w:tcPr>
            <w:tcW w:w="512" w:type="pct"/>
            <w:vMerge w:val="continue"/>
            <w:vAlign w:val="center"/>
          </w:tcPr>
          <w:p>
            <w:pPr>
              <w:pStyle w:val="84"/>
              <w:adjustRightInd w:val="0"/>
              <w:snapToGrid w:val="0"/>
              <w:rPr>
                <w:rFonts w:hAnsi="Times New Roman"/>
                <w:snapToGrid w:val="0"/>
                <w:color w:val="auto"/>
              </w:rPr>
            </w:pPr>
          </w:p>
        </w:tc>
        <w:tc>
          <w:tcPr>
            <w:tcW w:w="511" w:type="pct"/>
            <w:vAlign w:val="center"/>
          </w:tcPr>
          <w:p>
            <w:pPr>
              <w:pStyle w:val="84"/>
              <w:adjustRightInd w:val="0"/>
              <w:snapToGrid w:val="0"/>
              <w:rPr>
                <w:rFonts w:hAnsi="Times New Roman"/>
                <w:color w:val="auto"/>
              </w:rPr>
            </w:pPr>
            <w:r>
              <w:rPr>
                <w:rFonts w:hint="eastAsia" w:hAnsi="Times New Roman"/>
                <w:color w:val="auto"/>
                <w:lang w:val="en-US" w:eastAsia="zh-CN"/>
              </w:rPr>
              <w:t>NW</w:t>
            </w:r>
          </w:p>
        </w:tc>
        <w:tc>
          <w:tcPr>
            <w:tcW w:w="562" w:type="pct"/>
            <w:shd w:val="clear" w:color="auto" w:fill="auto"/>
            <w:vAlign w:val="center"/>
          </w:tcPr>
          <w:p>
            <w:pPr>
              <w:pStyle w:val="84"/>
              <w:adjustRightInd w:val="0"/>
              <w:snapToGrid w:val="0"/>
              <w:rPr>
                <w:rFonts w:hint="default" w:hAnsi="Times New Roman" w:eastAsia="宋体"/>
                <w:snapToGrid w:val="0"/>
                <w:color w:val="auto"/>
                <w:lang w:val="en-US" w:eastAsia="zh-CN"/>
              </w:rPr>
            </w:pPr>
            <w:r>
              <w:rPr>
                <w:rFonts w:hint="eastAsia" w:hAnsi="Times New Roman"/>
                <w:snapToGrid w:val="0"/>
                <w:color w:val="auto"/>
                <w:lang w:val="en-US" w:eastAsia="zh-CN"/>
              </w:rPr>
              <w:t>4630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2" w:type="pct"/>
            <w:shd w:val="clear" w:color="auto" w:fill="auto"/>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东兴屯</w:t>
            </w:r>
          </w:p>
        </w:tc>
        <w:tc>
          <w:tcPr>
            <w:tcW w:w="90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127.79414892</w:t>
            </w:r>
          </w:p>
        </w:tc>
        <w:tc>
          <w:tcPr>
            <w:tcW w:w="85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45.33202585</w:t>
            </w:r>
          </w:p>
        </w:tc>
        <w:tc>
          <w:tcPr>
            <w:tcW w:w="426" w:type="pct"/>
            <w:vMerge w:val="continue"/>
            <w:vAlign w:val="center"/>
          </w:tcPr>
          <w:p>
            <w:pPr>
              <w:pStyle w:val="84"/>
              <w:adjustRightInd w:val="0"/>
              <w:snapToGrid w:val="0"/>
              <w:rPr>
                <w:rFonts w:hAnsi="Times New Roman"/>
                <w:snapToGrid w:val="0"/>
                <w:color w:val="auto"/>
              </w:rPr>
            </w:pPr>
          </w:p>
        </w:tc>
        <w:tc>
          <w:tcPr>
            <w:tcW w:w="426" w:type="pct"/>
            <w:vMerge w:val="continue"/>
            <w:vAlign w:val="center"/>
          </w:tcPr>
          <w:p>
            <w:pPr>
              <w:pStyle w:val="84"/>
              <w:adjustRightInd w:val="0"/>
              <w:snapToGrid w:val="0"/>
              <w:rPr>
                <w:rFonts w:hAnsi="Times New Roman"/>
                <w:snapToGrid w:val="0"/>
                <w:color w:val="auto"/>
              </w:rPr>
            </w:pPr>
          </w:p>
        </w:tc>
        <w:tc>
          <w:tcPr>
            <w:tcW w:w="512" w:type="pct"/>
            <w:vMerge w:val="continue"/>
            <w:vAlign w:val="center"/>
          </w:tcPr>
          <w:p>
            <w:pPr>
              <w:pStyle w:val="84"/>
              <w:adjustRightInd w:val="0"/>
              <w:snapToGrid w:val="0"/>
              <w:rPr>
                <w:rFonts w:hAnsi="Times New Roman"/>
                <w:snapToGrid w:val="0"/>
                <w:color w:val="auto"/>
              </w:rPr>
            </w:pPr>
          </w:p>
        </w:tc>
        <w:tc>
          <w:tcPr>
            <w:tcW w:w="511" w:type="pct"/>
            <w:vAlign w:val="center"/>
          </w:tcPr>
          <w:p>
            <w:pPr>
              <w:pStyle w:val="84"/>
              <w:adjustRightInd w:val="0"/>
              <w:snapToGrid w:val="0"/>
              <w:rPr>
                <w:rFonts w:hAnsi="Times New Roman"/>
                <w:color w:val="auto"/>
              </w:rPr>
            </w:pPr>
            <w:r>
              <w:rPr>
                <w:rFonts w:hint="eastAsia" w:hAnsi="Times New Roman"/>
                <w:color w:val="auto"/>
                <w:lang w:val="en-US" w:eastAsia="zh-CN"/>
              </w:rPr>
              <w:t>NW</w:t>
            </w:r>
          </w:p>
        </w:tc>
        <w:tc>
          <w:tcPr>
            <w:tcW w:w="562" w:type="pct"/>
            <w:shd w:val="clear" w:color="auto" w:fill="auto"/>
            <w:vAlign w:val="center"/>
          </w:tcPr>
          <w:p>
            <w:pPr>
              <w:pStyle w:val="84"/>
              <w:adjustRightInd w:val="0"/>
              <w:snapToGrid w:val="0"/>
              <w:rPr>
                <w:rFonts w:hint="default" w:hAnsi="Times New Roman" w:eastAsia="宋体"/>
                <w:snapToGrid w:val="0"/>
                <w:color w:val="auto"/>
                <w:lang w:val="en-US" w:eastAsia="zh-CN"/>
              </w:rPr>
            </w:pPr>
            <w:r>
              <w:rPr>
                <w:rFonts w:hint="eastAsia" w:hAnsi="Times New Roman"/>
                <w:snapToGrid w:val="0"/>
                <w:color w:val="auto"/>
                <w:lang w:val="en-US" w:eastAsia="zh-CN"/>
              </w:rPr>
              <w:t>3000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2" w:type="pct"/>
            <w:shd w:val="clear" w:color="auto" w:fill="auto"/>
            <w:vAlign w:val="center"/>
          </w:tcPr>
          <w:p>
            <w:pPr>
              <w:pStyle w:val="84"/>
              <w:adjustRightInd w:val="0"/>
              <w:snapToGrid w:val="0"/>
              <w:rPr>
                <w:rFonts w:hint="default" w:hAnsi="Times New Roman" w:eastAsia="宋体"/>
                <w:snapToGrid w:val="0"/>
                <w:color w:val="auto"/>
                <w:kern w:val="0"/>
                <w:lang w:val="en-US" w:eastAsia="zh-CN"/>
              </w:rPr>
            </w:pPr>
            <w:r>
              <w:rPr>
                <w:rFonts w:hint="eastAsia" w:hAnsi="Times New Roman"/>
                <w:snapToGrid w:val="0"/>
                <w:color w:val="auto"/>
                <w:kern w:val="0"/>
                <w:lang w:val="en-US" w:eastAsia="zh-CN"/>
              </w:rPr>
              <w:t>抗联希望学校</w:t>
            </w:r>
          </w:p>
        </w:tc>
        <w:tc>
          <w:tcPr>
            <w:tcW w:w="90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127.82796621</w:t>
            </w:r>
          </w:p>
        </w:tc>
        <w:tc>
          <w:tcPr>
            <w:tcW w:w="853" w:type="pct"/>
            <w:vAlign w:val="center"/>
          </w:tcPr>
          <w:p>
            <w:pPr>
              <w:pStyle w:val="84"/>
              <w:adjustRightInd w:val="0"/>
              <w:snapToGrid w:val="0"/>
              <w:rPr>
                <w:rFonts w:hAnsi="Times New Roman"/>
                <w:snapToGrid w:val="0"/>
                <w:color w:val="auto"/>
                <w:kern w:val="0"/>
              </w:rPr>
            </w:pPr>
            <w:r>
              <w:rPr>
                <w:rFonts w:hAnsi="Times New Roman"/>
                <w:snapToGrid w:val="0"/>
                <w:color w:val="auto"/>
                <w:kern w:val="0"/>
              </w:rPr>
              <w:t>45.33018549</w:t>
            </w:r>
          </w:p>
        </w:tc>
        <w:tc>
          <w:tcPr>
            <w:tcW w:w="426" w:type="pct"/>
            <w:vAlign w:val="center"/>
          </w:tcPr>
          <w:p>
            <w:pPr>
              <w:pStyle w:val="84"/>
              <w:adjustRightInd w:val="0"/>
              <w:snapToGrid w:val="0"/>
              <w:rPr>
                <w:rFonts w:hAnsi="Times New Roman"/>
                <w:snapToGrid w:val="0"/>
                <w:color w:val="auto"/>
              </w:rPr>
            </w:pPr>
            <w:r>
              <w:rPr>
                <w:rFonts w:hAnsi="Times New Roman"/>
                <w:snapToGrid w:val="0"/>
                <w:color w:val="auto"/>
              </w:rPr>
              <w:t>文化区</w:t>
            </w:r>
          </w:p>
        </w:tc>
        <w:tc>
          <w:tcPr>
            <w:tcW w:w="426" w:type="pct"/>
            <w:vMerge w:val="continue"/>
            <w:vAlign w:val="center"/>
          </w:tcPr>
          <w:p>
            <w:pPr>
              <w:pStyle w:val="84"/>
              <w:adjustRightInd w:val="0"/>
              <w:snapToGrid w:val="0"/>
              <w:rPr>
                <w:rFonts w:hAnsi="Times New Roman"/>
                <w:snapToGrid w:val="0"/>
                <w:color w:val="FF0000"/>
              </w:rPr>
            </w:pPr>
          </w:p>
        </w:tc>
        <w:tc>
          <w:tcPr>
            <w:tcW w:w="512" w:type="pct"/>
            <w:vMerge w:val="continue"/>
            <w:vAlign w:val="center"/>
          </w:tcPr>
          <w:p>
            <w:pPr>
              <w:pStyle w:val="84"/>
              <w:adjustRightInd w:val="0"/>
              <w:snapToGrid w:val="0"/>
              <w:rPr>
                <w:rFonts w:hAnsi="Times New Roman"/>
                <w:snapToGrid w:val="0"/>
                <w:color w:val="FF0000"/>
              </w:rPr>
            </w:pPr>
          </w:p>
        </w:tc>
        <w:tc>
          <w:tcPr>
            <w:tcW w:w="511" w:type="pct"/>
            <w:vAlign w:val="center"/>
          </w:tcPr>
          <w:p>
            <w:pPr>
              <w:pStyle w:val="84"/>
              <w:adjustRightInd w:val="0"/>
              <w:snapToGrid w:val="0"/>
              <w:rPr>
                <w:rFonts w:hAnsi="Times New Roman"/>
                <w:color w:val="auto"/>
              </w:rPr>
            </w:pPr>
            <w:r>
              <w:rPr>
                <w:rFonts w:hint="eastAsia" w:hAnsi="Times New Roman"/>
                <w:snapToGrid w:val="0"/>
                <w:color w:val="auto"/>
                <w:lang w:val="en-US" w:eastAsia="zh-CN"/>
              </w:rPr>
              <w:t>NE</w:t>
            </w:r>
          </w:p>
        </w:tc>
        <w:tc>
          <w:tcPr>
            <w:tcW w:w="562" w:type="pct"/>
            <w:shd w:val="clear" w:color="auto" w:fill="auto"/>
            <w:vAlign w:val="center"/>
          </w:tcPr>
          <w:p>
            <w:pPr>
              <w:pStyle w:val="84"/>
              <w:adjustRightInd w:val="0"/>
              <w:snapToGrid w:val="0"/>
              <w:rPr>
                <w:rFonts w:hint="default" w:hAnsi="Times New Roman" w:eastAsia="宋体"/>
                <w:snapToGrid w:val="0"/>
                <w:color w:val="auto"/>
                <w:kern w:val="0"/>
                <w:lang w:val="en-US" w:eastAsia="zh-CN"/>
              </w:rPr>
            </w:pPr>
            <w:r>
              <w:rPr>
                <w:rFonts w:hint="eastAsia" w:hAnsi="Times New Roman"/>
                <w:snapToGrid w:val="0"/>
                <w:color w:val="auto"/>
                <w:kern w:val="0"/>
                <w:lang w:val="en-US" w:eastAsia="zh-CN"/>
              </w:rPr>
              <w:t>3000</w:t>
            </w:r>
          </w:p>
        </w:tc>
      </w:tr>
      <w:bookmarkEnd w:id="56"/>
    </w:tbl>
    <w:p>
      <w:pPr>
        <w:spacing w:line="360" w:lineRule="auto"/>
        <w:contextualSpacing/>
        <w:jc w:val="center"/>
        <w:rPr>
          <w:b/>
          <w:color w:val="auto"/>
          <w:kern w:val="0"/>
          <w:sz w:val="24"/>
        </w:rPr>
      </w:pPr>
      <w:bookmarkStart w:id="57" w:name="_Hlk10134549"/>
      <w:r>
        <w:rPr>
          <w:b/>
          <w:color w:val="auto"/>
          <w:kern w:val="0"/>
          <w:sz w:val="24"/>
        </w:rPr>
        <w:t>表2-</w:t>
      </w:r>
      <w:r>
        <w:rPr>
          <w:rFonts w:hint="eastAsia"/>
          <w:b/>
          <w:color w:val="auto"/>
          <w:kern w:val="0"/>
          <w:sz w:val="24"/>
        </w:rPr>
        <w:t>6</w:t>
      </w:r>
      <w:r>
        <w:rPr>
          <w:b/>
          <w:color w:val="auto"/>
          <w:kern w:val="0"/>
          <w:sz w:val="24"/>
        </w:rPr>
        <w:t>-2生态、噪声及地下水环境保护目标一览表</w:t>
      </w:r>
    </w:p>
    <w:tbl>
      <w:tblPr>
        <w:tblStyle w:val="4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6"/>
        <w:gridCol w:w="1845"/>
        <w:gridCol w:w="143"/>
        <w:gridCol w:w="1291"/>
        <w:gridCol w:w="1150"/>
        <w:gridCol w:w="23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1001" w:type="pct"/>
            <w:vAlign w:val="center"/>
          </w:tcPr>
          <w:p>
            <w:pPr>
              <w:pStyle w:val="84"/>
              <w:contextualSpacing/>
              <w:rPr>
                <w:rFonts w:hAnsi="Times New Roman"/>
                <w:snapToGrid w:val="0"/>
                <w:color w:val="auto"/>
              </w:rPr>
            </w:pPr>
            <w:r>
              <w:rPr>
                <w:rFonts w:hAnsi="Times New Roman"/>
                <w:snapToGrid w:val="0"/>
                <w:color w:val="auto"/>
              </w:rPr>
              <w:t>环境要素</w:t>
            </w:r>
          </w:p>
        </w:tc>
        <w:tc>
          <w:tcPr>
            <w:tcW w:w="1083" w:type="pct"/>
            <w:vAlign w:val="center"/>
          </w:tcPr>
          <w:p>
            <w:pPr>
              <w:pStyle w:val="84"/>
              <w:contextualSpacing/>
              <w:rPr>
                <w:rFonts w:hAnsi="Times New Roman"/>
                <w:snapToGrid w:val="0"/>
                <w:color w:val="auto"/>
              </w:rPr>
            </w:pPr>
            <w:r>
              <w:rPr>
                <w:rFonts w:hAnsi="Times New Roman"/>
                <w:snapToGrid w:val="0"/>
                <w:color w:val="auto"/>
              </w:rPr>
              <w:t>保护对象</w:t>
            </w:r>
          </w:p>
        </w:tc>
        <w:tc>
          <w:tcPr>
            <w:tcW w:w="842" w:type="pct"/>
            <w:gridSpan w:val="2"/>
            <w:vAlign w:val="center"/>
          </w:tcPr>
          <w:p>
            <w:pPr>
              <w:pStyle w:val="84"/>
              <w:adjustRightInd w:val="0"/>
              <w:snapToGrid w:val="0"/>
              <w:rPr>
                <w:rFonts w:hAnsi="Times New Roman"/>
                <w:snapToGrid w:val="0"/>
                <w:color w:val="auto"/>
              </w:rPr>
            </w:pPr>
            <w:r>
              <w:rPr>
                <w:rFonts w:hAnsi="Times New Roman"/>
                <w:snapToGrid w:val="0"/>
                <w:color w:val="auto"/>
              </w:rPr>
              <w:t>相对厂址方位</w:t>
            </w:r>
          </w:p>
        </w:tc>
        <w:tc>
          <w:tcPr>
            <w:tcW w:w="673" w:type="pct"/>
            <w:vAlign w:val="center"/>
          </w:tcPr>
          <w:p>
            <w:pPr>
              <w:pStyle w:val="84"/>
              <w:adjustRightInd w:val="0"/>
              <w:snapToGrid w:val="0"/>
              <w:rPr>
                <w:rFonts w:hAnsi="Times New Roman"/>
                <w:snapToGrid w:val="0"/>
                <w:color w:val="auto"/>
              </w:rPr>
            </w:pPr>
            <w:r>
              <w:rPr>
                <w:rFonts w:hAnsi="Times New Roman"/>
                <w:snapToGrid w:val="0"/>
                <w:color w:val="auto"/>
              </w:rPr>
              <w:t>相对厂界距离</w:t>
            </w:r>
          </w:p>
        </w:tc>
        <w:tc>
          <w:tcPr>
            <w:tcW w:w="1399" w:type="pct"/>
            <w:shd w:val="clear" w:color="auto" w:fill="auto"/>
            <w:vAlign w:val="center"/>
          </w:tcPr>
          <w:p>
            <w:pPr>
              <w:pStyle w:val="84"/>
              <w:contextualSpacing/>
              <w:rPr>
                <w:rFonts w:hAnsi="Times New Roman"/>
                <w:snapToGrid w:val="0"/>
                <w:color w:val="auto"/>
              </w:rPr>
            </w:pPr>
            <w:r>
              <w:rPr>
                <w:rFonts w:hAnsi="Times New Roman"/>
                <w:snapToGrid w:val="0"/>
                <w:color w:val="auto"/>
              </w:rPr>
              <w:t>保护要求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1001" w:type="pct"/>
            <w:vAlign w:val="center"/>
          </w:tcPr>
          <w:p>
            <w:pPr>
              <w:pStyle w:val="84"/>
              <w:contextualSpacing/>
              <w:rPr>
                <w:rFonts w:hAnsi="Times New Roman"/>
                <w:snapToGrid w:val="0"/>
                <w:color w:val="auto"/>
                <w:szCs w:val="22"/>
              </w:rPr>
            </w:pPr>
            <w:r>
              <w:rPr>
                <w:rFonts w:hAnsi="Times New Roman"/>
                <w:snapToGrid w:val="0"/>
                <w:color w:val="auto"/>
                <w:szCs w:val="22"/>
              </w:rPr>
              <w:t>声环境</w:t>
            </w:r>
          </w:p>
        </w:tc>
        <w:tc>
          <w:tcPr>
            <w:tcW w:w="2599" w:type="pct"/>
            <w:gridSpan w:val="4"/>
            <w:vAlign w:val="center"/>
          </w:tcPr>
          <w:p>
            <w:pPr>
              <w:pStyle w:val="84"/>
              <w:contextualSpacing/>
              <w:rPr>
                <w:rFonts w:hAnsi="Times New Roman"/>
                <w:snapToGrid w:val="0"/>
                <w:color w:val="auto"/>
                <w:szCs w:val="22"/>
              </w:rPr>
            </w:pPr>
            <w:r>
              <w:rPr>
                <w:rFonts w:hAnsi="Times New Roman"/>
                <w:snapToGrid w:val="0"/>
                <w:color w:val="auto"/>
              </w:rPr>
              <w:t>周边外延200m范围内</w:t>
            </w:r>
          </w:p>
        </w:tc>
        <w:tc>
          <w:tcPr>
            <w:tcW w:w="1399" w:type="pct"/>
            <w:shd w:val="clear" w:color="auto" w:fill="auto"/>
            <w:vAlign w:val="center"/>
          </w:tcPr>
          <w:p>
            <w:pPr>
              <w:pStyle w:val="84"/>
              <w:contextualSpacing/>
              <w:rPr>
                <w:rFonts w:hAnsi="Times New Roman"/>
                <w:snapToGrid w:val="0"/>
                <w:color w:val="auto"/>
                <w:szCs w:val="22"/>
              </w:rPr>
            </w:pPr>
            <w:r>
              <w:rPr>
                <w:rFonts w:hAnsi="Times New Roman"/>
                <w:snapToGrid w:val="0"/>
                <w:color w:val="auto"/>
                <w:szCs w:val="22"/>
              </w:rPr>
              <w:t>《声环境质量标准》（GB3096-2008）</w:t>
            </w:r>
            <w:r>
              <w:rPr>
                <w:rFonts w:hint="eastAsia" w:hAnsi="Times New Roman"/>
                <w:snapToGrid w:val="0"/>
                <w:color w:val="auto"/>
                <w:szCs w:val="22"/>
              </w:rPr>
              <w:t>2</w:t>
            </w:r>
            <w:r>
              <w:rPr>
                <w:rFonts w:hAnsi="Times New Roman"/>
                <w:snapToGrid w:val="0"/>
                <w:color w:val="auto"/>
                <w:szCs w:val="22"/>
              </w:rPr>
              <w:t>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1001" w:type="pct"/>
            <w:vMerge w:val="restart"/>
            <w:vAlign w:val="center"/>
          </w:tcPr>
          <w:p>
            <w:pPr>
              <w:pStyle w:val="84"/>
              <w:contextualSpacing/>
              <w:rPr>
                <w:rFonts w:hAnsi="Times New Roman"/>
                <w:snapToGrid w:val="0"/>
                <w:color w:val="auto"/>
                <w:szCs w:val="22"/>
              </w:rPr>
            </w:pPr>
            <w:r>
              <w:rPr>
                <w:rFonts w:hAnsi="Times New Roman"/>
                <w:snapToGrid w:val="0"/>
                <w:color w:val="auto"/>
                <w:szCs w:val="22"/>
              </w:rPr>
              <w:t>地下水</w:t>
            </w:r>
          </w:p>
        </w:tc>
        <w:tc>
          <w:tcPr>
            <w:tcW w:w="1167" w:type="pct"/>
            <w:gridSpan w:val="2"/>
            <w:vAlign w:val="center"/>
          </w:tcPr>
          <w:p>
            <w:pPr>
              <w:pStyle w:val="84"/>
              <w:adjustRightInd w:val="0"/>
              <w:snapToGrid w:val="0"/>
              <w:rPr>
                <w:rFonts w:ascii="Times New Roman" w:hAnsi="Times New Roman" w:eastAsia="宋体" w:cs="Times New Roman"/>
                <w:snapToGrid w:val="0"/>
                <w:color w:val="auto"/>
                <w:kern w:val="2"/>
                <w:sz w:val="21"/>
                <w:szCs w:val="21"/>
                <w:lang w:val="en-US" w:eastAsia="zh-CN" w:bidi="ar-SA"/>
              </w:rPr>
            </w:pPr>
            <w:r>
              <w:rPr>
                <w:rFonts w:hint="eastAsia" w:hAnsi="Times New Roman"/>
                <w:snapToGrid w:val="0"/>
                <w:color w:val="auto"/>
                <w:lang w:eastAsia="zh-CN"/>
              </w:rPr>
              <w:t>一曼下屯</w:t>
            </w:r>
            <w:r>
              <w:rPr>
                <w:rFonts w:hAnsi="Times New Roman"/>
                <w:color w:val="auto"/>
              </w:rPr>
              <w:t>饮用水井</w:t>
            </w:r>
          </w:p>
        </w:tc>
        <w:tc>
          <w:tcPr>
            <w:tcW w:w="757" w:type="pct"/>
            <w:vAlign w:val="center"/>
          </w:tcPr>
          <w:p>
            <w:pPr>
              <w:pStyle w:val="84"/>
              <w:adjustRightInd w:val="0"/>
              <w:snapToGrid w:val="0"/>
              <w:rPr>
                <w:rFonts w:hint="eastAsia" w:ascii="Times New Roman" w:hAnsi="Times New Roman" w:eastAsia="宋体" w:cs="Times New Roman"/>
                <w:snapToGrid w:val="0"/>
                <w:color w:val="auto"/>
                <w:kern w:val="2"/>
                <w:sz w:val="21"/>
                <w:szCs w:val="21"/>
                <w:lang w:val="en-US" w:eastAsia="zh-CN" w:bidi="ar-SA"/>
              </w:rPr>
            </w:pPr>
            <w:r>
              <w:rPr>
                <w:rFonts w:hint="eastAsia" w:hAnsi="Times New Roman"/>
                <w:snapToGrid w:val="0"/>
                <w:color w:val="auto"/>
                <w:lang w:val="en-US" w:eastAsia="zh-CN"/>
              </w:rPr>
              <w:t>E</w:t>
            </w:r>
          </w:p>
        </w:tc>
        <w:tc>
          <w:tcPr>
            <w:tcW w:w="673" w:type="pct"/>
            <w:vAlign w:val="center"/>
          </w:tcPr>
          <w:p>
            <w:pPr>
              <w:pStyle w:val="84"/>
              <w:contextualSpacing/>
              <w:rPr>
                <w:rFonts w:ascii="Times New Roman" w:hAnsi="Times New Roman" w:eastAsia="宋体" w:cs="Times New Roman"/>
                <w:snapToGrid w:val="0"/>
                <w:color w:val="auto"/>
                <w:kern w:val="2"/>
                <w:sz w:val="21"/>
                <w:szCs w:val="22"/>
                <w:lang w:val="en-US" w:eastAsia="zh-CN" w:bidi="ar-SA"/>
              </w:rPr>
            </w:pPr>
            <w:r>
              <w:rPr>
                <w:rFonts w:hint="eastAsia" w:hAnsi="Times New Roman"/>
                <w:snapToGrid w:val="0"/>
                <w:color w:val="auto"/>
                <w:szCs w:val="22"/>
                <w:lang w:val="en-US" w:eastAsia="zh-CN"/>
              </w:rPr>
              <w:t>470</w:t>
            </w:r>
            <w:r>
              <w:rPr>
                <w:rFonts w:hint="eastAsia" w:hAnsi="Times New Roman"/>
                <w:snapToGrid w:val="0"/>
                <w:color w:val="auto"/>
                <w:szCs w:val="22"/>
              </w:rPr>
              <w:t>m</w:t>
            </w:r>
          </w:p>
        </w:tc>
        <w:tc>
          <w:tcPr>
            <w:tcW w:w="1399" w:type="pct"/>
            <w:vMerge w:val="restart"/>
            <w:shd w:val="clear" w:color="auto" w:fill="auto"/>
            <w:vAlign w:val="center"/>
          </w:tcPr>
          <w:p>
            <w:pPr>
              <w:pStyle w:val="84"/>
              <w:contextualSpacing/>
              <w:rPr>
                <w:rFonts w:hAnsi="Times New Roman"/>
                <w:snapToGrid w:val="0"/>
                <w:color w:val="auto"/>
                <w:szCs w:val="22"/>
              </w:rPr>
            </w:pPr>
            <w:r>
              <w:rPr>
                <w:rFonts w:hAnsi="Times New Roman"/>
                <w:snapToGrid w:val="0"/>
                <w:color w:val="auto"/>
                <w:szCs w:val="22"/>
              </w:rPr>
              <w:t>《地下水质量标准》（GB/T14848-2017）III类标准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1001" w:type="pct"/>
            <w:vMerge w:val="continue"/>
            <w:vAlign w:val="center"/>
          </w:tcPr>
          <w:p>
            <w:pPr>
              <w:pStyle w:val="84"/>
              <w:contextualSpacing/>
              <w:rPr>
                <w:rFonts w:hAnsi="Times New Roman"/>
                <w:snapToGrid w:val="0"/>
                <w:color w:val="auto"/>
                <w:szCs w:val="22"/>
              </w:rPr>
            </w:pPr>
          </w:p>
        </w:tc>
        <w:tc>
          <w:tcPr>
            <w:tcW w:w="1167" w:type="pct"/>
            <w:gridSpan w:val="2"/>
            <w:vAlign w:val="center"/>
          </w:tcPr>
          <w:p>
            <w:pPr>
              <w:pStyle w:val="84"/>
              <w:adjustRightInd w:val="0"/>
              <w:snapToGrid w:val="0"/>
              <w:rPr>
                <w:rFonts w:ascii="Times New Roman" w:hAnsi="Times New Roman" w:eastAsia="宋体" w:cs="Times New Roman"/>
                <w:snapToGrid w:val="0"/>
                <w:color w:val="auto"/>
                <w:kern w:val="2"/>
                <w:sz w:val="21"/>
                <w:szCs w:val="21"/>
                <w:lang w:val="en-US" w:eastAsia="zh-CN" w:bidi="ar-SA"/>
              </w:rPr>
            </w:pPr>
            <w:r>
              <w:rPr>
                <w:rFonts w:hint="eastAsia" w:hAnsi="Times New Roman"/>
                <w:snapToGrid w:val="0"/>
                <w:color w:val="auto"/>
                <w:lang w:val="en-US" w:eastAsia="zh-CN"/>
              </w:rPr>
              <w:t>一曼村</w:t>
            </w:r>
            <w:r>
              <w:rPr>
                <w:rFonts w:hAnsi="Times New Roman"/>
                <w:color w:val="auto"/>
              </w:rPr>
              <w:t>饮用水井</w:t>
            </w:r>
          </w:p>
        </w:tc>
        <w:tc>
          <w:tcPr>
            <w:tcW w:w="757" w:type="pct"/>
            <w:vAlign w:val="center"/>
          </w:tcPr>
          <w:p>
            <w:pPr>
              <w:pStyle w:val="84"/>
              <w:adjustRightInd w:val="0"/>
              <w:snapToGrid w:val="0"/>
              <w:rPr>
                <w:rFonts w:hint="eastAsia" w:ascii="Times New Roman" w:hAnsi="Times New Roman" w:eastAsia="宋体" w:cs="Times New Roman"/>
                <w:snapToGrid w:val="0"/>
                <w:color w:val="auto"/>
                <w:kern w:val="2"/>
                <w:sz w:val="21"/>
                <w:szCs w:val="21"/>
                <w:lang w:val="en-US" w:eastAsia="zh-CN" w:bidi="ar-SA"/>
              </w:rPr>
            </w:pPr>
            <w:r>
              <w:rPr>
                <w:rFonts w:hint="eastAsia" w:hAnsi="Times New Roman"/>
                <w:snapToGrid w:val="0"/>
                <w:color w:val="auto"/>
                <w:lang w:val="en-US" w:eastAsia="zh-CN"/>
              </w:rPr>
              <w:t>SW</w:t>
            </w:r>
          </w:p>
        </w:tc>
        <w:tc>
          <w:tcPr>
            <w:tcW w:w="673" w:type="pct"/>
            <w:vAlign w:val="center"/>
          </w:tcPr>
          <w:p>
            <w:pPr>
              <w:pStyle w:val="84"/>
              <w:contextualSpacing/>
              <w:rPr>
                <w:rFonts w:ascii="Times New Roman" w:hAnsi="Times New Roman" w:eastAsia="宋体" w:cs="Times New Roman"/>
                <w:snapToGrid w:val="0"/>
                <w:color w:val="auto"/>
                <w:kern w:val="2"/>
                <w:sz w:val="21"/>
                <w:szCs w:val="22"/>
                <w:lang w:val="en-US" w:eastAsia="zh-CN" w:bidi="ar-SA"/>
              </w:rPr>
            </w:pPr>
            <w:r>
              <w:rPr>
                <w:rFonts w:hint="eastAsia" w:hAnsi="Times New Roman"/>
                <w:snapToGrid w:val="0"/>
                <w:color w:val="auto"/>
                <w:szCs w:val="22"/>
                <w:lang w:val="en-US" w:eastAsia="zh-CN"/>
              </w:rPr>
              <w:t>1040</w:t>
            </w:r>
            <w:r>
              <w:rPr>
                <w:rFonts w:hint="eastAsia" w:hAnsi="Times New Roman"/>
                <w:snapToGrid w:val="0"/>
                <w:color w:val="auto"/>
                <w:szCs w:val="22"/>
              </w:rPr>
              <w:t>m</w:t>
            </w:r>
          </w:p>
        </w:tc>
        <w:tc>
          <w:tcPr>
            <w:tcW w:w="1399" w:type="pct"/>
            <w:vMerge w:val="continue"/>
            <w:shd w:val="clear" w:color="auto" w:fill="auto"/>
            <w:vAlign w:val="center"/>
          </w:tcPr>
          <w:p>
            <w:pPr>
              <w:pStyle w:val="84"/>
              <w:contextualSpacing/>
              <w:rPr>
                <w:rFonts w:hAnsi="Times New Roman"/>
                <w:snapToGrid w:val="0"/>
                <w:color w:val="auto"/>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1001" w:type="pct"/>
            <w:vAlign w:val="center"/>
          </w:tcPr>
          <w:p>
            <w:pPr>
              <w:pStyle w:val="84"/>
              <w:contextualSpacing/>
              <w:rPr>
                <w:rFonts w:hAnsi="Times New Roman"/>
                <w:snapToGrid w:val="0"/>
                <w:color w:val="auto"/>
              </w:rPr>
            </w:pPr>
            <w:r>
              <w:rPr>
                <w:rFonts w:hAnsi="Times New Roman"/>
                <w:snapToGrid w:val="0"/>
                <w:color w:val="auto"/>
              </w:rPr>
              <w:t>生态环境</w:t>
            </w:r>
          </w:p>
        </w:tc>
        <w:tc>
          <w:tcPr>
            <w:tcW w:w="2599" w:type="pct"/>
            <w:gridSpan w:val="4"/>
            <w:vAlign w:val="center"/>
          </w:tcPr>
          <w:p>
            <w:pPr>
              <w:pStyle w:val="84"/>
              <w:contextualSpacing/>
              <w:rPr>
                <w:rFonts w:hAnsi="Times New Roman"/>
                <w:snapToGrid w:val="0"/>
                <w:color w:val="auto"/>
                <w:szCs w:val="22"/>
              </w:rPr>
            </w:pPr>
            <w:r>
              <w:rPr>
                <w:rFonts w:hAnsi="Times New Roman"/>
                <w:snapToGrid w:val="0"/>
                <w:color w:val="auto"/>
              </w:rPr>
              <w:t>厂界外200m范围陆生动植物资源</w:t>
            </w:r>
          </w:p>
        </w:tc>
        <w:tc>
          <w:tcPr>
            <w:tcW w:w="1399" w:type="pct"/>
            <w:shd w:val="clear" w:color="auto" w:fill="auto"/>
            <w:vAlign w:val="center"/>
          </w:tcPr>
          <w:p>
            <w:pPr>
              <w:pStyle w:val="84"/>
              <w:contextualSpacing/>
              <w:rPr>
                <w:rFonts w:hAnsi="Times New Roman"/>
                <w:snapToGrid w:val="0"/>
                <w:color w:val="auto"/>
                <w:szCs w:val="22"/>
              </w:rPr>
            </w:pPr>
            <w:r>
              <w:rPr>
                <w:rFonts w:hint="eastAsia" w:hAnsi="Times New Roman"/>
                <w:snapToGrid w:val="0"/>
                <w:color w:val="auto"/>
                <w:szCs w:val="22"/>
              </w:rPr>
              <w:t>/</w:t>
            </w:r>
          </w:p>
        </w:tc>
      </w:tr>
    </w:tbl>
    <w:p>
      <w:pPr>
        <w:spacing w:line="360" w:lineRule="auto"/>
        <w:contextualSpacing/>
        <w:jc w:val="center"/>
        <w:rPr>
          <w:b/>
          <w:color w:val="FF0000"/>
          <w:kern w:val="0"/>
          <w:sz w:val="24"/>
        </w:rPr>
      </w:pPr>
    </w:p>
    <w:bookmarkEnd w:id="55"/>
    <w:bookmarkEnd w:id="57"/>
    <w:p>
      <w:pPr>
        <w:widowControl/>
        <w:adjustRightInd w:val="0"/>
        <w:snapToGrid w:val="0"/>
        <w:spacing w:line="360" w:lineRule="auto"/>
        <w:ind w:firstLine="640" w:firstLineChars="200"/>
        <w:jc w:val="left"/>
        <w:rPr>
          <w:color w:val="FF0000"/>
          <w:kern w:val="0"/>
          <w:sz w:val="32"/>
          <w:szCs w:val="32"/>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widowControl/>
        <w:tabs>
          <w:tab w:val="left" w:leader="middleDot" w:pos="7371"/>
        </w:tabs>
        <w:spacing w:line="360" w:lineRule="auto"/>
        <w:jc w:val="left"/>
        <w:outlineLvl w:val="0"/>
        <w:rPr>
          <w:b/>
          <w:color w:val="auto"/>
          <w:kern w:val="0"/>
          <w:sz w:val="32"/>
          <w:szCs w:val="32"/>
        </w:rPr>
      </w:pPr>
      <w:bookmarkStart w:id="58" w:name="_Toc29459"/>
      <w:r>
        <w:rPr>
          <w:b/>
          <w:color w:val="auto"/>
          <w:kern w:val="0"/>
          <w:sz w:val="32"/>
          <w:szCs w:val="32"/>
        </w:rPr>
        <w:t>3建设项目工程分析</w:t>
      </w:r>
      <w:bookmarkEnd w:id="58"/>
    </w:p>
    <w:p>
      <w:pPr>
        <w:spacing w:line="360" w:lineRule="auto"/>
        <w:jc w:val="left"/>
        <w:outlineLvl w:val="1"/>
        <w:rPr>
          <w:b/>
          <w:bCs/>
          <w:color w:val="auto"/>
          <w:kern w:val="44"/>
          <w:sz w:val="30"/>
          <w:szCs w:val="30"/>
        </w:rPr>
      </w:pPr>
      <w:bookmarkStart w:id="59" w:name="_Toc15337"/>
      <w:r>
        <w:rPr>
          <w:b/>
          <w:bCs/>
          <w:color w:val="auto"/>
          <w:kern w:val="44"/>
          <w:sz w:val="30"/>
          <w:szCs w:val="30"/>
        </w:rPr>
        <w:t>3.1项目概况</w:t>
      </w:r>
      <w:bookmarkEnd w:id="59"/>
    </w:p>
    <w:p>
      <w:pPr>
        <w:pStyle w:val="5"/>
        <w:spacing w:before="0" w:after="0" w:line="360" w:lineRule="auto"/>
        <w:ind w:firstLine="0" w:firstLineChars="0"/>
        <w:rPr>
          <w:rFonts w:ascii="Times New Roman" w:hAnsi="Times New Roman" w:cs="Times New Roman"/>
          <w:b/>
          <w:color w:val="auto"/>
          <w:sz w:val="28"/>
          <w:szCs w:val="28"/>
        </w:rPr>
      </w:pPr>
      <w:bookmarkStart w:id="60" w:name="_Toc118086779"/>
      <w:bookmarkStart w:id="61" w:name="_Toc112420350"/>
      <w:bookmarkStart w:id="62" w:name="_Toc182022280"/>
      <w:bookmarkStart w:id="63" w:name="_Toc113078920"/>
      <w:bookmarkStart w:id="64" w:name="_Toc11758487"/>
      <w:r>
        <w:rPr>
          <w:rFonts w:ascii="Times New Roman" w:hAnsi="Times New Roman" w:cs="Times New Roman"/>
          <w:b/>
          <w:color w:val="auto"/>
          <w:sz w:val="28"/>
          <w:szCs w:val="28"/>
        </w:rPr>
        <w:t>3.1.1</w:t>
      </w:r>
      <w:bookmarkEnd w:id="60"/>
      <w:bookmarkEnd w:id="61"/>
      <w:bookmarkEnd w:id="62"/>
      <w:bookmarkEnd w:id="63"/>
      <w:r>
        <w:rPr>
          <w:rFonts w:ascii="Times New Roman" w:hAnsi="Times New Roman" w:cs="Times New Roman"/>
          <w:b/>
          <w:color w:val="auto"/>
          <w:sz w:val="28"/>
          <w:szCs w:val="28"/>
        </w:rPr>
        <w:t>项目名称及基本组成</w:t>
      </w:r>
      <w:bookmarkEnd w:id="64"/>
    </w:p>
    <w:p>
      <w:pPr>
        <w:widowControl/>
        <w:spacing w:line="360" w:lineRule="auto"/>
        <w:ind w:firstLine="480" w:firstLineChars="200"/>
        <w:rPr>
          <w:rFonts w:hint="eastAsia" w:eastAsia="宋体"/>
          <w:color w:val="auto"/>
          <w:kern w:val="0"/>
          <w:sz w:val="24"/>
          <w:lang w:eastAsia="zh-CN"/>
        </w:rPr>
      </w:pPr>
      <w:r>
        <w:rPr>
          <w:color w:val="auto"/>
          <w:kern w:val="0"/>
          <w:sz w:val="24"/>
        </w:rPr>
        <w:t>项目名称：</w:t>
      </w:r>
      <w:r>
        <w:rPr>
          <w:rFonts w:hint="eastAsia"/>
          <w:color w:val="auto"/>
          <w:kern w:val="0"/>
          <w:sz w:val="24"/>
          <w:lang w:eastAsia="zh-CN"/>
        </w:rPr>
        <w:t>黑龙江省哈尔滨市尚志市黑龙江省龙源工贸集团有限公司黑龙江阿穆屠宰有限公司肉牛屠宰厂建设项目</w:t>
      </w:r>
    </w:p>
    <w:p>
      <w:pPr>
        <w:widowControl/>
        <w:spacing w:line="360" w:lineRule="auto"/>
        <w:ind w:firstLine="480" w:firstLineChars="200"/>
        <w:rPr>
          <w:rFonts w:hint="eastAsia" w:eastAsia="宋体"/>
          <w:color w:val="auto"/>
          <w:kern w:val="0"/>
          <w:sz w:val="24"/>
          <w:lang w:eastAsia="zh-CN"/>
        </w:rPr>
      </w:pPr>
      <w:r>
        <w:rPr>
          <w:color w:val="auto"/>
          <w:kern w:val="0"/>
          <w:sz w:val="24"/>
        </w:rPr>
        <w:t>项目建设单位：</w:t>
      </w:r>
      <w:r>
        <w:rPr>
          <w:rFonts w:hint="eastAsia"/>
          <w:color w:val="auto"/>
          <w:kern w:val="0"/>
          <w:sz w:val="24"/>
          <w:lang w:eastAsia="zh-CN"/>
        </w:rPr>
        <w:t>黑龙江阿穆屠宰有限公司</w:t>
      </w:r>
    </w:p>
    <w:p>
      <w:pPr>
        <w:widowControl/>
        <w:spacing w:line="360" w:lineRule="auto"/>
        <w:ind w:firstLine="480" w:firstLineChars="200"/>
        <w:rPr>
          <w:color w:val="auto"/>
          <w:kern w:val="0"/>
          <w:sz w:val="24"/>
        </w:rPr>
      </w:pPr>
      <w:r>
        <w:rPr>
          <w:color w:val="auto"/>
          <w:kern w:val="0"/>
          <w:sz w:val="24"/>
        </w:rPr>
        <w:t>项目性质：新建</w:t>
      </w:r>
    </w:p>
    <w:p>
      <w:pPr>
        <w:pStyle w:val="74"/>
        <w:adjustRightInd/>
        <w:snapToGrid/>
        <w:jc w:val="both"/>
        <w:rPr>
          <w:rFonts w:hint="eastAsia" w:ascii="Times New Roman" w:hAnsi="Times New Roman" w:eastAsia="宋体" w:cs="Times New Roman"/>
          <w:color w:val="auto"/>
          <w:kern w:val="0"/>
          <w:lang w:eastAsia="zh-CN"/>
        </w:rPr>
      </w:pPr>
      <w:r>
        <w:rPr>
          <w:rFonts w:ascii="Times New Roman" w:hAnsi="Times New Roman" w:eastAsia="宋体" w:cs="Times New Roman"/>
          <w:color w:val="auto"/>
        </w:rPr>
        <w:t>建设地点：</w:t>
      </w:r>
      <w:r>
        <w:rPr>
          <w:rFonts w:ascii="Times New Roman" w:hAnsi="Times New Roman" w:eastAsia="宋体" w:cs="Times New Roman"/>
          <w:snapToGrid w:val="0"/>
          <w:color w:val="auto"/>
          <w:kern w:val="0"/>
        </w:rPr>
        <w:t>黑龙江省</w:t>
      </w:r>
      <w:r>
        <w:rPr>
          <w:rFonts w:hint="eastAsia" w:ascii="Times New Roman" w:hAnsi="Times New Roman" w:eastAsia="宋体" w:cs="Times New Roman"/>
          <w:snapToGrid w:val="0"/>
          <w:color w:val="auto"/>
          <w:kern w:val="0"/>
          <w:lang w:eastAsia="zh-CN"/>
        </w:rPr>
        <w:t>哈尔滨市尚志市长寿乡一曼村</w:t>
      </w:r>
    </w:p>
    <w:p>
      <w:pPr>
        <w:spacing w:line="360" w:lineRule="auto"/>
        <w:ind w:firstLine="480" w:firstLineChars="200"/>
        <w:rPr>
          <w:snapToGrid w:val="0"/>
          <w:color w:val="auto"/>
          <w:kern w:val="0"/>
          <w:sz w:val="24"/>
        </w:rPr>
      </w:pPr>
      <w:r>
        <w:rPr>
          <w:snapToGrid w:val="0"/>
          <w:color w:val="auto"/>
          <w:kern w:val="0"/>
          <w:sz w:val="24"/>
        </w:rPr>
        <w:t>工程投资：</w:t>
      </w:r>
      <w:r>
        <w:rPr>
          <w:rFonts w:hint="eastAsia"/>
          <w:snapToGrid w:val="0"/>
          <w:color w:val="auto"/>
          <w:kern w:val="0"/>
          <w:sz w:val="24"/>
          <w:lang w:eastAsia="zh-CN"/>
        </w:rPr>
        <w:t>5000万</w:t>
      </w:r>
      <w:r>
        <w:rPr>
          <w:snapToGrid w:val="0"/>
          <w:color w:val="auto"/>
          <w:kern w:val="0"/>
          <w:sz w:val="24"/>
        </w:rPr>
        <w:t>元</w:t>
      </w:r>
    </w:p>
    <w:p>
      <w:pPr>
        <w:spacing w:line="360" w:lineRule="auto"/>
        <w:ind w:firstLine="480" w:firstLineChars="200"/>
        <w:rPr>
          <w:rFonts w:hint="eastAsia" w:eastAsia="宋体"/>
          <w:snapToGrid w:val="0"/>
          <w:color w:val="auto"/>
          <w:kern w:val="0"/>
          <w:sz w:val="24"/>
          <w:lang w:eastAsia="zh-CN"/>
        </w:rPr>
      </w:pPr>
      <w:r>
        <w:rPr>
          <w:snapToGrid w:val="0"/>
          <w:color w:val="auto"/>
          <w:kern w:val="0"/>
          <w:sz w:val="24"/>
        </w:rPr>
        <w:t>占地面积：</w:t>
      </w:r>
      <w:r>
        <w:rPr>
          <w:rFonts w:hint="eastAsia"/>
          <w:color w:val="auto"/>
          <w:sz w:val="24"/>
          <w:lang w:eastAsia="zh-CN"/>
        </w:rPr>
        <w:t>29672</w:t>
      </w:r>
      <w:r>
        <w:rPr>
          <w:rFonts w:hint="eastAsia"/>
          <w:snapToGrid w:val="0"/>
          <w:color w:val="auto"/>
          <w:kern w:val="0"/>
          <w:sz w:val="24"/>
          <w:lang w:eastAsia="zh-CN"/>
        </w:rPr>
        <w:t>m</w:t>
      </w:r>
      <w:r>
        <w:rPr>
          <w:rFonts w:hint="eastAsia"/>
          <w:snapToGrid w:val="0"/>
          <w:color w:val="auto"/>
          <w:kern w:val="0"/>
          <w:sz w:val="24"/>
          <w:vertAlign w:val="superscript"/>
          <w:lang w:eastAsia="zh-CN"/>
        </w:rPr>
        <w:t>2</w:t>
      </w:r>
    </w:p>
    <w:p>
      <w:pPr>
        <w:spacing w:line="360" w:lineRule="auto"/>
        <w:ind w:firstLine="480" w:firstLineChars="200"/>
        <w:rPr>
          <w:snapToGrid w:val="0"/>
          <w:color w:val="auto"/>
          <w:kern w:val="0"/>
          <w:sz w:val="24"/>
        </w:rPr>
      </w:pPr>
      <w:r>
        <w:rPr>
          <w:snapToGrid w:val="0"/>
          <w:color w:val="auto"/>
          <w:kern w:val="0"/>
          <w:sz w:val="24"/>
        </w:rPr>
        <w:t>占地类型：</w:t>
      </w:r>
      <w:r>
        <w:rPr>
          <w:rFonts w:hint="eastAsia"/>
          <w:snapToGrid w:val="0"/>
          <w:color w:val="auto"/>
          <w:kern w:val="0"/>
          <w:sz w:val="24"/>
        </w:rPr>
        <w:t>工业</w:t>
      </w:r>
      <w:r>
        <w:rPr>
          <w:snapToGrid w:val="0"/>
          <w:color w:val="auto"/>
          <w:kern w:val="0"/>
          <w:sz w:val="24"/>
        </w:rPr>
        <w:t>用地</w:t>
      </w:r>
    </w:p>
    <w:p>
      <w:pPr>
        <w:spacing w:line="360" w:lineRule="auto"/>
        <w:ind w:firstLine="480" w:firstLineChars="200"/>
        <w:rPr>
          <w:rFonts w:hint="eastAsia" w:eastAsia="宋体"/>
          <w:snapToGrid w:val="0"/>
          <w:color w:val="auto"/>
          <w:kern w:val="0"/>
          <w:sz w:val="24"/>
          <w:lang w:eastAsia="zh-CN"/>
        </w:rPr>
      </w:pPr>
      <w:r>
        <w:rPr>
          <w:snapToGrid w:val="0"/>
          <w:color w:val="auto"/>
          <w:kern w:val="0"/>
          <w:sz w:val="24"/>
        </w:rPr>
        <w:t>建筑面积：</w:t>
      </w:r>
      <w:r>
        <w:rPr>
          <w:rFonts w:hint="eastAsia"/>
          <w:snapToGrid w:val="0"/>
          <w:color w:val="auto"/>
          <w:kern w:val="0"/>
          <w:sz w:val="24"/>
          <w:lang w:val="en-US" w:eastAsia="zh-CN"/>
        </w:rPr>
        <w:t>9110</w:t>
      </w:r>
      <w:r>
        <w:rPr>
          <w:rFonts w:hint="eastAsia"/>
          <w:snapToGrid w:val="0"/>
          <w:color w:val="auto"/>
          <w:kern w:val="0"/>
          <w:sz w:val="24"/>
          <w:lang w:eastAsia="zh-CN"/>
        </w:rPr>
        <w:t>m</w:t>
      </w:r>
      <w:r>
        <w:rPr>
          <w:rFonts w:hint="eastAsia"/>
          <w:snapToGrid w:val="0"/>
          <w:color w:val="auto"/>
          <w:kern w:val="0"/>
          <w:sz w:val="24"/>
          <w:vertAlign w:val="superscript"/>
          <w:lang w:eastAsia="zh-CN"/>
        </w:rPr>
        <w:t>2</w:t>
      </w:r>
    </w:p>
    <w:p>
      <w:pPr>
        <w:spacing w:line="360" w:lineRule="auto"/>
        <w:ind w:firstLine="480" w:firstLineChars="200"/>
        <w:rPr>
          <w:snapToGrid w:val="0"/>
          <w:color w:val="auto"/>
          <w:kern w:val="0"/>
          <w:sz w:val="24"/>
        </w:rPr>
      </w:pPr>
      <w:r>
        <w:rPr>
          <w:snapToGrid w:val="0"/>
          <w:color w:val="auto"/>
          <w:kern w:val="0"/>
          <w:sz w:val="24"/>
        </w:rPr>
        <w:t>劳动定员及工作制度：员工为</w:t>
      </w:r>
      <w:r>
        <w:rPr>
          <w:rFonts w:hint="eastAsia"/>
          <w:snapToGrid w:val="0"/>
          <w:color w:val="auto"/>
          <w:kern w:val="0"/>
          <w:sz w:val="24"/>
          <w:lang w:eastAsia="zh-CN"/>
        </w:rPr>
        <w:t>60人</w:t>
      </w:r>
      <w:r>
        <w:rPr>
          <w:snapToGrid w:val="0"/>
          <w:color w:val="auto"/>
          <w:kern w:val="0"/>
          <w:sz w:val="24"/>
        </w:rPr>
        <w:t>。全年工作天数为3</w:t>
      </w:r>
      <w:r>
        <w:rPr>
          <w:rFonts w:hint="eastAsia"/>
          <w:snapToGrid w:val="0"/>
          <w:color w:val="auto"/>
          <w:kern w:val="0"/>
          <w:sz w:val="24"/>
        </w:rPr>
        <w:t>00</w:t>
      </w:r>
      <w:r>
        <w:rPr>
          <w:snapToGrid w:val="0"/>
          <w:color w:val="auto"/>
          <w:kern w:val="0"/>
          <w:sz w:val="24"/>
        </w:rPr>
        <w:t>天，实行</w:t>
      </w:r>
      <w:r>
        <w:rPr>
          <w:rFonts w:hint="eastAsia"/>
          <w:snapToGrid w:val="0"/>
          <w:color w:val="auto"/>
          <w:kern w:val="0"/>
          <w:sz w:val="24"/>
        </w:rPr>
        <w:t>一</w:t>
      </w:r>
      <w:r>
        <w:rPr>
          <w:snapToGrid w:val="0"/>
          <w:color w:val="auto"/>
          <w:kern w:val="0"/>
          <w:sz w:val="24"/>
        </w:rPr>
        <w:t>班</w:t>
      </w:r>
      <w:r>
        <w:rPr>
          <w:rFonts w:hint="eastAsia"/>
          <w:snapToGrid w:val="0"/>
          <w:color w:val="auto"/>
          <w:kern w:val="0"/>
          <w:sz w:val="24"/>
        </w:rPr>
        <w:t>8小时</w:t>
      </w:r>
      <w:r>
        <w:rPr>
          <w:snapToGrid w:val="0"/>
          <w:color w:val="auto"/>
          <w:kern w:val="0"/>
          <w:sz w:val="24"/>
        </w:rPr>
        <w:t>制。</w:t>
      </w:r>
      <w:r>
        <w:rPr>
          <w:rFonts w:hint="eastAsia"/>
          <w:snapToGrid w:val="0"/>
          <w:color w:val="auto"/>
          <w:kern w:val="0"/>
          <w:sz w:val="24"/>
        </w:rPr>
        <w:t>员工均为附近村屯居民，厂区不设宿舍，设置</w:t>
      </w:r>
      <w:r>
        <w:rPr>
          <w:snapToGrid w:val="0"/>
          <w:color w:val="auto"/>
          <w:kern w:val="0"/>
          <w:sz w:val="24"/>
        </w:rPr>
        <w:t>食堂一栋，内置两个灶头。</w:t>
      </w:r>
    </w:p>
    <w:p>
      <w:pPr>
        <w:spacing w:line="360" w:lineRule="auto"/>
        <w:ind w:firstLine="480" w:firstLineChars="200"/>
        <w:rPr>
          <w:snapToGrid w:val="0"/>
          <w:color w:val="auto"/>
          <w:kern w:val="0"/>
        </w:rPr>
      </w:pPr>
      <w:r>
        <w:rPr>
          <w:snapToGrid w:val="0"/>
          <w:color w:val="auto"/>
          <w:kern w:val="0"/>
          <w:sz w:val="24"/>
        </w:rPr>
        <w:t>建设周期：</w:t>
      </w:r>
      <w:r>
        <w:rPr>
          <w:color w:val="auto"/>
          <w:sz w:val="24"/>
        </w:rPr>
        <w:t>项目设计建设期</w:t>
      </w:r>
      <w:r>
        <w:rPr>
          <w:rFonts w:hint="eastAsia"/>
          <w:color w:val="auto"/>
          <w:sz w:val="24"/>
          <w:lang w:val="en-US" w:eastAsia="zh-CN"/>
        </w:rPr>
        <w:t>6</w:t>
      </w:r>
      <w:r>
        <w:rPr>
          <w:color w:val="auto"/>
          <w:sz w:val="24"/>
        </w:rPr>
        <w:t>个月</w:t>
      </w:r>
      <w:r>
        <w:rPr>
          <w:snapToGrid w:val="0"/>
          <w:color w:val="auto"/>
          <w:kern w:val="0"/>
          <w:sz w:val="24"/>
        </w:rPr>
        <w:t>，为202</w:t>
      </w:r>
      <w:r>
        <w:rPr>
          <w:rFonts w:hint="eastAsia"/>
          <w:snapToGrid w:val="0"/>
          <w:color w:val="auto"/>
          <w:kern w:val="0"/>
          <w:sz w:val="24"/>
          <w:lang w:val="en-US" w:eastAsia="zh-CN"/>
        </w:rPr>
        <w:t>4</w:t>
      </w:r>
      <w:r>
        <w:rPr>
          <w:snapToGrid w:val="0"/>
          <w:color w:val="auto"/>
          <w:kern w:val="0"/>
          <w:sz w:val="24"/>
        </w:rPr>
        <w:t>年</w:t>
      </w:r>
      <w:r>
        <w:rPr>
          <w:rFonts w:hint="eastAsia"/>
          <w:snapToGrid w:val="0"/>
          <w:color w:val="auto"/>
          <w:kern w:val="0"/>
          <w:sz w:val="24"/>
          <w:lang w:val="en-US" w:eastAsia="zh-CN"/>
        </w:rPr>
        <w:t>5</w:t>
      </w:r>
      <w:r>
        <w:rPr>
          <w:snapToGrid w:val="0"/>
          <w:color w:val="auto"/>
          <w:kern w:val="0"/>
          <w:sz w:val="24"/>
        </w:rPr>
        <w:t>月至202</w:t>
      </w:r>
      <w:r>
        <w:rPr>
          <w:rFonts w:hint="eastAsia"/>
          <w:snapToGrid w:val="0"/>
          <w:color w:val="auto"/>
          <w:kern w:val="0"/>
          <w:sz w:val="24"/>
          <w:lang w:val="en-US" w:eastAsia="zh-CN"/>
        </w:rPr>
        <w:t>4</w:t>
      </w:r>
      <w:r>
        <w:rPr>
          <w:snapToGrid w:val="0"/>
          <w:color w:val="auto"/>
          <w:kern w:val="0"/>
          <w:sz w:val="24"/>
        </w:rPr>
        <w:t>年</w:t>
      </w:r>
      <w:r>
        <w:rPr>
          <w:rFonts w:hint="eastAsia"/>
          <w:snapToGrid w:val="0"/>
          <w:color w:val="auto"/>
          <w:kern w:val="0"/>
          <w:sz w:val="24"/>
          <w:lang w:val="en-US" w:eastAsia="zh-CN"/>
        </w:rPr>
        <w:t>10</w:t>
      </w:r>
      <w:r>
        <w:rPr>
          <w:snapToGrid w:val="0"/>
          <w:color w:val="auto"/>
          <w:kern w:val="0"/>
          <w:sz w:val="24"/>
        </w:rPr>
        <w:t>月，计划于202</w:t>
      </w:r>
      <w:r>
        <w:rPr>
          <w:rFonts w:hint="eastAsia"/>
          <w:snapToGrid w:val="0"/>
          <w:color w:val="auto"/>
          <w:kern w:val="0"/>
          <w:sz w:val="24"/>
          <w:lang w:val="en-US" w:eastAsia="zh-CN"/>
        </w:rPr>
        <w:t>4</w:t>
      </w:r>
      <w:r>
        <w:rPr>
          <w:snapToGrid w:val="0"/>
          <w:color w:val="auto"/>
          <w:kern w:val="0"/>
          <w:sz w:val="24"/>
        </w:rPr>
        <w:t>年</w:t>
      </w:r>
      <w:r>
        <w:rPr>
          <w:rFonts w:hint="eastAsia"/>
          <w:snapToGrid w:val="0"/>
          <w:color w:val="auto"/>
          <w:kern w:val="0"/>
          <w:sz w:val="24"/>
          <w:lang w:val="en-US" w:eastAsia="zh-CN"/>
        </w:rPr>
        <w:t>11</w:t>
      </w:r>
      <w:r>
        <w:rPr>
          <w:snapToGrid w:val="0"/>
          <w:color w:val="auto"/>
          <w:kern w:val="0"/>
          <w:sz w:val="24"/>
        </w:rPr>
        <w:t>月投产。</w:t>
      </w:r>
    </w:p>
    <w:p>
      <w:pPr>
        <w:pStyle w:val="5"/>
        <w:spacing w:before="0" w:after="0" w:line="360" w:lineRule="auto"/>
        <w:ind w:firstLine="0" w:firstLineChars="0"/>
        <w:rPr>
          <w:rFonts w:ascii="Times New Roman" w:hAnsi="Times New Roman" w:cs="Times New Roman"/>
          <w:b/>
          <w:color w:val="auto"/>
          <w:sz w:val="28"/>
          <w:szCs w:val="28"/>
        </w:rPr>
      </w:pPr>
      <w:bookmarkStart w:id="65" w:name="_Toc15991641"/>
      <w:r>
        <w:rPr>
          <w:rFonts w:ascii="Times New Roman" w:hAnsi="Times New Roman" w:cs="Times New Roman"/>
          <w:b/>
          <w:color w:val="auto"/>
          <w:sz w:val="28"/>
          <w:szCs w:val="28"/>
        </w:rPr>
        <w:t>3.1.2建设规模及建设内容</w:t>
      </w:r>
      <w:bookmarkEnd w:id="65"/>
    </w:p>
    <w:p>
      <w:pPr>
        <w:spacing w:line="360" w:lineRule="auto"/>
        <w:ind w:firstLine="480" w:firstLineChars="200"/>
        <w:contextualSpacing/>
        <w:rPr>
          <w:rFonts w:hint="eastAsia"/>
          <w:color w:val="auto"/>
          <w:sz w:val="24"/>
        </w:rPr>
      </w:pPr>
      <w:r>
        <w:rPr>
          <w:color w:val="auto"/>
          <w:sz w:val="24"/>
        </w:rPr>
        <w:t>本项目为</w:t>
      </w:r>
      <w:r>
        <w:rPr>
          <w:rFonts w:hint="eastAsia"/>
          <w:color w:val="auto"/>
          <w:sz w:val="24"/>
          <w:lang w:eastAsia="zh-CN"/>
        </w:rPr>
        <w:t>黑龙江省哈尔滨市尚志市黑龙江省龙源工贸集团有限公司黑龙江阿穆屠宰有限公司肉牛屠宰厂建设项目</w:t>
      </w:r>
      <w:r>
        <w:rPr>
          <w:color w:val="auto"/>
          <w:sz w:val="24"/>
        </w:rPr>
        <w:t>，位于黑龙江省</w:t>
      </w:r>
      <w:r>
        <w:rPr>
          <w:rFonts w:hint="eastAsia"/>
          <w:color w:val="auto"/>
          <w:sz w:val="24"/>
          <w:lang w:eastAsia="zh-CN"/>
        </w:rPr>
        <w:t>哈尔滨市尚志市长寿乡一曼村</w:t>
      </w:r>
      <w:r>
        <w:rPr>
          <w:color w:val="auto"/>
          <w:sz w:val="24"/>
        </w:rPr>
        <w:t>，占地面积</w:t>
      </w:r>
      <w:r>
        <w:rPr>
          <w:rFonts w:hint="eastAsia"/>
          <w:color w:val="auto"/>
          <w:sz w:val="24"/>
          <w:lang w:eastAsia="zh-CN"/>
        </w:rPr>
        <w:t>29672</w:t>
      </w:r>
      <w:r>
        <w:rPr>
          <w:color w:val="auto"/>
          <w:sz w:val="24"/>
        </w:rPr>
        <w:t>m</w:t>
      </w:r>
      <w:r>
        <w:rPr>
          <w:color w:val="auto"/>
          <w:sz w:val="24"/>
          <w:vertAlign w:val="superscript"/>
        </w:rPr>
        <w:t>2</w:t>
      </w:r>
      <w:r>
        <w:rPr>
          <w:color w:val="auto"/>
          <w:sz w:val="24"/>
        </w:rPr>
        <w:t>，</w:t>
      </w:r>
      <w:r>
        <w:rPr>
          <w:rFonts w:hint="eastAsia"/>
          <w:color w:val="auto"/>
          <w:sz w:val="24"/>
        </w:rPr>
        <w:t>建筑</w:t>
      </w:r>
      <w:r>
        <w:rPr>
          <w:color w:val="auto"/>
          <w:sz w:val="24"/>
        </w:rPr>
        <w:t>面积</w:t>
      </w:r>
      <w:r>
        <w:rPr>
          <w:rFonts w:hint="eastAsia"/>
          <w:color w:val="auto"/>
          <w:sz w:val="24"/>
          <w:highlight w:val="none"/>
          <w:lang w:val="en-US" w:eastAsia="zh-CN"/>
        </w:rPr>
        <w:t>9110</w:t>
      </w:r>
      <w:r>
        <w:rPr>
          <w:color w:val="auto"/>
          <w:sz w:val="24"/>
          <w:highlight w:val="none"/>
        </w:rPr>
        <w:t>m</w:t>
      </w:r>
      <w:r>
        <w:rPr>
          <w:color w:val="auto"/>
          <w:sz w:val="24"/>
          <w:highlight w:val="none"/>
          <w:vertAlign w:val="superscript"/>
        </w:rPr>
        <w:t>2</w:t>
      </w:r>
      <w:r>
        <w:rPr>
          <w:rFonts w:hint="eastAsia"/>
          <w:color w:val="auto"/>
          <w:sz w:val="24"/>
          <w:highlight w:val="none"/>
        </w:rPr>
        <w:t>。</w:t>
      </w:r>
    </w:p>
    <w:p>
      <w:pPr>
        <w:spacing w:line="360" w:lineRule="auto"/>
        <w:ind w:firstLine="480" w:firstLineChars="200"/>
        <w:contextualSpacing/>
        <w:rPr>
          <w:color w:val="auto"/>
          <w:sz w:val="24"/>
        </w:rPr>
      </w:pPr>
      <w:r>
        <w:rPr>
          <w:color w:val="auto"/>
          <w:sz w:val="24"/>
        </w:rPr>
        <w:t>本项目</w:t>
      </w:r>
      <w:r>
        <w:rPr>
          <w:rFonts w:hint="eastAsia"/>
          <w:color w:val="auto"/>
          <w:sz w:val="24"/>
          <w:lang w:val="en-US" w:eastAsia="zh-CN"/>
        </w:rPr>
        <w:t>利用原有2栋办公楼、1栋锅炉房、1栋储氨房、1栋库房及1栋冷库，新建</w:t>
      </w:r>
      <w:r>
        <w:rPr>
          <w:rFonts w:hint="eastAsia"/>
          <w:color w:val="auto"/>
          <w:sz w:val="24"/>
        </w:rPr>
        <w:t>屠宰</w:t>
      </w:r>
      <w:r>
        <w:rPr>
          <w:color w:val="auto"/>
          <w:sz w:val="24"/>
        </w:rPr>
        <w:t>车间1栋、</w:t>
      </w:r>
      <w:r>
        <w:rPr>
          <w:rFonts w:hint="eastAsia"/>
          <w:color w:val="auto"/>
          <w:sz w:val="24"/>
        </w:rPr>
        <w:t>污水</w:t>
      </w:r>
      <w:r>
        <w:rPr>
          <w:color w:val="auto"/>
          <w:sz w:val="24"/>
        </w:rPr>
        <w:t>处理站、</w:t>
      </w:r>
      <w:r>
        <w:rPr>
          <w:rFonts w:hint="eastAsia"/>
          <w:color w:val="auto"/>
          <w:sz w:val="24"/>
        </w:rPr>
        <w:t>待宰间</w:t>
      </w:r>
      <w:r>
        <w:rPr>
          <w:color w:val="auto"/>
          <w:sz w:val="24"/>
        </w:rPr>
        <w:t>1栋</w:t>
      </w:r>
      <w:r>
        <w:rPr>
          <w:rFonts w:hint="eastAsia"/>
          <w:color w:val="auto"/>
          <w:sz w:val="24"/>
          <w:lang w:eastAsia="zh-CN"/>
        </w:rPr>
        <w:t>、</w:t>
      </w:r>
      <w:r>
        <w:rPr>
          <w:rFonts w:hint="eastAsia"/>
          <w:color w:val="000000" w:themeColor="text1"/>
          <w:sz w:val="24"/>
        </w:rPr>
        <w:t>急</w:t>
      </w:r>
      <w:r>
        <w:rPr>
          <w:color w:val="000000" w:themeColor="text1"/>
          <w:sz w:val="24"/>
        </w:rPr>
        <w:t>宰间</w:t>
      </w:r>
      <w:r>
        <w:rPr>
          <w:rFonts w:hint="eastAsia"/>
          <w:color w:val="000000" w:themeColor="text1"/>
          <w:sz w:val="24"/>
        </w:rPr>
        <w:t>1栋</w:t>
      </w:r>
      <w:r>
        <w:rPr>
          <w:color w:val="000000" w:themeColor="text1"/>
          <w:sz w:val="24"/>
        </w:rPr>
        <w:t>、</w:t>
      </w:r>
      <w:r>
        <w:rPr>
          <w:rFonts w:hint="eastAsia"/>
          <w:color w:val="auto"/>
          <w:sz w:val="24"/>
          <w:lang w:eastAsia="zh-CN"/>
        </w:rPr>
        <w:t>危险废物贮存点</w:t>
      </w:r>
      <w:r>
        <w:rPr>
          <w:color w:val="auto"/>
          <w:sz w:val="24"/>
        </w:rPr>
        <w:t>。项目建设一条屠宰线，年屠宰肉牛</w:t>
      </w:r>
      <w:r>
        <w:rPr>
          <w:rFonts w:hint="eastAsia"/>
          <w:color w:val="auto"/>
          <w:sz w:val="24"/>
          <w:lang w:eastAsia="zh-CN"/>
        </w:rPr>
        <w:t>2万</w:t>
      </w:r>
      <w:r>
        <w:rPr>
          <w:color w:val="auto"/>
          <w:sz w:val="24"/>
        </w:rPr>
        <w:t>头，年产牛肉</w:t>
      </w:r>
      <w:r>
        <w:rPr>
          <w:rFonts w:hint="eastAsia"/>
          <w:color w:val="auto"/>
          <w:sz w:val="24"/>
          <w:lang w:val="en-US" w:eastAsia="zh-CN"/>
        </w:rPr>
        <w:t>6</w:t>
      </w:r>
      <w:r>
        <w:rPr>
          <w:rFonts w:hint="eastAsia"/>
          <w:color w:val="auto"/>
          <w:sz w:val="24"/>
        </w:rPr>
        <w:t>000t、牛骨</w:t>
      </w:r>
      <w:r>
        <w:rPr>
          <w:rFonts w:hint="eastAsia"/>
          <w:color w:val="auto"/>
          <w:sz w:val="24"/>
          <w:lang w:val="en-US" w:eastAsia="zh-CN"/>
        </w:rPr>
        <w:t>600</w:t>
      </w:r>
      <w:r>
        <w:rPr>
          <w:rFonts w:hint="eastAsia"/>
          <w:color w:val="auto"/>
          <w:sz w:val="24"/>
        </w:rPr>
        <w:t>t、牛皮</w:t>
      </w:r>
      <w:r>
        <w:rPr>
          <w:rFonts w:hint="eastAsia"/>
          <w:color w:val="auto"/>
          <w:sz w:val="24"/>
          <w:lang w:val="en-US" w:eastAsia="zh-CN"/>
        </w:rPr>
        <w:t>550</w:t>
      </w:r>
      <w:r>
        <w:rPr>
          <w:rFonts w:hint="eastAsia"/>
          <w:color w:val="auto"/>
          <w:sz w:val="24"/>
        </w:rPr>
        <w:t>t、牛血</w:t>
      </w:r>
      <w:r>
        <w:rPr>
          <w:rFonts w:hint="eastAsia"/>
          <w:color w:val="auto"/>
          <w:sz w:val="24"/>
          <w:lang w:val="en-US" w:eastAsia="zh-CN"/>
        </w:rPr>
        <w:t>50</w:t>
      </w:r>
      <w:r>
        <w:rPr>
          <w:rFonts w:hint="eastAsia"/>
          <w:color w:val="auto"/>
          <w:sz w:val="24"/>
        </w:rPr>
        <w:t>0t、其它（头、蹄、内脏）</w:t>
      </w:r>
      <w:r>
        <w:rPr>
          <w:rFonts w:hint="eastAsia"/>
          <w:color w:val="auto"/>
          <w:sz w:val="24"/>
          <w:lang w:val="en-US" w:eastAsia="zh-CN"/>
        </w:rPr>
        <w:t>1950</w:t>
      </w:r>
      <w:r>
        <w:rPr>
          <w:rFonts w:hint="eastAsia"/>
          <w:color w:val="auto"/>
          <w:sz w:val="24"/>
        </w:rPr>
        <w:t>t</w:t>
      </w:r>
      <w:r>
        <w:rPr>
          <w:color w:val="auto"/>
          <w:sz w:val="24"/>
        </w:rPr>
        <w:t>。</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具体建设内容见表3-1-1。</w:t>
      </w:r>
    </w:p>
    <w:p>
      <w:pPr>
        <w:pStyle w:val="76"/>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textAlignment w:val="auto"/>
        <w:rPr>
          <w:rFonts w:ascii="Times New Roman" w:hAnsi="Times New Roman" w:cs="Times New Roman"/>
          <w:color w:val="auto"/>
          <w:sz w:val="24"/>
          <w:szCs w:val="24"/>
        </w:rPr>
      </w:pPr>
      <w:r>
        <w:rPr>
          <w:rFonts w:ascii="Times New Roman" w:hAnsi="Times New Roman" w:cs="Times New Roman"/>
          <w:color w:val="auto"/>
          <w:sz w:val="24"/>
          <w:szCs w:val="24"/>
        </w:rPr>
        <w:t>表3-1-1工程组成一览表</w:t>
      </w:r>
    </w:p>
    <w:tbl>
      <w:tblPr>
        <w:tblStyle w:val="4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2"/>
        <w:gridCol w:w="433"/>
        <w:gridCol w:w="1299"/>
        <w:gridCol w:w="5367"/>
        <w:gridCol w:w="7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 w:hRule="atLeast"/>
          <w:jc w:val="center"/>
        </w:trPr>
        <w:tc>
          <w:tcPr>
            <w:tcW w:w="394" w:type="pct"/>
            <w:vAlign w:val="center"/>
          </w:tcPr>
          <w:p>
            <w:pPr>
              <w:pStyle w:val="84"/>
              <w:spacing w:line="0" w:lineRule="atLeast"/>
              <w:contextualSpacing/>
              <w:rPr>
                <w:rFonts w:hAnsi="Times New Roman"/>
                <w:color w:val="auto"/>
              </w:rPr>
            </w:pPr>
            <w:bookmarkStart w:id="66" w:name="_Hlk527725606"/>
            <w:r>
              <w:rPr>
                <w:rFonts w:hAnsi="Times New Roman"/>
                <w:color w:val="auto"/>
              </w:rPr>
              <w:t>工程类别</w:t>
            </w:r>
          </w:p>
        </w:tc>
        <w:tc>
          <w:tcPr>
            <w:tcW w:w="1016" w:type="pct"/>
            <w:gridSpan w:val="2"/>
            <w:vAlign w:val="center"/>
          </w:tcPr>
          <w:p>
            <w:pPr>
              <w:pStyle w:val="84"/>
              <w:spacing w:line="0" w:lineRule="atLeast"/>
              <w:contextualSpacing/>
              <w:rPr>
                <w:rFonts w:hAnsi="Times New Roman"/>
                <w:color w:val="auto"/>
              </w:rPr>
            </w:pPr>
            <w:r>
              <w:rPr>
                <w:rFonts w:hAnsi="Times New Roman"/>
                <w:color w:val="auto"/>
              </w:rPr>
              <w:t>工程名称</w:t>
            </w:r>
          </w:p>
        </w:tc>
        <w:tc>
          <w:tcPr>
            <w:tcW w:w="3148" w:type="pct"/>
            <w:vAlign w:val="center"/>
          </w:tcPr>
          <w:p>
            <w:pPr>
              <w:pStyle w:val="84"/>
              <w:spacing w:line="0" w:lineRule="atLeast"/>
              <w:contextualSpacing/>
              <w:rPr>
                <w:rFonts w:hAnsi="Times New Roman"/>
                <w:color w:val="auto"/>
              </w:rPr>
            </w:pPr>
            <w:r>
              <w:rPr>
                <w:rFonts w:hAnsi="Times New Roman"/>
                <w:color w:val="auto"/>
              </w:rPr>
              <w:t>建筑规模</w:t>
            </w:r>
          </w:p>
        </w:tc>
        <w:tc>
          <w:tcPr>
            <w:tcW w:w="440" w:type="pct"/>
            <w:vAlign w:val="center"/>
          </w:tcPr>
          <w:p>
            <w:pPr>
              <w:pStyle w:val="84"/>
              <w:spacing w:line="0" w:lineRule="atLeast"/>
              <w:contextualSpacing/>
              <w:rPr>
                <w:rFonts w:hAnsi="Times New Roman"/>
                <w:color w:val="auto"/>
              </w:rPr>
            </w:pPr>
            <w:r>
              <w:rPr>
                <w:rFonts w:hAnsi="Times New Roman"/>
                <w:color w:val="auto"/>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4" w:type="pct"/>
            <w:vMerge w:val="restart"/>
            <w:vAlign w:val="center"/>
          </w:tcPr>
          <w:p>
            <w:pPr>
              <w:pStyle w:val="84"/>
              <w:spacing w:line="0" w:lineRule="atLeast"/>
              <w:contextualSpacing/>
              <w:rPr>
                <w:rFonts w:hAnsi="Times New Roman"/>
                <w:color w:val="auto"/>
              </w:rPr>
            </w:pPr>
            <w:r>
              <w:rPr>
                <w:rFonts w:hAnsi="Times New Roman"/>
                <w:color w:val="auto"/>
              </w:rPr>
              <w:t>主体工程</w:t>
            </w:r>
          </w:p>
        </w:tc>
        <w:tc>
          <w:tcPr>
            <w:tcW w:w="1016" w:type="pct"/>
            <w:gridSpan w:val="2"/>
            <w:vAlign w:val="center"/>
          </w:tcPr>
          <w:p>
            <w:pPr>
              <w:pStyle w:val="84"/>
              <w:spacing w:line="0" w:lineRule="atLeast"/>
              <w:contextualSpacing/>
              <w:rPr>
                <w:rFonts w:hAnsi="Times New Roman"/>
                <w:color w:val="auto"/>
              </w:rPr>
            </w:pPr>
            <w:r>
              <w:rPr>
                <w:rFonts w:hint="eastAsia" w:hAnsi="Times New Roman"/>
                <w:color w:val="auto"/>
              </w:rPr>
              <w:t>待宰间</w:t>
            </w:r>
          </w:p>
        </w:tc>
        <w:tc>
          <w:tcPr>
            <w:tcW w:w="3148" w:type="pct"/>
            <w:vAlign w:val="center"/>
          </w:tcPr>
          <w:p>
            <w:pPr>
              <w:pStyle w:val="84"/>
              <w:spacing w:line="0" w:lineRule="atLeast"/>
              <w:contextualSpacing/>
              <w:jc w:val="left"/>
              <w:rPr>
                <w:rFonts w:hAnsi="Times New Roman"/>
                <w:color w:val="auto"/>
              </w:rPr>
            </w:pPr>
            <w:r>
              <w:rPr>
                <w:rFonts w:hint="eastAsia" w:hAnsi="Times New Roman"/>
                <w:color w:val="auto"/>
              </w:rPr>
              <w:t>1栋单层建筑，建筑面积</w:t>
            </w:r>
            <w:r>
              <w:rPr>
                <w:rFonts w:hint="eastAsia" w:hAnsi="Times New Roman"/>
                <w:color w:val="auto"/>
                <w:lang w:val="en-US" w:eastAsia="zh-CN"/>
              </w:rPr>
              <w:t>500</w:t>
            </w:r>
            <w:r>
              <w:rPr>
                <w:rFonts w:hint="eastAsia" w:hAnsi="Times New Roman"/>
                <w:color w:val="auto"/>
              </w:rPr>
              <w:t>m</w:t>
            </w:r>
            <w:r>
              <w:rPr>
                <w:rFonts w:hint="eastAsia" w:hAnsi="Times New Roman"/>
                <w:color w:val="auto"/>
                <w:vertAlign w:val="superscript"/>
              </w:rPr>
              <w:t>2</w:t>
            </w:r>
            <w:r>
              <w:rPr>
                <w:rFonts w:hint="eastAsia" w:hAnsi="Times New Roman"/>
                <w:color w:val="auto"/>
              </w:rPr>
              <w:t>，</w:t>
            </w:r>
            <w:r>
              <w:rPr>
                <w:rFonts w:hAnsi="Times New Roman"/>
                <w:color w:val="auto"/>
              </w:rPr>
              <w:t>层高为</w:t>
            </w:r>
            <w:r>
              <w:rPr>
                <w:rFonts w:hint="eastAsia" w:hAnsi="Times New Roman"/>
                <w:color w:val="auto"/>
              </w:rPr>
              <w:t>3</w:t>
            </w:r>
            <w:r>
              <w:rPr>
                <w:rFonts w:hAnsi="Times New Roman"/>
                <w:color w:val="auto"/>
              </w:rPr>
              <w:t>m，</w:t>
            </w:r>
            <w:r>
              <w:rPr>
                <w:rFonts w:hint="eastAsia" w:hAnsi="Times New Roman"/>
                <w:color w:val="auto"/>
              </w:rPr>
              <w:t>存栏能力</w:t>
            </w:r>
            <w:r>
              <w:rPr>
                <w:rFonts w:hint="eastAsia" w:hAnsi="Times New Roman"/>
                <w:color w:val="auto"/>
                <w:lang w:val="en-US" w:eastAsia="zh-CN"/>
              </w:rPr>
              <w:t>1</w:t>
            </w:r>
            <w:r>
              <w:rPr>
                <w:rFonts w:hint="eastAsia" w:hAnsi="Times New Roman"/>
                <w:color w:val="auto"/>
              </w:rPr>
              <w:t>00头/d</w:t>
            </w:r>
            <w:r>
              <w:rPr>
                <w:rFonts w:hAnsi="Times New Roman"/>
                <w:color w:val="auto"/>
              </w:rPr>
              <w:t>，待宰间内</w:t>
            </w:r>
            <w:r>
              <w:rPr>
                <w:rFonts w:hint="eastAsia" w:hAnsi="Times New Roman"/>
                <w:color w:val="auto"/>
              </w:rPr>
              <w:t>设置储粪池用于牛粪的暂时贮存。</w:t>
            </w:r>
          </w:p>
        </w:tc>
        <w:tc>
          <w:tcPr>
            <w:tcW w:w="440" w:type="pct"/>
            <w:vMerge w:val="restart"/>
            <w:vAlign w:val="center"/>
          </w:tcPr>
          <w:p>
            <w:pPr>
              <w:pStyle w:val="84"/>
              <w:spacing w:line="0" w:lineRule="atLeast"/>
              <w:contextualSpacing/>
              <w:rPr>
                <w:rFonts w:hint="eastAsia" w:hAnsi="Times New Roman" w:eastAsia="宋体"/>
                <w:color w:val="auto"/>
                <w:lang w:eastAsia="zh-CN"/>
              </w:rPr>
            </w:pPr>
            <w:r>
              <w:rPr>
                <w:rFonts w:hint="eastAsia" w:hAnsi="Times New Roman"/>
                <w:color w:val="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4" w:type="pct"/>
            <w:vMerge w:val="continue"/>
            <w:vAlign w:val="center"/>
          </w:tcPr>
          <w:p>
            <w:pPr>
              <w:pStyle w:val="84"/>
              <w:spacing w:line="0" w:lineRule="atLeast"/>
              <w:contextualSpacing/>
              <w:rPr>
                <w:rFonts w:hAnsi="Times New Roman"/>
                <w:color w:val="auto"/>
              </w:rPr>
            </w:pPr>
          </w:p>
        </w:tc>
        <w:tc>
          <w:tcPr>
            <w:tcW w:w="1016" w:type="pct"/>
            <w:gridSpan w:val="2"/>
            <w:vAlign w:val="center"/>
          </w:tcPr>
          <w:p>
            <w:pPr>
              <w:pStyle w:val="84"/>
              <w:spacing w:line="0" w:lineRule="atLeast"/>
              <w:contextualSpacing/>
              <w:rPr>
                <w:rFonts w:hint="eastAsia" w:hAnsi="Times New Roman" w:eastAsia="宋体"/>
                <w:color w:val="auto"/>
                <w:lang w:val="en-US" w:eastAsia="zh-CN"/>
              </w:rPr>
            </w:pPr>
            <w:r>
              <w:rPr>
                <w:rFonts w:hint="eastAsia" w:hAnsi="Times New Roman"/>
                <w:color w:val="auto"/>
                <w:lang w:val="en-US" w:eastAsia="zh-CN"/>
              </w:rPr>
              <w:t>急宰间</w:t>
            </w:r>
          </w:p>
        </w:tc>
        <w:tc>
          <w:tcPr>
            <w:tcW w:w="3148" w:type="pct"/>
            <w:vAlign w:val="center"/>
          </w:tcPr>
          <w:p>
            <w:pPr>
              <w:pStyle w:val="84"/>
              <w:spacing w:line="0" w:lineRule="atLeast"/>
              <w:contextualSpacing/>
              <w:jc w:val="left"/>
              <w:rPr>
                <w:rFonts w:hint="default" w:hAnsi="Times New Roman" w:eastAsia="宋体"/>
                <w:color w:val="auto"/>
                <w:lang w:val="en-US" w:eastAsia="zh-CN"/>
              </w:rPr>
            </w:pPr>
            <w:r>
              <w:rPr>
                <w:rFonts w:hint="eastAsia" w:hAnsi="Times New Roman"/>
                <w:color w:val="auto"/>
                <w:lang w:val="en-US" w:eastAsia="zh-CN"/>
              </w:rPr>
              <w:t>1栋单层建筑，</w:t>
            </w:r>
            <w:r>
              <w:rPr>
                <w:rFonts w:hint="eastAsia" w:hAnsi="Times New Roman"/>
                <w:color w:val="auto"/>
              </w:rPr>
              <w:t>建筑面积</w:t>
            </w:r>
            <w:r>
              <w:rPr>
                <w:rFonts w:hint="eastAsia" w:hAnsi="Times New Roman"/>
                <w:color w:val="auto"/>
                <w:lang w:val="en-US" w:eastAsia="zh-CN"/>
              </w:rPr>
              <w:t>100</w:t>
            </w:r>
            <w:r>
              <w:rPr>
                <w:rFonts w:hint="eastAsia" w:hAnsi="Times New Roman"/>
                <w:color w:val="auto"/>
              </w:rPr>
              <w:t>m</w:t>
            </w:r>
            <w:r>
              <w:rPr>
                <w:rFonts w:hint="eastAsia" w:hAnsi="Times New Roman"/>
                <w:color w:val="auto"/>
                <w:vertAlign w:val="superscript"/>
              </w:rPr>
              <w:t>2</w:t>
            </w:r>
            <w:r>
              <w:rPr>
                <w:rFonts w:hint="eastAsia" w:hAnsi="Times New Roman"/>
                <w:color w:val="auto"/>
              </w:rPr>
              <w:t>，</w:t>
            </w:r>
            <w:r>
              <w:rPr>
                <w:rFonts w:hAnsi="Times New Roman"/>
                <w:color w:val="auto"/>
              </w:rPr>
              <w:t>层高为</w:t>
            </w:r>
            <w:r>
              <w:rPr>
                <w:rFonts w:hint="eastAsia" w:hAnsi="Times New Roman"/>
                <w:color w:val="auto"/>
              </w:rPr>
              <w:t>3</w:t>
            </w:r>
            <w:r>
              <w:rPr>
                <w:rFonts w:hAnsi="Times New Roman"/>
                <w:color w:val="auto"/>
              </w:rPr>
              <w:t>m，</w:t>
            </w:r>
            <w:r>
              <w:rPr>
                <w:rFonts w:hint="eastAsia" w:hAnsi="Times New Roman"/>
                <w:color w:val="auto"/>
                <w:lang w:val="en-US" w:eastAsia="zh-CN"/>
              </w:rPr>
              <w:t>内含检疫间，</w:t>
            </w:r>
            <w:r>
              <w:rPr>
                <w:rFonts w:hint="eastAsia" w:hAnsi="Times New Roman"/>
                <w:color w:val="000000" w:themeColor="text1"/>
              </w:rPr>
              <w:t>急宰间用于检验不合格牛的隔离和宰杀，隔离量10头。</w:t>
            </w:r>
            <w:r>
              <w:rPr>
                <w:rFonts w:hAnsi="Times New Roman"/>
                <w:color w:val="000000" w:themeColor="text1"/>
              </w:rPr>
              <w:t>其中检疫间用于肉牛防疫检查。</w:t>
            </w:r>
          </w:p>
        </w:tc>
        <w:tc>
          <w:tcPr>
            <w:tcW w:w="440" w:type="pct"/>
            <w:vMerge w:val="continue"/>
            <w:vAlign w:val="center"/>
          </w:tcPr>
          <w:p>
            <w:pPr>
              <w:pStyle w:val="84"/>
              <w:spacing w:line="0" w:lineRule="atLeast"/>
              <w:contextualSpacing/>
              <w:rPr>
                <w:rFonts w:hint="eastAsia" w:hAnsi="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394" w:type="pct"/>
            <w:vMerge w:val="continue"/>
            <w:vAlign w:val="center"/>
          </w:tcPr>
          <w:p>
            <w:pPr>
              <w:pStyle w:val="84"/>
              <w:spacing w:line="0" w:lineRule="atLeast"/>
              <w:contextualSpacing/>
              <w:rPr>
                <w:rFonts w:hAnsi="Times New Roman"/>
                <w:color w:val="FF0000"/>
              </w:rPr>
            </w:pPr>
          </w:p>
        </w:tc>
        <w:tc>
          <w:tcPr>
            <w:tcW w:w="1016" w:type="pct"/>
            <w:gridSpan w:val="2"/>
            <w:vAlign w:val="center"/>
          </w:tcPr>
          <w:p>
            <w:pPr>
              <w:pStyle w:val="84"/>
              <w:spacing w:line="0" w:lineRule="atLeast"/>
              <w:contextualSpacing/>
              <w:rPr>
                <w:rFonts w:hAnsi="Times New Roman"/>
                <w:color w:val="auto"/>
              </w:rPr>
            </w:pPr>
            <w:r>
              <w:rPr>
                <w:rFonts w:hAnsi="Times New Roman"/>
                <w:color w:val="auto"/>
              </w:rPr>
              <w:t>屠宰车间</w:t>
            </w:r>
          </w:p>
        </w:tc>
        <w:tc>
          <w:tcPr>
            <w:tcW w:w="3148" w:type="pct"/>
            <w:vAlign w:val="center"/>
          </w:tcPr>
          <w:p>
            <w:pPr>
              <w:pStyle w:val="84"/>
              <w:spacing w:line="0" w:lineRule="atLeast"/>
              <w:contextualSpacing/>
              <w:jc w:val="left"/>
              <w:rPr>
                <w:rFonts w:hAnsi="Times New Roman"/>
                <w:color w:val="auto"/>
              </w:rPr>
            </w:pPr>
            <w:r>
              <w:rPr>
                <w:rFonts w:hint="eastAsia" w:hAnsi="Times New Roman"/>
                <w:color w:val="auto"/>
              </w:rPr>
              <w:t>1栋单层建筑，建筑面积</w:t>
            </w:r>
            <w:r>
              <w:rPr>
                <w:rFonts w:hint="eastAsia" w:hAnsi="Times New Roman"/>
                <w:color w:val="auto"/>
                <w:lang w:val="en-US" w:eastAsia="zh-CN"/>
              </w:rPr>
              <w:t>2000</w:t>
            </w:r>
            <w:r>
              <w:rPr>
                <w:rFonts w:hint="eastAsia" w:hAnsi="Times New Roman"/>
                <w:color w:val="auto"/>
              </w:rPr>
              <w:t>m</w:t>
            </w:r>
            <w:r>
              <w:rPr>
                <w:rFonts w:hint="eastAsia" w:hAnsi="Times New Roman"/>
                <w:color w:val="auto"/>
                <w:vertAlign w:val="superscript"/>
              </w:rPr>
              <w:t>2</w:t>
            </w:r>
            <w:r>
              <w:rPr>
                <w:rFonts w:hint="eastAsia" w:hAnsi="Times New Roman"/>
                <w:color w:val="auto"/>
              </w:rPr>
              <w:t>，</w:t>
            </w:r>
            <w:r>
              <w:rPr>
                <w:rFonts w:hAnsi="Times New Roman"/>
                <w:color w:val="auto"/>
              </w:rPr>
              <w:t>层高为</w:t>
            </w:r>
            <w:r>
              <w:rPr>
                <w:rFonts w:hint="eastAsia" w:hAnsi="Times New Roman"/>
                <w:color w:val="auto"/>
                <w:lang w:val="en-US" w:eastAsia="zh-CN"/>
              </w:rPr>
              <w:t>8</w:t>
            </w:r>
            <w:r>
              <w:rPr>
                <w:rFonts w:hAnsi="Times New Roman"/>
                <w:color w:val="auto"/>
              </w:rPr>
              <w:t>m，</w:t>
            </w:r>
            <w:r>
              <w:rPr>
                <w:rFonts w:hint="eastAsia" w:hAnsi="Times New Roman"/>
                <w:color w:val="auto"/>
              </w:rPr>
              <w:t>内设一条全自动屠宰线以及内脏、头蹄、毛皮、牛血等储存间，年屠宰肉牛</w:t>
            </w:r>
            <w:r>
              <w:rPr>
                <w:rFonts w:hint="eastAsia" w:hAnsi="Times New Roman"/>
                <w:color w:val="auto"/>
                <w:lang w:eastAsia="zh-CN"/>
              </w:rPr>
              <w:t>2万</w:t>
            </w:r>
            <w:r>
              <w:rPr>
                <w:rFonts w:hAnsi="Times New Roman"/>
                <w:color w:val="auto"/>
              </w:rPr>
              <w:t>头。</w:t>
            </w:r>
            <w:r>
              <w:rPr>
                <w:rFonts w:hint="eastAsia" w:hAnsi="Times New Roman"/>
                <w:color w:val="auto"/>
              </w:rPr>
              <w:t>内置</w:t>
            </w:r>
            <w:r>
              <w:rPr>
                <w:rFonts w:hint="eastAsia" w:hAnsi="Times New Roman"/>
                <w:color w:val="auto"/>
                <w:lang w:eastAsia="zh-CN"/>
              </w:rPr>
              <w:t>危险废物贮存点</w:t>
            </w:r>
            <w:r>
              <w:rPr>
                <w:rFonts w:hint="eastAsia" w:hAnsi="Times New Roman"/>
                <w:color w:val="auto"/>
              </w:rPr>
              <w:t>，占地面积约10</w:t>
            </w:r>
            <w:r>
              <w:rPr>
                <w:rFonts w:hint="eastAsia"/>
                <w:color w:val="auto"/>
              </w:rPr>
              <w:t>m</w:t>
            </w:r>
            <w:r>
              <w:rPr>
                <w:rFonts w:hint="eastAsia"/>
                <w:color w:val="auto"/>
                <w:vertAlign w:val="superscript"/>
              </w:rPr>
              <w:t>2</w:t>
            </w:r>
            <w:r>
              <w:rPr>
                <w:rFonts w:hint="eastAsia"/>
                <w:color w:val="auto"/>
              </w:rPr>
              <w:t>。</w:t>
            </w:r>
          </w:p>
        </w:tc>
        <w:tc>
          <w:tcPr>
            <w:tcW w:w="440" w:type="pct"/>
            <w:vMerge w:val="continue"/>
            <w:vAlign w:val="center"/>
          </w:tcPr>
          <w:p>
            <w:pPr>
              <w:pStyle w:val="84"/>
              <w:spacing w:line="0" w:lineRule="atLeast"/>
              <w:contextualSpacing/>
              <w:rPr>
                <w:rFonts w:hAnsi="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 w:hRule="atLeast"/>
          <w:jc w:val="center"/>
        </w:trPr>
        <w:tc>
          <w:tcPr>
            <w:tcW w:w="394" w:type="pct"/>
            <w:vMerge w:val="restart"/>
            <w:vAlign w:val="center"/>
          </w:tcPr>
          <w:p>
            <w:pPr>
              <w:pStyle w:val="84"/>
              <w:spacing w:line="0" w:lineRule="atLeast"/>
              <w:contextualSpacing/>
              <w:rPr>
                <w:rFonts w:hAnsi="Times New Roman"/>
                <w:color w:val="auto"/>
              </w:rPr>
            </w:pPr>
            <w:r>
              <w:rPr>
                <w:rFonts w:hAnsi="Times New Roman"/>
                <w:color w:val="auto"/>
              </w:rPr>
              <w:t>辅助工程</w:t>
            </w:r>
          </w:p>
        </w:tc>
        <w:tc>
          <w:tcPr>
            <w:tcW w:w="1016" w:type="pct"/>
            <w:gridSpan w:val="2"/>
            <w:vAlign w:val="center"/>
          </w:tcPr>
          <w:p>
            <w:pPr>
              <w:pStyle w:val="84"/>
              <w:spacing w:line="0" w:lineRule="atLeast"/>
              <w:contextualSpacing/>
              <w:rPr>
                <w:rFonts w:hint="eastAsia" w:hAnsi="Times New Roman" w:eastAsia="宋体"/>
                <w:color w:val="auto"/>
                <w:lang w:eastAsia="zh-CN"/>
              </w:rPr>
            </w:pPr>
            <w:r>
              <w:rPr>
                <w:rFonts w:hint="eastAsia" w:hAnsi="Times New Roman"/>
                <w:color w:val="auto"/>
                <w:lang w:eastAsia="zh-CN"/>
              </w:rPr>
              <w:t>办公楼</w:t>
            </w:r>
          </w:p>
        </w:tc>
        <w:tc>
          <w:tcPr>
            <w:tcW w:w="3148" w:type="pct"/>
            <w:vAlign w:val="center"/>
          </w:tcPr>
          <w:p>
            <w:pPr>
              <w:pStyle w:val="84"/>
              <w:spacing w:line="0" w:lineRule="atLeast"/>
              <w:contextualSpacing/>
              <w:jc w:val="left"/>
              <w:rPr>
                <w:rFonts w:hAnsi="Times New Roman"/>
                <w:color w:val="auto"/>
              </w:rPr>
            </w:pPr>
            <w:r>
              <w:rPr>
                <w:rFonts w:hint="eastAsia" w:hAnsi="Times New Roman"/>
                <w:color w:val="auto"/>
                <w:lang w:val="en-US" w:eastAsia="zh-CN"/>
              </w:rPr>
              <w:t>2</w:t>
            </w:r>
            <w:r>
              <w:rPr>
                <w:rFonts w:hAnsi="Times New Roman"/>
                <w:color w:val="auto"/>
              </w:rPr>
              <w:t>栋</w:t>
            </w:r>
            <w:r>
              <w:rPr>
                <w:rFonts w:hint="eastAsia" w:hAnsi="Times New Roman"/>
                <w:color w:val="auto"/>
              </w:rPr>
              <w:t>2层建筑</w:t>
            </w:r>
            <w:r>
              <w:rPr>
                <w:rFonts w:hAnsi="Times New Roman"/>
                <w:color w:val="auto"/>
              </w:rPr>
              <w:t>，</w:t>
            </w:r>
            <w:r>
              <w:rPr>
                <w:rFonts w:hint="eastAsia" w:hAnsi="Times New Roman"/>
                <w:color w:val="auto"/>
              </w:rPr>
              <w:t>利用现有房屋，</w:t>
            </w:r>
            <w:r>
              <w:rPr>
                <w:rFonts w:hAnsi="Times New Roman"/>
                <w:color w:val="auto"/>
              </w:rPr>
              <w:t>建筑面积为</w:t>
            </w:r>
            <w:r>
              <w:rPr>
                <w:rFonts w:hint="eastAsia" w:hAnsi="Times New Roman"/>
                <w:color w:val="auto"/>
                <w:lang w:val="en-US" w:eastAsia="zh-CN"/>
              </w:rPr>
              <w:t>2200</w:t>
            </w:r>
            <w:r>
              <w:rPr>
                <w:rFonts w:hAnsi="Times New Roman"/>
                <w:color w:val="auto"/>
              </w:rPr>
              <w:t>m</w:t>
            </w:r>
            <w:r>
              <w:rPr>
                <w:rFonts w:hAnsi="Times New Roman"/>
                <w:color w:val="auto"/>
                <w:vertAlign w:val="superscript"/>
              </w:rPr>
              <w:t>2</w:t>
            </w:r>
            <w:r>
              <w:rPr>
                <w:rFonts w:hAnsi="Times New Roman"/>
                <w:color w:val="auto"/>
              </w:rPr>
              <w:t>，层高为</w:t>
            </w:r>
            <w:r>
              <w:rPr>
                <w:rFonts w:hint="eastAsia" w:hAnsi="Times New Roman"/>
                <w:color w:val="auto"/>
              </w:rPr>
              <w:t>6</w:t>
            </w:r>
            <w:r>
              <w:rPr>
                <w:rFonts w:hAnsi="Times New Roman"/>
                <w:color w:val="auto"/>
              </w:rPr>
              <w:t>m，用于员工办公及临时休息。</w:t>
            </w:r>
          </w:p>
        </w:tc>
        <w:tc>
          <w:tcPr>
            <w:tcW w:w="440" w:type="pct"/>
            <w:vMerge w:val="restart"/>
            <w:vAlign w:val="center"/>
          </w:tcPr>
          <w:p>
            <w:pPr>
              <w:pStyle w:val="84"/>
              <w:spacing w:line="0" w:lineRule="atLeast"/>
              <w:contextualSpacing/>
              <w:rPr>
                <w:rFonts w:hAnsi="Times New Roman"/>
                <w:color w:val="FF0000"/>
              </w:rPr>
            </w:pPr>
            <w:r>
              <w:rPr>
                <w:rFonts w:hint="eastAsia" w:hAnsi="Times New Roman"/>
                <w:color w:val="auto"/>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 w:hRule="atLeast"/>
          <w:jc w:val="center"/>
        </w:trPr>
        <w:tc>
          <w:tcPr>
            <w:tcW w:w="394" w:type="pct"/>
            <w:vMerge w:val="continue"/>
            <w:vAlign w:val="center"/>
          </w:tcPr>
          <w:p>
            <w:pPr>
              <w:pStyle w:val="84"/>
              <w:spacing w:line="0" w:lineRule="atLeast"/>
              <w:contextualSpacing/>
              <w:rPr>
                <w:rFonts w:hAnsi="Times New Roman"/>
                <w:color w:val="FF0000"/>
              </w:rPr>
            </w:pPr>
          </w:p>
        </w:tc>
        <w:tc>
          <w:tcPr>
            <w:tcW w:w="1016" w:type="pct"/>
            <w:gridSpan w:val="2"/>
            <w:vAlign w:val="center"/>
          </w:tcPr>
          <w:p>
            <w:pPr>
              <w:pStyle w:val="84"/>
              <w:spacing w:line="0" w:lineRule="atLeast"/>
              <w:contextualSpacing/>
              <w:rPr>
                <w:rFonts w:hAnsi="Times New Roman"/>
                <w:color w:val="auto"/>
              </w:rPr>
            </w:pPr>
            <w:r>
              <w:rPr>
                <w:rFonts w:hint="eastAsia" w:hAnsi="Times New Roman"/>
                <w:color w:val="auto"/>
              </w:rPr>
              <w:t>门卫</w:t>
            </w:r>
          </w:p>
        </w:tc>
        <w:tc>
          <w:tcPr>
            <w:tcW w:w="3148" w:type="pct"/>
            <w:vAlign w:val="center"/>
          </w:tcPr>
          <w:p>
            <w:pPr>
              <w:pStyle w:val="84"/>
              <w:spacing w:line="0" w:lineRule="atLeast"/>
              <w:contextualSpacing/>
              <w:jc w:val="left"/>
              <w:rPr>
                <w:rFonts w:hAnsi="Times New Roman"/>
                <w:color w:val="auto"/>
              </w:rPr>
            </w:pPr>
            <w:r>
              <w:rPr>
                <w:rFonts w:hAnsi="Times New Roman"/>
                <w:color w:val="auto"/>
              </w:rPr>
              <w:t>1栋</w:t>
            </w:r>
            <w:r>
              <w:rPr>
                <w:rFonts w:hint="eastAsia" w:hAnsi="Times New Roman"/>
                <w:color w:val="auto"/>
              </w:rPr>
              <w:t>1层建筑</w:t>
            </w:r>
            <w:r>
              <w:rPr>
                <w:rFonts w:hAnsi="Times New Roman"/>
                <w:color w:val="auto"/>
              </w:rPr>
              <w:t>，</w:t>
            </w:r>
            <w:r>
              <w:rPr>
                <w:rFonts w:hint="eastAsia" w:hAnsi="Times New Roman"/>
                <w:color w:val="auto"/>
              </w:rPr>
              <w:t>利用现有房屋，</w:t>
            </w:r>
            <w:r>
              <w:rPr>
                <w:rFonts w:hAnsi="Times New Roman"/>
                <w:color w:val="auto"/>
              </w:rPr>
              <w:t>建筑面积为</w:t>
            </w:r>
            <w:r>
              <w:rPr>
                <w:rFonts w:hint="eastAsia" w:hAnsi="Times New Roman"/>
                <w:color w:val="auto"/>
              </w:rPr>
              <w:t>10</w:t>
            </w:r>
            <w:r>
              <w:rPr>
                <w:rFonts w:hAnsi="Times New Roman"/>
                <w:color w:val="auto"/>
              </w:rPr>
              <w:t>m</w:t>
            </w:r>
            <w:r>
              <w:rPr>
                <w:rFonts w:hAnsi="Times New Roman"/>
                <w:color w:val="auto"/>
                <w:vertAlign w:val="superscript"/>
              </w:rPr>
              <w:t>2</w:t>
            </w:r>
            <w:r>
              <w:rPr>
                <w:rFonts w:hAnsi="Times New Roman"/>
                <w:color w:val="auto"/>
              </w:rPr>
              <w:t>，层高为</w:t>
            </w:r>
            <w:r>
              <w:rPr>
                <w:rFonts w:hint="eastAsia" w:hAnsi="Times New Roman"/>
                <w:color w:val="auto"/>
              </w:rPr>
              <w:t>3</w:t>
            </w:r>
            <w:r>
              <w:rPr>
                <w:rFonts w:hAnsi="Times New Roman"/>
                <w:color w:val="auto"/>
              </w:rPr>
              <w:t>m，用于进出车辆管理。</w:t>
            </w:r>
          </w:p>
        </w:tc>
        <w:tc>
          <w:tcPr>
            <w:tcW w:w="440" w:type="pct"/>
            <w:vMerge w:val="continue"/>
            <w:vAlign w:val="center"/>
          </w:tcPr>
          <w:p>
            <w:pPr>
              <w:pStyle w:val="84"/>
              <w:spacing w:line="0" w:lineRule="atLeast"/>
              <w:contextualSpacing/>
              <w:rPr>
                <w:rFonts w:hAnsi="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4" w:type="pct"/>
            <w:vMerge w:val="continue"/>
            <w:vAlign w:val="center"/>
          </w:tcPr>
          <w:p>
            <w:pPr>
              <w:pStyle w:val="84"/>
              <w:spacing w:line="0" w:lineRule="atLeast"/>
              <w:contextualSpacing/>
              <w:rPr>
                <w:rFonts w:hAnsi="Times New Roman"/>
                <w:color w:val="FF0000"/>
              </w:rPr>
            </w:pPr>
          </w:p>
        </w:tc>
        <w:tc>
          <w:tcPr>
            <w:tcW w:w="1016" w:type="pct"/>
            <w:gridSpan w:val="2"/>
            <w:vAlign w:val="center"/>
          </w:tcPr>
          <w:p>
            <w:pPr>
              <w:pStyle w:val="84"/>
              <w:spacing w:line="0" w:lineRule="atLeast"/>
              <w:contextualSpacing/>
              <w:rPr>
                <w:rFonts w:hint="eastAsia" w:hAnsi="Times New Roman" w:eastAsia="宋体"/>
                <w:color w:val="auto"/>
                <w:lang w:val="en-US" w:eastAsia="zh-CN"/>
              </w:rPr>
            </w:pPr>
            <w:r>
              <w:rPr>
                <w:rFonts w:hint="eastAsia" w:hAnsi="Times New Roman"/>
                <w:color w:val="auto"/>
                <w:lang w:val="en-US" w:eastAsia="zh-CN"/>
              </w:rPr>
              <w:t>锅炉房</w:t>
            </w:r>
          </w:p>
        </w:tc>
        <w:tc>
          <w:tcPr>
            <w:tcW w:w="3148" w:type="pct"/>
            <w:vAlign w:val="center"/>
          </w:tcPr>
          <w:p>
            <w:pPr>
              <w:pStyle w:val="84"/>
              <w:spacing w:line="0" w:lineRule="atLeast"/>
              <w:contextualSpacing/>
              <w:jc w:val="left"/>
              <w:rPr>
                <w:rFonts w:hint="default" w:hAnsi="Times New Roman" w:eastAsia="宋体"/>
                <w:color w:val="auto"/>
                <w:lang w:val="en-US" w:eastAsia="zh-CN"/>
              </w:rPr>
            </w:pPr>
            <w:r>
              <w:rPr>
                <w:rFonts w:hAnsi="Times New Roman"/>
                <w:color w:val="auto"/>
              </w:rPr>
              <w:t>1栋</w:t>
            </w:r>
            <w:r>
              <w:rPr>
                <w:rFonts w:hint="eastAsia" w:hAnsi="Times New Roman"/>
                <w:color w:val="auto"/>
              </w:rPr>
              <w:t>1层建筑</w:t>
            </w:r>
            <w:r>
              <w:rPr>
                <w:rFonts w:hAnsi="Times New Roman"/>
                <w:color w:val="auto"/>
              </w:rPr>
              <w:t>，</w:t>
            </w:r>
            <w:r>
              <w:rPr>
                <w:rFonts w:hint="eastAsia" w:hAnsi="Times New Roman"/>
                <w:color w:val="auto"/>
              </w:rPr>
              <w:t>利用现有房屋，</w:t>
            </w:r>
            <w:r>
              <w:rPr>
                <w:rFonts w:hAnsi="Times New Roman"/>
                <w:color w:val="auto"/>
              </w:rPr>
              <w:t>建筑面积为</w:t>
            </w:r>
            <w:r>
              <w:rPr>
                <w:rFonts w:hint="eastAsia" w:hAnsi="Times New Roman"/>
                <w:color w:val="auto"/>
                <w:lang w:val="en-US" w:eastAsia="zh-CN"/>
              </w:rPr>
              <w:t>10</w:t>
            </w:r>
            <w:r>
              <w:rPr>
                <w:rFonts w:hint="eastAsia" w:hAnsi="Times New Roman"/>
                <w:color w:val="auto"/>
              </w:rPr>
              <w:t>0</w:t>
            </w:r>
            <w:r>
              <w:rPr>
                <w:rFonts w:hAnsi="Times New Roman"/>
                <w:color w:val="auto"/>
              </w:rPr>
              <w:t>m</w:t>
            </w:r>
            <w:r>
              <w:rPr>
                <w:rFonts w:hAnsi="Times New Roman"/>
                <w:color w:val="auto"/>
                <w:vertAlign w:val="superscript"/>
              </w:rPr>
              <w:t>2</w:t>
            </w:r>
            <w:r>
              <w:rPr>
                <w:rFonts w:hAnsi="Times New Roman"/>
                <w:color w:val="auto"/>
              </w:rPr>
              <w:t>，</w:t>
            </w:r>
            <w:r>
              <w:rPr>
                <w:rFonts w:hint="eastAsia" w:hAnsi="Times New Roman"/>
                <w:color w:val="auto"/>
                <w:lang w:val="en-US" w:eastAsia="zh-CN"/>
              </w:rPr>
              <w:t>内放置1台2.1MW生物质热水锅炉。</w:t>
            </w:r>
          </w:p>
        </w:tc>
        <w:tc>
          <w:tcPr>
            <w:tcW w:w="440" w:type="pct"/>
            <w:vMerge w:val="continue"/>
            <w:vAlign w:val="center"/>
          </w:tcPr>
          <w:p>
            <w:pPr>
              <w:pStyle w:val="84"/>
              <w:spacing w:line="0" w:lineRule="atLeast"/>
              <w:contextualSpacing/>
              <w:rPr>
                <w:rFonts w:hAnsi="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394" w:type="pct"/>
            <w:vMerge w:val="continue"/>
            <w:vAlign w:val="center"/>
          </w:tcPr>
          <w:p>
            <w:pPr>
              <w:pStyle w:val="84"/>
              <w:spacing w:line="0" w:lineRule="atLeast"/>
              <w:contextualSpacing/>
              <w:rPr>
                <w:rFonts w:hAnsi="Times New Roman"/>
                <w:color w:val="FF0000"/>
              </w:rPr>
            </w:pPr>
          </w:p>
        </w:tc>
        <w:tc>
          <w:tcPr>
            <w:tcW w:w="1016" w:type="pct"/>
            <w:gridSpan w:val="2"/>
            <w:vAlign w:val="center"/>
          </w:tcPr>
          <w:p>
            <w:pPr>
              <w:pStyle w:val="84"/>
              <w:spacing w:line="0" w:lineRule="atLeast"/>
              <w:contextualSpacing/>
              <w:rPr>
                <w:rFonts w:hAnsi="Times New Roman"/>
                <w:color w:val="auto"/>
              </w:rPr>
            </w:pPr>
            <w:r>
              <w:rPr>
                <w:rFonts w:hint="eastAsia" w:hAnsi="Times New Roman"/>
                <w:color w:val="auto"/>
              </w:rPr>
              <w:t>食堂</w:t>
            </w:r>
          </w:p>
        </w:tc>
        <w:tc>
          <w:tcPr>
            <w:tcW w:w="3148" w:type="pct"/>
            <w:vAlign w:val="center"/>
          </w:tcPr>
          <w:p>
            <w:pPr>
              <w:pStyle w:val="84"/>
              <w:spacing w:line="0" w:lineRule="atLeast"/>
              <w:contextualSpacing/>
              <w:jc w:val="left"/>
              <w:rPr>
                <w:rFonts w:hAnsi="Times New Roman"/>
                <w:color w:val="auto"/>
              </w:rPr>
            </w:pPr>
            <w:r>
              <w:rPr>
                <w:rFonts w:hint="eastAsia" w:hAnsi="Times New Roman"/>
                <w:color w:val="auto"/>
                <w:lang w:val="en-US" w:eastAsia="zh-CN"/>
              </w:rPr>
              <w:t>位于1栋办公楼内</w:t>
            </w:r>
            <w:r>
              <w:rPr>
                <w:rFonts w:hAnsi="Times New Roman"/>
                <w:color w:val="auto"/>
              </w:rPr>
              <w:t>，</w:t>
            </w:r>
            <w:r>
              <w:rPr>
                <w:rFonts w:hint="eastAsia" w:hAnsi="Times New Roman"/>
                <w:color w:val="auto"/>
              </w:rPr>
              <w:t>利用现有房屋，</w:t>
            </w:r>
            <w:r>
              <w:rPr>
                <w:rFonts w:hAnsi="Times New Roman"/>
                <w:color w:val="auto"/>
              </w:rPr>
              <w:t>建筑面积为</w:t>
            </w:r>
            <w:r>
              <w:rPr>
                <w:rFonts w:hint="eastAsia" w:hAnsi="Times New Roman"/>
                <w:color w:val="auto"/>
              </w:rPr>
              <w:t>50</w:t>
            </w:r>
            <w:r>
              <w:rPr>
                <w:rFonts w:hAnsi="Times New Roman"/>
                <w:color w:val="auto"/>
              </w:rPr>
              <w:t>m</w:t>
            </w:r>
            <w:r>
              <w:rPr>
                <w:rFonts w:hAnsi="Times New Roman"/>
                <w:color w:val="auto"/>
                <w:vertAlign w:val="superscript"/>
              </w:rPr>
              <w:t>2</w:t>
            </w:r>
            <w:r>
              <w:rPr>
                <w:rFonts w:hAnsi="Times New Roman"/>
                <w:color w:val="auto"/>
              </w:rPr>
              <w:t>，层高为</w:t>
            </w:r>
            <w:r>
              <w:rPr>
                <w:rFonts w:hint="eastAsia" w:hAnsi="Times New Roman"/>
                <w:color w:val="auto"/>
              </w:rPr>
              <w:t>3</w:t>
            </w:r>
            <w:r>
              <w:rPr>
                <w:rFonts w:hAnsi="Times New Roman"/>
                <w:color w:val="auto"/>
              </w:rPr>
              <w:t>m，食堂内置两个灶头，一日一餐。</w:t>
            </w:r>
          </w:p>
        </w:tc>
        <w:tc>
          <w:tcPr>
            <w:tcW w:w="440" w:type="pct"/>
            <w:vMerge w:val="continue"/>
            <w:vAlign w:val="center"/>
          </w:tcPr>
          <w:p>
            <w:pPr>
              <w:pStyle w:val="84"/>
              <w:spacing w:line="0" w:lineRule="atLeast"/>
              <w:contextualSpacing/>
              <w:rPr>
                <w:rFonts w:hAnsi="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394" w:type="pct"/>
            <w:vMerge w:val="restart"/>
            <w:vAlign w:val="center"/>
          </w:tcPr>
          <w:p>
            <w:pPr>
              <w:pStyle w:val="84"/>
              <w:spacing w:line="0" w:lineRule="atLeast"/>
              <w:contextualSpacing/>
              <w:rPr>
                <w:rFonts w:hAnsi="Times New Roman"/>
                <w:color w:val="auto"/>
              </w:rPr>
            </w:pPr>
            <w:r>
              <w:rPr>
                <w:rFonts w:hAnsi="Times New Roman"/>
                <w:color w:val="auto"/>
              </w:rPr>
              <w:t>储运工程</w:t>
            </w:r>
          </w:p>
        </w:tc>
        <w:tc>
          <w:tcPr>
            <w:tcW w:w="1016" w:type="pct"/>
            <w:gridSpan w:val="2"/>
            <w:vAlign w:val="center"/>
          </w:tcPr>
          <w:p>
            <w:pPr>
              <w:pStyle w:val="84"/>
              <w:spacing w:line="0" w:lineRule="atLeast"/>
              <w:contextualSpacing/>
              <w:rPr>
                <w:rFonts w:hAnsi="Times New Roman"/>
                <w:color w:val="auto"/>
              </w:rPr>
            </w:pPr>
            <w:r>
              <w:rPr>
                <w:rFonts w:hint="eastAsia" w:hAnsi="Times New Roman"/>
                <w:color w:val="auto"/>
              </w:rPr>
              <w:t>冷库</w:t>
            </w:r>
          </w:p>
        </w:tc>
        <w:tc>
          <w:tcPr>
            <w:tcW w:w="3148" w:type="pct"/>
            <w:vAlign w:val="center"/>
          </w:tcPr>
          <w:p>
            <w:pPr>
              <w:pStyle w:val="84"/>
              <w:spacing w:line="0" w:lineRule="atLeast"/>
              <w:contextualSpacing/>
              <w:jc w:val="left"/>
              <w:rPr>
                <w:rFonts w:hAnsi="Times New Roman"/>
                <w:color w:val="auto"/>
              </w:rPr>
            </w:pPr>
            <w:r>
              <w:rPr>
                <w:rFonts w:hAnsi="Times New Roman"/>
                <w:color w:val="auto"/>
              </w:rPr>
              <w:t>1栋</w:t>
            </w:r>
            <w:r>
              <w:rPr>
                <w:rFonts w:hint="eastAsia" w:hAnsi="Times New Roman"/>
                <w:color w:val="auto"/>
              </w:rPr>
              <w:t>1层建筑</w:t>
            </w:r>
            <w:r>
              <w:rPr>
                <w:rFonts w:hAnsi="Times New Roman"/>
                <w:color w:val="auto"/>
              </w:rPr>
              <w:t>，</w:t>
            </w:r>
            <w:r>
              <w:rPr>
                <w:rFonts w:hint="eastAsia" w:hAnsi="Times New Roman"/>
                <w:color w:val="auto"/>
              </w:rPr>
              <w:t>利用现有房屋，</w:t>
            </w:r>
            <w:r>
              <w:rPr>
                <w:rFonts w:hAnsi="Times New Roman"/>
                <w:color w:val="auto"/>
              </w:rPr>
              <w:t>建筑面积为</w:t>
            </w:r>
            <w:r>
              <w:rPr>
                <w:rFonts w:hint="eastAsia" w:hAnsi="Times New Roman"/>
                <w:color w:val="auto"/>
                <w:lang w:val="en-US" w:eastAsia="zh-CN"/>
              </w:rPr>
              <w:t>3600</w:t>
            </w:r>
            <w:r>
              <w:rPr>
                <w:rFonts w:hAnsi="Times New Roman"/>
                <w:color w:val="auto"/>
              </w:rPr>
              <w:t>m</w:t>
            </w:r>
            <w:r>
              <w:rPr>
                <w:rFonts w:hAnsi="Times New Roman"/>
                <w:color w:val="auto"/>
                <w:vertAlign w:val="superscript"/>
              </w:rPr>
              <w:t>2</w:t>
            </w:r>
            <w:r>
              <w:rPr>
                <w:rFonts w:hint="eastAsia" w:hAnsi="Times New Roman"/>
                <w:color w:val="auto"/>
                <w:lang w:eastAsia="zh-CN"/>
              </w:rPr>
              <w:t>。</w:t>
            </w:r>
          </w:p>
        </w:tc>
        <w:tc>
          <w:tcPr>
            <w:tcW w:w="440" w:type="pct"/>
            <w:vMerge w:val="restart"/>
            <w:vAlign w:val="center"/>
          </w:tcPr>
          <w:p>
            <w:pPr>
              <w:pStyle w:val="84"/>
              <w:spacing w:line="0" w:lineRule="atLeast"/>
              <w:contextualSpacing/>
              <w:rPr>
                <w:rFonts w:hAnsi="Times New Roman"/>
                <w:color w:val="auto"/>
              </w:rPr>
            </w:pPr>
            <w:r>
              <w:rPr>
                <w:rFonts w:hint="eastAsia" w:hAnsi="Times New Roman"/>
                <w:color w:val="auto"/>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394" w:type="pct"/>
            <w:vMerge w:val="continue"/>
            <w:vAlign w:val="center"/>
          </w:tcPr>
          <w:p>
            <w:pPr>
              <w:pStyle w:val="84"/>
              <w:spacing w:line="0" w:lineRule="atLeast"/>
              <w:contextualSpacing/>
              <w:rPr>
                <w:rFonts w:hAnsi="Times New Roman"/>
                <w:color w:val="auto"/>
              </w:rPr>
            </w:pPr>
          </w:p>
        </w:tc>
        <w:tc>
          <w:tcPr>
            <w:tcW w:w="1016" w:type="pct"/>
            <w:gridSpan w:val="2"/>
            <w:vAlign w:val="center"/>
          </w:tcPr>
          <w:p>
            <w:pPr>
              <w:pStyle w:val="84"/>
              <w:spacing w:line="0" w:lineRule="atLeast"/>
              <w:contextualSpacing/>
              <w:rPr>
                <w:rFonts w:hint="default" w:hAnsi="Times New Roman" w:eastAsia="宋体"/>
                <w:color w:val="auto"/>
                <w:lang w:val="en-US" w:eastAsia="zh-CN"/>
              </w:rPr>
            </w:pPr>
            <w:r>
              <w:rPr>
                <w:rFonts w:hint="eastAsia" w:hAnsi="Times New Roman"/>
                <w:color w:val="auto"/>
                <w:lang w:val="en-US" w:eastAsia="zh-CN"/>
              </w:rPr>
              <w:t>储氨房</w:t>
            </w:r>
          </w:p>
        </w:tc>
        <w:tc>
          <w:tcPr>
            <w:tcW w:w="3148" w:type="pct"/>
            <w:vAlign w:val="center"/>
          </w:tcPr>
          <w:p>
            <w:pPr>
              <w:pStyle w:val="84"/>
              <w:spacing w:line="0" w:lineRule="atLeast"/>
              <w:contextualSpacing/>
              <w:jc w:val="left"/>
              <w:rPr>
                <w:rFonts w:hint="default" w:hAnsi="Times New Roman" w:eastAsia="宋体"/>
                <w:color w:val="auto"/>
                <w:lang w:val="en-US" w:eastAsia="zh-CN"/>
              </w:rPr>
            </w:pPr>
            <w:r>
              <w:rPr>
                <w:rFonts w:hint="eastAsia" w:hAnsi="Times New Roman"/>
                <w:color w:val="auto"/>
                <w:lang w:val="en-US" w:eastAsia="zh-CN"/>
              </w:rPr>
              <w:t>1栋1层建筑，利用现有房屋，建筑面积500m</w:t>
            </w:r>
            <w:r>
              <w:rPr>
                <w:rFonts w:hint="eastAsia" w:hAnsi="Times New Roman"/>
                <w:color w:val="auto"/>
                <w:vertAlign w:val="superscript"/>
                <w:lang w:val="en-US" w:eastAsia="zh-CN"/>
              </w:rPr>
              <w:t>2</w:t>
            </w:r>
          </w:p>
        </w:tc>
        <w:tc>
          <w:tcPr>
            <w:tcW w:w="440" w:type="pct"/>
            <w:vMerge w:val="continue"/>
            <w:vAlign w:val="center"/>
          </w:tcPr>
          <w:p>
            <w:pPr>
              <w:pStyle w:val="84"/>
              <w:spacing w:line="0" w:lineRule="atLeast"/>
              <w:contextualSpacing/>
              <w:rPr>
                <w:rFonts w:hint="eastAsia" w:hAnsi="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394" w:type="pct"/>
            <w:vMerge w:val="continue"/>
            <w:vAlign w:val="center"/>
          </w:tcPr>
          <w:p>
            <w:pPr>
              <w:pStyle w:val="84"/>
              <w:spacing w:line="0" w:lineRule="atLeast"/>
              <w:contextualSpacing/>
              <w:rPr>
                <w:rFonts w:hAnsi="Times New Roman"/>
                <w:color w:val="auto"/>
              </w:rPr>
            </w:pPr>
          </w:p>
        </w:tc>
        <w:tc>
          <w:tcPr>
            <w:tcW w:w="1016" w:type="pct"/>
            <w:gridSpan w:val="2"/>
            <w:vAlign w:val="center"/>
          </w:tcPr>
          <w:p>
            <w:pPr>
              <w:pStyle w:val="84"/>
              <w:spacing w:line="0" w:lineRule="atLeast"/>
              <w:contextualSpacing/>
              <w:rPr>
                <w:rFonts w:hAnsi="Times New Roman"/>
                <w:color w:val="auto"/>
              </w:rPr>
            </w:pPr>
            <w:r>
              <w:rPr>
                <w:rFonts w:hint="eastAsia" w:hAnsi="Times New Roman"/>
                <w:color w:val="auto"/>
              </w:rPr>
              <w:t>库房</w:t>
            </w:r>
          </w:p>
        </w:tc>
        <w:tc>
          <w:tcPr>
            <w:tcW w:w="3148" w:type="pct"/>
            <w:vAlign w:val="center"/>
          </w:tcPr>
          <w:p>
            <w:pPr>
              <w:pStyle w:val="84"/>
              <w:spacing w:line="0" w:lineRule="atLeast"/>
              <w:contextualSpacing/>
              <w:jc w:val="left"/>
              <w:rPr>
                <w:rFonts w:hAnsi="Times New Roman"/>
                <w:color w:val="auto"/>
              </w:rPr>
            </w:pPr>
            <w:r>
              <w:rPr>
                <w:rFonts w:hAnsi="Times New Roman"/>
                <w:color w:val="auto"/>
              </w:rPr>
              <w:t>1栋</w:t>
            </w:r>
            <w:r>
              <w:rPr>
                <w:rFonts w:hint="eastAsia" w:hAnsi="Times New Roman"/>
                <w:color w:val="auto"/>
              </w:rPr>
              <w:t>1层建筑</w:t>
            </w:r>
            <w:r>
              <w:rPr>
                <w:rFonts w:hAnsi="Times New Roman"/>
                <w:color w:val="auto"/>
              </w:rPr>
              <w:t>，</w:t>
            </w:r>
            <w:r>
              <w:rPr>
                <w:rFonts w:hint="eastAsia" w:hAnsi="Times New Roman"/>
                <w:color w:val="auto"/>
              </w:rPr>
              <w:t>利用现有房屋，</w:t>
            </w:r>
            <w:r>
              <w:rPr>
                <w:rFonts w:hAnsi="Times New Roman"/>
                <w:color w:val="auto"/>
              </w:rPr>
              <w:t>建筑面积为</w:t>
            </w:r>
            <w:r>
              <w:rPr>
                <w:rFonts w:hint="eastAsia" w:hAnsi="Times New Roman"/>
                <w:color w:val="auto"/>
              </w:rPr>
              <w:t>1</w:t>
            </w:r>
            <w:r>
              <w:rPr>
                <w:rFonts w:hint="eastAsia" w:hAnsi="Times New Roman"/>
                <w:color w:val="auto"/>
                <w:lang w:val="en-US" w:eastAsia="zh-CN"/>
              </w:rPr>
              <w:t>0</w:t>
            </w:r>
            <w:r>
              <w:rPr>
                <w:rFonts w:hint="eastAsia" w:hAnsi="Times New Roman"/>
                <w:color w:val="auto"/>
              </w:rPr>
              <w:t>0</w:t>
            </w:r>
            <w:r>
              <w:rPr>
                <w:rFonts w:hAnsi="Times New Roman"/>
                <w:color w:val="auto"/>
              </w:rPr>
              <w:t>m</w:t>
            </w:r>
            <w:r>
              <w:rPr>
                <w:rFonts w:hAnsi="Times New Roman"/>
                <w:color w:val="auto"/>
                <w:vertAlign w:val="superscript"/>
              </w:rPr>
              <w:t>2</w:t>
            </w:r>
            <w:r>
              <w:rPr>
                <w:rFonts w:hAnsi="Times New Roman"/>
                <w:color w:val="auto"/>
              </w:rPr>
              <w:t>，</w:t>
            </w:r>
            <w:r>
              <w:rPr>
                <w:rFonts w:hint="eastAsia" w:hAnsi="Times New Roman"/>
                <w:color w:val="auto"/>
              </w:rPr>
              <w:t>主要用于存储活性炭、维修工具等杂物，最大存储量约30t。</w:t>
            </w:r>
          </w:p>
        </w:tc>
        <w:tc>
          <w:tcPr>
            <w:tcW w:w="440" w:type="pct"/>
            <w:vMerge w:val="continue"/>
            <w:vAlign w:val="center"/>
          </w:tcPr>
          <w:p>
            <w:pPr>
              <w:pStyle w:val="84"/>
              <w:spacing w:line="0" w:lineRule="atLeast"/>
              <w:contextualSpacing/>
              <w:rPr>
                <w:rFonts w:hAnsi="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394" w:type="pct"/>
            <w:vMerge w:val="continue"/>
            <w:vAlign w:val="center"/>
          </w:tcPr>
          <w:p>
            <w:pPr>
              <w:pStyle w:val="84"/>
              <w:spacing w:line="0" w:lineRule="atLeast"/>
              <w:contextualSpacing/>
              <w:rPr>
                <w:rFonts w:hAnsi="Times New Roman"/>
                <w:color w:val="auto"/>
              </w:rPr>
            </w:pPr>
          </w:p>
        </w:tc>
        <w:tc>
          <w:tcPr>
            <w:tcW w:w="1016" w:type="pct"/>
            <w:gridSpan w:val="2"/>
            <w:vAlign w:val="center"/>
          </w:tcPr>
          <w:p>
            <w:pPr>
              <w:pStyle w:val="84"/>
              <w:spacing w:line="0" w:lineRule="atLeast"/>
              <w:contextualSpacing/>
              <w:rPr>
                <w:rFonts w:hAnsi="Times New Roman"/>
                <w:color w:val="auto"/>
              </w:rPr>
            </w:pPr>
            <w:r>
              <w:rPr>
                <w:rFonts w:hint="eastAsia" w:hAnsi="Times New Roman"/>
                <w:color w:val="auto"/>
              </w:rPr>
              <w:t>储药间</w:t>
            </w:r>
          </w:p>
        </w:tc>
        <w:tc>
          <w:tcPr>
            <w:tcW w:w="3148" w:type="pct"/>
            <w:vAlign w:val="center"/>
          </w:tcPr>
          <w:p>
            <w:pPr>
              <w:pStyle w:val="84"/>
              <w:spacing w:line="0" w:lineRule="atLeast"/>
              <w:contextualSpacing/>
              <w:jc w:val="left"/>
              <w:rPr>
                <w:rFonts w:hAnsi="Times New Roman"/>
                <w:color w:val="auto"/>
              </w:rPr>
            </w:pPr>
            <w:r>
              <w:rPr>
                <w:rFonts w:hAnsi="Times New Roman"/>
                <w:color w:val="auto"/>
              </w:rPr>
              <w:t>位于污水处理站内，暂存</w:t>
            </w:r>
            <w:r>
              <w:rPr>
                <w:rFonts w:hint="eastAsia" w:hAnsi="Times New Roman"/>
                <w:color w:val="auto"/>
              </w:rPr>
              <w:t>絮凝剂、消毒剂</w:t>
            </w:r>
            <w:r>
              <w:rPr>
                <w:rFonts w:hAnsi="Times New Roman"/>
                <w:color w:val="auto"/>
              </w:rPr>
              <w:t>，最大存储量约</w:t>
            </w:r>
            <w:r>
              <w:rPr>
                <w:rFonts w:hint="eastAsia" w:hAnsi="Times New Roman"/>
                <w:color w:val="auto"/>
              </w:rPr>
              <w:t>2t。</w:t>
            </w:r>
          </w:p>
        </w:tc>
        <w:tc>
          <w:tcPr>
            <w:tcW w:w="440" w:type="pct"/>
            <w:vMerge w:val="restart"/>
            <w:vAlign w:val="center"/>
          </w:tcPr>
          <w:p>
            <w:pPr>
              <w:pStyle w:val="74"/>
              <w:adjustRightInd/>
              <w:snapToGrid/>
              <w:spacing w:line="0" w:lineRule="atLeast"/>
              <w:ind w:firstLine="0" w:firstLineChars="0"/>
              <w:contextualSpacing/>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394" w:type="pct"/>
            <w:vMerge w:val="continue"/>
            <w:vAlign w:val="center"/>
          </w:tcPr>
          <w:p>
            <w:pPr>
              <w:pStyle w:val="84"/>
              <w:spacing w:line="0" w:lineRule="atLeast"/>
              <w:contextualSpacing/>
              <w:rPr>
                <w:rFonts w:hAnsi="Times New Roman"/>
                <w:color w:val="FF0000"/>
              </w:rPr>
            </w:pPr>
          </w:p>
        </w:tc>
        <w:tc>
          <w:tcPr>
            <w:tcW w:w="1016" w:type="pct"/>
            <w:gridSpan w:val="2"/>
            <w:vAlign w:val="center"/>
          </w:tcPr>
          <w:p>
            <w:pPr>
              <w:pStyle w:val="84"/>
              <w:spacing w:line="0" w:lineRule="atLeast"/>
              <w:contextualSpacing/>
              <w:rPr>
                <w:rFonts w:hAnsi="Times New Roman"/>
                <w:color w:val="auto"/>
              </w:rPr>
            </w:pPr>
            <w:r>
              <w:rPr>
                <w:rFonts w:hint="eastAsia" w:hAnsi="Times New Roman"/>
                <w:color w:val="auto"/>
              </w:rPr>
              <w:t>污泥暂存池</w:t>
            </w:r>
          </w:p>
        </w:tc>
        <w:tc>
          <w:tcPr>
            <w:tcW w:w="3148" w:type="pct"/>
            <w:vAlign w:val="center"/>
          </w:tcPr>
          <w:p>
            <w:pPr>
              <w:pStyle w:val="84"/>
              <w:spacing w:line="0" w:lineRule="atLeast"/>
              <w:contextualSpacing/>
              <w:jc w:val="left"/>
              <w:rPr>
                <w:rFonts w:hAnsi="Times New Roman"/>
                <w:color w:val="auto"/>
              </w:rPr>
            </w:pPr>
            <w:r>
              <w:rPr>
                <w:rFonts w:hAnsi="Times New Roman"/>
                <w:color w:val="auto"/>
              </w:rPr>
              <w:t>位于污水处理站内，地下建筑，体积约</w:t>
            </w:r>
            <w:r>
              <w:rPr>
                <w:rFonts w:hint="eastAsia" w:hAnsi="Times New Roman"/>
                <w:color w:val="auto"/>
              </w:rPr>
              <w:t>10m</w:t>
            </w:r>
            <w:r>
              <w:rPr>
                <w:rFonts w:hint="eastAsia" w:hAnsi="Times New Roman"/>
                <w:color w:val="auto"/>
                <w:vertAlign w:val="superscript"/>
              </w:rPr>
              <w:t>3</w:t>
            </w:r>
            <w:r>
              <w:rPr>
                <w:rFonts w:hint="eastAsia" w:hAnsi="Times New Roman"/>
                <w:color w:val="auto"/>
              </w:rPr>
              <w:t>，最大储存量约8t。</w:t>
            </w:r>
          </w:p>
        </w:tc>
        <w:tc>
          <w:tcPr>
            <w:tcW w:w="440" w:type="pct"/>
            <w:vMerge w:val="continue"/>
            <w:vAlign w:val="center"/>
          </w:tcPr>
          <w:p>
            <w:pPr>
              <w:pStyle w:val="84"/>
              <w:spacing w:line="0" w:lineRule="atLeast"/>
              <w:contextualSpacing/>
              <w:rPr>
                <w:rFonts w:hAnsi="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394" w:type="pct"/>
            <w:vMerge w:val="continue"/>
            <w:vAlign w:val="center"/>
          </w:tcPr>
          <w:p>
            <w:pPr>
              <w:pStyle w:val="84"/>
              <w:spacing w:line="0" w:lineRule="atLeast"/>
              <w:contextualSpacing/>
              <w:rPr>
                <w:rFonts w:hAnsi="Times New Roman"/>
                <w:color w:val="FF0000"/>
              </w:rPr>
            </w:pPr>
          </w:p>
        </w:tc>
        <w:tc>
          <w:tcPr>
            <w:tcW w:w="1016" w:type="pct"/>
            <w:gridSpan w:val="2"/>
            <w:vAlign w:val="center"/>
          </w:tcPr>
          <w:p>
            <w:pPr>
              <w:pStyle w:val="84"/>
              <w:spacing w:line="0" w:lineRule="atLeast"/>
              <w:contextualSpacing/>
              <w:rPr>
                <w:rFonts w:hint="eastAsia" w:hAnsi="Times New Roman" w:eastAsia="宋体"/>
                <w:color w:val="auto"/>
                <w:lang w:eastAsia="zh-CN"/>
              </w:rPr>
            </w:pPr>
            <w:r>
              <w:rPr>
                <w:rFonts w:hint="eastAsia" w:hAnsi="Times New Roman"/>
                <w:color w:val="auto"/>
                <w:lang w:eastAsia="zh-CN"/>
              </w:rPr>
              <w:t>危险废物贮存点</w:t>
            </w:r>
          </w:p>
        </w:tc>
        <w:tc>
          <w:tcPr>
            <w:tcW w:w="3148" w:type="pct"/>
            <w:vAlign w:val="center"/>
          </w:tcPr>
          <w:p>
            <w:pPr>
              <w:pStyle w:val="84"/>
              <w:spacing w:line="0" w:lineRule="atLeast"/>
              <w:contextualSpacing/>
              <w:jc w:val="left"/>
              <w:rPr>
                <w:rFonts w:hAnsi="Times New Roman"/>
                <w:color w:val="auto"/>
              </w:rPr>
            </w:pPr>
            <w:r>
              <w:rPr>
                <w:rFonts w:hAnsi="Times New Roman"/>
                <w:color w:val="auto"/>
                <w:highlight w:val="none"/>
              </w:rPr>
              <w:t>位于</w:t>
            </w:r>
            <w:r>
              <w:rPr>
                <w:rFonts w:hint="eastAsia" w:hAnsi="Times New Roman"/>
                <w:color w:val="auto"/>
                <w:highlight w:val="none"/>
                <w:lang w:val="en-US" w:eastAsia="zh-CN"/>
              </w:rPr>
              <w:t>屠宰车间</w:t>
            </w:r>
            <w:r>
              <w:rPr>
                <w:rFonts w:hAnsi="Times New Roman"/>
                <w:color w:val="auto"/>
                <w:highlight w:val="none"/>
              </w:rPr>
              <w:t>内，用于检疫间</w:t>
            </w:r>
            <w:r>
              <w:rPr>
                <w:rFonts w:hint="eastAsia" w:hAnsi="Times New Roman"/>
                <w:color w:val="auto"/>
                <w:highlight w:val="none"/>
              </w:rPr>
              <w:t>产生的废试剂盒等检疫废物</w:t>
            </w:r>
            <w:r>
              <w:rPr>
                <w:rFonts w:hint="eastAsia" w:hAnsi="Times New Roman"/>
                <w:bCs/>
                <w:color w:val="auto"/>
                <w:highlight w:val="none"/>
              </w:rPr>
              <w:t>（HW01）</w:t>
            </w:r>
            <w:r>
              <w:rPr>
                <w:rFonts w:hint="eastAsia" w:hAnsi="Times New Roman"/>
                <w:color w:val="auto"/>
                <w:highlight w:val="none"/>
              </w:rPr>
              <w:t>的临时存储。</w:t>
            </w:r>
          </w:p>
        </w:tc>
        <w:tc>
          <w:tcPr>
            <w:tcW w:w="440" w:type="pct"/>
            <w:vMerge w:val="continue"/>
            <w:vAlign w:val="center"/>
          </w:tcPr>
          <w:p>
            <w:pPr>
              <w:pStyle w:val="84"/>
              <w:spacing w:line="0" w:lineRule="atLeast"/>
              <w:contextualSpacing/>
              <w:rPr>
                <w:rFonts w:hAnsi="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394" w:type="pct"/>
            <w:vMerge w:val="continue"/>
            <w:vAlign w:val="center"/>
          </w:tcPr>
          <w:p>
            <w:pPr>
              <w:pStyle w:val="84"/>
              <w:spacing w:line="0" w:lineRule="atLeast"/>
              <w:contextualSpacing/>
              <w:rPr>
                <w:rFonts w:hAnsi="Times New Roman"/>
                <w:color w:val="FF0000"/>
              </w:rPr>
            </w:pPr>
          </w:p>
        </w:tc>
        <w:tc>
          <w:tcPr>
            <w:tcW w:w="1016" w:type="pct"/>
            <w:gridSpan w:val="2"/>
            <w:vAlign w:val="center"/>
          </w:tcPr>
          <w:p>
            <w:pPr>
              <w:pStyle w:val="84"/>
              <w:adjustRightInd w:val="0"/>
              <w:snapToGrid w:val="0"/>
              <w:spacing w:line="0" w:lineRule="atLeast"/>
              <w:rPr>
                <w:rFonts w:hAnsi="Times New Roman" w:eastAsiaTheme="minorEastAsia"/>
                <w:color w:val="auto"/>
              </w:rPr>
            </w:pPr>
            <w:r>
              <w:rPr>
                <w:rFonts w:hint="eastAsia" w:eastAsiaTheme="minorEastAsia"/>
                <w:color w:val="auto"/>
              </w:rPr>
              <w:t>贮水</w:t>
            </w:r>
            <w:r>
              <w:rPr>
                <w:rFonts w:eastAsiaTheme="minorEastAsia"/>
                <w:color w:val="auto"/>
              </w:rPr>
              <w:t>池</w:t>
            </w:r>
          </w:p>
        </w:tc>
        <w:tc>
          <w:tcPr>
            <w:tcW w:w="3148" w:type="pct"/>
            <w:vAlign w:val="center"/>
          </w:tcPr>
          <w:p>
            <w:pPr>
              <w:pStyle w:val="74"/>
              <w:spacing w:line="0" w:lineRule="atLeast"/>
              <w:ind w:firstLine="0" w:firstLineChars="0"/>
              <w:rPr>
                <w:rFonts w:ascii="Times New Roman" w:hAnsi="Times New Roman" w:cs="Times New Roman"/>
                <w:color w:val="auto"/>
                <w:sz w:val="21"/>
                <w:szCs w:val="21"/>
              </w:rPr>
            </w:pPr>
            <w:r>
              <w:rPr>
                <w:rFonts w:hint="eastAsia" w:ascii="Times New Roman" w:cs="Times New Roman" w:hAnsiTheme="minorEastAsia"/>
                <w:color w:val="auto"/>
                <w:sz w:val="21"/>
                <w:szCs w:val="21"/>
              </w:rPr>
              <w:t>厂区</w:t>
            </w:r>
            <w:r>
              <w:rPr>
                <w:rFonts w:ascii="Times New Roman" w:cs="Times New Roman" w:hAnsiTheme="minorEastAsia"/>
                <w:color w:val="auto"/>
                <w:sz w:val="21"/>
                <w:szCs w:val="21"/>
              </w:rPr>
              <w:t>设置一</w:t>
            </w:r>
            <w:r>
              <w:rPr>
                <w:rFonts w:hint="eastAsia" w:ascii="Times New Roman" w:cs="Times New Roman" w:hAnsiTheme="minorEastAsia"/>
                <w:color w:val="auto"/>
                <w:sz w:val="21"/>
                <w:szCs w:val="21"/>
              </w:rPr>
              <w:t>座贮水</w:t>
            </w:r>
            <w:r>
              <w:rPr>
                <w:rFonts w:hint="eastAsia" w:ascii="Times New Roman" w:cs="Times New Roman" w:hAnsiTheme="minorEastAsia"/>
                <w:color w:val="auto"/>
                <w:sz w:val="21"/>
                <w:szCs w:val="21"/>
                <w:highlight w:val="none"/>
              </w:rPr>
              <w:t>池</w:t>
            </w:r>
            <w:r>
              <w:rPr>
                <w:rFonts w:ascii="Times New Roman" w:cs="Times New Roman" w:hAnsiTheme="minorEastAsia"/>
                <w:color w:val="auto"/>
                <w:sz w:val="21"/>
                <w:szCs w:val="21"/>
                <w:highlight w:val="none"/>
              </w:rPr>
              <w:t>，容积</w:t>
            </w:r>
            <w:r>
              <w:rPr>
                <w:rFonts w:hint="eastAsia" w:ascii="Times New Roman" w:cs="Times New Roman" w:hAnsiTheme="minorEastAsia"/>
                <w:color w:val="auto"/>
                <w:sz w:val="21"/>
                <w:szCs w:val="21"/>
                <w:highlight w:val="none"/>
                <w:lang w:val="en-US" w:eastAsia="zh-CN"/>
              </w:rPr>
              <w:t>120</w:t>
            </w:r>
            <w:r>
              <w:rPr>
                <w:rFonts w:ascii="Times New Roman" w:cs="Times New Roman" w:hAnsiTheme="minorEastAsia"/>
                <w:color w:val="auto"/>
                <w:sz w:val="21"/>
                <w:szCs w:val="21"/>
                <w:highlight w:val="none"/>
              </w:rPr>
              <w:t>m</w:t>
            </w:r>
            <w:r>
              <w:rPr>
                <w:rFonts w:ascii="Times New Roman" w:cs="Times New Roman" w:hAnsiTheme="minorEastAsia"/>
                <w:color w:val="auto"/>
                <w:sz w:val="21"/>
                <w:szCs w:val="21"/>
                <w:highlight w:val="none"/>
                <w:vertAlign w:val="superscript"/>
              </w:rPr>
              <w:t>3</w:t>
            </w:r>
            <w:r>
              <w:rPr>
                <w:rFonts w:ascii="Times New Roman" w:cs="Times New Roman" w:hAnsiTheme="minorEastAsia"/>
                <w:color w:val="auto"/>
                <w:sz w:val="21"/>
                <w:szCs w:val="21"/>
                <w:highlight w:val="none"/>
              </w:rPr>
              <w:t>，废</w:t>
            </w:r>
            <w:r>
              <w:rPr>
                <w:rFonts w:ascii="Times New Roman" w:cs="Times New Roman" w:hAnsiTheme="minorEastAsia"/>
                <w:color w:val="auto"/>
                <w:sz w:val="21"/>
                <w:szCs w:val="21"/>
              </w:rPr>
              <w:t>水</w:t>
            </w:r>
            <w:r>
              <w:rPr>
                <w:rFonts w:hint="eastAsia" w:ascii="Times New Roman" w:cs="Times New Roman" w:hAnsiTheme="minorEastAsia"/>
                <w:bCs/>
                <w:color w:val="auto"/>
                <w:sz w:val="21"/>
                <w:szCs w:val="21"/>
              </w:rPr>
              <w:t>每天</w:t>
            </w:r>
            <w:r>
              <w:rPr>
                <w:rFonts w:ascii="Times New Roman" w:cs="Times New Roman" w:hAnsiTheme="minorEastAsia"/>
                <w:bCs/>
                <w:color w:val="auto"/>
                <w:sz w:val="21"/>
                <w:szCs w:val="21"/>
              </w:rPr>
              <w:t>采用专用罐车</w:t>
            </w:r>
            <w:r>
              <w:rPr>
                <w:rFonts w:hint="eastAsia" w:ascii="Times New Roman" w:cs="Times New Roman" w:hAnsiTheme="minorEastAsia"/>
                <w:bCs/>
                <w:color w:val="auto"/>
                <w:sz w:val="21"/>
                <w:szCs w:val="21"/>
              </w:rPr>
              <w:t>运至</w:t>
            </w:r>
            <w:r>
              <w:rPr>
                <w:rFonts w:hint="eastAsia" w:ascii="Times New Roman" w:cs="Times New Roman" w:hAnsiTheme="minorEastAsia"/>
                <w:bCs/>
                <w:color w:val="auto"/>
                <w:sz w:val="21"/>
                <w:szCs w:val="21"/>
                <w:lang w:eastAsia="zh-CN"/>
              </w:rPr>
              <w:t>尚志污水处理厂</w:t>
            </w:r>
            <w:r>
              <w:rPr>
                <w:rFonts w:ascii="Times New Roman" w:cs="Times New Roman" w:hAnsiTheme="minorEastAsia"/>
                <w:bCs/>
                <w:color w:val="auto"/>
                <w:sz w:val="21"/>
                <w:szCs w:val="21"/>
              </w:rPr>
              <w:t>处理，不长期存储</w:t>
            </w:r>
            <w:r>
              <w:rPr>
                <w:rFonts w:hint="eastAsia" w:ascii="Times New Roman" w:cs="Times New Roman" w:hAnsiTheme="minorEastAsia"/>
                <w:color w:val="auto"/>
                <w:sz w:val="21"/>
                <w:szCs w:val="21"/>
              </w:rPr>
              <w:t>。</w:t>
            </w:r>
          </w:p>
        </w:tc>
        <w:tc>
          <w:tcPr>
            <w:tcW w:w="440" w:type="pct"/>
            <w:vMerge w:val="continue"/>
            <w:vAlign w:val="center"/>
          </w:tcPr>
          <w:p>
            <w:pPr>
              <w:pStyle w:val="84"/>
              <w:spacing w:line="0" w:lineRule="atLeast"/>
              <w:contextualSpacing/>
              <w:rPr>
                <w:rFonts w:hAnsi="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394" w:type="pct"/>
            <w:vMerge w:val="continue"/>
            <w:vAlign w:val="center"/>
          </w:tcPr>
          <w:p>
            <w:pPr>
              <w:pStyle w:val="84"/>
              <w:spacing w:line="0" w:lineRule="atLeast"/>
              <w:contextualSpacing/>
              <w:rPr>
                <w:rFonts w:hAnsi="Times New Roman"/>
                <w:color w:val="FF0000"/>
              </w:rPr>
            </w:pPr>
            <w:bookmarkStart w:id="67" w:name="_Hlk529809465"/>
          </w:p>
        </w:tc>
        <w:tc>
          <w:tcPr>
            <w:tcW w:w="1016" w:type="pct"/>
            <w:gridSpan w:val="2"/>
            <w:vAlign w:val="center"/>
          </w:tcPr>
          <w:p>
            <w:pPr>
              <w:pStyle w:val="84"/>
              <w:spacing w:line="0" w:lineRule="atLeast"/>
              <w:contextualSpacing/>
              <w:rPr>
                <w:rFonts w:hAnsi="Times New Roman"/>
                <w:color w:val="auto"/>
              </w:rPr>
            </w:pPr>
            <w:r>
              <w:rPr>
                <w:rFonts w:hint="eastAsia" w:hAnsi="Times New Roman"/>
                <w:color w:val="auto"/>
                <w:kern w:val="0"/>
              </w:rPr>
              <w:t>事故池</w:t>
            </w:r>
          </w:p>
        </w:tc>
        <w:tc>
          <w:tcPr>
            <w:tcW w:w="3148" w:type="pct"/>
            <w:vAlign w:val="center"/>
          </w:tcPr>
          <w:p>
            <w:pPr>
              <w:pStyle w:val="74"/>
              <w:adjustRightInd/>
              <w:snapToGrid/>
              <w:spacing w:line="0" w:lineRule="atLeast"/>
              <w:ind w:firstLine="0" w:firstLineChars="0"/>
              <w:contextualSpacing/>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污水处理站配套建设1座容积</w:t>
            </w:r>
            <w:r>
              <w:rPr>
                <w:rFonts w:hint="eastAsia" w:ascii="Times New Roman" w:hAnsi="Times New Roman" w:eastAsia="宋体" w:cs="Times New Roman"/>
                <w:color w:val="auto"/>
                <w:sz w:val="21"/>
                <w:szCs w:val="21"/>
                <w:lang w:val="en-US" w:eastAsia="zh-CN"/>
              </w:rPr>
              <w:t>70</w:t>
            </w:r>
            <w:r>
              <w:rPr>
                <w:rFonts w:hint="eastAsia" w:ascii="Times New Roman" w:hAnsi="Times New Roman" w:eastAsia="宋体" w:cs="Times New Roman"/>
                <w:color w:val="auto"/>
                <w:sz w:val="21"/>
                <w:szCs w:val="21"/>
              </w:rPr>
              <w:t>m</w:t>
            </w:r>
            <w:r>
              <w:rPr>
                <w:rFonts w:hint="eastAsia" w:ascii="Times New Roman" w:hAnsi="Times New Roman" w:eastAsia="宋体" w:cs="Times New Roman"/>
                <w:color w:val="auto"/>
                <w:sz w:val="21"/>
                <w:szCs w:val="21"/>
                <w:vertAlign w:val="superscript"/>
              </w:rPr>
              <w:t>3</w:t>
            </w:r>
            <w:r>
              <w:rPr>
                <w:rFonts w:hint="eastAsia" w:ascii="Times New Roman" w:hAnsi="Times New Roman" w:eastAsia="宋体" w:cs="Times New Roman"/>
                <w:color w:val="auto"/>
                <w:sz w:val="21"/>
                <w:szCs w:val="21"/>
              </w:rPr>
              <w:t>事故池，可储存1天废水量。</w:t>
            </w:r>
          </w:p>
        </w:tc>
        <w:tc>
          <w:tcPr>
            <w:tcW w:w="440" w:type="pct"/>
            <w:vMerge w:val="continue"/>
            <w:vAlign w:val="center"/>
          </w:tcPr>
          <w:p>
            <w:pPr>
              <w:pStyle w:val="74"/>
              <w:adjustRightInd/>
              <w:snapToGrid/>
              <w:spacing w:line="0" w:lineRule="atLeast"/>
              <w:ind w:firstLine="0" w:firstLineChars="0"/>
              <w:contextualSpacing/>
              <w:jc w:val="center"/>
              <w:rPr>
                <w:rFonts w:ascii="Times New Roman" w:hAnsi="Times New Roman" w:eastAsia="宋体" w:cs="Times New Roman"/>
                <w:color w:val="FF0000"/>
                <w:sz w:val="21"/>
                <w:szCs w:val="21"/>
              </w:rPr>
            </w:pPr>
          </w:p>
        </w:tc>
      </w:tr>
      <w:bookmarkEnd w:id="67"/>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394" w:type="pct"/>
            <w:vMerge w:val="restart"/>
            <w:vAlign w:val="center"/>
          </w:tcPr>
          <w:p>
            <w:pPr>
              <w:pStyle w:val="84"/>
              <w:spacing w:line="0" w:lineRule="atLeast"/>
              <w:contextualSpacing/>
              <w:rPr>
                <w:rFonts w:hAnsi="Times New Roman"/>
                <w:color w:val="auto"/>
              </w:rPr>
            </w:pPr>
            <w:r>
              <w:rPr>
                <w:rFonts w:hAnsi="Times New Roman"/>
                <w:color w:val="auto"/>
              </w:rPr>
              <w:t>公用工程</w:t>
            </w:r>
          </w:p>
        </w:tc>
        <w:tc>
          <w:tcPr>
            <w:tcW w:w="1016" w:type="pct"/>
            <w:gridSpan w:val="2"/>
            <w:vAlign w:val="center"/>
          </w:tcPr>
          <w:p>
            <w:pPr>
              <w:pStyle w:val="84"/>
              <w:spacing w:line="0" w:lineRule="atLeast"/>
              <w:contextualSpacing/>
              <w:rPr>
                <w:rFonts w:hAnsi="Times New Roman"/>
                <w:color w:val="auto"/>
              </w:rPr>
            </w:pPr>
            <w:r>
              <w:rPr>
                <w:rFonts w:hAnsi="Times New Roman"/>
                <w:color w:val="auto"/>
              </w:rPr>
              <w:t>供电</w:t>
            </w:r>
          </w:p>
        </w:tc>
        <w:tc>
          <w:tcPr>
            <w:tcW w:w="3148" w:type="pct"/>
            <w:vAlign w:val="center"/>
          </w:tcPr>
          <w:p>
            <w:pPr>
              <w:pStyle w:val="84"/>
              <w:spacing w:line="0" w:lineRule="atLeast"/>
              <w:contextualSpacing/>
              <w:jc w:val="left"/>
              <w:rPr>
                <w:rFonts w:hAnsi="Times New Roman"/>
                <w:color w:val="auto"/>
              </w:rPr>
            </w:pPr>
            <w:r>
              <w:rPr>
                <w:rFonts w:hAnsi="Times New Roman"/>
                <w:color w:val="auto"/>
              </w:rPr>
              <w:t>由当地电业局提供。</w:t>
            </w:r>
          </w:p>
        </w:tc>
        <w:tc>
          <w:tcPr>
            <w:tcW w:w="440" w:type="pct"/>
            <w:vMerge w:val="restart"/>
            <w:vAlign w:val="center"/>
          </w:tcPr>
          <w:p>
            <w:pPr>
              <w:pStyle w:val="84"/>
              <w:spacing w:line="0" w:lineRule="atLeast"/>
              <w:contextualSpacing/>
              <w:rPr>
                <w:rFonts w:hint="eastAsia" w:hAnsi="Times New Roman" w:eastAsia="宋体"/>
                <w:color w:val="auto"/>
                <w:lang w:val="en-US" w:eastAsia="zh-CN"/>
              </w:rPr>
            </w:pPr>
            <w:r>
              <w:rPr>
                <w:rFonts w:hint="eastAsia" w:hAnsi="Times New Roman"/>
                <w:color w:val="auto"/>
                <w:lang w:val="en-US" w:eastAsia="zh-CN"/>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vAlign w:val="center"/>
          </w:tcPr>
          <w:p>
            <w:pPr>
              <w:pStyle w:val="84"/>
              <w:spacing w:line="0" w:lineRule="atLeast"/>
              <w:contextualSpacing/>
              <w:rPr>
                <w:rFonts w:hAnsi="Times New Roman"/>
                <w:color w:val="FF0000"/>
              </w:rPr>
            </w:pPr>
          </w:p>
        </w:tc>
        <w:tc>
          <w:tcPr>
            <w:tcW w:w="1016" w:type="pct"/>
            <w:gridSpan w:val="2"/>
            <w:vAlign w:val="center"/>
          </w:tcPr>
          <w:p>
            <w:pPr>
              <w:pStyle w:val="84"/>
              <w:spacing w:line="0" w:lineRule="atLeast"/>
              <w:contextualSpacing/>
              <w:rPr>
                <w:rFonts w:hAnsi="Times New Roman"/>
                <w:color w:val="auto"/>
              </w:rPr>
            </w:pPr>
            <w:r>
              <w:rPr>
                <w:rFonts w:hAnsi="Times New Roman"/>
                <w:color w:val="auto"/>
              </w:rPr>
              <w:t>给水</w:t>
            </w:r>
          </w:p>
        </w:tc>
        <w:tc>
          <w:tcPr>
            <w:tcW w:w="3148" w:type="pct"/>
            <w:vAlign w:val="center"/>
          </w:tcPr>
          <w:p>
            <w:pPr>
              <w:pStyle w:val="84"/>
              <w:spacing w:line="0" w:lineRule="atLeast"/>
              <w:contextualSpacing/>
              <w:jc w:val="left"/>
              <w:rPr>
                <w:rFonts w:hint="eastAsia" w:hAnsi="Times New Roman" w:eastAsia="宋体"/>
                <w:color w:val="auto"/>
                <w:lang w:eastAsia="zh-CN"/>
              </w:rPr>
            </w:pPr>
            <w:r>
              <w:rPr>
                <w:rFonts w:hAnsi="Times New Roman"/>
                <w:color w:val="auto"/>
              </w:rPr>
              <w:t>生产用水</w:t>
            </w:r>
            <w:r>
              <w:rPr>
                <w:rFonts w:hint="eastAsia" w:hAnsi="Times New Roman"/>
                <w:color w:val="auto"/>
                <w:lang w:eastAsia="zh-CN"/>
              </w:rPr>
              <w:t>、</w:t>
            </w:r>
            <w:r>
              <w:rPr>
                <w:rFonts w:hint="eastAsia" w:hAnsi="Times New Roman"/>
                <w:color w:val="auto"/>
                <w:lang w:val="en-US" w:eastAsia="zh-CN"/>
              </w:rPr>
              <w:t>生活用水</w:t>
            </w:r>
            <w:r>
              <w:rPr>
                <w:rFonts w:hAnsi="Times New Roman"/>
                <w:color w:val="auto"/>
              </w:rPr>
              <w:t>由厂区自打水井</w:t>
            </w:r>
            <w:r>
              <w:rPr>
                <w:rFonts w:hint="eastAsia" w:hAnsi="Times New Roman"/>
                <w:color w:val="auto"/>
              </w:rPr>
              <w:t>提供</w:t>
            </w:r>
            <w:r>
              <w:rPr>
                <w:rFonts w:hint="eastAsia" w:hAnsi="Times New Roman"/>
                <w:color w:val="auto"/>
                <w:lang w:eastAsia="zh-CN"/>
              </w:rPr>
              <w:t>。</w:t>
            </w:r>
          </w:p>
        </w:tc>
        <w:tc>
          <w:tcPr>
            <w:tcW w:w="440" w:type="pct"/>
            <w:vMerge w:val="continue"/>
            <w:vAlign w:val="center"/>
          </w:tcPr>
          <w:p>
            <w:pPr>
              <w:pStyle w:val="84"/>
              <w:spacing w:line="0" w:lineRule="atLeast"/>
              <w:contextualSpacing/>
              <w:rPr>
                <w:rFonts w:hAnsi="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vAlign w:val="center"/>
          </w:tcPr>
          <w:p>
            <w:pPr>
              <w:pStyle w:val="84"/>
              <w:spacing w:line="0" w:lineRule="atLeast"/>
              <w:contextualSpacing/>
              <w:rPr>
                <w:rFonts w:hAnsi="Times New Roman"/>
                <w:color w:val="FF0000"/>
              </w:rPr>
            </w:pPr>
          </w:p>
        </w:tc>
        <w:tc>
          <w:tcPr>
            <w:tcW w:w="1016" w:type="pct"/>
            <w:gridSpan w:val="2"/>
            <w:vAlign w:val="center"/>
          </w:tcPr>
          <w:p>
            <w:pPr>
              <w:pStyle w:val="84"/>
              <w:spacing w:line="0" w:lineRule="atLeast"/>
              <w:contextualSpacing/>
              <w:rPr>
                <w:rFonts w:hAnsi="Times New Roman"/>
                <w:color w:val="auto"/>
              </w:rPr>
            </w:pPr>
            <w:r>
              <w:rPr>
                <w:rFonts w:hAnsi="Times New Roman"/>
                <w:color w:val="auto"/>
              </w:rPr>
              <w:t>排水</w:t>
            </w:r>
          </w:p>
        </w:tc>
        <w:tc>
          <w:tcPr>
            <w:tcW w:w="3148" w:type="pct"/>
            <w:vAlign w:val="center"/>
          </w:tcPr>
          <w:p>
            <w:pPr>
              <w:pStyle w:val="84"/>
              <w:spacing w:line="0" w:lineRule="atLeast"/>
              <w:contextualSpacing/>
              <w:jc w:val="left"/>
              <w:rPr>
                <w:rFonts w:hAnsi="Times New Roman"/>
                <w:color w:val="auto"/>
              </w:rPr>
            </w:pPr>
            <w:r>
              <w:rPr>
                <w:rFonts w:hint="eastAsia" w:hAnsi="Times New Roman"/>
                <w:color w:val="auto"/>
                <w:lang w:val="en-US" w:eastAsia="zh-CN"/>
              </w:rPr>
              <w:t>屠宰车间内</w:t>
            </w:r>
            <w:r>
              <w:rPr>
                <w:rFonts w:hint="eastAsia" w:hAnsi="Times New Roman"/>
                <w:color w:val="auto"/>
              </w:rPr>
              <w:t>建设一座污水处理站，污水处理采用“</w:t>
            </w:r>
            <w:r>
              <w:rPr>
                <w:rFonts w:hAnsi="Times New Roman"/>
                <w:bCs/>
                <w:color w:val="auto"/>
              </w:rPr>
              <w:t>格栅+</w:t>
            </w:r>
            <w:r>
              <w:rPr>
                <w:rFonts w:hAnsi="Times New Roman"/>
                <w:color w:val="auto"/>
              </w:rPr>
              <w:t>隔油沉砂+气浮+水解酸化+生物接触氧化+</w:t>
            </w:r>
            <w:r>
              <w:rPr>
                <w:rFonts w:hint="eastAsia" w:hAnsi="Times New Roman"/>
                <w:color w:val="auto"/>
              </w:rPr>
              <w:t>二沉池+</w:t>
            </w:r>
            <w:r>
              <w:rPr>
                <w:rFonts w:hAnsi="Times New Roman"/>
                <w:color w:val="auto"/>
              </w:rPr>
              <w:t>消毒</w:t>
            </w:r>
            <w:r>
              <w:rPr>
                <w:rFonts w:hint="eastAsia" w:hAnsi="Times New Roman"/>
                <w:color w:val="auto"/>
              </w:rPr>
              <w:t>池”工艺，污水处理站规模</w:t>
            </w:r>
            <w:r>
              <w:rPr>
                <w:rFonts w:hint="eastAsia" w:hAnsi="Times New Roman"/>
                <w:color w:val="auto"/>
                <w:lang w:val="en-US" w:eastAsia="zh-CN"/>
              </w:rPr>
              <w:t>70</w:t>
            </w:r>
            <w:r>
              <w:rPr>
                <w:rFonts w:hAnsi="Times New Roman"/>
                <w:color w:val="auto"/>
              </w:rPr>
              <w:t>m</w:t>
            </w:r>
            <w:r>
              <w:rPr>
                <w:rFonts w:hAnsi="Times New Roman"/>
                <w:color w:val="auto"/>
                <w:vertAlign w:val="superscript"/>
              </w:rPr>
              <w:t>3</w:t>
            </w:r>
            <w:r>
              <w:rPr>
                <w:rFonts w:hAnsi="Times New Roman"/>
                <w:color w:val="auto"/>
              </w:rPr>
              <w:t>/d</w:t>
            </w:r>
            <w:r>
              <w:rPr>
                <w:rFonts w:hint="eastAsia" w:hAnsi="Times New Roman"/>
                <w:color w:val="auto"/>
              </w:rPr>
              <w:t>。生产</w:t>
            </w:r>
            <w:r>
              <w:rPr>
                <w:rFonts w:hAnsi="Times New Roman"/>
                <w:color w:val="auto"/>
              </w:rPr>
              <w:t>废水</w:t>
            </w:r>
            <w:r>
              <w:rPr>
                <w:rFonts w:hint="eastAsia" w:hAnsi="Times New Roman"/>
                <w:color w:val="auto"/>
              </w:rPr>
              <w:t>和生活污水（含食堂废水）一起</w:t>
            </w:r>
            <w:r>
              <w:rPr>
                <w:rFonts w:hAnsi="Times New Roman"/>
                <w:color w:val="auto"/>
              </w:rPr>
              <w:t>排入</w:t>
            </w:r>
            <w:r>
              <w:rPr>
                <w:rFonts w:hint="eastAsia" w:hAnsi="Times New Roman"/>
                <w:color w:val="auto"/>
              </w:rPr>
              <w:t>厂区</w:t>
            </w:r>
            <w:r>
              <w:rPr>
                <w:rFonts w:hAnsi="Times New Roman"/>
                <w:color w:val="auto"/>
              </w:rPr>
              <w:t>自建污水处理站，经处理达标后</w:t>
            </w:r>
            <w:r>
              <w:rPr>
                <w:rFonts w:hint="eastAsia" w:hAnsi="Times New Roman"/>
                <w:bCs/>
                <w:color w:val="auto"/>
              </w:rPr>
              <w:t>暂存</w:t>
            </w:r>
            <w:r>
              <w:rPr>
                <w:rFonts w:hAnsi="Times New Roman"/>
                <w:bCs/>
                <w:color w:val="auto"/>
              </w:rPr>
              <w:t>于贮水池，</w:t>
            </w:r>
            <w:r>
              <w:rPr>
                <w:rFonts w:hint="eastAsia" w:hAnsi="Times New Roman"/>
                <w:bCs/>
                <w:color w:val="auto"/>
              </w:rPr>
              <w:t>每天</w:t>
            </w:r>
            <w:r>
              <w:rPr>
                <w:rFonts w:hAnsi="Times New Roman"/>
                <w:bCs/>
                <w:color w:val="auto"/>
              </w:rPr>
              <w:t>采用专用罐车</w:t>
            </w:r>
            <w:r>
              <w:rPr>
                <w:rFonts w:hint="eastAsia" w:hAnsi="Times New Roman"/>
                <w:bCs/>
                <w:color w:val="auto"/>
              </w:rPr>
              <w:t>运至</w:t>
            </w:r>
            <w:r>
              <w:rPr>
                <w:rFonts w:hint="eastAsia" w:hAnsi="Times New Roman"/>
                <w:bCs/>
                <w:color w:val="auto"/>
                <w:lang w:eastAsia="zh-CN"/>
              </w:rPr>
              <w:t>尚志污水处理厂</w:t>
            </w:r>
            <w:r>
              <w:rPr>
                <w:rFonts w:hint="eastAsia" w:hAnsi="Times New Roman"/>
                <w:bCs/>
                <w:color w:val="auto"/>
              </w:rPr>
              <w:t>，经</w:t>
            </w:r>
            <w:r>
              <w:rPr>
                <w:rFonts w:hint="eastAsia" w:hAnsi="Times New Roman"/>
                <w:bCs/>
                <w:color w:val="auto"/>
                <w:lang w:eastAsia="zh-CN"/>
              </w:rPr>
              <w:t>尚志污水处理厂</w:t>
            </w:r>
            <w:r>
              <w:rPr>
                <w:rFonts w:hint="eastAsia" w:hAnsi="Times New Roman"/>
                <w:bCs/>
                <w:color w:val="auto"/>
              </w:rPr>
              <w:t>处理后达标后排放。</w:t>
            </w:r>
          </w:p>
        </w:tc>
        <w:tc>
          <w:tcPr>
            <w:tcW w:w="440" w:type="pct"/>
            <w:vMerge w:val="restart"/>
            <w:vAlign w:val="center"/>
          </w:tcPr>
          <w:p>
            <w:pPr>
              <w:pStyle w:val="84"/>
              <w:spacing w:line="0" w:lineRule="atLeast"/>
              <w:contextualSpacing/>
              <w:rPr>
                <w:rFonts w:hAnsi="Times New Roman"/>
                <w:color w:val="FF0000"/>
              </w:rPr>
            </w:pPr>
            <w:r>
              <w:rPr>
                <w:rFonts w:hAnsi="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vAlign w:val="center"/>
          </w:tcPr>
          <w:p>
            <w:pPr>
              <w:pStyle w:val="84"/>
              <w:spacing w:line="0" w:lineRule="atLeast"/>
              <w:contextualSpacing/>
              <w:rPr>
                <w:rFonts w:hAnsi="Times New Roman"/>
                <w:color w:val="FF0000"/>
              </w:rPr>
            </w:pPr>
          </w:p>
        </w:tc>
        <w:tc>
          <w:tcPr>
            <w:tcW w:w="1016" w:type="pct"/>
            <w:gridSpan w:val="2"/>
            <w:vAlign w:val="center"/>
          </w:tcPr>
          <w:p>
            <w:pPr>
              <w:pStyle w:val="84"/>
              <w:spacing w:line="0" w:lineRule="atLeast"/>
              <w:contextualSpacing/>
              <w:rPr>
                <w:rFonts w:hAnsi="Times New Roman"/>
                <w:color w:val="auto"/>
              </w:rPr>
            </w:pPr>
            <w:bookmarkStart w:id="68" w:name="_Hlk527725718"/>
            <w:r>
              <w:rPr>
                <w:rFonts w:hAnsi="Times New Roman"/>
                <w:color w:val="auto"/>
              </w:rPr>
              <w:t>供热</w:t>
            </w:r>
            <w:bookmarkEnd w:id="68"/>
          </w:p>
        </w:tc>
        <w:tc>
          <w:tcPr>
            <w:tcW w:w="3148" w:type="pct"/>
            <w:vAlign w:val="center"/>
          </w:tcPr>
          <w:p>
            <w:pPr>
              <w:pStyle w:val="84"/>
              <w:spacing w:line="0" w:lineRule="atLeast"/>
              <w:contextualSpacing/>
              <w:jc w:val="left"/>
              <w:rPr>
                <w:color w:val="auto"/>
              </w:rPr>
            </w:pPr>
            <w:r>
              <w:rPr>
                <w:rFonts w:hint="eastAsia"/>
                <w:color w:val="auto"/>
              </w:rPr>
              <w:t>冬季采取</w:t>
            </w:r>
            <w:r>
              <w:rPr>
                <w:rFonts w:hint="eastAsia"/>
                <w:color w:val="auto"/>
                <w:lang w:val="en-US" w:eastAsia="zh-CN"/>
              </w:rPr>
              <w:t>2.1MW生物质锅炉</w:t>
            </w:r>
            <w:r>
              <w:rPr>
                <w:rFonts w:hint="eastAsia"/>
                <w:color w:val="auto"/>
              </w:rPr>
              <w:t>取暖。</w:t>
            </w:r>
          </w:p>
        </w:tc>
        <w:tc>
          <w:tcPr>
            <w:tcW w:w="440" w:type="pct"/>
            <w:vMerge w:val="continue"/>
            <w:vAlign w:val="center"/>
          </w:tcPr>
          <w:p>
            <w:pPr>
              <w:pStyle w:val="84"/>
              <w:spacing w:line="0" w:lineRule="atLeast"/>
              <w:contextualSpacing/>
              <w:rPr>
                <w:rFonts w:hAnsi="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restart"/>
            <w:vAlign w:val="center"/>
          </w:tcPr>
          <w:p>
            <w:pPr>
              <w:pStyle w:val="84"/>
              <w:spacing w:line="0" w:lineRule="atLeast"/>
              <w:rPr>
                <w:rFonts w:hAnsi="Times New Roman"/>
                <w:color w:val="auto"/>
              </w:rPr>
            </w:pPr>
            <w:r>
              <w:rPr>
                <w:rFonts w:hAnsi="Times New Roman"/>
                <w:color w:val="auto"/>
              </w:rPr>
              <w:t>环保工程</w:t>
            </w:r>
          </w:p>
        </w:tc>
        <w:tc>
          <w:tcPr>
            <w:tcW w:w="254" w:type="pct"/>
            <w:vMerge w:val="restart"/>
            <w:vAlign w:val="center"/>
          </w:tcPr>
          <w:p>
            <w:pPr>
              <w:pStyle w:val="84"/>
              <w:spacing w:line="0" w:lineRule="atLeast"/>
              <w:rPr>
                <w:rFonts w:hAnsi="Times New Roman"/>
                <w:color w:val="auto"/>
              </w:rPr>
            </w:pPr>
            <w:r>
              <w:rPr>
                <w:rFonts w:hAnsi="Times New Roman"/>
                <w:color w:val="auto"/>
              </w:rPr>
              <w:t>废气</w:t>
            </w:r>
          </w:p>
        </w:tc>
        <w:tc>
          <w:tcPr>
            <w:tcW w:w="762" w:type="pct"/>
            <w:vAlign w:val="center"/>
          </w:tcPr>
          <w:p>
            <w:pPr>
              <w:pStyle w:val="84"/>
              <w:spacing w:line="0" w:lineRule="atLeast"/>
              <w:rPr>
                <w:rFonts w:ascii="Times New Roman" w:hAnsi="Times New Roman" w:eastAsia="宋体" w:cs="Times New Roman"/>
                <w:color w:val="auto"/>
                <w:kern w:val="2"/>
                <w:sz w:val="21"/>
                <w:szCs w:val="21"/>
                <w:lang w:val="en-US" w:eastAsia="zh-CN" w:bidi="ar-SA"/>
              </w:rPr>
            </w:pPr>
            <w:r>
              <w:rPr>
                <w:rFonts w:hint="eastAsia" w:hAnsi="Times New Roman"/>
                <w:snapToGrid w:val="0"/>
                <w:color w:val="auto"/>
                <w:kern w:val="0"/>
              </w:rPr>
              <w:t>屠宰车间恶臭</w:t>
            </w:r>
          </w:p>
        </w:tc>
        <w:tc>
          <w:tcPr>
            <w:tcW w:w="3148" w:type="pct"/>
            <w:vAlign w:val="center"/>
          </w:tcPr>
          <w:p>
            <w:pPr>
              <w:jc w:val="left"/>
              <w:rPr>
                <w:rFonts w:ascii="Times New Roman" w:hAnsi="Times New Roman" w:eastAsia="宋体" w:cs="Times New Roman"/>
                <w:color w:val="auto"/>
                <w:kern w:val="2"/>
                <w:sz w:val="21"/>
                <w:szCs w:val="21"/>
                <w:lang w:val="en-US" w:eastAsia="zh-CN" w:bidi="ar-SA"/>
              </w:rPr>
            </w:pPr>
            <w:r>
              <w:rPr>
                <w:rFonts w:hint="eastAsia"/>
                <w:snapToGrid w:val="0"/>
                <w:color w:val="auto"/>
                <w:kern w:val="0"/>
                <w:szCs w:val="21"/>
              </w:rPr>
              <w:t>屠宰车间封闭，</w:t>
            </w:r>
            <w:r>
              <w:rPr>
                <w:bCs/>
                <w:snapToGrid w:val="0"/>
                <w:color w:val="auto"/>
                <w:kern w:val="0"/>
                <w:szCs w:val="21"/>
              </w:rPr>
              <w:t>产生的恶臭气体经负压集中收集后，通过活性炭吸附净化后由15m高排气筒（</w:t>
            </w:r>
            <w:r>
              <w:rPr>
                <w:rFonts w:hint="eastAsia"/>
                <w:bCs/>
                <w:snapToGrid w:val="0"/>
                <w:color w:val="auto"/>
                <w:kern w:val="0"/>
                <w:szCs w:val="21"/>
              </w:rPr>
              <w:t>DA001</w:t>
            </w:r>
            <w:r>
              <w:rPr>
                <w:bCs/>
                <w:snapToGrid w:val="0"/>
                <w:color w:val="auto"/>
                <w:kern w:val="0"/>
                <w:szCs w:val="21"/>
              </w:rPr>
              <w:t>）排放，收集率约</w:t>
            </w:r>
            <w:r>
              <w:rPr>
                <w:rFonts w:hint="eastAsia"/>
                <w:bCs/>
                <w:snapToGrid w:val="0"/>
                <w:color w:val="auto"/>
                <w:kern w:val="0"/>
                <w:szCs w:val="21"/>
              </w:rPr>
              <w:t>8</w:t>
            </w:r>
            <w:r>
              <w:rPr>
                <w:bCs/>
                <w:snapToGrid w:val="0"/>
                <w:color w:val="auto"/>
                <w:kern w:val="0"/>
                <w:szCs w:val="21"/>
              </w:rPr>
              <w:t>0%左右，恶臭气体净化率不低于70%。</w:t>
            </w:r>
          </w:p>
        </w:tc>
        <w:tc>
          <w:tcPr>
            <w:tcW w:w="440" w:type="pct"/>
            <w:vMerge w:val="restart"/>
            <w:vAlign w:val="center"/>
          </w:tcPr>
          <w:p>
            <w:pPr>
              <w:pStyle w:val="84"/>
              <w:spacing w:line="0" w:lineRule="atLeast"/>
              <w:rPr>
                <w:rFonts w:hAnsi="Times New Roman"/>
                <w:color w:val="FF0000"/>
              </w:rPr>
            </w:pPr>
            <w:r>
              <w:rPr>
                <w:rFonts w:hAnsi="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94" w:type="pct"/>
            <w:vMerge w:val="continue"/>
            <w:vAlign w:val="center"/>
          </w:tcPr>
          <w:p>
            <w:pPr>
              <w:pStyle w:val="84"/>
              <w:spacing w:line="0" w:lineRule="atLeast"/>
              <w:rPr>
                <w:rFonts w:hAnsi="Times New Roman"/>
                <w:color w:val="FF0000"/>
              </w:rPr>
            </w:pPr>
          </w:p>
        </w:tc>
        <w:tc>
          <w:tcPr>
            <w:tcW w:w="254" w:type="pct"/>
            <w:vMerge w:val="continue"/>
            <w:vAlign w:val="center"/>
          </w:tcPr>
          <w:p>
            <w:pPr>
              <w:pStyle w:val="84"/>
              <w:spacing w:line="0" w:lineRule="atLeast"/>
              <w:rPr>
                <w:rFonts w:hAnsi="Times New Roman"/>
                <w:color w:val="FF0000"/>
              </w:rPr>
            </w:pPr>
          </w:p>
        </w:tc>
        <w:tc>
          <w:tcPr>
            <w:tcW w:w="762" w:type="pct"/>
            <w:tcBorders>
              <w:top w:val="single" w:color="auto" w:sz="4" w:space="0"/>
            </w:tcBorders>
            <w:vAlign w:val="center"/>
          </w:tcPr>
          <w:p>
            <w:pPr>
              <w:pStyle w:val="84"/>
              <w:spacing w:line="0" w:lineRule="atLeast"/>
              <w:rPr>
                <w:rFonts w:hint="eastAsia" w:ascii="Times New Roman" w:hAnsi="Times New Roman" w:eastAsia="宋体" w:cs="Times New Roman"/>
                <w:snapToGrid w:val="0"/>
                <w:color w:val="auto"/>
                <w:kern w:val="0"/>
                <w:sz w:val="21"/>
                <w:szCs w:val="21"/>
                <w:lang w:val="en-US" w:eastAsia="zh-CN" w:bidi="ar-SA"/>
              </w:rPr>
            </w:pPr>
            <w:r>
              <w:rPr>
                <w:rFonts w:hint="eastAsia" w:hAnsi="Times New Roman"/>
                <w:snapToGrid w:val="0"/>
                <w:color w:val="auto"/>
                <w:kern w:val="0"/>
              </w:rPr>
              <w:t>污水处理站恶臭</w:t>
            </w:r>
          </w:p>
        </w:tc>
        <w:tc>
          <w:tcPr>
            <w:tcW w:w="3148" w:type="pct"/>
            <w:vAlign w:val="center"/>
          </w:tcPr>
          <w:p>
            <w:pPr>
              <w:jc w:val="left"/>
              <w:rPr>
                <w:rFonts w:hint="eastAsia"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pacing w:val="0"/>
                <w:sz w:val="21"/>
                <w:szCs w:val="21"/>
              </w:rPr>
              <w:t>污水处理站</w:t>
            </w:r>
            <w:r>
              <w:rPr>
                <w:rFonts w:hint="eastAsia" w:cs="Times New Roman"/>
                <w:color w:val="auto"/>
                <w:spacing w:val="0"/>
                <w:sz w:val="21"/>
                <w:szCs w:val="21"/>
                <w:lang w:val="en-US" w:eastAsia="zh-CN"/>
              </w:rPr>
              <w:t>为地埋式</w:t>
            </w:r>
            <w:r>
              <w:rPr>
                <w:rFonts w:hint="default" w:ascii="Times New Roman" w:hAnsi="Times New Roman" w:eastAsia="宋体" w:cs="Times New Roman"/>
                <w:color w:val="auto"/>
                <w:spacing w:val="0"/>
                <w:sz w:val="21"/>
                <w:szCs w:val="21"/>
              </w:rPr>
              <w:t>封闭</w:t>
            </w:r>
            <w:r>
              <w:rPr>
                <w:rFonts w:hint="eastAsia" w:ascii="Times New Roman" w:hAnsi="Times New Roman" w:eastAsia="宋体" w:cs="Times New Roman"/>
                <w:color w:val="auto"/>
                <w:spacing w:val="0"/>
                <w:sz w:val="21"/>
                <w:szCs w:val="21"/>
                <w:lang w:eastAsia="zh-CN"/>
              </w:rPr>
              <w:t>设置</w:t>
            </w:r>
            <w:r>
              <w:rPr>
                <w:rFonts w:hint="default" w:ascii="Times New Roman" w:hAnsi="Times New Roman" w:eastAsia="宋体" w:cs="Times New Roman"/>
                <w:color w:val="auto"/>
                <w:spacing w:val="0"/>
                <w:sz w:val="21"/>
                <w:szCs w:val="21"/>
              </w:rPr>
              <w:t>，</w:t>
            </w:r>
            <w:r>
              <w:rPr>
                <w:bCs/>
                <w:snapToGrid w:val="0"/>
                <w:color w:val="auto"/>
                <w:kern w:val="0"/>
                <w:szCs w:val="21"/>
              </w:rPr>
              <w:t>产生的恶臭气体经负压集中收集后，通过活性炭吸附净化后由15m高排气筒（</w:t>
            </w:r>
            <w:r>
              <w:rPr>
                <w:rFonts w:hint="eastAsia"/>
                <w:bCs/>
                <w:snapToGrid w:val="0"/>
                <w:color w:val="auto"/>
                <w:kern w:val="0"/>
                <w:szCs w:val="21"/>
              </w:rPr>
              <w:t>DA002</w:t>
            </w:r>
            <w:r>
              <w:rPr>
                <w:bCs/>
                <w:snapToGrid w:val="0"/>
                <w:color w:val="auto"/>
                <w:kern w:val="0"/>
                <w:szCs w:val="21"/>
              </w:rPr>
              <w:t>）排放，收集率约</w:t>
            </w:r>
            <w:r>
              <w:rPr>
                <w:rFonts w:hint="eastAsia"/>
                <w:bCs/>
                <w:snapToGrid w:val="0"/>
                <w:color w:val="auto"/>
                <w:kern w:val="0"/>
                <w:szCs w:val="21"/>
              </w:rPr>
              <w:t>8</w:t>
            </w:r>
            <w:r>
              <w:rPr>
                <w:bCs/>
                <w:snapToGrid w:val="0"/>
                <w:color w:val="auto"/>
                <w:kern w:val="0"/>
                <w:szCs w:val="21"/>
              </w:rPr>
              <w:t>0%左右，恶臭气体净化率不低于70%。</w:t>
            </w:r>
          </w:p>
        </w:tc>
        <w:tc>
          <w:tcPr>
            <w:tcW w:w="440" w:type="pct"/>
            <w:vMerge w:val="continue"/>
            <w:vAlign w:val="center"/>
          </w:tcPr>
          <w:p>
            <w:pPr>
              <w:jc w:val="center"/>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94" w:type="pct"/>
            <w:vMerge w:val="continue"/>
            <w:vAlign w:val="center"/>
          </w:tcPr>
          <w:p>
            <w:pPr>
              <w:pStyle w:val="84"/>
              <w:spacing w:line="0" w:lineRule="atLeast"/>
              <w:rPr>
                <w:rFonts w:hAnsi="Times New Roman"/>
                <w:color w:val="FF0000"/>
              </w:rPr>
            </w:pPr>
          </w:p>
        </w:tc>
        <w:tc>
          <w:tcPr>
            <w:tcW w:w="254" w:type="pct"/>
            <w:vMerge w:val="continue"/>
            <w:vAlign w:val="center"/>
          </w:tcPr>
          <w:p>
            <w:pPr>
              <w:pStyle w:val="84"/>
              <w:spacing w:line="0" w:lineRule="atLeast"/>
              <w:rPr>
                <w:rFonts w:hAnsi="Times New Roman"/>
                <w:color w:val="FF0000"/>
              </w:rPr>
            </w:pPr>
          </w:p>
        </w:tc>
        <w:tc>
          <w:tcPr>
            <w:tcW w:w="762" w:type="pct"/>
            <w:tcBorders>
              <w:top w:val="single" w:color="auto" w:sz="4" w:space="0"/>
            </w:tcBorders>
            <w:vAlign w:val="center"/>
          </w:tcPr>
          <w:p>
            <w:pPr>
              <w:pStyle w:val="84"/>
              <w:spacing w:line="0" w:lineRule="atLeast"/>
              <w:rPr>
                <w:rFonts w:hint="eastAsia" w:ascii="Times New Roman" w:hAnsi="Times New Roman" w:eastAsia="宋体" w:cs="Times New Roman"/>
                <w:color w:val="auto"/>
                <w:kern w:val="2"/>
                <w:sz w:val="21"/>
                <w:szCs w:val="21"/>
                <w:lang w:val="en-US" w:eastAsia="zh-CN" w:bidi="ar-SA"/>
              </w:rPr>
            </w:pPr>
            <w:r>
              <w:rPr>
                <w:rFonts w:hint="eastAsia" w:hAnsi="Times New Roman"/>
                <w:color w:val="auto"/>
              </w:rPr>
              <w:t>待宰间</w:t>
            </w:r>
            <w:r>
              <w:rPr>
                <w:rFonts w:hAnsi="Times New Roman"/>
                <w:color w:val="auto"/>
              </w:rPr>
              <w:t>恶臭</w:t>
            </w:r>
          </w:p>
        </w:tc>
        <w:tc>
          <w:tcPr>
            <w:tcW w:w="3148" w:type="pct"/>
            <w:vAlign w:val="center"/>
          </w:tcPr>
          <w:p>
            <w:pPr>
              <w:pStyle w:val="84"/>
              <w:spacing w:line="0" w:lineRule="atLeast"/>
              <w:jc w:val="left"/>
              <w:rPr>
                <w:rFonts w:hint="eastAsia" w:ascii="Times New Roman" w:hAnsi="Times New Roman" w:eastAsia="宋体" w:cs="Times New Roman"/>
                <w:color w:val="auto"/>
                <w:kern w:val="2"/>
                <w:sz w:val="21"/>
                <w:szCs w:val="21"/>
                <w:lang w:val="en-US" w:eastAsia="zh-CN" w:bidi="ar-SA"/>
              </w:rPr>
            </w:pPr>
            <w:r>
              <w:rPr>
                <w:rFonts w:hAnsi="Times New Roman"/>
                <w:color w:val="auto"/>
              </w:rPr>
              <w:t>本项目待宰</w:t>
            </w:r>
            <w:r>
              <w:rPr>
                <w:rFonts w:hint="eastAsia" w:hAnsi="Times New Roman"/>
                <w:color w:val="auto"/>
              </w:rPr>
              <w:t>间封闭，</w:t>
            </w:r>
            <w:r>
              <w:rPr>
                <w:rFonts w:hAnsi="Times New Roman"/>
                <w:bCs/>
                <w:color w:val="auto"/>
              </w:rPr>
              <w:t>及时清扫，并投加或喷洒除臭剂，产生的</w:t>
            </w:r>
            <w:r>
              <w:rPr>
                <w:rFonts w:hint="eastAsia" w:hAnsi="Times New Roman"/>
                <w:bCs/>
                <w:color w:val="auto"/>
              </w:rPr>
              <w:t>恶臭气体</w:t>
            </w:r>
            <w:r>
              <w:rPr>
                <w:rFonts w:hAnsi="Times New Roman"/>
                <w:bCs/>
                <w:color w:val="auto"/>
              </w:rPr>
              <w:t>经负压集中收集后，通过活性炭吸附净化后由15m高排气筒（</w:t>
            </w:r>
            <w:r>
              <w:rPr>
                <w:rFonts w:hint="eastAsia" w:hAnsi="Times New Roman"/>
                <w:bCs/>
                <w:color w:val="auto"/>
              </w:rPr>
              <w:t>DA00</w:t>
            </w:r>
            <w:r>
              <w:rPr>
                <w:rFonts w:hint="eastAsia" w:hAnsi="Times New Roman"/>
                <w:bCs/>
                <w:color w:val="auto"/>
                <w:lang w:val="en-US" w:eastAsia="zh-CN"/>
              </w:rPr>
              <w:t>3</w:t>
            </w:r>
            <w:r>
              <w:rPr>
                <w:rFonts w:hAnsi="Times New Roman"/>
                <w:bCs/>
                <w:color w:val="auto"/>
              </w:rPr>
              <w:t>）排放，收集率约</w:t>
            </w:r>
            <w:r>
              <w:rPr>
                <w:rFonts w:hint="eastAsia" w:hAnsi="Times New Roman"/>
                <w:bCs/>
                <w:color w:val="auto"/>
              </w:rPr>
              <w:t>8</w:t>
            </w:r>
            <w:r>
              <w:rPr>
                <w:rFonts w:hAnsi="Times New Roman"/>
                <w:bCs/>
                <w:color w:val="auto"/>
              </w:rPr>
              <w:t>0%左右，恶臭气体净化率不低于70%。</w:t>
            </w:r>
          </w:p>
        </w:tc>
        <w:tc>
          <w:tcPr>
            <w:tcW w:w="440" w:type="pct"/>
            <w:vMerge w:val="continue"/>
            <w:vAlign w:val="center"/>
          </w:tcPr>
          <w:p>
            <w:pPr>
              <w:jc w:val="center"/>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94" w:type="pct"/>
            <w:vMerge w:val="continue"/>
            <w:vAlign w:val="center"/>
          </w:tcPr>
          <w:p>
            <w:pPr>
              <w:pStyle w:val="84"/>
              <w:spacing w:line="0" w:lineRule="atLeast"/>
              <w:rPr>
                <w:rFonts w:hAnsi="Times New Roman"/>
                <w:color w:val="FF0000"/>
              </w:rPr>
            </w:pPr>
          </w:p>
        </w:tc>
        <w:tc>
          <w:tcPr>
            <w:tcW w:w="254" w:type="pct"/>
            <w:vMerge w:val="continue"/>
            <w:vAlign w:val="center"/>
          </w:tcPr>
          <w:p>
            <w:pPr>
              <w:pStyle w:val="84"/>
              <w:spacing w:line="0" w:lineRule="atLeast"/>
              <w:rPr>
                <w:rFonts w:hAnsi="Times New Roman"/>
                <w:color w:val="FF0000"/>
              </w:rPr>
            </w:pPr>
          </w:p>
        </w:tc>
        <w:tc>
          <w:tcPr>
            <w:tcW w:w="762" w:type="pct"/>
            <w:tcBorders>
              <w:top w:val="single" w:color="auto" w:sz="4" w:space="0"/>
            </w:tcBorders>
            <w:vAlign w:val="center"/>
          </w:tcPr>
          <w:p>
            <w:pPr>
              <w:pStyle w:val="84"/>
              <w:spacing w:line="0" w:lineRule="atLeast"/>
              <w:rPr>
                <w:rFonts w:ascii="Times New Roman" w:hAnsi="Times New Roman" w:eastAsia="宋体" w:cs="Times New Roman"/>
                <w:snapToGrid w:val="0"/>
                <w:color w:val="auto"/>
                <w:kern w:val="0"/>
                <w:sz w:val="21"/>
                <w:szCs w:val="21"/>
                <w:lang w:val="en-US" w:eastAsia="zh-CN" w:bidi="ar-SA"/>
              </w:rPr>
            </w:pPr>
            <w:r>
              <w:rPr>
                <w:rFonts w:hint="eastAsia" w:hAnsi="Times New Roman"/>
                <w:snapToGrid w:val="0"/>
                <w:color w:val="auto"/>
                <w:kern w:val="0"/>
              </w:rPr>
              <w:t>食堂油烟</w:t>
            </w:r>
          </w:p>
        </w:tc>
        <w:tc>
          <w:tcPr>
            <w:tcW w:w="3148" w:type="pct"/>
            <w:vAlign w:val="center"/>
          </w:tcPr>
          <w:p>
            <w:pPr>
              <w:jc w:val="left"/>
              <w:rPr>
                <w:rFonts w:ascii="Times New Roman" w:hAnsi="Times New Roman" w:eastAsia="宋体" w:cs="Times New Roman"/>
                <w:snapToGrid w:val="0"/>
                <w:color w:val="auto"/>
                <w:kern w:val="0"/>
                <w:sz w:val="21"/>
                <w:szCs w:val="21"/>
                <w:lang w:val="en-US" w:eastAsia="zh-CN" w:bidi="ar-SA"/>
              </w:rPr>
            </w:pPr>
            <w:r>
              <w:rPr>
                <w:snapToGrid w:val="0"/>
                <w:color w:val="auto"/>
                <w:kern w:val="0"/>
                <w:szCs w:val="21"/>
              </w:rPr>
              <w:t>食堂设</w:t>
            </w:r>
            <w:r>
              <w:rPr>
                <w:rFonts w:hint="eastAsia"/>
                <w:snapToGrid w:val="0"/>
                <w:color w:val="auto"/>
                <w:kern w:val="0"/>
                <w:szCs w:val="21"/>
              </w:rPr>
              <w:t>2个灶头，</w:t>
            </w:r>
            <w:r>
              <w:rPr>
                <w:snapToGrid w:val="0"/>
                <w:color w:val="auto"/>
                <w:kern w:val="0"/>
                <w:szCs w:val="21"/>
              </w:rPr>
              <w:t>食堂油烟经油烟净化器处理后经高于楼顶的专用烟道排放（</w:t>
            </w:r>
            <w:r>
              <w:rPr>
                <w:rFonts w:hint="eastAsia"/>
                <w:snapToGrid w:val="0"/>
                <w:color w:val="auto"/>
                <w:kern w:val="0"/>
                <w:szCs w:val="21"/>
              </w:rPr>
              <w:t>DA00</w:t>
            </w:r>
            <w:r>
              <w:rPr>
                <w:rFonts w:hint="eastAsia"/>
                <w:snapToGrid w:val="0"/>
                <w:color w:val="auto"/>
                <w:kern w:val="0"/>
                <w:szCs w:val="21"/>
                <w:lang w:val="en-US" w:eastAsia="zh-CN"/>
              </w:rPr>
              <w:t>4</w:t>
            </w:r>
            <w:r>
              <w:rPr>
                <w:snapToGrid w:val="0"/>
                <w:color w:val="auto"/>
                <w:kern w:val="0"/>
                <w:szCs w:val="21"/>
              </w:rPr>
              <w:t>），净化去除效率</w:t>
            </w:r>
            <w:r>
              <w:rPr>
                <w:rFonts w:hint="eastAsia"/>
                <w:snapToGrid w:val="0"/>
                <w:color w:val="auto"/>
                <w:kern w:val="0"/>
                <w:szCs w:val="21"/>
              </w:rPr>
              <w:t>60</w:t>
            </w:r>
            <w:r>
              <w:rPr>
                <w:snapToGrid w:val="0"/>
                <w:color w:val="auto"/>
                <w:kern w:val="0"/>
                <w:szCs w:val="21"/>
              </w:rPr>
              <w:t>%</w:t>
            </w:r>
            <w:r>
              <w:rPr>
                <w:bCs/>
                <w:snapToGrid w:val="0"/>
                <w:color w:val="auto"/>
                <w:kern w:val="0"/>
                <w:szCs w:val="21"/>
              </w:rPr>
              <w:t>。</w:t>
            </w:r>
          </w:p>
        </w:tc>
        <w:tc>
          <w:tcPr>
            <w:tcW w:w="440" w:type="pct"/>
            <w:vMerge w:val="continue"/>
            <w:vAlign w:val="center"/>
          </w:tcPr>
          <w:p>
            <w:pPr>
              <w:jc w:val="center"/>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94" w:type="pct"/>
            <w:vMerge w:val="continue"/>
            <w:vAlign w:val="center"/>
          </w:tcPr>
          <w:p>
            <w:pPr>
              <w:pStyle w:val="84"/>
              <w:spacing w:line="0" w:lineRule="atLeast"/>
              <w:rPr>
                <w:rFonts w:hAnsi="Times New Roman"/>
                <w:color w:val="FF0000"/>
              </w:rPr>
            </w:pPr>
          </w:p>
        </w:tc>
        <w:tc>
          <w:tcPr>
            <w:tcW w:w="254" w:type="pct"/>
            <w:vMerge w:val="continue"/>
            <w:vAlign w:val="center"/>
          </w:tcPr>
          <w:p>
            <w:pPr>
              <w:pStyle w:val="84"/>
              <w:spacing w:line="0" w:lineRule="atLeast"/>
              <w:rPr>
                <w:rFonts w:hAnsi="Times New Roman"/>
                <w:color w:val="FF0000"/>
              </w:rPr>
            </w:pPr>
          </w:p>
        </w:tc>
        <w:tc>
          <w:tcPr>
            <w:tcW w:w="762" w:type="pct"/>
            <w:tcBorders>
              <w:top w:val="single" w:color="auto" w:sz="4" w:space="0"/>
            </w:tcBorders>
            <w:vAlign w:val="center"/>
          </w:tcPr>
          <w:p>
            <w:pPr>
              <w:pStyle w:val="84"/>
              <w:spacing w:line="0" w:lineRule="atLeast"/>
              <w:rPr>
                <w:rFonts w:hAnsi="Times New Roman"/>
                <w:snapToGrid w:val="0"/>
                <w:color w:val="auto"/>
                <w:kern w:val="0"/>
              </w:rPr>
            </w:pPr>
            <w:r>
              <w:rPr>
                <w:rFonts w:hint="eastAsia" w:hAnsi="Times New Roman"/>
                <w:snapToGrid w:val="0"/>
                <w:color w:val="auto"/>
                <w:kern w:val="0"/>
                <w:lang w:val="en-US" w:eastAsia="zh-CN"/>
              </w:rPr>
              <w:t>锅炉烟气</w:t>
            </w:r>
          </w:p>
        </w:tc>
        <w:tc>
          <w:tcPr>
            <w:tcW w:w="3148" w:type="pct"/>
            <w:vAlign w:val="center"/>
          </w:tcPr>
          <w:p>
            <w:pPr>
              <w:jc w:val="left"/>
              <w:rPr>
                <w:rFonts w:hint="default"/>
                <w:snapToGrid w:val="0"/>
                <w:color w:val="auto"/>
                <w:kern w:val="0"/>
                <w:szCs w:val="21"/>
                <w:lang w:val="en-US"/>
              </w:rPr>
            </w:pPr>
            <w:r>
              <w:rPr>
                <w:rFonts w:hint="eastAsia"/>
                <w:snapToGrid w:val="0"/>
                <w:color w:val="auto"/>
                <w:kern w:val="0"/>
                <w:szCs w:val="21"/>
                <w:lang w:val="en-US" w:eastAsia="zh-CN"/>
              </w:rPr>
              <w:t>锅炉</w:t>
            </w:r>
            <w:r>
              <w:rPr>
                <w:rFonts w:hint="default"/>
                <w:snapToGrid w:val="0"/>
                <w:color w:val="auto"/>
                <w:kern w:val="0"/>
                <w:szCs w:val="21"/>
                <w:lang w:val="en-US" w:eastAsia="zh-CN"/>
              </w:rPr>
              <w:t>产生的烟气经布袋除尘器处理后，经</w:t>
            </w:r>
            <w:r>
              <w:rPr>
                <w:rFonts w:hint="eastAsia"/>
                <w:snapToGrid w:val="0"/>
                <w:color w:val="auto"/>
                <w:kern w:val="0"/>
                <w:szCs w:val="21"/>
                <w:lang w:val="en-US" w:eastAsia="zh-CN"/>
              </w:rPr>
              <w:t>30m</w:t>
            </w:r>
            <w:r>
              <w:rPr>
                <w:rFonts w:hint="default"/>
                <w:snapToGrid w:val="0"/>
                <w:color w:val="auto"/>
                <w:kern w:val="0"/>
                <w:szCs w:val="21"/>
                <w:lang w:val="en-US" w:eastAsia="zh-CN"/>
              </w:rPr>
              <w:t>高烟囱</w:t>
            </w:r>
            <w:r>
              <w:rPr>
                <w:rFonts w:hint="eastAsia"/>
                <w:snapToGrid w:val="0"/>
                <w:color w:val="auto"/>
                <w:kern w:val="0"/>
                <w:szCs w:val="21"/>
                <w:lang w:val="en-US" w:eastAsia="zh-CN"/>
              </w:rPr>
              <w:t>（DA005）</w:t>
            </w:r>
            <w:r>
              <w:rPr>
                <w:rFonts w:hint="default"/>
                <w:snapToGrid w:val="0"/>
                <w:color w:val="auto"/>
                <w:kern w:val="0"/>
                <w:szCs w:val="21"/>
                <w:lang w:val="en-US" w:eastAsia="zh-CN"/>
              </w:rPr>
              <w:t>排放</w:t>
            </w:r>
            <w:r>
              <w:rPr>
                <w:rFonts w:hint="eastAsia"/>
                <w:snapToGrid w:val="0"/>
                <w:color w:val="auto"/>
                <w:kern w:val="0"/>
                <w:szCs w:val="21"/>
                <w:lang w:val="en-US" w:eastAsia="zh-CN"/>
              </w:rPr>
              <w:t>，布袋除尘器效率为99%。</w:t>
            </w:r>
          </w:p>
        </w:tc>
        <w:tc>
          <w:tcPr>
            <w:tcW w:w="440" w:type="pct"/>
            <w:vMerge w:val="continue"/>
            <w:vAlign w:val="center"/>
          </w:tcPr>
          <w:p>
            <w:pPr>
              <w:jc w:val="center"/>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94" w:type="pct"/>
            <w:vMerge w:val="continue"/>
            <w:vAlign w:val="center"/>
          </w:tcPr>
          <w:p>
            <w:pPr>
              <w:pStyle w:val="84"/>
              <w:spacing w:line="0" w:lineRule="atLeast"/>
              <w:rPr>
                <w:rFonts w:hAnsi="Times New Roman"/>
                <w:color w:val="FF0000"/>
              </w:rPr>
            </w:pPr>
          </w:p>
        </w:tc>
        <w:tc>
          <w:tcPr>
            <w:tcW w:w="254" w:type="pct"/>
            <w:vMerge w:val="continue"/>
            <w:vAlign w:val="center"/>
          </w:tcPr>
          <w:p>
            <w:pPr>
              <w:pStyle w:val="84"/>
              <w:spacing w:line="0" w:lineRule="atLeast"/>
              <w:rPr>
                <w:rFonts w:hAnsi="Times New Roman"/>
                <w:color w:val="FF0000"/>
              </w:rPr>
            </w:pPr>
          </w:p>
        </w:tc>
        <w:tc>
          <w:tcPr>
            <w:tcW w:w="762" w:type="pct"/>
            <w:tcBorders>
              <w:top w:val="single" w:color="auto" w:sz="4" w:space="0"/>
            </w:tcBorders>
            <w:vAlign w:val="center"/>
          </w:tcPr>
          <w:p>
            <w:pPr>
              <w:pStyle w:val="84"/>
              <w:spacing w:line="0" w:lineRule="atLeast"/>
              <w:rPr>
                <w:rFonts w:hAnsi="Times New Roman"/>
                <w:snapToGrid w:val="0"/>
                <w:color w:val="auto"/>
                <w:kern w:val="0"/>
              </w:rPr>
            </w:pPr>
            <w:r>
              <w:rPr>
                <w:rFonts w:hint="eastAsia" w:hAnsi="Times New Roman"/>
                <w:snapToGrid w:val="0"/>
                <w:color w:val="auto"/>
                <w:kern w:val="0"/>
              </w:rPr>
              <w:t>无组织</w:t>
            </w:r>
          </w:p>
        </w:tc>
        <w:tc>
          <w:tcPr>
            <w:tcW w:w="3148" w:type="pct"/>
            <w:vAlign w:val="center"/>
          </w:tcPr>
          <w:p>
            <w:pPr>
              <w:jc w:val="left"/>
              <w:rPr>
                <w:rFonts w:hint="default" w:eastAsia="宋体"/>
                <w:snapToGrid w:val="0"/>
                <w:color w:val="auto"/>
                <w:kern w:val="0"/>
                <w:szCs w:val="21"/>
                <w:lang w:val="en-US" w:eastAsia="zh-CN"/>
              </w:rPr>
            </w:pPr>
            <w:r>
              <w:rPr>
                <w:rFonts w:hint="eastAsia"/>
                <w:snapToGrid w:val="0"/>
                <w:color w:val="auto"/>
                <w:kern w:val="0"/>
                <w:szCs w:val="21"/>
              </w:rPr>
              <w:t>储粪池位于待宰间内，待宰间产生的</w:t>
            </w:r>
            <w:r>
              <w:rPr>
                <w:snapToGrid w:val="0"/>
                <w:color w:val="auto"/>
                <w:kern w:val="0"/>
                <w:szCs w:val="21"/>
              </w:rPr>
              <w:t>无组织恶臭通过及时清扫粪便，外售综合利用，</w:t>
            </w:r>
            <w:r>
              <w:rPr>
                <w:bCs/>
                <w:color w:val="auto"/>
              </w:rPr>
              <w:t>并投加或喷洒除臭剂，减少恶臭源的散发；屠宰车间、污水处理站产生的无组织恶臭通过在厂界四周种植乔木类植物绿化隔离带，可减少恶臭污染物对周围环境的影响；污泥暂存池位于污水处理站地下，属地埋式建筑，封闭存储。</w:t>
            </w:r>
            <w:r>
              <w:rPr>
                <w:rFonts w:hint="eastAsia"/>
                <w:bCs/>
                <w:color w:val="auto"/>
                <w:lang w:val="en-US" w:eastAsia="zh-CN"/>
              </w:rPr>
              <w:t>冷库及储氨房产生的无组织氨通过加强管理及定期检查，及时更换老化阀门及管道，可减少氨对周围环境的影响。</w:t>
            </w:r>
          </w:p>
        </w:tc>
        <w:tc>
          <w:tcPr>
            <w:tcW w:w="440" w:type="pct"/>
            <w:vAlign w:val="center"/>
          </w:tcPr>
          <w:p>
            <w:pPr>
              <w:jc w:val="center"/>
              <w:rPr>
                <w:color w:val="auto"/>
                <w:szCs w:val="21"/>
              </w:rPr>
            </w:pPr>
            <w:r>
              <w:rPr>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9" w:hRule="atLeast"/>
          <w:jc w:val="center"/>
        </w:trPr>
        <w:tc>
          <w:tcPr>
            <w:tcW w:w="394" w:type="pct"/>
            <w:vMerge w:val="restart"/>
            <w:vAlign w:val="center"/>
          </w:tcPr>
          <w:p>
            <w:pPr>
              <w:pStyle w:val="84"/>
              <w:spacing w:line="0" w:lineRule="atLeast"/>
              <w:rPr>
                <w:rFonts w:hAnsi="Times New Roman"/>
                <w:color w:val="auto"/>
              </w:rPr>
            </w:pPr>
            <w:r>
              <w:rPr>
                <w:rFonts w:hAnsi="Times New Roman"/>
                <w:color w:val="auto"/>
              </w:rPr>
              <w:t>环保工程</w:t>
            </w:r>
          </w:p>
        </w:tc>
        <w:tc>
          <w:tcPr>
            <w:tcW w:w="1016" w:type="pct"/>
            <w:gridSpan w:val="2"/>
            <w:vAlign w:val="center"/>
          </w:tcPr>
          <w:p>
            <w:pPr>
              <w:pStyle w:val="84"/>
              <w:spacing w:line="0" w:lineRule="atLeast"/>
              <w:rPr>
                <w:rFonts w:hAnsi="Times New Roman"/>
                <w:color w:val="auto"/>
              </w:rPr>
            </w:pPr>
            <w:r>
              <w:rPr>
                <w:rFonts w:hAnsi="Times New Roman"/>
                <w:color w:val="auto"/>
              </w:rPr>
              <w:t>污水</w:t>
            </w:r>
          </w:p>
        </w:tc>
        <w:tc>
          <w:tcPr>
            <w:tcW w:w="3148" w:type="pct"/>
            <w:vAlign w:val="center"/>
          </w:tcPr>
          <w:p>
            <w:pPr>
              <w:pStyle w:val="84"/>
              <w:spacing w:line="0" w:lineRule="atLeast"/>
              <w:jc w:val="left"/>
              <w:rPr>
                <w:rFonts w:hAnsi="Times New Roman"/>
                <w:color w:val="auto"/>
              </w:rPr>
            </w:pPr>
            <w:r>
              <w:rPr>
                <w:rFonts w:hint="eastAsia" w:hAnsi="Times New Roman"/>
                <w:color w:val="auto"/>
              </w:rPr>
              <w:t>生产</w:t>
            </w:r>
            <w:r>
              <w:rPr>
                <w:rFonts w:hAnsi="Times New Roman"/>
                <w:color w:val="auto"/>
              </w:rPr>
              <w:t>废水</w:t>
            </w:r>
            <w:r>
              <w:rPr>
                <w:rFonts w:hint="eastAsia" w:hAnsi="Times New Roman"/>
                <w:color w:val="auto"/>
              </w:rPr>
              <w:t>和生活污水（含食堂废水）一起</w:t>
            </w:r>
            <w:r>
              <w:rPr>
                <w:rFonts w:hAnsi="Times New Roman"/>
                <w:color w:val="auto"/>
              </w:rPr>
              <w:t>排入</w:t>
            </w:r>
            <w:r>
              <w:rPr>
                <w:rFonts w:hint="eastAsia" w:hAnsi="Times New Roman"/>
                <w:color w:val="auto"/>
              </w:rPr>
              <w:t>厂区</w:t>
            </w:r>
            <w:r>
              <w:rPr>
                <w:rFonts w:hAnsi="Times New Roman"/>
                <w:color w:val="auto"/>
              </w:rPr>
              <w:t>自建污水处理站，</w:t>
            </w:r>
            <w:r>
              <w:rPr>
                <w:rFonts w:hint="eastAsia" w:hAnsi="Times New Roman"/>
                <w:color w:val="auto"/>
                <w:lang w:val="en-US" w:eastAsia="zh-CN"/>
              </w:rPr>
              <w:t>污水处理站位于屠宰车间内，</w:t>
            </w:r>
            <w:r>
              <w:rPr>
                <w:rFonts w:hint="eastAsia" w:hAnsi="Times New Roman"/>
                <w:color w:val="auto"/>
              </w:rPr>
              <w:t>污水处理采用“</w:t>
            </w:r>
            <w:r>
              <w:rPr>
                <w:rFonts w:hAnsi="Times New Roman"/>
                <w:bCs/>
                <w:color w:val="auto"/>
              </w:rPr>
              <w:t>格栅+</w:t>
            </w:r>
            <w:r>
              <w:rPr>
                <w:rFonts w:hAnsi="Times New Roman"/>
                <w:color w:val="auto"/>
              </w:rPr>
              <w:t>隔油沉砂+气浮+水解酸化+生物接触氧化+</w:t>
            </w:r>
            <w:r>
              <w:rPr>
                <w:rFonts w:hint="eastAsia" w:hAnsi="Times New Roman"/>
                <w:color w:val="auto"/>
              </w:rPr>
              <w:t>二沉池+</w:t>
            </w:r>
            <w:r>
              <w:rPr>
                <w:rFonts w:hAnsi="Times New Roman"/>
                <w:color w:val="auto"/>
              </w:rPr>
              <w:t>消毒</w:t>
            </w:r>
            <w:r>
              <w:rPr>
                <w:rFonts w:hint="eastAsia" w:hAnsi="Times New Roman"/>
                <w:color w:val="auto"/>
              </w:rPr>
              <w:t>池”工艺，污水处理站处理能力为</w:t>
            </w:r>
            <w:r>
              <w:rPr>
                <w:rFonts w:hint="eastAsia" w:hAnsi="Times New Roman"/>
                <w:color w:val="auto"/>
                <w:lang w:val="en-US" w:eastAsia="zh-CN"/>
              </w:rPr>
              <w:t>70</w:t>
            </w:r>
            <w:r>
              <w:rPr>
                <w:rFonts w:hAnsi="Times New Roman"/>
                <w:color w:val="auto"/>
              </w:rPr>
              <w:t>m</w:t>
            </w:r>
            <w:r>
              <w:rPr>
                <w:rFonts w:hAnsi="Times New Roman"/>
                <w:color w:val="auto"/>
                <w:vertAlign w:val="superscript"/>
              </w:rPr>
              <w:t>3</w:t>
            </w:r>
            <w:r>
              <w:rPr>
                <w:rFonts w:hAnsi="Times New Roman"/>
                <w:color w:val="auto"/>
              </w:rPr>
              <w:t>/d</w:t>
            </w:r>
            <w:r>
              <w:rPr>
                <w:rFonts w:hint="eastAsia" w:hAnsi="Times New Roman"/>
                <w:color w:val="auto"/>
              </w:rPr>
              <w:t>，污水</w:t>
            </w:r>
            <w:r>
              <w:rPr>
                <w:rFonts w:hAnsi="Times New Roman"/>
                <w:color w:val="auto"/>
              </w:rPr>
              <w:t>经处理达标后</w:t>
            </w:r>
            <w:r>
              <w:rPr>
                <w:rFonts w:hint="eastAsia" w:hAnsi="Times New Roman"/>
                <w:bCs/>
                <w:color w:val="auto"/>
              </w:rPr>
              <w:t>暂存</w:t>
            </w:r>
            <w:r>
              <w:rPr>
                <w:rFonts w:hAnsi="Times New Roman"/>
                <w:bCs/>
                <w:color w:val="auto"/>
              </w:rPr>
              <w:t>于贮水池，</w:t>
            </w:r>
            <w:r>
              <w:rPr>
                <w:rFonts w:hint="eastAsia" w:hAnsi="Times New Roman"/>
                <w:bCs/>
                <w:color w:val="auto"/>
              </w:rPr>
              <w:t>每天</w:t>
            </w:r>
            <w:r>
              <w:rPr>
                <w:rFonts w:hAnsi="Times New Roman"/>
                <w:bCs/>
                <w:color w:val="auto"/>
              </w:rPr>
              <w:t>采用专用罐车</w:t>
            </w:r>
            <w:r>
              <w:rPr>
                <w:rFonts w:hint="eastAsia" w:hAnsi="Times New Roman"/>
                <w:bCs/>
                <w:color w:val="auto"/>
              </w:rPr>
              <w:t>运至</w:t>
            </w:r>
            <w:r>
              <w:rPr>
                <w:rFonts w:hint="eastAsia" w:hAnsi="Times New Roman"/>
                <w:bCs/>
                <w:color w:val="auto"/>
                <w:lang w:eastAsia="zh-CN"/>
              </w:rPr>
              <w:t>尚志污水处理厂</w:t>
            </w:r>
            <w:r>
              <w:rPr>
                <w:rFonts w:hint="eastAsia" w:hAnsi="Times New Roman"/>
                <w:bCs/>
                <w:color w:val="auto"/>
              </w:rPr>
              <w:t>，经</w:t>
            </w:r>
            <w:r>
              <w:rPr>
                <w:rFonts w:hint="eastAsia" w:hAnsi="Times New Roman"/>
                <w:bCs/>
                <w:color w:val="auto"/>
                <w:lang w:eastAsia="zh-CN"/>
              </w:rPr>
              <w:t>尚志污水处理厂</w:t>
            </w:r>
            <w:r>
              <w:rPr>
                <w:rFonts w:hint="eastAsia" w:hAnsi="Times New Roman"/>
                <w:bCs/>
                <w:color w:val="auto"/>
              </w:rPr>
              <w:t>处理后达标后排放。</w:t>
            </w:r>
          </w:p>
        </w:tc>
        <w:tc>
          <w:tcPr>
            <w:tcW w:w="440" w:type="pct"/>
            <w:vAlign w:val="center"/>
          </w:tcPr>
          <w:p>
            <w:pPr>
              <w:pStyle w:val="84"/>
              <w:spacing w:line="0" w:lineRule="atLeast"/>
              <w:rPr>
                <w:rFonts w:hAnsi="Times New Roman"/>
                <w:color w:val="auto"/>
              </w:rPr>
            </w:pPr>
            <w:r>
              <w:rPr>
                <w:rFonts w:hAnsi="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vAlign w:val="center"/>
          </w:tcPr>
          <w:p>
            <w:pPr>
              <w:pStyle w:val="84"/>
              <w:spacing w:line="0" w:lineRule="atLeast"/>
              <w:rPr>
                <w:rFonts w:hAnsi="Times New Roman"/>
                <w:color w:val="auto"/>
              </w:rPr>
            </w:pPr>
          </w:p>
        </w:tc>
        <w:tc>
          <w:tcPr>
            <w:tcW w:w="1016" w:type="pct"/>
            <w:gridSpan w:val="2"/>
            <w:vAlign w:val="center"/>
          </w:tcPr>
          <w:p>
            <w:pPr>
              <w:pStyle w:val="84"/>
              <w:spacing w:line="0" w:lineRule="atLeast"/>
              <w:rPr>
                <w:rFonts w:hAnsi="Times New Roman"/>
                <w:color w:val="auto"/>
              </w:rPr>
            </w:pPr>
            <w:r>
              <w:rPr>
                <w:rFonts w:hAnsi="Times New Roman"/>
                <w:color w:val="auto"/>
              </w:rPr>
              <w:t>噪声</w:t>
            </w:r>
          </w:p>
        </w:tc>
        <w:tc>
          <w:tcPr>
            <w:tcW w:w="3148" w:type="pct"/>
            <w:vAlign w:val="center"/>
          </w:tcPr>
          <w:p>
            <w:pPr>
              <w:pStyle w:val="84"/>
              <w:spacing w:line="0" w:lineRule="atLeast"/>
              <w:jc w:val="left"/>
              <w:rPr>
                <w:rFonts w:hAnsi="Times New Roman"/>
                <w:color w:val="auto"/>
              </w:rPr>
            </w:pPr>
            <w:r>
              <w:rPr>
                <w:rFonts w:hAnsi="Times New Roman"/>
                <w:color w:val="auto"/>
              </w:rPr>
              <w:t>本项目选用低噪声设备、厂房隔声、</w:t>
            </w:r>
            <w:r>
              <w:rPr>
                <w:rFonts w:hint="eastAsia" w:hAnsi="Times New Roman"/>
                <w:color w:val="auto"/>
              </w:rPr>
              <w:t>基础减振、</w:t>
            </w:r>
            <w:r>
              <w:rPr>
                <w:rFonts w:hAnsi="Times New Roman"/>
                <w:color w:val="auto"/>
              </w:rPr>
              <w:t>绿化降噪措施。</w:t>
            </w:r>
          </w:p>
        </w:tc>
        <w:tc>
          <w:tcPr>
            <w:tcW w:w="440" w:type="pct"/>
            <w:vAlign w:val="center"/>
          </w:tcPr>
          <w:p>
            <w:pPr>
              <w:pStyle w:val="84"/>
              <w:spacing w:line="0" w:lineRule="atLeast"/>
              <w:rPr>
                <w:rFonts w:hAnsi="Times New Roman"/>
                <w:color w:val="auto"/>
              </w:rPr>
            </w:pPr>
            <w:r>
              <w:rPr>
                <w:rFonts w:hAnsi="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4" w:type="pct"/>
            <w:vMerge w:val="continue"/>
            <w:vAlign w:val="center"/>
          </w:tcPr>
          <w:p>
            <w:pPr>
              <w:pStyle w:val="84"/>
              <w:spacing w:line="0" w:lineRule="atLeast"/>
              <w:rPr>
                <w:rFonts w:hAnsi="Times New Roman"/>
                <w:color w:val="auto"/>
              </w:rPr>
            </w:pPr>
          </w:p>
        </w:tc>
        <w:tc>
          <w:tcPr>
            <w:tcW w:w="254" w:type="pct"/>
            <w:vMerge w:val="restart"/>
            <w:vAlign w:val="center"/>
          </w:tcPr>
          <w:p>
            <w:pPr>
              <w:pStyle w:val="84"/>
              <w:spacing w:line="0" w:lineRule="atLeast"/>
              <w:rPr>
                <w:rFonts w:hAnsi="Times New Roman"/>
                <w:color w:val="auto"/>
              </w:rPr>
            </w:pPr>
            <w:r>
              <w:rPr>
                <w:rFonts w:hAnsi="Times New Roman"/>
                <w:color w:val="auto"/>
              </w:rPr>
              <w:t>固废</w:t>
            </w:r>
          </w:p>
        </w:tc>
        <w:tc>
          <w:tcPr>
            <w:tcW w:w="762" w:type="pct"/>
            <w:vAlign w:val="center"/>
          </w:tcPr>
          <w:p>
            <w:pPr>
              <w:pStyle w:val="84"/>
              <w:spacing w:line="0" w:lineRule="atLeast"/>
              <w:rPr>
                <w:rFonts w:hAnsi="Times New Roman" w:eastAsiaTheme="minorEastAsia"/>
                <w:color w:val="auto"/>
              </w:rPr>
            </w:pPr>
            <w:r>
              <w:rPr>
                <w:rFonts w:hint="eastAsia" w:eastAsiaTheme="minorEastAsia"/>
                <w:color w:val="auto"/>
              </w:rPr>
              <w:t>粪便</w:t>
            </w:r>
          </w:p>
        </w:tc>
        <w:tc>
          <w:tcPr>
            <w:tcW w:w="3148" w:type="pct"/>
            <w:vAlign w:val="center"/>
          </w:tcPr>
          <w:p>
            <w:pPr>
              <w:pStyle w:val="84"/>
              <w:spacing w:line="0" w:lineRule="atLeast"/>
              <w:jc w:val="both"/>
              <w:rPr>
                <w:rFonts w:hAnsi="Times New Roman" w:eastAsiaTheme="minorEastAsia"/>
                <w:color w:val="auto"/>
              </w:rPr>
            </w:pPr>
            <w:r>
              <w:rPr>
                <w:rFonts w:hint="eastAsia" w:eastAsiaTheme="minorEastAsia"/>
                <w:color w:val="auto"/>
              </w:rPr>
              <w:t>暂存于待宰间内储粪池内，日产日清，使用密闭运输车运走作为有机肥原料外卖。</w:t>
            </w:r>
          </w:p>
        </w:tc>
        <w:tc>
          <w:tcPr>
            <w:tcW w:w="440" w:type="pct"/>
            <w:vAlign w:val="center"/>
          </w:tcPr>
          <w:p>
            <w:pPr>
              <w:pStyle w:val="84"/>
              <w:spacing w:line="0" w:lineRule="atLeast"/>
              <w:rPr>
                <w:rFonts w:hAnsi="Times New Roman"/>
                <w:color w:val="auto"/>
              </w:rPr>
            </w:pPr>
            <w:r>
              <w:rPr>
                <w:rFonts w:hAnsi="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4" w:type="pct"/>
            <w:vMerge w:val="continue"/>
            <w:vAlign w:val="center"/>
          </w:tcPr>
          <w:p>
            <w:pPr>
              <w:pStyle w:val="84"/>
              <w:spacing w:line="0" w:lineRule="atLeast"/>
              <w:rPr>
                <w:rFonts w:hAnsi="Times New Roman"/>
                <w:color w:val="FF0000"/>
              </w:rPr>
            </w:pPr>
          </w:p>
        </w:tc>
        <w:tc>
          <w:tcPr>
            <w:tcW w:w="254" w:type="pct"/>
            <w:vMerge w:val="continue"/>
            <w:vAlign w:val="center"/>
          </w:tcPr>
          <w:p>
            <w:pPr>
              <w:pStyle w:val="84"/>
              <w:spacing w:line="0" w:lineRule="atLeast"/>
              <w:rPr>
                <w:rFonts w:hAnsi="Times New Roman"/>
                <w:color w:val="FF0000"/>
              </w:rPr>
            </w:pPr>
          </w:p>
        </w:tc>
        <w:tc>
          <w:tcPr>
            <w:tcW w:w="762" w:type="pct"/>
            <w:vAlign w:val="center"/>
          </w:tcPr>
          <w:p>
            <w:pPr>
              <w:pStyle w:val="84"/>
              <w:spacing w:line="0" w:lineRule="atLeast"/>
              <w:rPr>
                <w:rFonts w:eastAsiaTheme="minorEastAsia"/>
                <w:color w:val="auto"/>
              </w:rPr>
            </w:pPr>
            <w:r>
              <w:rPr>
                <w:rFonts w:eastAsiaTheme="minorEastAsia"/>
                <w:bCs/>
                <w:color w:val="auto"/>
              </w:rPr>
              <w:t>肠胃内容物</w:t>
            </w:r>
          </w:p>
        </w:tc>
        <w:tc>
          <w:tcPr>
            <w:tcW w:w="3148" w:type="pct"/>
            <w:vAlign w:val="center"/>
          </w:tcPr>
          <w:p>
            <w:pPr>
              <w:pStyle w:val="84"/>
              <w:spacing w:line="0" w:lineRule="atLeast"/>
              <w:jc w:val="both"/>
              <w:rPr>
                <w:rFonts w:eastAsiaTheme="minorEastAsia"/>
                <w:color w:val="auto"/>
              </w:rPr>
            </w:pPr>
            <w:r>
              <w:rPr>
                <w:rFonts w:hint="eastAsia" w:eastAsiaTheme="minorEastAsia"/>
                <w:color w:val="auto"/>
              </w:rPr>
              <w:t>同粪便暂存于待宰间内储粪池内，日产日清，使用密闭运输车运走作为有机肥原料外卖。</w:t>
            </w:r>
          </w:p>
        </w:tc>
        <w:tc>
          <w:tcPr>
            <w:tcW w:w="440" w:type="pct"/>
            <w:vAlign w:val="center"/>
          </w:tcPr>
          <w:p>
            <w:pPr>
              <w:pStyle w:val="84"/>
              <w:spacing w:line="0" w:lineRule="atLeast"/>
              <w:rPr>
                <w:rFonts w:hAnsi="Times New Roman"/>
                <w:color w:val="auto"/>
              </w:rPr>
            </w:pPr>
            <w:r>
              <w:rPr>
                <w:rFonts w:hAnsi="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394" w:type="pct"/>
            <w:vMerge w:val="continue"/>
            <w:vAlign w:val="center"/>
          </w:tcPr>
          <w:p>
            <w:pPr>
              <w:pStyle w:val="84"/>
              <w:spacing w:line="0" w:lineRule="atLeast"/>
              <w:rPr>
                <w:rFonts w:hAnsi="Times New Roman"/>
                <w:color w:val="FF0000"/>
              </w:rPr>
            </w:pPr>
          </w:p>
        </w:tc>
        <w:tc>
          <w:tcPr>
            <w:tcW w:w="254" w:type="pct"/>
            <w:vMerge w:val="continue"/>
            <w:vAlign w:val="center"/>
          </w:tcPr>
          <w:p>
            <w:pPr>
              <w:pStyle w:val="84"/>
              <w:spacing w:line="0" w:lineRule="atLeast"/>
              <w:rPr>
                <w:rFonts w:hAnsi="Times New Roman"/>
                <w:color w:val="FF0000"/>
              </w:rPr>
            </w:pPr>
          </w:p>
        </w:tc>
        <w:tc>
          <w:tcPr>
            <w:tcW w:w="762" w:type="pct"/>
            <w:vAlign w:val="center"/>
          </w:tcPr>
          <w:p>
            <w:pPr>
              <w:pStyle w:val="84"/>
              <w:spacing w:line="0" w:lineRule="atLeast"/>
              <w:rPr>
                <w:rFonts w:hAnsi="Times New Roman"/>
                <w:color w:val="auto"/>
                <w:spacing w:val="-20"/>
              </w:rPr>
            </w:pPr>
            <w:r>
              <w:rPr>
                <w:rFonts w:hint="eastAsia" w:hAnsi="Times New Roman"/>
                <w:color w:val="auto"/>
                <w:spacing w:val="-20"/>
              </w:rPr>
              <w:t>检疫废物</w:t>
            </w:r>
          </w:p>
        </w:tc>
        <w:tc>
          <w:tcPr>
            <w:tcW w:w="3148" w:type="pct"/>
            <w:vAlign w:val="center"/>
          </w:tcPr>
          <w:p>
            <w:pPr>
              <w:pStyle w:val="84"/>
              <w:spacing w:line="0" w:lineRule="atLeast"/>
              <w:jc w:val="left"/>
              <w:rPr>
                <w:rFonts w:hAnsi="Times New Roman"/>
                <w:color w:val="auto"/>
                <w:vertAlign w:val="superscript"/>
              </w:rPr>
            </w:pPr>
            <w:r>
              <w:rPr>
                <w:rFonts w:hint="eastAsia" w:hAnsi="Times New Roman"/>
                <w:color w:val="auto"/>
              </w:rPr>
              <w:t>检疫废物属于危险废物</w:t>
            </w:r>
            <w:r>
              <w:rPr>
                <w:rFonts w:hAnsi="Times New Roman"/>
                <w:color w:val="auto"/>
              </w:rPr>
              <w:t>（类别HW01，代码841-005-01）</w:t>
            </w:r>
            <w:r>
              <w:rPr>
                <w:rFonts w:hint="eastAsia" w:hAnsi="Times New Roman"/>
                <w:color w:val="auto"/>
              </w:rPr>
              <w:t>，</w:t>
            </w:r>
            <w:r>
              <w:rPr>
                <w:rFonts w:hAnsi="Times New Roman"/>
                <w:color w:val="auto"/>
              </w:rPr>
              <w:t>单独收集，用</w:t>
            </w:r>
            <w:r>
              <w:rPr>
                <w:rFonts w:hint="eastAsia" w:hAnsi="Times New Roman"/>
                <w:color w:val="auto"/>
              </w:rPr>
              <w:t>有</w:t>
            </w:r>
            <w:r>
              <w:rPr>
                <w:rFonts w:hAnsi="Times New Roman"/>
                <w:color w:val="auto"/>
              </w:rPr>
              <w:t>明显标识的</w:t>
            </w:r>
            <w:r>
              <w:rPr>
                <w:rFonts w:hint="eastAsia" w:hAnsi="Times New Roman"/>
                <w:color w:val="auto"/>
              </w:rPr>
              <w:t>塑料袋</w:t>
            </w:r>
            <w:r>
              <w:rPr>
                <w:rFonts w:hAnsi="Times New Roman"/>
                <w:color w:val="auto"/>
              </w:rPr>
              <w:t>盛装，暂存于</w:t>
            </w:r>
            <w:r>
              <w:rPr>
                <w:rFonts w:hint="eastAsia" w:hAnsi="Times New Roman"/>
                <w:color w:val="auto"/>
                <w:lang w:eastAsia="zh-CN"/>
              </w:rPr>
              <w:t>危险废物贮存点</w:t>
            </w:r>
            <w:r>
              <w:rPr>
                <w:rFonts w:hAnsi="Times New Roman"/>
                <w:color w:val="auto"/>
              </w:rPr>
              <w:t>，</w:t>
            </w:r>
            <w:r>
              <w:rPr>
                <w:rFonts w:hint="eastAsia" w:hAnsi="Times New Roman"/>
                <w:color w:val="auto"/>
              </w:rPr>
              <w:t>交</w:t>
            </w:r>
            <w:r>
              <w:rPr>
                <w:rFonts w:hAnsi="Times New Roman"/>
                <w:color w:val="auto"/>
              </w:rPr>
              <w:t>由有资质单位进行处置。</w:t>
            </w:r>
          </w:p>
        </w:tc>
        <w:tc>
          <w:tcPr>
            <w:tcW w:w="440" w:type="pct"/>
            <w:vAlign w:val="center"/>
          </w:tcPr>
          <w:p>
            <w:pPr>
              <w:pStyle w:val="84"/>
              <w:spacing w:line="0" w:lineRule="atLeast"/>
              <w:rPr>
                <w:rFonts w:hAnsi="Times New Roman"/>
                <w:color w:val="auto"/>
                <w:vertAlign w:val="superscript"/>
              </w:rPr>
            </w:pPr>
            <w:r>
              <w:rPr>
                <w:rFonts w:hAnsi="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vAlign w:val="center"/>
          </w:tcPr>
          <w:p>
            <w:pPr>
              <w:pStyle w:val="84"/>
              <w:spacing w:line="0" w:lineRule="atLeast"/>
              <w:rPr>
                <w:rFonts w:hAnsi="Times New Roman"/>
                <w:color w:val="FF0000"/>
              </w:rPr>
            </w:pPr>
          </w:p>
        </w:tc>
        <w:tc>
          <w:tcPr>
            <w:tcW w:w="254" w:type="pct"/>
            <w:vMerge w:val="continue"/>
            <w:vAlign w:val="center"/>
          </w:tcPr>
          <w:p>
            <w:pPr>
              <w:pStyle w:val="84"/>
              <w:spacing w:line="0" w:lineRule="atLeast"/>
              <w:rPr>
                <w:rFonts w:hAnsi="Times New Roman"/>
                <w:color w:val="FF0000"/>
              </w:rPr>
            </w:pPr>
          </w:p>
        </w:tc>
        <w:tc>
          <w:tcPr>
            <w:tcW w:w="762" w:type="pct"/>
            <w:vAlign w:val="center"/>
          </w:tcPr>
          <w:p>
            <w:pPr>
              <w:pStyle w:val="84"/>
              <w:spacing w:line="0" w:lineRule="atLeast"/>
              <w:rPr>
                <w:rFonts w:hAnsi="Times New Roman"/>
                <w:color w:val="auto"/>
              </w:rPr>
            </w:pPr>
            <w:r>
              <w:rPr>
                <w:rFonts w:hint="eastAsia" w:hAnsi="Times New Roman"/>
                <w:color w:val="auto"/>
              </w:rPr>
              <w:t>不合格肉牛及病死牛</w:t>
            </w:r>
          </w:p>
        </w:tc>
        <w:tc>
          <w:tcPr>
            <w:tcW w:w="3148" w:type="pct"/>
            <w:vAlign w:val="center"/>
          </w:tcPr>
          <w:p>
            <w:pPr>
              <w:pStyle w:val="84"/>
              <w:spacing w:line="0" w:lineRule="atLeast"/>
              <w:jc w:val="left"/>
              <w:rPr>
                <w:rFonts w:hAnsi="Times New Roman"/>
                <w:color w:val="auto"/>
              </w:rPr>
            </w:pPr>
            <w:r>
              <w:rPr>
                <w:rFonts w:hint="eastAsia" w:hAnsi="Times New Roman"/>
                <w:color w:val="auto"/>
              </w:rPr>
              <w:t>检疫不合格肉牛及病死牛委托</w:t>
            </w:r>
            <w:r>
              <w:rPr>
                <w:rFonts w:hint="eastAsia" w:hAnsi="Times New Roman"/>
                <w:color w:val="auto"/>
                <w:lang w:eastAsia="zh-CN"/>
              </w:rPr>
              <w:t>无害化处理有限公司</w:t>
            </w:r>
            <w:r>
              <w:rPr>
                <w:rFonts w:hint="eastAsia" w:hAnsi="Times New Roman"/>
                <w:color w:val="auto"/>
              </w:rPr>
              <w:t>处理。</w:t>
            </w:r>
          </w:p>
        </w:tc>
        <w:tc>
          <w:tcPr>
            <w:tcW w:w="440" w:type="pct"/>
            <w:vAlign w:val="center"/>
          </w:tcPr>
          <w:p>
            <w:pPr>
              <w:pStyle w:val="84"/>
              <w:spacing w:line="0" w:lineRule="atLeast"/>
              <w:rPr>
                <w:rFonts w:hAnsi="Times New Roman"/>
                <w:color w:val="auto"/>
              </w:rPr>
            </w:pPr>
            <w:r>
              <w:rPr>
                <w:rFonts w:hAnsi="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394" w:type="pct"/>
            <w:vMerge w:val="continue"/>
            <w:vAlign w:val="center"/>
          </w:tcPr>
          <w:p>
            <w:pPr>
              <w:pStyle w:val="84"/>
              <w:spacing w:line="0" w:lineRule="atLeast"/>
              <w:rPr>
                <w:rFonts w:hAnsi="Times New Roman"/>
                <w:color w:val="FF0000"/>
              </w:rPr>
            </w:pPr>
          </w:p>
        </w:tc>
        <w:tc>
          <w:tcPr>
            <w:tcW w:w="254" w:type="pct"/>
            <w:vMerge w:val="continue"/>
            <w:vAlign w:val="center"/>
          </w:tcPr>
          <w:p>
            <w:pPr>
              <w:pStyle w:val="84"/>
              <w:spacing w:line="0" w:lineRule="atLeast"/>
              <w:rPr>
                <w:rFonts w:hAnsi="Times New Roman"/>
                <w:color w:val="FF0000"/>
              </w:rPr>
            </w:pPr>
          </w:p>
        </w:tc>
        <w:tc>
          <w:tcPr>
            <w:tcW w:w="762" w:type="pct"/>
            <w:vAlign w:val="center"/>
          </w:tcPr>
          <w:p>
            <w:pPr>
              <w:pStyle w:val="84"/>
              <w:spacing w:line="0" w:lineRule="atLeast"/>
              <w:rPr>
                <w:rFonts w:hAnsi="Times New Roman"/>
                <w:color w:val="auto"/>
              </w:rPr>
            </w:pPr>
            <w:r>
              <w:rPr>
                <w:rFonts w:hAnsi="Times New Roman"/>
                <w:color w:val="auto"/>
              </w:rPr>
              <w:t>生活垃圾</w:t>
            </w:r>
          </w:p>
        </w:tc>
        <w:tc>
          <w:tcPr>
            <w:tcW w:w="3148" w:type="pct"/>
            <w:vAlign w:val="center"/>
          </w:tcPr>
          <w:p>
            <w:pPr>
              <w:pStyle w:val="84"/>
              <w:spacing w:line="0" w:lineRule="atLeast"/>
              <w:jc w:val="left"/>
              <w:rPr>
                <w:rFonts w:hAnsi="Times New Roman"/>
                <w:color w:val="auto"/>
              </w:rPr>
            </w:pPr>
            <w:r>
              <w:rPr>
                <w:rFonts w:hAnsi="Times New Roman"/>
                <w:color w:val="auto"/>
              </w:rPr>
              <w:t>由市政部门统一处理。</w:t>
            </w:r>
          </w:p>
        </w:tc>
        <w:tc>
          <w:tcPr>
            <w:tcW w:w="440" w:type="pct"/>
            <w:vAlign w:val="center"/>
          </w:tcPr>
          <w:p>
            <w:pPr>
              <w:pStyle w:val="84"/>
              <w:spacing w:line="0" w:lineRule="atLeast"/>
              <w:rPr>
                <w:rFonts w:hAnsi="Times New Roman"/>
                <w:color w:val="auto"/>
              </w:rPr>
            </w:pPr>
            <w:r>
              <w:rPr>
                <w:rFonts w:hAnsi="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394" w:type="pct"/>
            <w:vMerge w:val="continue"/>
            <w:vAlign w:val="center"/>
          </w:tcPr>
          <w:p>
            <w:pPr>
              <w:pStyle w:val="84"/>
              <w:spacing w:line="0" w:lineRule="atLeast"/>
              <w:rPr>
                <w:rFonts w:hAnsi="Times New Roman"/>
                <w:color w:val="FF0000"/>
              </w:rPr>
            </w:pPr>
          </w:p>
        </w:tc>
        <w:tc>
          <w:tcPr>
            <w:tcW w:w="254" w:type="pct"/>
            <w:vMerge w:val="continue"/>
            <w:vAlign w:val="center"/>
          </w:tcPr>
          <w:p>
            <w:pPr>
              <w:pStyle w:val="84"/>
              <w:spacing w:line="0" w:lineRule="atLeast"/>
              <w:rPr>
                <w:rFonts w:hAnsi="Times New Roman"/>
                <w:color w:val="FF0000"/>
              </w:rPr>
            </w:pPr>
          </w:p>
        </w:tc>
        <w:tc>
          <w:tcPr>
            <w:tcW w:w="762" w:type="pct"/>
            <w:vAlign w:val="center"/>
          </w:tcPr>
          <w:p>
            <w:pPr>
              <w:pStyle w:val="84"/>
              <w:spacing w:line="0" w:lineRule="atLeast"/>
              <w:rPr>
                <w:rFonts w:hAnsi="Times New Roman"/>
                <w:color w:val="auto"/>
              </w:rPr>
            </w:pPr>
            <w:r>
              <w:rPr>
                <w:rFonts w:hint="eastAsia" w:hAnsi="Times New Roman"/>
                <w:color w:val="auto"/>
              </w:rPr>
              <w:t>废活性炭</w:t>
            </w:r>
          </w:p>
        </w:tc>
        <w:tc>
          <w:tcPr>
            <w:tcW w:w="3148" w:type="pct"/>
            <w:vAlign w:val="center"/>
          </w:tcPr>
          <w:p>
            <w:pPr>
              <w:pStyle w:val="84"/>
              <w:spacing w:line="0" w:lineRule="atLeast"/>
              <w:jc w:val="left"/>
              <w:rPr>
                <w:rFonts w:hAnsi="Times New Roman"/>
                <w:color w:val="auto"/>
              </w:rPr>
            </w:pPr>
            <w:r>
              <w:rPr>
                <w:rFonts w:hint="eastAsia" w:hAnsi="Times New Roman"/>
                <w:color w:val="auto"/>
                <w:lang w:val="en-US" w:eastAsia="zh-CN"/>
              </w:rPr>
              <w:t>交由厂家再生利用。</w:t>
            </w:r>
          </w:p>
        </w:tc>
        <w:tc>
          <w:tcPr>
            <w:tcW w:w="440" w:type="pct"/>
            <w:vAlign w:val="center"/>
          </w:tcPr>
          <w:p>
            <w:pPr>
              <w:pStyle w:val="84"/>
              <w:spacing w:line="0" w:lineRule="atLeast"/>
              <w:rPr>
                <w:rFonts w:hint="eastAsia" w:hAnsi="Times New Roman" w:eastAsia="宋体"/>
                <w:color w:val="auto"/>
                <w:lang w:val="en-US" w:eastAsia="zh-CN"/>
              </w:rPr>
            </w:pPr>
            <w:r>
              <w:rPr>
                <w:rFonts w:hint="eastAsia" w:hAnsi="Times New Roman"/>
                <w:color w:val="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394" w:type="pct"/>
            <w:vMerge w:val="continue"/>
            <w:vAlign w:val="center"/>
          </w:tcPr>
          <w:p>
            <w:pPr>
              <w:pStyle w:val="84"/>
              <w:spacing w:line="0" w:lineRule="atLeast"/>
              <w:rPr>
                <w:rFonts w:hAnsi="Times New Roman"/>
                <w:color w:val="FF0000"/>
              </w:rPr>
            </w:pPr>
          </w:p>
        </w:tc>
        <w:tc>
          <w:tcPr>
            <w:tcW w:w="254" w:type="pct"/>
            <w:vMerge w:val="continue"/>
            <w:vAlign w:val="center"/>
          </w:tcPr>
          <w:p>
            <w:pPr>
              <w:pStyle w:val="84"/>
              <w:spacing w:line="0" w:lineRule="atLeast"/>
              <w:rPr>
                <w:rFonts w:hAnsi="Times New Roman"/>
                <w:color w:val="FF0000"/>
              </w:rPr>
            </w:pPr>
          </w:p>
        </w:tc>
        <w:tc>
          <w:tcPr>
            <w:tcW w:w="762" w:type="pct"/>
            <w:vAlign w:val="center"/>
          </w:tcPr>
          <w:p>
            <w:pPr>
              <w:pStyle w:val="84"/>
              <w:spacing w:line="0" w:lineRule="atLeast"/>
              <w:rPr>
                <w:rFonts w:hAnsi="Times New Roman"/>
                <w:color w:val="auto"/>
              </w:rPr>
            </w:pPr>
            <w:r>
              <w:rPr>
                <w:rFonts w:hAnsi="Times New Roman"/>
                <w:color w:val="auto"/>
              </w:rPr>
              <w:t>废弃包装物</w:t>
            </w:r>
          </w:p>
        </w:tc>
        <w:tc>
          <w:tcPr>
            <w:tcW w:w="3148" w:type="pct"/>
            <w:vAlign w:val="center"/>
          </w:tcPr>
          <w:p>
            <w:pPr>
              <w:pStyle w:val="84"/>
              <w:spacing w:line="0" w:lineRule="atLeast"/>
              <w:jc w:val="left"/>
              <w:rPr>
                <w:rFonts w:hAnsi="Times New Roman"/>
                <w:color w:val="auto"/>
              </w:rPr>
            </w:pPr>
            <w:r>
              <w:rPr>
                <w:rFonts w:hAnsi="Times New Roman"/>
                <w:color w:val="auto"/>
              </w:rPr>
              <w:t>集中收集，外售综合利用。</w:t>
            </w:r>
          </w:p>
        </w:tc>
        <w:tc>
          <w:tcPr>
            <w:tcW w:w="440" w:type="pct"/>
            <w:vAlign w:val="center"/>
          </w:tcPr>
          <w:p>
            <w:pPr>
              <w:pStyle w:val="84"/>
              <w:spacing w:line="0" w:lineRule="atLeast"/>
              <w:rPr>
                <w:rFonts w:hAnsi="Times New Roman"/>
                <w:color w:val="auto"/>
              </w:rPr>
            </w:pPr>
            <w:r>
              <w:rPr>
                <w:rFonts w:hAnsi="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394" w:type="pct"/>
            <w:vMerge w:val="continue"/>
            <w:vAlign w:val="center"/>
          </w:tcPr>
          <w:p>
            <w:pPr>
              <w:pStyle w:val="84"/>
              <w:spacing w:line="0" w:lineRule="atLeast"/>
              <w:rPr>
                <w:rFonts w:hAnsi="Times New Roman"/>
                <w:color w:val="FF0000"/>
              </w:rPr>
            </w:pPr>
          </w:p>
        </w:tc>
        <w:tc>
          <w:tcPr>
            <w:tcW w:w="254" w:type="pct"/>
            <w:vMerge w:val="continue"/>
            <w:vAlign w:val="center"/>
          </w:tcPr>
          <w:p>
            <w:pPr>
              <w:pStyle w:val="84"/>
              <w:spacing w:line="0" w:lineRule="atLeast"/>
              <w:rPr>
                <w:rFonts w:hAnsi="Times New Roman"/>
                <w:color w:val="FF0000"/>
              </w:rPr>
            </w:pPr>
          </w:p>
        </w:tc>
        <w:tc>
          <w:tcPr>
            <w:tcW w:w="762" w:type="pct"/>
            <w:vAlign w:val="center"/>
          </w:tcPr>
          <w:p>
            <w:pPr>
              <w:pStyle w:val="84"/>
              <w:spacing w:line="0" w:lineRule="atLeast"/>
              <w:rPr>
                <w:rFonts w:hAnsi="Times New Roman"/>
                <w:color w:val="auto"/>
              </w:rPr>
            </w:pPr>
            <w:r>
              <w:rPr>
                <w:rFonts w:hint="eastAsia" w:hAnsi="Times New Roman"/>
                <w:color w:val="auto"/>
              </w:rPr>
              <w:t>污泥及栅渣</w:t>
            </w:r>
          </w:p>
        </w:tc>
        <w:tc>
          <w:tcPr>
            <w:tcW w:w="3148" w:type="pct"/>
            <w:vAlign w:val="center"/>
          </w:tcPr>
          <w:p>
            <w:pPr>
              <w:pStyle w:val="84"/>
              <w:spacing w:line="0" w:lineRule="atLeast"/>
              <w:jc w:val="left"/>
              <w:rPr>
                <w:rFonts w:hAnsi="Times New Roman"/>
                <w:color w:val="auto"/>
              </w:rPr>
            </w:pPr>
            <w:r>
              <w:rPr>
                <w:rFonts w:hAnsi="Times New Roman"/>
                <w:color w:val="auto"/>
              </w:rPr>
              <w:t>暂存污泥暂存池，采用压滤机脱水后，</w:t>
            </w:r>
            <w:r>
              <w:rPr>
                <w:rFonts w:hint="eastAsia" w:hAnsi="Times New Roman"/>
                <w:color w:val="auto"/>
              </w:rPr>
              <w:t>送生活垃圾填埋场处理，压滤废水返回污水处理工艺。</w:t>
            </w:r>
          </w:p>
        </w:tc>
        <w:tc>
          <w:tcPr>
            <w:tcW w:w="440" w:type="pct"/>
            <w:vAlign w:val="center"/>
          </w:tcPr>
          <w:p>
            <w:pPr>
              <w:pStyle w:val="84"/>
              <w:spacing w:line="0" w:lineRule="atLeast"/>
              <w:rPr>
                <w:rFonts w:hAnsi="Times New Roman"/>
                <w:color w:val="auto"/>
              </w:rPr>
            </w:pPr>
            <w:r>
              <w:rPr>
                <w:rFonts w:hAnsi="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394" w:type="pct"/>
            <w:vMerge w:val="continue"/>
            <w:vAlign w:val="center"/>
          </w:tcPr>
          <w:p>
            <w:pPr>
              <w:pStyle w:val="84"/>
              <w:spacing w:line="0" w:lineRule="atLeast"/>
              <w:rPr>
                <w:rFonts w:hAnsi="Times New Roman"/>
                <w:color w:val="FF0000"/>
              </w:rPr>
            </w:pPr>
          </w:p>
        </w:tc>
        <w:tc>
          <w:tcPr>
            <w:tcW w:w="254" w:type="pct"/>
            <w:vMerge w:val="continue"/>
            <w:vAlign w:val="center"/>
          </w:tcPr>
          <w:p>
            <w:pPr>
              <w:pStyle w:val="84"/>
              <w:spacing w:line="0" w:lineRule="atLeast"/>
              <w:rPr>
                <w:rFonts w:hAnsi="Times New Roman"/>
                <w:color w:val="FF0000"/>
              </w:rPr>
            </w:pPr>
          </w:p>
        </w:tc>
        <w:tc>
          <w:tcPr>
            <w:tcW w:w="762" w:type="pct"/>
            <w:vAlign w:val="center"/>
          </w:tcPr>
          <w:p>
            <w:pPr>
              <w:pStyle w:val="84"/>
              <w:spacing w:line="0" w:lineRule="atLeast"/>
              <w:rPr>
                <w:rFonts w:hAnsi="Times New Roman"/>
                <w:color w:val="auto"/>
              </w:rPr>
            </w:pPr>
            <w:r>
              <w:rPr>
                <w:rFonts w:hAnsi="Times New Roman"/>
                <w:color w:val="auto"/>
              </w:rPr>
              <w:t>污水处理站废油脂</w:t>
            </w:r>
          </w:p>
        </w:tc>
        <w:tc>
          <w:tcPr>
            <w:tcW w:w="3148" w:type="pct"/>
            <w:vAlign w:val="center"/>
          </w:tcPr>
          <w:p>
            <w:pPr>
              <w:pStyle w:val="84"/>
              <w:spacing w:line="0" w:lineRule="atLeast"/>
              <w:jc w:val="left"/>
              <w:rPr>
                <w:rFonts w:hAnsi="Times New Roman"/>
                <w:color w:val="auto"/>
              </w:rPr>
            </w:pPr>
            <w:r>
              <w:rPr>
                <w:rFonts w:hAnsi="Times New Roman"/>
                <w:color w:val="auto"/>
              </w:rPr>
              <w:t>集中收集交由有资质单位处置。</w:t>
            </w:r>
          </w:p>
        </w:tc>
        <w:tc>
          <w:tcPr>
            <w:tcW w:w="440" w:type="pct"/>
            <w:vAlign w:val="center"/>
          </w:tcPr>
          <w:p>
            <w:pPr>
              <w:pStyle w:val="84"/>
              <w:spacing w:line="0" w:lineRule="atLeast"/>
              <w:rPr>
                <w:rFonts w:hAnsi="Times New Roman"/>
                <w:color w:val="auto"/>
              </w:rPr>
            </w:pPr>
            <w:r>
              <w:rPr>
                <w:rFonts w:hAnsi="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394" w:type="pct"/>
            <w:vMerge w:val="continue"/>
            <w:vAlign w:val="center"/>
          </w:tcPr>
          <w:p>
            <w:pPr>
              <w:pStyle w:val="84"/>
              <w:spacing w:line="0" w:lineRule="atLeast"/>
              <w:rPr>
                <w:rFonts w:hAnsi="Times New Roman"/>
                <w:color w:val="FF0000"/>
              </w:rPr>
            </w:pPr>
          </w:p>
        </w:tc>
        <w:tc>
          <w:tcPr>
            <w:tcW w:w="254" w:type="pct"/>
            <w:vMerge w:val="continue"/>
            <w:vAlign w:val="center"/>
          </w:tcPr>
          <w:p>
            <w:pPr>
              <w:pStyle w:val="84"/>
              <w:spacing w:line="0" w:lineRule="atLeast"/>
              <w:rPr>
                <w:rFonts w:hAnsi="Times New Roman"/>
                <w:color w:val="FF0000"/>
              </w:rPr>
            </w:pPr>
          </w:p>
        </w:tc>
        <w:tc>
          <w:tcPr>
            <w:tcW w:w="762" w:type="pct"/>
            <w:vAlign w:val="center"/>
          </w:tcPr>
          <w:p>
            <w:pPr>
              <w:pStyle w:val="84"/>
              <w:spacing w:line="0" w:lineRule="atLeast"/>
              <w:rPr>
                <w:rFonts w:hAnsi="Times New Roman"/>
                <w:color w:val="auto"/>
              </w:rPr>
            </w:pPr>
            <w:r>
              <w:rPr>
                <w:rFonts w:hAnsi="Times New Roman"/>
                <w:bCs/>
                <w:color w:val="auto"/>
              </w:rPr>
              <w:t>不可</w:t>
            </w:r>
            <w:r>
              <w:rPr>
                <w:rFonts w:hint="eastAsia" w:hAnsi="Times New Roman"/>
                <w:bCs/>
                <w:color w:val="auto"/>
              </w:rPr>
              <w:t>食用</w:t>
            </w:r>
            <w:r>
              <w:rPr>
                <w:rFonts w:hAnsi="Times New Roman"/>
                <w:bCs/>
                <w:color w:val="auto"/>
              </w:rPr>
              <w:t>内脏</w:t>
            </w:r>
          </w:p>
        </w:tc>
        <w:tc>
          <w:tcPr>
            <w:tcW w:w="3148" w:type="pct"/>
            <w:vAlign w:val="center"/>
          </w:tcPr>
          <w:p>
            <w:pPr>
              <w:pStyle w:val="84"/>
              <w:spacing w:line="0" w:lineRule="atLeast"/>
              <w:jc w:val="left"/>
              <w:rPr>
                <w:rFonts w:hAnsi="Times New Roman"/>
                <w:color w:val="auto"/>
              </w:rPr>
            </w:pPr>
            <w:r>
              <w:rPr>
                <w:rFonts w:hint="eastAsia" w:hAnsi="Times New Roman"/>
                <w:color w:val="auto"/>
              </w:rPr>
              <w:t>产生后，采用专用存储桶暂存屠宰车间内，密闭存储，日产日清，</w:t>
            </w:r>
            <w:r>
              <w:rPr>
                <w:rFonts w:hAnsi="Times New Roman"/>
                <w:color w:val="auto"/>
              </w:rPr>
              <w:t>集中收集交由</w:t>
            </w:r>
            <w:r>
              <w:rPr>
                <w:rFonts w:hint="eastAsia" w:hAnsi="Times New Roman"/>
                <w:color w:val="auto"/>
                <w:lang w:eastAsia="zh-CN"/>
              </w:rPr>
              <w:t>无害化处理有限公司</w:t>
            </w:r>
            <w:r>
              <w:rPr>
                <w:rFonts w:hint="eastAsia" w:hAnsi="Times New Roman"/>
                <w:color w:val="auto"/>
              </w:rPr>
              <w:t>处理</w:t>
            </w:r>
            <w:r>
              <w:rPr>
                <w:rFonts w:hAnsi="Times New Roman"/>
                <w:color w:val="auto"/>
              </w:rPr>
              <w:t>。</w:t>
            </w:r>
          </w:p>
        </w:tc>
        <w:tc>
          <w:tcPr>
            <w:tcW w:w="440" w:type="pct"/>
            <w:vAlign w:val="center"/>
          </w:tcPr>
          <w:p>
            <w:pPr>
              <w:pStyle w:val="84"/>
              <w:spacing w:line="0" w:lineRule="atLeast"/>
              <w:rPr>
                <w:rFonts w:hAnsi="Times New Roman"/>
                <w:color w:val="auto"/>
              </w:rPr>
            </w:pPr>
            <w:r>
              <w:rPr>
                <w:rFonts w:hAnsi="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394" w:type="pct"/>
            <w:vMerge w:val="continue"/>
            <w:vAlign w:val="center"/>
          </w:tcPr>
          <w:p>
            <w:pPr>
              <w:pStyle w:val="84"/>
              <w:spacing w:line="0" w:lineRule="atLeast"/>
              <w:rPr>
                <w:rFonts w:hAnsi="Times New Roman"/>
                <w:color w:val="FF0000"/>
              </w:rPr>
            </w:pPr>
          </w:p>
        </w:tc>
        <w:tc>
          <w:tcPr>
            <w:tcW w:w="254" w:type="pct"/>
            <w:vMerge w:val="continue"/>
            <w:vAlign w:val="center"/>
          </w:tcPr>
          <w:p>
            <w:pPr>
              <w:pStyle w:val="84"/>
              <w:spacing w:line="0" w:lineRule="atLeast"/>
              <w:rPr>
                <w:rFonts w:hAnsi="Times New Roman"/>
                <w:color w:val="FF0000"/>
              </w:rPr>
            </w:pPr>
          </w:p>
        </w:tc>
        <w:tc>
          <w:tcPr>
            <w:tcW w:w="762" w:type="pct"/>
            <w:vAlign w:val="center"/>
          </w:tcPr>
          <w:p>
            <w:pPr>
              <w:pStyle w:val="84"/>
              <w:spacing w:line="0" w:lineRule="atLeast"/>
              <w:rPr>
                <w:rFonts w:hAnsi="Times New Roman"/>
                <w:color w:val="auto"/>
              </w:rPr>
            </w:pPr>
            <w:r>
              <w:rPr>
                <w:rFonts w:hAnsi="Times New Roman"/>
                <w:color w:val="auto"/>
              </w:rPr>
              <w:t>食堂</w:t>
            </w:r>
            <w:r>
              <w:rPr>
                <w:rFonts w:hint="eastAsia" w:hAnsi="Times New Roman"/>
                <w:color w:val="auto"/>
              </w:rPr>
              <w:t>餐余</w:t>
            </w:r>
            <w:r>
              <w:rPr>
                <w:rFonts w:hAnsi="Times New Roman"/>
                <w:color w:val="auto"/>
              </w:rPr>
              <w:t>垃圾及废油脂</w:t>
            </w:r>
          </w:p>
        </w:tc>
        <w:tc>
          <w:tcPr>
            <w:tcW w:w="3148" w:type="pct"/>
            <w:vAlign w:val="center"/>
          </w:tcPr>
          <w:p>
            <w:pPr>
              <w:pStyle w:val="84"/>
              <w:spacing w:line="0" w:lineRule="atLeast"/>
              <w:jc w:val="left"/>
              <w:rPr>
                <w:rFonts w:hAnsi="Times New Roman"/>
                <w:color w:val="auto"/>
              </w:rPr>
            </w:pPr>
            <w:r>
              <w:rPr>
                <w:rFonts w:hAnsi="Times New Roman"/>
                <w:bCs/>
                <w:color w:val="auto"/>
              </w:rPr>
              <w:t>餐馀垃圾交由符合规定的回收处置单位统一回收处置；食堂废油脂</w:t>
            </w:r>
            <w:r>
              <w:rPr>
                <w:rFonts w:hAnsi="Times New Roman"/>
                <w:bCs/>
                <w:color w:val="auto"/>
                <w:highlight w:val="none"/>
              </w:rPr>
              <w:t>按</w:t>
            </w:r>
            <w:r>
              <w:rPr>
                <w:rFonts w:hint="eastAsia" w:hAnsi="Times New Roman"/>
                <w:bCs/>
                <w:color w:val="auto"/>
                <w:highlight w:val="none"/>
                <w:lang w:eastAsia="zh-CN"/>
              </w:rPr>
              <w:t>《哈尔滨市城市餐厨废弃物管理办法》</w:t>
            </w:r>
            <w:r>
              <w:rPr>
                <w:rFonts w:hAnsi="Times New Roman"/>
                <w:bCs/>
                <w:color w:val="auto"/>
                <w:highlight w:val="none"/>
              </w:rPr>
              <w:t>处</w:t>
            </w:r>
            <w:r>
              <w:rPr>
                <w:rFonts w:hAnsi="Times New Roman"/>
                <w:bCs/>
                <w:color w:val="auto"/>
              </w:rPr>
              <w:t>置。</w:t>
            </w:r>
          </w:p>
        </w:tc>
        <w:tc>
          <w:tcPr>
            <w:tcW w:w="440" w:type="pct"/>
            <w:vAlign w:val="center"/>
          </w:tcPr>
          <w:p>
            <w:pPr>
              <w:pStyle w:val="84"/>
              <w:spacing w:line="0" w:lineRule="atLeast"/>
              <w:rPr>
                <w:rFonts w:hAnsi="Times New Roman"/>
                <w:color w:val="auto"/>
              </w:rPr>
            </w:pPr>
            <w:r>
              <w:rPr>
                <w:rFonts w:hAnsi="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394" w:type="pct"/>
            <w:vMerge w:val="continue"/>
            <w:vAlign w:val="center"/>
          </w:tcPr>
          <w:p>
            <w:pPr>
              <w:pStyle w:val="84"/>
              <w:spacing w:line="0" w:lineRule="atLeast"/>
              <w:rPr>
                <w:rFonts w:hAnsi="Times New Roman"/>
                <w:color w:val="FF0000"/>
              </w:rPr>
            </w:pPr>
          </w:p>
        </w:tc>
        <w:tc>
          <w:tcPr>
            <w:tcW w:w="254" w:type="pct"/>
            <w:vMerge w:val="continue"/>
            <w:vAlign w:val="center"/>
          </w:tcPr>
          <w:p>
            <w:pPr>
              <w:pStyle w:val="84"/>
              <w:spacing w:line="0" w:lineRule="atLeast"/>
              <w:rPr>
                <w:rFonts w:hAnsi="Times New Roman"/>
                <w:color w:val="FF0000"/>
              </w:rPr>
            </w:pPr>
          </w:p>
        </w:tc>
        <w:tc>
          <w:tcPr>
            <w:tcW w:w="762" w:type="pct"/>
            <w:vAlign w:val="center"/>
          </w:tcPr>
          <w:p>
            <w:pPr>
              <w:pStyle w:val="84"/>
              <w:spacing w:line="0" w:lineRule="atLeast"/>
              <w:rPr>
                <w:rFonts w:hAnsi="Times New Roman"/>
                <w:color w:val="auto"/>
              </w:rPr>
            </w:pPr>
            <w:r>
              <w:rPr>
                <w:rFonts w:hint="default" w:hAnsi="Times New Roman"/>
                <w:color w:val="auto"/>
                <w:lang w:val="en-US" w:eastAsia="zh-CN"/>
              </w:rPr>
              <w:t>锅炉灰渣（含布袋除尘器收尘）、废布袋</w:t>
            </w:r>
          </w:p>
        </w:tc>
        <w:tc>
          <w:tcPr>
            <w:tcW w:w="3148" w:type="pct"/>
            <w:vAlign w:val="center"/>
          </w:tcPr>
          <w:p>
            <w:pPr>
              <w:pStyle w:val="84"/>
              <w:spacing w:line="0" w:lineRule="atLeast"/>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锅炉灰渣（含布袋除尘器收尘）、集中收集，外售综合利用</w:t>
            </w:r>
            <w:r>
              <w:rPr>
                <w:rFonts w:hint="eastAsia" w:hAnsi="Times New Roman" w:cs="Times New Roman"/>
                <w:color w:val="auto"/>
                <w:sz w:val="21"/>
                <w:szCs w:val="21"/>
                <w:lang w:val="en-US" w:eastAsia="zh-CN"/>
              </w:rPr>
              <w:t>，废布袋由除尘器厂家回收利用。</w:t>
            </w:r>
          </w:p>
        </w:tc>
        <w:tc>
          <w:tcPr>
            <w:tcW w:w="440" w:type="pct"/>
            <w:vAlign w:val="center"/>
          </w:tcPr>
          <w:p>
            <w:pPr>
              <w:spacing w:line="0" w:lineRule="atLeast"/>
              <w:rPr>
                <w:rFonts w:hAnsi="Times New Roman"/>
                <w:color w:val="auto"/>
              </w:rPr>
            </w:pPr>
            <w:r>
              <w:rPr>
                <w:rFonts w:hAnsi="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394" w:type="pct"/>
            <w:vMerge w:val="continue"/>
            <w:vAlign w:val="center"/>
          </w:tcPr>
          <w:p>
            <w:pPr>
              <w:pStyle w:val="84"/>
              <w:spacing w:line="0" w:lineRule="atLeast"/>
              <w:rPr>
                <w:rFonts w:hAnsi="Times New Roman"/>
                <w:color w:val="FF0000"/>
              </w:rPr>
            </w:pPr>
          </w:p>
        </w:tc>
        <w:tc>
          <w:tcPr>
            <w:tcW w:w="254" w:type="pct"/>
            <w:vMerge w:val="continue"/>
            <w:vAlign w:val="center"/>
          </w:tcPr>
          <w:p>
            <w:pPr>
              <w:pStyle w:val="84"/>
              <w:spacing w:line="0" w:lineRule="atLeast"/>
              <w:rPr>
                <w:rFonts w:hAnsi="Times New Roman"/>
                <w:color w:val="FF0000"/>
              </w:rPr>
            </w:pPr>
          </w:p>
        </w:tc>
        <w:tc>
          <w:tcPr>
            <w:tcW w:w="762" w:type="pct"/>
            <w:vAlign w:val="center"/>
          </w:tcPr>
          <w:p>
            <w:pPr>
              <w:pStyle w:val="84"/>
              <w:spacing w:line="0" w:lineRule="atLeast"/>
              <w:rPr>
                <w:rFonts w:hAnsi="Times New Roman"/>
                <w:color w:val="auto"/>
              </w:rPr>
            </w:pPr>
            <w:r>
              <w:rPr>
                <w:rFonts w:hint="eastAsia" w:hAnsi="Times New Roman"/>
                <w:color w:val="auto"/>
                <w:lang w:val="en-US" w:eastAsia="zh-CN"/>
              </w:rPr>
              <w:t>废离子交换树脂</w:t>
            </w:r>
          </w:p>
        </w:tc>
        <w:tc>
          <w:tcPr>
            <w:tcW w:w="3148" w:type="pct"/>
            <w:vAlign w:val="center"/>
          </w:tcPr>
          <w:p>
            <w:pPr>
              <w:pStyle w:val="84"/>
              <w:spacing w:line="0" w:lineRule="atLeast"/>
              <w:jc w:val="left"/>
              <w:rPr>
                <w:rFonts w:hAnsi="Times New Roman"/>
                <w:bCs/>
                <w:color w:val="auto"/>
              </w:rPr>
            </w:pPr>
            <w:r>
              <w:rPr>
                <w:rFonts w:hint="eastAsia" w:ascii="Times New Roman" w:hAnsi="Times New Roman" w:eastAsia="宋体" w:cs="Times New Roman"/>
                <w:color w:val="auto"/>
                <w:sz w:val="21"/>
                <w:szCs w:val="21"/>
                <w:lang w:val="en-US" w:eastAsia="zh-CN"/>
              </w:rPr>
              <w:t>锅炉房产生的废离子交换树脂由厂家回收</w:t>
            </w:r>
            <w:r>
              <w:rPr>
                <w:rFonts w:hint="eastAsia" w:hAnsi="Times New Roman" w:cs="Times New Roman"/>
                <w:color w:val="auto"/>
                <w:sz w:val="21"/>
                <w:szCs w:val="21"/>
                <w:lang w:val="en-US" w:eastAsia="zh-CN"/>
              </w:rPr>
              <w:t>。</w:t>
            </w:r>
          </w:p>
        </w:tc>
        <w:tc>
          <w:tcPr>
            <w:tcW w:w="440" w:type="pct"/>
            <w:vAlign w:val="center"/>
          </w:tcPr>
          <w:p>
            <w:pPr>
              <w:spacing w:line="0" w:lineRule="atLeast"/>
              <w:rPr>
                <w:rFonts w:hAnsi="Times New Roman"/>
                <w:color w:val="auto"/>
              </w:rPr>
            </w:pPr>
            <w:r>
              <w:rPr>
                <w:rFonts w:hAnsi="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394" w:type="pct"/>
            <w:vMerge w:val="continue"/>
            <w:vAlign w:val="center"/>
          </w:tcPr>
          <w:p>
            <w:pPr>
              <w:pStyle w:val="84"/>
              <w:spacing w:line="0" w:lineRule="atLeast"/>
              <w:rPr>
                <w:rFonts w:hAnsi="Times New Roman"/>
                <w:color w:val="FF0000"/>
              </w:rPr>
            </w:pPr>
          </w:p>
        </w:tc>
        <w:tc>
          <w:tcPr>
            <w:tcW w:w="254" w:type="pct"/>
            <w:vAlign w:val="center"/>
          </w:tcPr>
          <w:p>
            <w:pPr>
              <w:pStyle w:val="84"/>
              <w:spacing w:line="0" w:lineRule="atLeast"/>
              <w:rPr>
                <w:rFonts w:hAnsi="Times New Roman"/>
                <w:color w:val="auto"/>
              </w:rPr>
            </w:pPr>
            <w:r>
              <w:rPr>
                <w:rFonts w:hAnsi="Times New Roman"/>
                <w:color w:val="auto"/>
              </w:rPr>
              <w:t>地下水防渗</w:t>
            </w:r>
          </w:p>
        </w:tc>
        <w:tc>
          <w:tcPr>
            <w:tcW w:w="762" w:type="pct"/>
            <w:vAlign w:val="center"/>
          </w:tcPr>
          <w:p>
            <w:pPr>
              <w:pStyle w:val="84"/>
              <w:spacing w:line="0" w:lineRule="atLeast"/>
              <w:rPr>
                <w:rFonts w:hAnsi="Times New Roman"/>
                <w:color w:val="auto"/>
              </w:rPr>
            </w:pPr>
            <w:r>
              <w:rPr>
                <w:rFonts w:hAnsi="Times New Roman"/>
                <w:color w:val="auto"/>
              </w:rPr>
              <w:t>防渗工程</w:t>
            </w:r>
          </w:p>
        </w:tc>
        <w:tc>
          <w:tcPr>
            <w:tcW w:w="3148" w:type="pct"/>
            <w:vAlign w:val="center"/>
          </w:tcPr>
          <w:p>
            <w:pPr>
              <w:pStyle w:val="84"/>
              <w:spacing w:line="0" w:lineRule="atLeast"/>
              <w:jc w:val="left"/>
              <w:rPr>
                <w:rFonts w:hAnsi="Times New Roman"/>
                <w:color w:val="auto"/>
              </w:rPr>
            </w:pPr>
            <w:r>
              <w:rPr>
                <w:rFonts w:hAnsi="Times New Roman"/>
                <w:color w:val="auto"/>
                <w:lang w:val="en-GB"/>
              </w:rPr>
              <w:fldChar w:fldCharType="begin"/>
            </w:r>
            <w:r>
              <w:rPr>
                <w:rFonts w:hAnsi="Times New Roman"/>
                <w:color w:val="auto"/>
                <w:lang w:val="en-GB"/>
              </w:rPr>
              <w:instrText xml:space="preserve"> = 1 \* GB3 </w:instrText>
            </w:r>
            <w:r>
              <w:rPr>
                <w:rFonts w:hAnsi="Times New Roman"/>
                <w:color w:val="auto"/>
                <w:lang w:val="en-GB"/>
              </w:rPr>
              <w:fldChar w:fldCharType="separate"/>
            </w:r>
            <w:r>
              <w:rPr>
                <w:rFonts w:hint="eastAsia" w:ascii="宋体" w:hAnsi="宋体" w:cs="宋体"/>
                <w:color w:val="auto"/>
                <w:lang w:val="en-GB"/>
              </w:rPr>
              <w:t>①</w:t>
            </w:r>
            <w:r>
              <w:rPr>
                <w:rFonts w:hAnsi="Times New Roman"/>
                <w:color w:val="auto"/>
                <w:lang w:val="en-GB"/>
              </w:rPr>
              <w:fldChar w:fldCharType="end"/>
            </w:r>
            <w:r>
              <w:rPr>
                <w:rFonts w:hAnsi="Times New Roman"/>
                <w:color w:val="auto"/>
                <w:lang w:val="en-GB"/>
              </w:rPr>
              <w:t>重点防渗区：</w:t>
            </w:r>
            <w:r>
              <w:rPr>
                <w:rFonts w:hint="eastAsia" w:hAnsi="Times New Roman"/>
                <w:color w:val="auto"/>
                <w:lang w:eastAsia="zh-CN"/>
              </w:rPr>
              <w:t>危险废物贮存点</w:t>
            </w:r>
            <w:r>
              <w:rPr>
                <w:rFonts w:hAnsi="Times New Roman"/>
                <w:color w:val="auto"/>
              </w:rPr>
              <w:t>基础防渗层为至少1m厚粘土层（渗透系数K≤10</w:t>
            </w:r>
            <w:r>
              <w:rPr>
                <w:rFonts w:hAnsi="Times New Roman"/>
                <w:color w:val="auto"/>
                <w:vertAlign w:val="superscript"/>
              </w:rPr>
              <w:t>-7</w:t>
            </w:r>
            <w:r>
              <w:rPr>
                <w:rFonts w:hAnsi="Times New Roman"/>
                <w:color w:val="auto"/>
              </w:rPr>
              <w:t>cm/s）或2mm厚高密度聚乙烯或至少2mm厚的其他人工材料（渗透系数K≤10</w:t>
            </w:r>
            <w:r>
              <w:rPr>
                <w:rFonts w:hAnsi="Times New Roman"/>
                <w:color w:val="auto"/>
                <w:vertAlign w:val="superscript"/>
              </w:rPr>
              <w:t>-10</w:t>
            </w:r>
            <w:r>
              <w:rPr>
                <w:rFonts w:hAnsi="Times New Roman"/>
                <w:color w:val="auto"/>
              </w:rPr>
              <w:t>cm/s）；</w:t>
            </w:r>
          </w:p>
          <w:p>
            <w:pPr>
              <w:pStyle w:val="84"/>
              <w:jc w:val="left"/>
              <w:rPr>
                <w:rFonts w:hAnsi="Times New Roman"/>
                <w:color w:val="auto"/>
                <w:lang w:val="en-GB"/>
              </w:rPr>
            </w:pPr>
            <w:r>
              <w:rPr>
                <w:rFonts w:hAnsi="Times New Roman"/>
                <w:color w:val="auto"/>
                <w:lang w:val="en-GB"/>
              </w:rPr>
              <w:fldChar w:fldCharType="begin"/>
            </w:r>
            <w:r>
              <w:rPr>
                <w:rFonts w:hAnsi="Times New Roman"/>
                <w:color w:val="auto"/>
                <w:lang w:val="en-GB"/>
              </w:rPr>
              <w:instrText xml:space="preserve"> = 2 \* GB3 </w:instrText>
            </w:r>
            <w:r>
              <w:rPr>
                <w:rFonts w:hAnsi="Times New Roman"/>
                <w:color w:val="auto"/>
                <w:lang w:val="en-GB"/>
              </w:rPr>
              <w:fldChar w:fldCharType="separate"/>
            </w:r>
            <w:r>
              <w:rPr>
                <w:rFonts w:hint="eastAsia" w:ascii="宋体" w:hAnsi="宋体" w:cs="宋体"/>
                <w:color w:val="auto"/>
                <w:lang w:val="en-GB"/>
              </w:rPr>
              <w:t>②</w:t>
            </w:r>
            <w:r>
              <w:rPr>
                <w:rFonts w:hAnsi="Times New Roman"/>
                <w:color w:val="auto"/>
              </w:rPr>
              <w:fldChar w:fldCharType="end"/>
            </w:r>
            <w:r>
              <w:rPr>
                <w:rFonts w:hint="eastAsia" w:hAnsi="Times New Roman"/>
                <w:color w:val="auto"/>
              </w:rPr>
              <w:t>待宰间、</w:t>
            </w:r>
            <w:r>
              <w:rPr>
                <w:rFonts w:hint="eastAsia" w:hAnsi="Times New Roman"/>
                <w:color w:val="auto"/>
                <w:lang w:val="en-US" w:eastAsia="zh-CN"/>
              </w:rPr>
              <w:t>急宰间、</w:t>
            </w:r>
            <w:r>
              <w:rPr>
                <w:rFonts w:hint="eastAsia" w:hAnsi="Times New Roman"/>
                <w:color w:val="auto"/>
              </w:rPr>
              <w:t>屠宰车间</w:t>
            </w:r>
            <w:r>
              <w:rPr>
                <w:rFonts w:hAnsi="Times New Roman"/>
                <w:color w:val="auto"/>
                <w:lang w:val="en-GB"/>
              </w:rPr>
              <w:t>、冷库、</w:t>
            </w:r>
            <w:r>
              <w:rPr>
                <w:rFonts w:hAnsi="Times New Roman"/>
                <w:color w:val="auto"/>
              </w:rPr>
              <w:t>污水处理站、贮水池、事故池</w:t>
            </w:r>
            <w:r>
              <w:rPr>
                <w:rFonts w:hAnsi="Times New Roman"/>
                <w:color w:val="auto"/>
                <w:lang w:val="en-GB"/>
              </w:rPr>
              <w:t>采取一般防渗措施。基础防渗，防渗层为至少1m厚粘土层或2mm厚高密度聚乙烯，需满足等效黏土防渗层Mb≥1.5m，K≤1×10</w:t>
            </w:r>
            <w:r>
              <w:rPr>
                <w:rFonts w:hAnsi="Times New Roman"/>
                <w:color w:val="auto"/>
                <w:vertAlign w:val="superscript"/>
                <w:lang w:val="en-GB"/>
              </w:rPr>
              <w:t>-7</w:t>
            </w:r>
            <w:r>
              <w:rPr>
                <w:rFonts w:hAnsi="Times New Roman"/>
                <w:color w:val="auto"/>
                <w:lang w:val="en-GB"/>
              </w:rPr>
              <w:t>cm/s的要求；</w:t>
            </w:r>
          </w:p>
          <w:p>
            <w:pPr>
              <w:pStyle w:val="84"/>
              <w:jc w:val="left"/>
              <w:rPr>
                <w:rFonts w:hAnsi="Times New Roman"/>
                <w:color w:val="auto"/>
                <w:lang w:val="en-GB"/>
              </w:rPr>
            </w:pPr>
            <w:r>
              <w:rPr>
                <w:rFonts w:hAnsi="Times New Roman"/>
                <w:color w:val="auto"/>
                <w:lang w:val="en-GB"/>
              </w:rPr>
              <w:fldChar w:fldCharType="begin"/>
            </w:r>
            <w:r>
              <w:rPr>
                <w:rFonts w:hAnsi="Times New Roman"/>
                <w:color w:val="auto"/>
                <w:lang w:val="en-GB"/>
              </w:rPr>
              <w:instrText xml:space="preserve"> = 3 \* GB3 </w:instrText>
            </w:r>
            <w:r>
              <w:rPr>
                <w:rFonts w:hAnsi="Times New Roman"/>
                <w:color w:val="auto"/>
                <w:lang w:val="en-GB"/>
              </w:rPr>
              <w:fldChar w:fldCharType="separate"/>
            </w:r>
            <w:r>
              <w:rPr>
                <w:rFonts w:hint="eastAsia" w:ascii="宋体" w:hAnsi="宋体" w:cs="宋体"/>
                <w:color w:val="auto"/>
                <w:lang w:val="en-GB"/>
              </w:rPr>
              <w:t>③</w:t>
            </w:r>
            <w:r>
              <w:rPr>
                <w:rFonts w:hAnsi="Times New Roman"/>
                <w:color w:val="auto"/>
              </w:rPr>
              <w:fldChar w:fldCharType="end"/>
            </w:r>
            <w:r>
              <w:rPr>
                <w:rFonts w:hint="eastAsia" w:hAnsi="Times New Roman"/>
                <w:color w:val="auto"/>
                <w:lang w:val="en-GB" w:eastAsia="zh-CN"/>
              </w:rPr>
              <w:t>办公楼</w:t>
            </w:r>
            <w:r>
              <w:rPr>
                <w:rFonts w:hAnsi="Times New Roman"/>
                <w:color w:val="auto"/>
                <w:lang w:val="en-GB"/>
              </w:rPr>
              <w:t>、库房等</w:t>
            </w:r>
            <w:r>
              <w:rPr>
                <w:rFonts w:hAnsi="Times New Roman"/>
                <w:color w:val="auto"/>
              </w:rPr>
              <w:t>其他建筑物及厂内道路</w:t>
            </w:r>
            <w:r>
              <w:rPr>
                <w:rFonts w:hAnsi="Times New Roman"/>
                <w:color w:val="auto"/>
                <w:lang w:val="en-GB"/>
              </w:rPr>
              <w:t>采用简单防渗，简单防渗区采用水泥进行硬化；</w:t>
            </w:r>
          </w:p>
          <w:p>
            <w:pPr>
              <w:pStyle w:val="84"/>
              <w:spacing w:line="0" w:lineRule="atLeast"/>
              <w:jc w:val="left"/>
              <w:rPr>
                <w:rFonts w:hAnsi="Times New Roman"/>
                <w:color w:val="auto"/>
              </w:rPr>
            </w:pPr>
            <w:r>
              <w:rPr>
                <w:rFonts w:hint="eastAsia" w:ascii="宋体" w:hAnsi="宋体" w:cs="宋体"/>
                <w:color w:val="auto"/>
                <w:lang w:val="en-GB"/>
              </w:rPr>
              <w:t>④</w:t>
            </w:r>
            <w:r>
              <w:rPr>
                <w:rFonts w:hAnsi="Times New Roman"/>
                <w:color w:val="auto"/>
                <w:lang w:val="en-GB"/>
              </w:rPr>
              <w:t>在</w:t>
            </w:r>
            <w:r>
              <w:rPr>
                <w:rFonts w:hint="eastAsia" w:hAnsi="Times New Roman"/>
                <w:color w:val="auto"/>
                <w:lang w:val="en-GB"/>
              </w:rPr>
              <w:t>厂区</w:t>
            </w:r>
            <w:r>
              <w:rPr>
                <w:rFonts w:hint="eastAsia" w:hAnsi="Times New Roman"/>
                <w:color w:val="auto"/>
                <w:lang w:val="en-GB" w:eastAsia="zh-CN"/>
              </w:rPr>
              <w:t>东侧</w:t>
            </w:r>
            <w:r>
              <w:rPr>
                <w:rFonts w:hAnsi="Times New Roman"/>
                <w:color w:val="auto"/>
                <w:lang w:val="en-GB"/>
              </w:rPr>
              <w:t>设置一个跟踪监测井，用于地下水的跟踪监测。</w:t>
            </w:r>
          </w:p>
        </w:tc>
        <w:tc>
          <w:tcPr>
            <w:tcW w:w="440" w:type="pct"/>
            <w:vAlign w:val="center"/>
          </w:tcPr>
          <w:p>
            <w:pPr>
              <w:pStyle w:val="84"/>
              <w:spacing w:line="0" w:lineRule="atLeast"/>
              <w:rPr>
                <w:rFonts w:hAnsi="Times New Roman"/>
                <w:color w:val="auto"/>
              </w:rPr>
            </w:pPr>
            <w:r>
              <w:rPr>
                <w:rFonts w:hAnsi="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394" w:type="pct"/>
            <w:vMerge w:val="continue"/>
            <w:vAlign w:val="center"/>
          </w:tcPr>
          <w:p>
            <w:pPr>
              <w:pStyle w:val="84"/>
              <w:spacing w:line="0" w:lineRule="atLeast"/>
              <w:rPr>
                <w:rFonts w:hAnsi="Times New Roman"/>
                <w:color w:val="FF0000"/>
              </w:rPr>
            </w:pPr>
          </w:p>
        </w:tc>
        <w:tc>
          <w:tcPr>
            <w:tcW w:w="1016" w:type="pct"/>
            <w:gridSpan w:val="2"/>
            <w:vAlign w:val="center"/>
          </w:tcPr>
          <w:p>
            <w:pPr>
              <w:pStyle w:val="84"/>
              <w:spacing w:line="0" w:lineRule="atLeast"/>
              <w:rPr>
                <w:rFonts w:hAnsi="Times New Roman"/>
                <w:color w:val="auto"/>
              </w:rPr>
            </w:pPr>
            <w:r>
              <w:rPr>
                <w:rFonts w:hAnsi="Times New Roman"/>
                <w:color w:val="auto"/>
              </w:rPr>
              <w:t>环境风险防范措施</w:t>
            </w:r>
          </w:p>
        </w:tc>
        <w:tc>
          <w:tcPr>
            <w:tcW w:w="3148" w:type="pct"/>
            <w:vAlign w:val="center"/>
          </w:tcPr>
          <w:p>
            <w:pPr>
              <w:pStyle w:val="84"/>
              <w:spacing w:line="0" w:lineRule="atLeast"/>
              <w:jc w:val="left"/>
              <w:rPr>
                <w:rFonts w:hAnsi="Times New Roman"/>
                <w:color w:val="auto"/>
                <w:lang w:val="en-GB"/>
              </w:rPr>
            </w:pPr>
            <w:r>
              <w:rPr>
                <w:rFonts w:hint="eastAsia" w:hAnsi="Times New Roman"/>
                <w:color w:val="auto"/>
              </w:rPr>
              <w:t>污水处理站配套建设1座容积</w:t>
            </w:r>
            <w:r>
              <w:rPr>
                <w:rFonts w:hint="eastAsia" w:hAnsi="Times New Roman"/>
                <w:color w:val="auto"/>
                <w:lang w:val="en-US" w:eastAsia="zh-CN"/>
              </w:rPr>
              <w:t>70</w:t>
            </w:r>
            <w:r>
              <w:rPr>
                <w:rFonts w:hint="eastAsia" w:hAnsi="Times New Roman"/>
                <w:color w:val="auto"/>
              </w:rPr>
              <w:t>m</w:t>
            </w:r>
            <w:r>
              <w:rPr>
                <w:rFonts w:hint="eastAsia" w:hAnsi="Times New Roman"/>
                <w:color w:val="auto"/>
                <w:vertAlign w:val="superscript"/>
              </w:rPr>
              <w:t>3</w:t>
            </w:r>
            <w:r>
              <w:rPr>
                <w:rFonts w:hint="eastAsia" w:hAnsi="Times New Roman"/>
                <w:color w:val="auto"/>
              </w:rPr>
              <w:t>事故池，可容纳事故状态下污水处理站1天的废水量。厂区采取分区防渗措施（与</w:t>
            </w:r>
            <w:r>
              <w:rPr>
                <w:rFonts w:hAnsi="Times New Roman"/>
                <w:color w:val="auto"/>
              </w:rPr>
              <w:t>防渗工程一致</w:t>
            </w:r>
            <w:r>
              <w:rPr>
                <w:rFonts w:hint="eastAsia" w:hAnsi="Times New Roman"/>
                <w:color w:val="auto"/>
              </w:rPr>
              <w:t>），并</w:t>
            </w:r>
            <w:r>
              <w:rPr>
                <w:rFonts w:hAnsi="Times New Roman"/>
                <w:bCs/>
                <w:color w:val="auto"/>
              </w:rPr>
              <w:t>在厂区</w:t>
            </w:r>
            <w:r>
              <w:rPr>
                <w:rFonts w:hint="eastAsia" w:hAnsi="Times New Roman"/>
                <w:bCs/>
                <w:color w:val="auto"/>
                <w:lang w:eastAsia="zh-CN"/>
              </w:rPr>
              <w:t>东侧</w:t>
            </w:r>
            <w:r>
              <w:rPr>
                <w:rFonts w:hAnsi="Times New Roman"/>
                <w:bCs/>
                <w:color w:val="auto"/>
              </w:rPr>
              <w:t>设置1口地下水跟踪监控井，定期开展监测。</w:t>
            </w:r>
          </w:p>
        </w:tc>
        <w:tc>
          <w:tcPr>
            <w:tcW w:w="440" w:type="pct"/>
            <w:vAlign w:val="center"/>
          </w:tcPr>
          <w:p>
            <w:pPr>
              <w:pStyle w:val="84"/>
              <w:spacing w:line="0" w:lineRule="atLeast"/>
              <w:rPr>
                <w:rFonts w:hAnsi="Times New Roman"/>
                <w:color w:val="auto"/>
              </w:rPr>
            </w:pPr>
            <w:r>
              <w:rPr>
                <w:rFonts w:hAnsi="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394" w:type="pct"/>
            <w:vAlign w:val="center"/>
          </w:tcPr>
          <w:p>
            <w:pPr>
              <w:pStyle w:val="84"/>
              <w:spacing w:line="0" w:lineRule="atLeast"/>
              <w:rPr>
                <w:rFonts w:hAnsi="Times New Roman"/>
                <w:color w:val="auto"/>
              </w:rPr>
            </w:pPr>
            <w:r>
              <w:rPr>
                <w:rFonts w:hAnsi="Times New Roman"/>
                <w:color w:val="auto"/>
              </w:rPr>
              <w:t>依托工程</w:t>
            </w:r>
          </w:p>
        </w:tc>
        <w:tc>
          <w:tcPr>
            <w:tcW w:w="1016" w:type="pct"/>
            <w:gridSpan w:val="2"/>
            <w:vAlign w:val="center"/>
          </w:tcPr>
          <w:p>
            <w:pPr>
              <w:pStyle w:val="84"/>
              <w:spacing w:line="0" w:lineRule="atLeast"/>
              <w:rPr>
                <w:rFonts w:hAnsi="Times New Roman"/>
                <w:color w:val="auto"/>
              </w:rPr>
            </w:pPr>
            <w:r>
              <w:rPr>
                <w:rFonts w:hAnsi="Times New Roman"/>
                <w:color w:val="auto"/>
              </w:rPr>
              <w:t>依托工程</w:t>
            </w:r>
          </w:p>
        </w:tc>
        <w:tc>
          <w:tcPr>
            <w:tcW w:w="3148" w:type="pct"/>
            <w:vAlign w:val="center"/>
          </w:tcPr>
          <w:p>
            <w:pPr>
              <w:pStyle w:val="84"/>
              <w:spacing w:line="0" w:lineRule="atLeast"/>
              <w:jc w:val="left"/>
              <w:rPr>
                <w:rFonts w:hAnsi="Times New Roman"/>
                <w:color w:val="auto"/>
                <w:lang w:val="en-GB"/>
              </w:rPr>
            </w:pPr>
            <w:r>
              <w:rPr>
                <w:rFonts w:hint="eastAsia"/>
                <w:color w:val="auto"/>
                <w:szCs w:val="21"/>
              </w:rPr>
              <w:t>尚志污水处理厂</w:t>
            </w:r>
            <w:r>
              <w:rPr>
                <w:color w:val="auto"/>
                <w:szCs w:val="21"/>
              </w:rPr>
              <w:t>，其厂址位于</w:t>
            </w:r>
            <w:r>
              <w:rPr>
                <w:rFonts w:hint="eastAsia"/>
                <w:color w:val="auto"/>
                <w:szCs w:val="21"/>
              </w:rPr>
              <w:t>尚志市尚志镇红光村</w:t>
            </w:r>
            <w:r>
              <w:rPr>
                <w:color w:val="auto"/>
                <w:szCs w:val="21"/>
              </w:rPr>
              <w:t>，</w:t>
            </w:r>
            <w:r>
              <w:rPr>
                <w:rFonts w:hint="eastAsia"/>
                <w:color w:val="auto"/>
                <w:szCs w:val="21"/>
              </w:rPr>
              <w:t>蚂蚁河</w:t>
            </w:r>
            <w:r>
              <w:rPr>
                <w:color w:val="auto"/>
                <w:szCs w:val="21"/>
              </w:rPr>
              <w:t>西岸</w:t>
            </w:r>
            <w:r>
              <w:rPr>
                <w:rFonts w:hint="eastAsia"/>
                <w:color w:val="auto"/>
                <w:szCs w:val="21"/>
                <w:lang w:eastAsia="zh-CN"/>
              </w:rPr>
              <w:t>，</w:t>
            </w:r>
            <w:r>
              <w:rPr>
                <w:color w:val="auto"/>
                <w:szCs w:val="21"/>
              </w:rPr>
              <w:t>该污水处理厂设计规模日处理量：</w:t>
            </w:r>
            <w:r>
              <w:rPr>
                <w:rFonts w:hint="eastAsia"/>
                <w:color w:val="auto"/>
                <w:szCs w:val="21"/>
              </w:rPr>
              <w:t>4万</w:t>
            </w:r>
            <w:r>
              <w:rPr>
                <w:color w:val="auto"/>
                <w:szCs w:val="21"/>
              </w:rPr>
              <w:t>t/d，目前处理量为</w:t>
            </w:r>
            <w:r>
              <w:rPr>
                <w:rFonts w:hint="eastAsia"/>
                <w:color w:val="auto"/>
                <w:szCs w:val="21"/>
              </w:rPr>
              <w:t>3.57万</w:t>
            </w:r>
            <w:r>
              <w:rPr>
                <w:color w:val="auto"/>
                <w:szCs w:val="21"/>
              </w:rPr>
              <w:t>t/d，剩余处理量为</w:t>
            </w:r>
            <w:r>
              <w:rPr>
                <w:rFonts w:hint="eastAsia"/>
                <w:color w:val="auto"/>
                <w:szCs w:val="21"/>
              </w:rPr>
              <w:t>0.43万</w:t>
            </w:r>
            <w:r>
              <w:rPr>
                <w:color w:val="auto"/>
                <w:szCs w:val="21"/>
              </w:rPr>
              <w:t>t/d。采用</w:t>
            </w:r>
            <w:r>
              <w:rPr>
                <w:rFonts w:hint="eastAsia"/>
                <w:color w:val="auto"/>
                <w:szCs w:val="21"/>
              </w:rPr>
              <w:t>A</w:t>
            </w:r>
            <w:r>
              <w:rPr>
                <w:rFonts w:hint="eastAsia"/>
                <w:color w:val="auto"/>
                <w:szCs w:val="21"/>
                <w:vertAlign w:val="superscript"/>
              </w:rPr>
              <w:t>2</w:t>
            </w:r>
            <w:r>
              <w:rPr>
                <w:rFonts w:hint="eastAsia"/>
                <w:color w:val="auto"/>
                <w:szCs w:val="21"/>
              </w:rPr>
              <w:t>O</w:t>
            </w:r>
            <w:r>
              <w:rPr>
                <w:color w:val="auto"/>
                <w:szCs w:val="21"/>
              </w:rPr>
              <w:t>工艺。设计处理进水标准达到《污水综合排放标准》（GB8978-1996）表4中三级标准，排水标准达《城镇污水处理厂污染物排放标准》（GB18918-2002）一级A标准，排入</w:t>
            </w:r>
            <w:r>
              <w:rPr>
                <w:rFonts w:hint="eastAsia"/>
                <w:color w:val="auto"/>
                <w:szCs w:val="21"/>
              </w:rPr>
              <w:t>乌珠河，最终汇入蚂蚁河</w:t>
            </w:r>
            <w:r>
              <w:rPr>
                <w:color w:val="auto"/>
                <w:szCs w:val="21"/>
              </w:rPr>
              <w:t>。</w:t>
            </w:r>
            <w:r>
              <w:rPr>
                <w:rFonts w:hAnsi="Times New Roman"/>
                <w:bCs/>
                <w:color w:val="auto"/>
              </w:rPr>
              <w:t>本项目</w:t>
            </w:r>
            <w:r>
              <w:rPr>
                <w:rFonts w:hint="eastAsia" w:hAnsi="Times New Roman"/>
                <w:bCs/>
                <w:color w:val="auto"/>
                <w:lang w:val="en-US" w:eastAsia="zh-CN"/>
              </w:rPr>
              <w:t>废水</w:t>
            </w:r>
            <w:r>
              <w:rPr>
                <w:rFonts w:hint="eastAsia" w:hAnsi="Times New Roman"/>
                <w:bCs/>
                <w:color w:val="auto"/>
              </w:rPr>
              <w:t>每天</w:t>
            </w:r>
            <w:r>
              <w:rPr>
                <w:rFonts w:hAnsi="Times New Roman"/>
                <w:bCs/>
                <w:color w:val="auto"/>
              </w:rPr>
              <w:t>拉运至</w:t>
            </w:r>
            <w:r>
              <w:rPr>
                <w:rFonts w:hint="eastAsia" w:hAnsi="Times New Roman"/>
                <w:bCs/>
                <w:color w:val="auto"/>
                <w:lang w:eastAsia="zh-CN"/>
              </w:rPr>
              <w:t>尚志污水处理厂</w:t>
            </w:r>
            <w:r>
              <w:rPr>
                <w:rFonts w:hAnsi="Times New Roman"/>
                <w:bCs/>
                <w:color w:val="auto"/>
              </w:rPr>
              <w:t>处理，</w:t>
            </w:r>
            <w:r>
              <w:rPr>
                <w:rFonts w:hint="eastAsia" w:hAnsi="Times New Roman"/>
                <w:bCs/>
                <w:color w:val="auto"/>
              </w:rPr>
              <w:t>每天</w:t>
            </w:r>
            <w:r>
              <w:rPr>
                <w:rFonts w:hAnsi="Times New Roman"/>
                <w:bCs/>
                <w:color w:val="auto"/>
              </w:rPr>
              <w:t>废水运载量为</w:t>
            </w:r>
            <w:r>
              <w:rPr>
                <w:rFonts w:hint="eastAsia" w:hAnsi="Times New Roman"/>
                <w:bCs/>
                <w:color w:val="auto"/>
                <w:lang w:eastAsia="zh-CN"/>
              </w:rPr>
              <w:t>59.0356</w:t>
            </w:r>
            <w:r>
              <w:rPr>
                <w:rFonts w:hAnsi="Times New Roman"/>
                <w:bCs/>
                <w:color w:val="auto"/>
              </w:rPr>
              <w:t>t/d，占污水处理厂处理能力的</w:t>
            </w:r>
            <w:r>
              <w:rPr>
                <w:rFonts w:hint="eastAsia" w:hAnsi="Times New Roman"/>
                <w:bCs/>
                <w:color w:val="auto"/>
              </w:rPr>
              <w:t>0.</w:t>
            </w:r>
            <w:r>
              <w:rPr>
                <w:rFonts w:hint="eastAsia" w:hAnsi="Times New Roman"/>
                <w:bCs/>
                <w:color w:val="auto"/>
                <w:lang w:val="en-US" w:eastAsia="zh-CN"/>
              </w:rPr>
              <w:t>15</w:t>
            </w:r>
            <w:r>
              <w:rPr>
                <w:rFonts w:hAnsi="Times New Roman"/>
                <w:bCs/>
                <w:color w:val="auto"/>
              </w:rPr>
              <w:t>%，</w:t>
            </w:r>
            <w:r>
              <w:rPr>
                <w:color w:val="auto"/>
                <w:szCs w:val="21"/>
              </w:rPr>
              <w:t>因此本项目</w:t>
            </w:r>
            <w:r>
              <w:rPr>
                <w:rFonts w:hint="eastAsia"/>
                <w:color w:val="auto"/>
                <w:szCs w:val="21"/>
                <w:lang w:val="en-US" w:eastAsia="zh-CN"/>
              </w:rPr>
              <w:t>废水</w:t>
            </w:r>
            <w:r>
              <w:rPr>
                <w:color w:val="auto"/>
                <w:szCs w:val="21"/>
              </w:rPr>
              <w:t>排入</w:t>
            </w:r>
            <w:r>
              <w:rPr>
                <w:rFonts w:hint="eastAsia"/>
                <w:color w:val="auto"/>
                <w:szCs w:val="21"/>
              </w:rPr>
              <w:t>尚志污水处理厂</w:t>
            </w:r>
            <w:r>
              <w:rPr>
                <w:color w:val="auto"/>
                <w:szCs w:val="21"/>
              </w:rPr>
              <w:t>处理可行。</w:t>
            </w:r>
          </w:p>
        </w:tc>
        <w:tc>
          <w:tcPr>
            <w:tcW w:w="440" w:type="pct"/>
            <w:vAlign w:val="center"/>
          </w:tcPr>
          <w:p>
            <w:pPr>
              <w:pStyle w:val="84"/>
              <w:spacing w:line="0" w:lineRule="atLeast"/>
              <w:rPr>
                <w:rFonts w:hAnsi="Times New Roman"/>
                <w:color w:val="auto"/>
              </w:rPr>
            </w:pPr>
            <w:r>
              <w:rPr>
                <w:rFonts w:hint="eastAsia" w:hAnsi="Times New Roman"/>
                <w:color w:val="auto"/>
              </w:rPr>
              <w:t>--</w:t>
            </w:r>
          </w:p>
        </w:tc>
      </w:tr>
      <w:bookmarkEnd w:id="66"/>
    </w:tbl>
    <w:p>
      <w:pPr>
        <w:pStyle w:val="84"/>
        <w:keepNext w:val="0"/>
        <w:keepLines w:val="0"/>
        <w:pageBreakBefore w:val="0"/>
        <w:widowControl w:val="0"/>
        <w:kinsoku/>
        <w:wordWrap/>
        <w:overflowPunct/>
        <w:topLinePunct w:val="0"/>
        <w:autoSpaceDE/>
        <w:autoSpaceDN/>
        <w:bidi w:val="0"/>
        <w:adjustRightInd/>
        <w:snapToGrid/>
        <w:spacing w:line="240" w:lineRule="auto"/>
        <w:textAlignment w:val="auto"/>
        <w:rPr>
          <w:rFonts w:hAnsi="Times New Roman"/>
          <w:b/>
          <w:color w:val="auto"/>
          <w:sz w:val="24"/>
          <w:szCs w:val="24"/>
        </w:rPr>
      </w:pPr>
      <w:bookmarkStart w:id="69" w:name="_Hlk479506277"/>
      <w:r>
        <w:rPr>
          <w:rFonts w:hAnsi="Times New Roman"/>
          <w:b/>
          <w:color w:val="auto"/>
          <w:sz w:val="24"/>
          <w:szCs w:val="24"/>
        </w:rPr>
        <w:t>表3-1-</w:t>
      </w:r>
      <w:r>
        <w:rPr>
          <w:rFonts w:hint="eastAsia" w:hAnsi="Times New Roman"/>
          <w:b/>
          <w:color w:val="auto"/>
          <w:sz w:val="24"/>
          <w:szCs w:val="24"/>
        </w:rPr>
        <w:t>2</w:t>
      </w:r>
      <w:r>
        <w:rPr>
          <w:rFonts w:hAnsi="Times New Roman"/>
          <w:b/>
          <w:color w:val="auto"/>
          <w:sz w:val="24"/>
          <w:szCs w:val="24"/>
        </w:rPr>
        <w:t>项目建设内容一览表</w:t>
      </w:r>
    </w:p>
    <w:tbl>
      <w:tblPr>
        <w:tblStyle w:val="4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1"/>
        <w:gridCol w:w="2730"/>
        <w:gridCol w:w="675"/>
        <w:gridCol w:w="945"/>
        <w:gridCol w:w="33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511" w:type="pct"/>
            <w:vAlign w:val="center"/>
          </w:tcPr>
          <w:p>
            <w:pPr>
              <w:widowControl/>
              <w:jc w:val="center"/>
              <w:rPr>
                <w:color w:val="auto"/>
                <w:szCs w:val="21"/>
              </w:rPr>
            </w:pPr>
            <w:r>
              <w:rPr>
                <w:color w:val="auto"/>
              </w:rPr>
              <w:t>序号</w:t>
            </w:r>
          </w:p>
        </w:tc>
        <w:tc>
          <w:tcPr>
            <w:tcW w:w="1601" w:type="pct"/>
            <w:vAlign w:val="center"/>
          </w:tcPr>
          <w:p>
            <w:pPr>
              <w:widowControl/>
              <w:jc w:val="center"/>
              <w:rPr>
                <w:color w:val="auto"/>
                <w:szCs w:val="21"/>
              </w:rPr>
            </w:pPr>
            <w:r>
              <w:rPr>
                <w:color w:val="auto"/>
              </w:rPr>
              <w:t>建筑物名称</w:t>
            </w:r>
          </w:p>
        </w:tc>
        <w:tc>
          <w:tcPr>
            <w:tcW w:w="396" w:type="pct"/>
            <w:vAlign w:val="center"/>
          </w:tcPr>
          <w:p>
            <w:pPr>
              <w:widowControl/>
              <w:jc w:val="center"/>
              <w:rPr>
                <w:color w:val="auto"/>
                <w:szCs w:val="21"/>
              </w:rPr>
            </w:pPr>
            <w:r>
              <w:rPr>
                <w:color w:val="auto"/>
              </w:rPr>
              <w:t>单位</w:t>
            </w:r>
          </w:p>
        </w:tc>
        <w:tc>
          <w:tcPr>
            <w:tcW w:w="554" w:type="pct"/>
            <w:vAlign w:val="center"/>
          </w:tcPr>
          <w:p>
            <w:pPr>
              <w:widowControl/>
              <w:jc w:val="center"/>
              <w:rPr>
                <w:color w:val="auto"/>
                <w:szCs w:val="21"/>
              </w:rPr>
            </w:pPr>
            <w:r>
              <w:rPr>
                <w:color w:val="auto"/>
                <w:szCs w:val="21"/>
              </w:rPr>
              <w:t>面积</w:t>
            </w:r>
          </w:p>
        </w:tc>
        <w:tc>
          <w:tcPr>
            <w:tcW w:w="1936" w:type="pct"/>
            <w:vAlign w:val="center"/>
          </w:tcPr>
          <w:p>
            <w:pPr>
              <w:widowControl/>
              <w:jc w:val="center"/>
              <w:rPr>
                <w:color w:val="auto"/>
                <w:szCs w:val="21"/>
              </w:rPr>
            </w:pPr>
            <w:r>
              <w:rPr>
                <w:color w:val="auto"/>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511" w:type="pct"/>
            <w:vAlign w:val="center"/>
          </w:tcPr>
          <w:p>
            <w:pPr>
              <w:widowControl/>
              <w:jc w:val="center"/>
              <w:rPr>
                <w:color w:val="auto"/>
                <w:kern w:val="0"/>
                <w:szCs w:val="21"/>
              </w:rPr>
            </w:pPr>
            <w:r>
              <w:rPr>
                <w:color w:val="auto"/>
                <w:kern w:val="0"/>
              </w:rPr>
              <w:t>1</w:t>
            </w:r>
          </w:p>
        </w:tc>
        <w:tc>
          <w:tcPr>
            <w:tcW w:w="1601" w:type="pct"/>
            <w:vAlign w:val="center"/>
          </w:tcPr>
          <w:p>
            <w:pPr>
              <w:adjustRightInd w:val="0"/>
              <w:snapToGrid w:val="0"/>
              <w:jc w:val="center"/>
              <w:rPr>
                <w:color w:val="auto"/>
                <w:szCs w:val="21"/>
              </w:rPr>
            </w:pPr>
            <w:r>
              <w:rPr>
                <w:rFonts w:hint="eastAsia"/>
                <w:color w:val="auto"/>
              </w:rPr>
              <w:t>待宰间</w:t>
            </w:r>
          </w:p>
        </w:tc>
        <w:tc>
          <w:tcPr>
            <w:tcW w:w="396" w:type="pct"/>
            <w:vAlign w:val="center"/>
          </w:tcPr>
          <w:p>
            <w:pPr>
              <w:widowControl/>
              <w:jc w:val="center"/>
              <w:rPr>
                <w:color w:val="auto"/>
                <w:kern w:val="0"/>
                <w:szCs w:val="21"/>
              </w:rPr>
            </w:pPr>
            <w:r>
              <w:rPr>
                <w:color w:val="auto"/>
                <w:kern w:val="0"/>
              </w:rPr>
              <w:t>m</w:t>
            </w:r>
            <w:r>
              <w:rPr>
                <w:color w:val="auto"/>
                <w:kern w:val="0"/>
                <w:vertAlign w:val="superscript"/>
              </w:rPr>
              <w:t>2</w:t>
            </w:r>
          </w:p>
        </w:tc>
        <w:tc>
          <w:tcPr>
            <w:tcW w:w="554" w:type="pct"/>
            <w:vAlign w:val="center"/>
          </w:tcPr>
          <w:p>
            <w:pPr>
              <w:adjustRightInd w:val="0"/>
              <w:snapToGrid w:val="0"/>
              <w:jc w:val="center"/>
              <w:rPr>
                <w:rFonts w:hint="default" w:eastAsia="宋体"/>
                <w:color w:val="auto"/>
                <w:szCs w:val="21"/>
                <w:lang w:val="en-US" w:eastAsia="zh-CN"/>
              </w:rPr>
            </w:pPr>
            <w:r>
              <w:rPr>
                <w:rFonts w:hint="eastAsia"/>
                <w:color w:val="auto"/>
                <w:lang w:val="en-US" w:eastAsia="zh-CN"/>
              </w:rPr>
              <w:t>500</w:t>
            </w:r>
          </w:p>
        </w:tc>
        <w:tc>
          <w:tcPr>
            <w:tcW w:w="1936" w:type="pct"/>
            <w:vAlign w:val="center"/>
          </w:tcPr>
          <w:p>
            <w:pPr>
              <w:widowControl/>
              <w:jc w:val="center"/>
              <w:rPr>
                <w:rFonts w:hint="eastAsia" w:eastAsia="宋体"/>
                <w:bCs/>
                <w:color w:val="auto"/>
                <w:kern w:val="0"/>
                <w:szCs w:val="21"/>
                <w:lang w:eastAsia="zh-CN"/>
              </w:rPr>
            </w:pPr>
            <w:r>
              <w:rPr>
                <w:rFonts w:hint="eastAsia"/>
                <w:color w:val="auto"/>
                <w:kern w:val="0"/>
              </w:rPr>
              <w:t>1</w:t>
            </w:r>
            <w:r>
              <w:rPr>
                <w:color w:val="auto"/>
                <w:kern w:val="0"/>
              </w:rPr>
              <w:t>栋，</w:t>
            </w:r>
            <w:r>
              <w:rPr>
                <w:rFonts w:hint="eastAsia"/>
                <w:color w:val="auto"/>
                <w:kern w:val="0"/>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511" w:type="pct"/>
            <w:vAlign w:val="center"/>
          </w:tcPr>
          <w:p>
            <w:pPr>
              <w:widowControl/>
              <w:jc w:val="center"/>
              <w:rPr>
                <w:color w:val="auto"/>
                <w:kern w:val="0"/>
                <w:szCs w:val="21"/>
              </w:rPr>
            </w:pPr>
            <w:r>
              <w:rPr>
                <w:color w:val="auto"/>
                <w:kern w:val="0"/>
                <w:szCs w:val="21"/>
              </w:rPr>
              <w:t>2</w:t>
            </w:r>
          </w:p>
        </w:tc>
        <w:tc>
          <w:tcPr>
            <w:tcW w:w="1601" w:type="pct"/>
            <w:vAlign w:val="center"/>
          </w:tcPr>
          <w:p>
            <w:pPr>
              <w:adjustRightInd w:val="0"/>
              <w:snapToGrid w:val="0"/>
              <w:jc w:val="center"/>
              <w:rPr>
                <w:rFonts w:hint="eastAsia" w:eastAsia="宋体"/>
                <w:color w:val="auto"/>
                <w:lang w:eastAsia="zh-CN"/>
              </w:rPr>
            </w:pPr>
            <w:r>
              <w:rPr>
                <w:color w:val="auto"/>
              </w:rPr>
              <w:t>屠宰车间</w:t>
            </w:r>
            <w:r>
              <w:rPr>
                <w:rFonts w:hint="eastAsia"/>
                <w:color w:val="auto"/>
                <w:lang w:eastAsia="zh-CN"/>
              </w:rPr>
              <w:t>（</w:t>
            </w:r>
            <w:r>
              <w:rPr>
                <w:rFonts w:hint="eastAsia"/>
                <w:color w:val="auto"/>
                <w:lang w:val="en-US" w:eastAsia="zh-CN"/>
              </w:rPr>
              <w:t>含污水处理站</w:t>
            </w:r>
            <w:r>
              <w:rPr>
                <w:rFonts w:hint="eastAsia"/>
                <w:color w:val="auto"/>
                <w:lang w:eastAsia="zh-CN"/>
              </w:rPr>
              <w:t>）</w:t>
            </w:r>
          </w:p>
        </w:tc>
        <w:tc>
          <w:tcPr>
            <w:tcW w:w="396" w:type="pct"/>
            <w:vAlign w:val="center"/>
          </w:tcPr>
          <w:p>
            <w:pPr>
              <w:widowControl/>
              <w:jc w:val="center"/>
              <w:rPr>
                <w:color w:val="auto"/>
                <w:kern w:val="0"/>
              </w:rPr>
            </w:pPr>
            <w:r>
              <w:rPr>
                <w:color w:val="auto"/>
                <w:kern w:val="0"/>
              </w:rPr>
              <w:t>m</w:t>
            </w:r>
            <w:r>
              <w:rPr>
                <w:color w:val="auto"/>
                <w:kern w:val="0"/>
                <w:vertAlign w:val="superscript"/>
              </w:rPr>
              <w:t>2</w:t>
            </w:r>
          </w:p>
        </w:tc>
        <w:tc>
          <w:tcPr>
            <w:tcW w:w="554" w:type="pct"/>
            <w:vAlign w:val="center"/>
          </w:tcPr>
          <w:p>
            <w:pPr>
              <w:adjustRightInd w:val="0"/>
              <w:snapToGrid w:val="0"/>
              <w:jc w:val="center"/>
              <w:rPr>
                <w:rFonts w:hint="default" w:eastAsia="宋体"/>
                <w:color w:val="auto"/>
                <w:lang w:val="en-US" w:eastAsia="zh-CN"/>
              </w:rPr>
            </w:pPr>
            <w:r>
              <w:rPr>
                <w:rFonts w:hint="eastAsia"/>
                <w:color w:val="auto"/>
                <w:lang w:val="en-US" w:eastAsia="zh-CN"/>
              </w:rPr>
              <w:t>2000</w:t>
            </w:r>
          </w:p>
        </w:tc>
        <w:tc>
          <w:tcPr>
            <w:tcW w:w="1936" w:type="pct"/>
            <w:vAlign w:val="center"/>
          </w:tcPr>
          <w:p>
            <w:pPr>
              <w:widowControl/>
              <w:jc w:val="center"/>
              <w:rPr>
                <w:rFonts w:hint="eastAsia" w:eastAsia="宋体"/>
                <w:color w:val="auto"/>
                <w:kern w:val="0"/>
                <w:lang w:eastAsia="zh-CN"/>
              </w:rPr>
            </w:pPr>
            <w:r>
              <w:rPr>
                <w:color w:val="auto"/>
                <w:kern w:val="0"/>
              </w:rPr>
              <w:t>1栋，内置</w:t>
            </w:r>
            <w:r>
              <w:rPr>
                <w:rFonts w:hint="eastAsia"/>
                <w:color w:val="auto"/>
                <w:kern w:val="0"/>
                <w:lang w:eastAsia="zh-CN"/>
              </w:rPr>
              <w:t>危险废物贮存点</w:t>
            </w:r>
            <w:r>
              <w:rPr>
                <w:color w:val="auto"/>
                <w:kern w:val="0"/>
              </w:rPr>
              <w:t>，</w:t>
            </w:r>
            <w:r>
              <w:rPr>
                <w:rFonts w:hint="eastAsia"/>
                <w:color w:val="auto"/>
                <w:kern w:val="0"/>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511" w:type="pct"/>
            <w:vAlign w:val="center"/>
          </w:tcPr>
          <w:p>
            <w:pPr>
              <w:widowControl/>
              <w:jc w:val="center"/>
              <w:rPr>
                <w:rFonts w:ascii="Times New Roman" w:hAnsi="Times New Roman" w:eastAsia="宋体" w:cs="Times New Roman"/>
                <w:color w:val="auto"/>
                <w:kern w:val="0"/>
                <w:sz w:val="21"/>
                <w:szCs w:val="24"/>
                <w:lang w:val="en-US" w:eastAsia="zh-CN" w:bidi="ar-SA"/>
              </w:rPr>
            </w:pPr>
            <w:r>
              <w:rPr>
                <w:color w:val="auto"/>
                <w:kern w:val="0"/>
              </w:rPr>
              <w:t>3</w:t>
            </w:r>
          </w:p>
        </w:tc>
        <w:tc>
          <w:tcPr>
            <w:tcW w:w="1601" w:type="pct"/>
            <w:vAlign w:val="center"/>
          </w:tcPr>
          <w:p>
            <w:pPr>
              <w:adjustRightInd w:val="0"/>
              <w:snapToGrid w:val="0"/>
              <w:jc w:val="center"/>
              <w:rPr>
                <w:rFonts w:hint="eastAsia" w:eastAsia="宋体"/>
                <w:color w:val="auto"/>
                <w:lang w:val="en-US" w:eastAsia="zh-CN"/>
              </w:rPr>
            </w:pPr>
            <w:r>
              <w:rPr>
                <w:rFonts w:hint="eastAsia"/>
                <w:color w:val="auto"/>
                <w:lang w:val="en-US" w:eastAsia="zh-CN"/>
              </w:rPr>
              <w:t>急宰间</w:t>
            </w:r>
          </w:p>
        </w:tc>
        <w:tc>
          <w:tcPr>
            <w:tcW w:w="675" w:type="dxa"/>
            <w:vAlign w:val="center"/>
          </w:tcPr>
          <w:p>
            <w:pPr>
              <w:widowControl/>
              <w:jc w:val="center"/>
              <w:rPr>
                <w:color w:val="auto"/>
                <w:kern w:val="0"/>
              </w:rPr>
            </w:pPr>
            <w:r>
              <w:rPr>
                <w:color w:val="auto"/>
                <w:kern w:val="0"/>
              </w:rPr>
              <w:t>m</w:t>
            </w:r>
            <w:r>
              <w:rPr>
                <w:color w:val="auto"/>
                <w:kern w:val="0"/>
                <w:vertAlign w:val="superscript"/>
              </w:rPr>
              <w:t>2</w:t>
            </w:r>
          </w:p>
        </w:tc>
        <w:tc>
          <w:tcPr>
            <w:tcW w:w="945" w:type="dxa"/>
            <w:vAlign w:val="top"/>
          </w:tcPr>
          <w:p>
            <w:pPr>
              <w:jc w:val="center"/>
              <w:rPr>
                <w:rFonts w:hint="eastAsia"/>
                <w:color w:val="auto"/>
                <w:highlight w:val="none"/>
                <w:lang w:val="en-US" w:eastAsia="zh-CN"/>
              </w:rPr>
            </w:pPr>
            <w:r>
              <w:rPr>
                <w:rFonts w:hint="eastAsia"/>
                <w:color w:val="auto"/>
                <w:szCs w:val="21"/>
                <w:highlight w:val="none"/>
              </w:rPr>
              <w:t>1</w:t>
            </w:r>
            <w:r>
              <w:rPr>
                <w:rFonts w:hint="eastAsia"/>
                <w:color w:val="auto"/>
                <w:szCs w:val="21"/>
                <w:highlight w:val="none"/>
                <w:lang w:val="en-US" w:eastAsia="zh-CN"/>
              </w:rPr>
              <w:t>00</w:t>
            </w:r>
          </w:p>
        </w:tc>
        <w:tc>
          <w:tcPr>
            <w:tcW w:w="1936" w:type="pct"/>
            <w:vAlign w:val="center"/>
          </w:tcPr>
          <w:p>
            <w:pPr>
              <w:widowControl/>
              <w:jc w:val="center"/>
              <w:rPr>
                <w:color w:val="auto"/>
                <w:kern w:val="0"/>
              </w:rPr>
            </w:pPr>
            <w:r>
              <w:rPr>
                <w:color w:val="auto"/>
                <w:kern w:val="0"/>
              </w:rPr>
              <w:t>1栋，</w:t>
            </w:r>
            <w:r>
              <w:rPr>
                <w:rFonts w:hint="eastAsia"/>
                <w:color w:val="auto"/>
                <w:kern w:val="0"/>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511" w:type="pct"/>
            <w:vAlign w:val="center"/>
          </w:tcPr>
          <w:p>
            <w:pPr>
              <w:widowControl/>
              <w:jc w:val="center"/>
              <w:rPr>
                <w:rFonts w:ascii="Times New Roman" w:hAnsi="Times New Roman" w:eastAsia="宋体" w:cs="Times New Roman"/>
                <w:color w:val="auto"/>
                <w:kern w:val="0"/>
                <w:sz w:val="21"/>
                <w:szCs w:val="21"/>
                <w:lang w:val="en-US" w:eastAsia="zh-CN" w:bidi="ar-SA"/>
              </w:rPr>
            </w:pPr>
            <w:r>
              <w:rPr>
                <w:color w:val="auto"/>
                <w:kern w:val="0"/>
              </w:rPr>
              <w:t>4</w:t>
            </w:r>
          </w:p>
        </w:tc>
        <w:tc>
          <w:tcPr>
            <w:tcW w:w="1601" w:type="pct"/>
            <w:vAlign w:val="center"/>
          </w:tcPr>
          <w:p>
            <w:pPr>
              <w:pStyle w:val="84"/>
              <w:spacing w:line="0" w:lineRule="atLeast"/>
              <w:rPr>
                <w:rFonts w:ascii="Times New Roman" w:hAnsi="Times New Roman" w:eastAsia="宋体" w:cs="Times New Roman"/>
                <w:color w:val="auto"/>
                <w:kern w:val="2"/>
                <w:sz w:val="21"/>
                <w:szCs w:val="21"/>
                <w:lang w:val="en-US" w:eastAsia="zh-CN" w:bidi="ar-SA"/>
              </w:rPr>
            </w:pPr>
            <w:r>
              <w:rPr>
                <w:rFonts w:hint="eastAsia" w:hAnsi="Times New Roman"/>
                <w:color w:val="auto"/>
              </w:rPr>
              <w:t>冷库</w:t>
            </w:r>
          </w:p>
        </w:tc>
        <w:tc>
          <w:tcPr>
            <w:tcW w:w="396" w:type="pct"/>
            <w:vAlign w:val="center"/>
          </w:tcPr>
          <w:p>
            <w:pPr>
              <w:widowControl/>
              <w:jc w:val="center"/>
              <w:rPr>
                <w:rFonts w:ascii="Times New Roman" w:hAnsi="Times New Roman" w:eastAsia="宋体" w:cs="Times New Roman"/>
                <w:color w:val="auto"/>
                <w:kern w:val="0"/>
                <w:sz w:val="21"/>
                <w:szCs w:val="21"/>
                <w:lang w:val="en-US" w:eastAsia="zh-CN" w:bidi="ar-SA"/>
              </w:rPr>
            </w:pPr>
            <w:r>
              <w:rPr>
                <w:color w:val="auto"/>
                <w:kern w:val="0"/>
              </w:rPr>
              <w:t>m</w:t>
            </w:r>
            <w:r>
              <w:rPr>
                <w:color w:val="auto"/>
                <w:kern w:val="0"/>
                <w:vertAlign w:val="superscript"/>
              </w:rPr>
              <w:t>2</w:t>
            </w:r>
          </w:p>
        </w:tc>
        <w:tc>
          <w:tcPr>
            <w:tcW w:w="554" w:type="pct"/>
            <w:vAlign w:val="center"/>
          </w:tcPr>
          <w:p>
            <w:pPr>
              <w:pStyle w:val="84"/>
              <w:spacing w:line="0" w:lineRule="atLeast"/>
              <w:rPr>
                <w:rFonts w:hint="default" w:ascii="Times New Roman" w:hAnsi="Times New Roman" w:eastAsia="宋体" w:cs="Times New Roman"/>
                <w:color w:val="auto"/>
                <w:kern w:val="2"/>
                <w:sz w:val="21"/>
                <w:szCs w:val="21"/>
                <w:lang w:val="en-US" w:eastAsia="zh-CN" w:bidi="ar-SA"/>
              </w:rPr>
            </w:pPr>
            <w:r>
              <w:rPr>
                <w:rFonts w:hint="eastAsia" w:hAnsi="Times New Roman"/>
                <w:color w:val="auto"/>
                <w:lang w:val="en-US" w:eastAsia="zh-CN"/>
              </w:rPr>
              <w:t>3600</w:t>
            </w:r>
          </w:p>
        </w:tc>
        <w:tc>
          <w:tcPr>
            <w:tcW w:w="1936" w:type="pct"/>
            <w:vAlign w:val="center"/>
          </w:tcPr>
          <w:p>
            <w:pPr>
              <w:widowControl/>
              <w:jc w:val="center"/>
              <w:rPr>
                <w:rFonts w:ascii="Times New Roman" w:hAnsi="Times New Roman" w:eastAsia="宋体" w:cs="Times New Roman"/>
                <w:bCs/>
                <w:color w:val="auto"/>
                <w:kern w:val="0"/>
                <w:sz w:val="21"/>
                <w:szCs w:val="21"/>
                <w:lang w:val="en-US" w:eastAsia="zh-CN" w:bidi="ar-SA"/>
              </w:rPr>
            </w:pPr>
            <w:r>
              <w:rPr>
                <w:rFonts w:hint="eastAsia"/>
                <w:color w:val="auto"/>
                <w:kern w:val="0"/>
              </w:rPr>
              <w:t>1</w:t>
            </w:r>
            <w:r>
              <w:rPr>
                <w:color w:val="auto"/>
                <w:kern w:val="0"/>
              </w:rPr>
              <w:t>栋，依托原有建筑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511" w:type="pct"/>
            <w:vAlign w:val="center"/>
          </w:tcPr>
          <w:p>
            <w:pPr>
              <w:widowControl/>
              <w:jc w:val="center"/>
              <w:rPr>
                <w:rFonts w:ascii="Times New Roman" w:hAnsi="Times New Roman" w:eastAsia="宋体" w:cs="Times New Roman"/>
                <w:color w:val="auto"/>
                <w:kern w:val="0"/>
                <w:sz w:val="21"/>
                <w:szCs w:val="24"/>
                <w:lang w:val="en-US" w:eastAsia="zh-CN" w:bidi="ar-SA"/>
              </w:rPr>
            </w:pPr>
            <w:r>
              <w:rPr>
                <w:color w:val="auto"/>
                <w:kern w:val="0"/>
              </w:rPr>
              <w:t>5</w:t>
            </w:r>
          </w:p>
        </w:tc>
        <w:tc>
          <w:tcPr>
            <w:tcW w:w="1601" w:type="pct"/>
            <w:vAlign w:val="center"/>
          </w:tcPr>
          <w:p>
            <w:pPr>
              <w:widowControl/>
              <w:adjustRightInd w:val="0"/>
              <w:snapToGrid w:val="0"/>
              <w:jc w:val="center"/>
              <w:rPr>
                <w:rFonts w:hint="default" w:eastAsia="宋体"/>
                <w:color w:val="auto"/>
                <w:szCs w:val="21"/>
                <w:lang w:val="en-US" w:eastAsia="zh-CN"/>
              </w:rPr>
            </w:pPr>
            <w:r>
              <w:rPr>
                <w:rFonts w:hint="eastAsia"/>
                <w:color w:val="auto"/>
                <w:szCs w:val="21"/>
                <w:lang w:val="en-US" w:eastAsia="zh-CN"/>
              </w:rPr>
              <w:t>储氨房</w:t>
            </w:r>
          </w:p>
        </w:tc>
        <w:tc>
          <w:tcPr>
            <w:tcW w:w="396" w:type="pct"/>
            <w:vAlign w:val="center"/>
          </w:tcPr>
          <w:p>
            <w:pPr>
              <w:widowControl/>
              <w:jc w:val="center"/>
              <w:rPr>
                <w:color w:val="auto"/>
                <w:kern w:val="0"/>
                <w:szCs w:val="21"/>
              </w:rPr>
            </w:pPr>
            <w:r>
              <w:rPr>
                <w:color w:val="auto"/>
                <w:kern w:val="0"/>
              </w:rPr>
              <w:t>m</w:t>
            </w:r>
            <w:r>
              <w:rPr>
                <w:color w:val="auto"/>
                <w:kern w:val="0"/>
                <w:vertAlign w:val="superscript"/>
              </w:rPr>
              <w:t>2</w:t>
            </w:r>
          </w:p>
        </w:tc>
        <w:tc>
          <w:tcPr>
            <w:tcW w:w="554" w:type="pct"/>
            <w:vAlign w:val="center"/>
          </w:tcPr>
          <w:p>
            <w:pPr>
              <w:adjustRightInd w:val="0"/>
              <w:snapToGrid w:val="0"/>
              <w:jc w:val="center"/>
              <w:rPr>
                <w:rFonts w:hint="default" w:eastAsia="宋体"/>
                <w:color w:val="auto"/>
                <w:szCs w:val="21"/>
                <w:lang w:val="en-US" w:eastAsia="zh-CN"/>
              </w:rPr>
            </w:pPr>
            <w:r>
              <w:rPr>
                <w:rFonts w:hint="eastAsia"/>
                <w:color w:val="auto"/>
                <w:szCs w:val="21"/>
                <w:lang w:val="en-US" w:eastAsia="zh-CN"/>
              </w:rPr>
              <w:t>500</w:t>
            </w:r>
          </w:p>
        </w:tc>
        <w:tc>
          <w:tcPr>
            <w:tcW w:w="1936" w:type="pct"/>
            <w:vAlign w:val="center"/>
          </w:tcPr>
          <w:p>
            <w:pPr>
              <w:widowControl/>
              <w:jc w:val="center"/>
              <w:rPr>
                <w:color w:val="auto"/>
                <w:kern w:val="0"/>
                <w:szCs w:val="21"/>
              </w:rPr>
            </w:pPr>
            <w:r>
              <w:rPr>
                <w:bCs/>
                <w:color w:val="auto"/>
                <w:kern w:val="0"/>
              </w:rPr>
              <w:t>1栋</w:t>
            </w:r>
            <w:r>
              <w:rPr>
                <w:color w:val="auto"/>
                <w:kern w:val="0"/>
              </w:rPr>
              <w:t>，依托原有建筑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511" w:type="pct"/>
            <w:vAlign w:val="center"/>
          </w:tcPr>
          <w:p>
            <w:pPr>
              <w:widowControl/>
              <w:jc w:val="center"/>
              <w:rPr>
                <w:rFonts w:ascii="Times New Roman" w:hAnsi="Times New Roman" w:eastAsia="宋体" w:cs="Times New Roman"/>
                <w:color w:val="auto"/>
                <w:kern w:val="0"/>
                <w:sz w:val="21"/>
                <w:szCs w:val="21"/>
                <w:lang w:val="en-US" w:eastAsia="zh-CN" w:bidi="ar-SA"/>
              </w:rPr>
            </w:pPr>
            <w:r>
              <w:rPr>
                <w:color w:val="auto"/>
                <w:kern w:val="0"/>
              </w:rPr>
              <w:t>6</w:t>
            </w:r>
          </w:p>
        </w:tc>
        <w:tc>
          <w:tcPr>
            <w:tcW w:w="1601" w:type="pct"/>
            <w:vAlign w:val="center"/>
          </w:tcPr>
          <w:p>
            <w:pPr>
              <w:widowControl/>
              <w:adjustRightInd w:val="0"/>
              <w:snapToGrid w:val="0"/>
              <w:jc w:val="center"/>
              <w:rPr>
                <w:rFonts w:hint="eastAsia" w:eastAsia="宋体"/>
                <w:color w:val="auto"/>
                <w:lang w:eastAsia="zh-CN"/>
              </w:rPr>
            </w:pPr>
            <w:r>
              <w:rPr>
                <w:rFonts w:hint="eastAsia"/>
                <w:color w:val="auto"/>
                <w:szCs w:val="21"/>
                <w:lang w:eastAsia="zh-CN"/>
              </w:rPr>
              <w:t>办公楼</w:t>
            </w:r>
          </w:p>
        </w:tc>
        <w:tc>
          <w:tcPr>
            <w:tcW w:w="396" w:type="pct"/>
            <w:vAlign w:val="center"/>
          </w:tcPr>
          <w:p>
            <w:pPr>
              <w:widowControl/>
              <w:jc w:val="center"/>
              <w:rPr>
                <w:color w:val="auto"/>
                <w:kern w:val="0"/>
              </w:rPr>
            </w:pPr>
            <w:r>
              <w:rPr>
                <w:color w:val="auto"/>
                <w:kern w:val="0"/>
              </w:rPr>
              <w:t>m</w:t>
            </w:r>
            <w:r>
              <w:rPr>
                <w:color w:val="auto"/>
                <w:kern w:val="0"/>
                <w:vertAlign w:val="superscript"/>
              </w:rPr>
              <w:t>2</w:t>
            </w:r>
          </w:p>
        </w:tc>
        <w:tc>
          <w:tcPr>
            <w:tcW w:w="554" w:type="pct"/>
            <w:vAlign w:val="center"/>
          </w:tcPr>
          <w:p>
            <w:pPr>
              <w:adjustRightInd w:val="0"/>
              <w:snapToGrid w:val="0"/>
              <w:jc w:val="center"/>
              <w:rPr>
                <w:rFonts w:hint="default" w:eastAsia="宋体"/>
                <w:color w:val="auto"/>
                <w:szCs w:val="21"/>
                <w:lang w:val="en-US" w:eastAsia="zh-CN"/>
              </w:rPr>
            </w:pPr>
            <w:r>
              <w:rPr>
                <w:rFonts w:hint="eastAsia"/>
                <w:color w:val="auto"/>
                <w:lang w:val="en-US" w:eastAsia="zh-CN"/>
              </w:rPr>
              <w:t>2200</w:t>
            </w:r>
          </w:p>
        </w:tc>
        <w:tc>
          <w:tcPr>
            <w:tcW w:w="1936" w:type="pct"/>
            <w:vAlign w:val="center"/>
          </w:tcPr>
          <w:p>
            <w:pPr>
              <w:widowControl/>
              <w:jc w:val="center"/>
              <w:rPr>
                <w:color w:val="auto"/>
                <w:kern w:val="0"/>
                <w:szCs w:val="21"/>
              </w:rPr>
            </w:pPr>
            <w:r>
              <w:rPr>
                <w:rFonts w:hint="eastAsia"/>
                <w:color w:val="auto"/>
                <w:kern w:val="0"/>
                <w:lang w:val="en-US" w:eastAsia="zh-CN"/>
              </w:rPr>
              <w:t>2</w:t>
            </w:r>
            <w:r>
              <w:rPr>
                <w:color w:val="auto"/>
                <w:kern w:val="0"/>
              </w:rPr>
              <w:t>栋，依托原有建筑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511" w:type="pct"/>
            <w:vAlign w:val="center"/>
          </w:tcPr>
          <w:p>
            <w:pPr>
              <w:widowControl/>
              <w:jc w:val="center"/>
              <w:rPr>
                <w:rFonts w:ascii="Times New Roman" w:hAnsi="Times New Roman" w:eastAsia="宋体" w:cs="Times New Roman"/>
                <w:color w:val="auto"/>
                <w:kern w:val="0"/>
                <w:sz w:val="21"/>
                <w:szCs w:val="21"/>
                <w:lang w:val="en-US" w:eastAsia="zh-CN" w:bidi="ar-SA"/>
              </w:rPr>
            </w:pPr>
            <w:r>
              <w:rPr>
                <w:rFonts w:hint="eastAsia"/>
                <w:color w:val="auto"/>
                <w:kern w:val="0"/>
              </w:rPr>
              <w:t>7</w:t>
            </w:r>
          </w:p>
        </w:tc>
        <w:tc>
          <w:tcPr>
            <w:tcW w:w="1601" w:type="pct"/>
            <w:vAlign w:val="center"/>
          </w:tcPr>
          <w:p>
            <w:pPr>
              <w:widowControl/>
              <w:adjustRightInd w:val="0"/>
              <w:snapToGrid w:val="0"/>
              <w:jc w:val="center"/>
              <w:rPr>
                <w:color w:val="auto"/>
              </w:rPr>
            </w:pPr>
            <w:r>
              <w:rPr>
                <w:rFonts w:hint="eastAsia"/>
                <w:color w:val="auto"/>
                <w:szCs w:val="21"/>
              </w:rPr>
              <w:t>门卫</w:t>
            </w:r>
          </w:p>
        </w:tc>
        <w:tc>
          <w:tcPr>
            <w:tcW w:w="396" w:type="pct"/>
            <w:vAlign w:val="center"/>
          </w:tcPr>
          <w:p>
            <w:pPr>
              <w:widowControl/>
              <w:jc w:val="center"/>
              <w:rPr>
                <w:color w:val="auto"/>
                <w:kern w:val="0"/>
                <w:szCs w:val="21"/>
              </w:rPr>
            </w:pPr>
            <w:r>
              <w:rPr>
                <w:color w:val="auto"/>
                <w:kern w:val="0"/>
              </w:rPr>
              <w:t>m</w:t>
            </w:r>
            <w:r>
              <w:rPr>
                <w:color w:val="auto"/>
                <w:kern w:val="0"/>
                <w:vertAlign w:val="superscript"/>
              </w:rPr>
              <w:t>2</w:t>
            </w:r>
          </w:p>
        </w:tc>
        <w:tc>
          <w:tcPr>
            <w:tcW w:w="554" w:type="pct"/>
            <w:vAlign w:val="center"/>
          </w:tcPr>
          <w:p>
            <w:pPr>
              <w:adjustRightInd w:val="0"/>
              <w:snapToGrid w:val="0"/>
              <w:jc w:val="center"/>
              <w:rPr>
                <w:color w:val="auto"/>
              </w:rPr>
            </w:pPr>
            <w:r>
              <w:rPr>
                <w:rFonts w:hint="eastAsia"/>
                <w:color w:val="auto"/>
              </w:rPr>
              <w:t>10</w:t>
            </w:r>
          </w:p>
        </w:tc>
        <w:tc>
          <w:tcPr>
            <w:tcW w:w="1936" w:type="pct"/>
            <w:vAlign w:val="center"/>
          </w:tcPr>
          <w:p>
            <w:pPr>
              <w:widowControl/>
              <w:jc w:val="center"/>
              <w:rPr>
                <w:bCs/>
                <w:color w:val="auto"/>
                <w:kern w:val="0"/>
                <w:szCs w:val="21"/>
              </w:rPr>
            </w:pPr>
            <w:r>
              <w:rPr>
                <w:bCs/>
                <w:color w:val="auto"/>
                <w:kern w:val="0"/>
              </w:rPr>
              <w:t>1栋</w:t>
            </w:r>
            <w:r>
              <w:rPr>
                <w:color w:val="auto"/>
                <w:kern w:val="0"/>
              </w:rPr>
              <w:t>，依托原有建筑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511" w:type="pct"/>
            <w:vAlign w:val="center"/>
          </w:tcPr>
          <w:p>
            <w:pPr>
              <w:widowControl/>
              <w:jc w:val="center"/>
              <w:rPr>
                <w:rFonts w:ascii="Times New Roman" w:hAnsi="Times New Roman" w:eastAsia="宋体" w:cs="Times New Roman"/>
                <w:color w:val="auto"/>
                <w:kern w:val="0"/>
                <w:sz w:val="21"/>
                <w:szCs w:val="21"/>
                <w:lang w:val="en-US" w:eastAsia="zh-CN" w:bidi="ar-SA"/>
              </w:rPr>
            </w:pPr>
            <w:r>
              <w:rPr>
                <w:rFonts w:hint="eastAsia"/>
                <w:color w:val="auto"/>
                <w:kern w:val="0"/>
              </w:rPr>
              <w:t>8</w:t>
            </w:r>
          </w:p>
        </w:tc>
        <w:tc>
          <w:tcPr>
            <w:tcW w:w="1601" w:type="pct"/>
            <w:vAlign w:val="center"/>
          </w:tcPr>
          <w:p>
            <w:pPr>
              <w:adjustRightInd w:val="0"/>
              <w:snapToGrid w:val="0"/>
              <w:jc w:val="center"/>
              <w:rPr>
                <w:rFonts w:ascii="Times New Roman" w:hAnsi="Times New Roman" w:eastAsia="宋体" w:cs="Times New Roman"/>
                <w:color w:val="auto"/>
                <w:kern w:val="2"/>
                <w:sz w:val="21"/>
                <w:szCs w:val="24"/>
                <w:lang w:val="en-US" w:eastAsia="zh-CN" w:bidi="ar-SA"/>
              </w:rPr>
            </w:pPr>
            <w:r>
              <w:rPr>
                <w:rFonts w:hint="eastAsia"/>
                <w:color w:val="auto"/>
              </w:rPr>
              <w:t>库房</w:t>
            </w:r>
          </w:p>
        </w:tc>
        <w:tc>
          <w:tcPr>
            <w:tcW w:w="396" w:type="pct"/>
            <w:vAlign w:val="center"/>
          </w:tcPr>
          <w:p>
            <w:pPr>
              <w:widowControl/>
              <w:jc w:val="center"/>
              <w:rPr>
                <w:rFonts w:ascii="Times New Roman" w:hAnsi="Times New Roman" w:eastAsia="宋体" w:cs="Times New Roman"/>
                <w:color w:val="auto"/>
                <w:kern w:val="0"/>
                <w:sz w:val="21"/>
                <w:szCs w:val="21"/>
                <w:lang w:val="en-US" w:eastAsia="zh-CN" w:bidi="ar-SA"/>
              </w:rPr>
            </w:pPr>
            <w:r>
              <w:rPr>
                <w:color w:val="auto"/>
                <w:kern w:val="0"/>
              </w:rPr>
              <w:t>m</w:t>
            </w:r>
            <w:r>
              <w:rPr>
                <w:color w:val="auto"/>
                <w:kern w:val="0"/>
                <w:vertAlign w:val="superscript"/>
              </w:rPr>
              <w:t>2</w:t>
            </w:r>
          </w:p>
        </w:tc>
        <w:tc>
          <w:tcPr>
            <w:tcW w:w="554" w:type="pct"/>
            <w:vAlign w:val="top"/>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olor w:val="auto"/>
                <w:szCs w:val="21"/>
                <w:highlight w:val="none"/>
              </w:rPr>
              <w:t>1</w:t>
            </w:r>
            <w:r>
              <w:rPr>
                <w:rFonts w:hint="eastAsia"/>
                <w:color w:val="auto"/>
                <w:szCs w:val="21"/>
                <w:highlight w:val="none"/>
                <w:lang w:val="en-US" w:eastAsia="zh-CN"/>
              </w:rPr>
              <w:t>00</w:t>
            </w:r>
          </w:p>
        </w:tc>
        <w:tc>
          <w:tcPr>
            <w:tcW w:w="1936" w:type="pct"/>
            <w:vAlign w:val="center"/>
          </w:tcPr>
          <w:p>
            <w:pPr>
              <w:widowControl/>
              <w:jc w:val="center"/>
              <w:rPr>
                <w:rFonts w:ascii="Times New Roman" w:hAnsi="Times New Roman" w:eastAsia="宋体" w:cs="Times New Roman"/>
                <w:bCs/>
                <w:color w:val="auto"/>
                <w:kern w:val="0"/>
                <w:sz w:val="21"/>
                <w:szCs w:val="21"/>
                <w:lang w:val="en-US" w:eastAsia="zh-CN" w:bidi="ar-SA"/>
              </w:rPr>
            </w:pPr>
            <w:r>
              <w:rPr>
                <w:bCs/>
                <w:color w:val="auto"/>
                <w:kern w:val="0"/>
              </w:rPr>
              <w:t>1栋</w:t>
            </w:r>
            <w:r>
              <w:rPr>
                <w:color w:val="auto"/>
                <w:kern w:val="0"/>
              </w:rPr>
              <w:t>，依托原有建筑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36" w:hRule="atLeast"/>
          <w:jc w:val="center"/>
        </w:trPr>
        <w:tc>
          <w:tcPr>
            <w:tcW w:w="511" w:type="pct"/>
            <w:vAlign w:val="center"/>
          </w:tcPr>
          <w:p>
            <w:pPr>
              <w:widowControl/>
              <w:jc w:val="center"/>
              <w:rPr>
                <w:rFonts w:hint="eastAsia" w:eastAsia="宋体"/>
                <w:color w:val="auto"/>
                <w:kern w:val="0"/>
                <w:szCs w:val="21"/>
                <w:lang w:val="en-US" w:eastAsia="zh-CN"/>
              </w:rPr>
            </w:pPr>
            <w:r>
              <w:rPr>
                <w:rFonts w:hint="eastAsia"/>
                <w:color w:val="auto"/>
                <w:kern w:val="0"/>
                <w:szCs w:val="21"/>
                <w:lang w:val="en-US" w:eastAsia="zh-CN"/>
              </w:rPr>
              <w:t>9</w:t>
            </w:r>
          </w:p>
        </w:tc>
        <w:tc>
          <w:tcPr>
            <w:tcW w:w="1601" w:type="pct"/>
            <w:vAlign w:val="center"/>
          </w:tcPr>
          <w:p>
            <w:pPr>
              <w:pStyle w:val="84"/>
              <w:spacing w:line="0" w:lineRule="atLeast"/>
              <w:rPr>
                <w:rFonts w:hint="eastAsia" w:ascii="Times New Roman" w:hAnsi="Times New Roman" w:eastAsia="宋体" w:cs="Times New Roman"/>
                <w:color w:val="auto"/>
                <w:kern w:val="2"/>
                <w:sz w:val="21"/>
                <w:szCs w:val="21"/>
                <w:lang w:val="en-US" w:eastAsia="zh-CN" w:bidi="ar-SA"/>
              </w:rPr>
            </w:pPr>
            <w:r>
              <w:rPr>
                <w:rFonts w:hint="eastAsia" w:hAnsi="Times New Roman"/>
                <w:color w:val="auto"/>
                <w:lang w:val="en-US" w:eastAsia="zh-CN"/>
              </w:rPr>
              <w:t>锅炉房</w:t>
            </w:r>
          </w:p>
        </w:tc>
        <w:tc>
          <w:tcPr>
            <w:tcW w:w="396" w:type="pct"/>
            <w:vAlign w:val="center"/>
          </w:tcPr>
          <w:p>
            <w:pPr>
              <w:widowControl/>
              <w:jc w:val="center"/>
              <w:rPr>
                <w:rFonts w:ascii="Times New Roman" w:hAnsi="Times New Roman" w:eastAsia="宋体" w:cs="Times New Roman"/>
                <w:color w:val="auto"/>
                <w:kern w:val="0"/>
                <w:sz w:val="21"/>
                <w:szCs w:val="21"/>
                <w:lang w:val="en-US" w:eastAsia="zh-CN" w:bidi="ar-SA"/>
              </w:rPr>
            </w:pPr>
            <w:r>
              <w:rPr>
                <w:color w:val="auto"/>
                <w:kern w:val="0"/>
              </w:rPr>
              <w:t>m</w:t>
            </w:r>
            <w:r>
              <w:rPr>
                <w:color w:val="auto"/>
                <w:kern w:val="0"/>
                <w:vertAlign w:val="superscript"/>
              </w:rPr>
              <w:t>2</w:t>
            </w:r>
          </w:p>
        </w:tc>
        <w:tc>
          <w:tcPr>
            <w:tcW w:w="554" w:type="pct"/>
            <w:vAlign w:val="top"/>
          </w:tcPr>
          <w:p>
            <w:pPr>
              <w:jc w:val="center"/>
              <w:rPr>
                <w:rFonts w:ascii="Times New Roman" w:hAnsi="Times New Roman" w:eastAsia="宋体" w:cs="Times New Roman"/>
                <w:color w:val="auto"/>
                <w:kern w:val="2"/>
                <w:sz w:val="21"/>
                <w:szCs w:val="24"/>
                <w:lang w:val="en-US" w:eastAsia="zh-CN" w:bidi="ar-SA"/>
              </w:rPr>
            </w:pPr>
            <w:r>
              <w:rPr>
                <w:rFonts w:hint="eastAsia"/>
                <w:color w:val="auto"/>
                <w:szCs w:val="21"/>
              </w:rPr>
              <w:t>1</w:t>
            </w:r>
            <w:r>
              <w:rPr>
                <w:rFonts w:hint="eastAsia"/>
                <w:color w:val="auto"/>
                <w:szCs w:val="21"/>
                <w:lang w:val="en-US" w:eastAsia="zh-CN"/>
              </w:rPr>
              <w:t>00</w:t>
            </w:r>
          </w:p>
        </w:tc>
        <w:tc>
          <w:tcPr>
            <w:tcW w:w="1936" w:type="pct"/>
            <w:vAlign w:val="center"/>
          </w:tcPr>
          <w:p>
            <w:pPr>
              <w:widowControl/>
              <w:jc w:val="center"/>
              <w:rPr>
                <w:rFonts w:hint="eastAsia" w:ascii="Times New Roman" w:hAnsi="Times New Roman" w:eastAsia="宋体" w:cs="Times New Roman"/>
                <w:bCs/>
                <w:color w:val="auto"/>
                <w:kern w:val="0"/>
                <w:sz w:val="21"/>
                <w:szCs w:val="21"/>
                <w:lang w:val="en-US" w:eastAsia="zh-CN" w:bidi="ar-SA"/>
              </w:rPr>
            </w:pPr>
            <w:r>
              <w:rPr>
                <w:bCs/>
                <w:color w:val="auto"/>
                <w:kern w:val="0"/>
              </w:rPr>
              <w:t>1栋</w:t>
            </w:r>
            <w:r>
              <w:rPr>
                <w:color w:val="auto"/>
                <w:kern w:val="0"/>
              </w:rPr>
              <w:t>，依托原有建筑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2112" w:type="pct"/>
            <w:gridSpan w:val="2"/>
            <w:vAlign w:val="center"/>
          </w:tcPr>
          <w:p>
            <w:pPr>
              <w:widowControl/>
              <w:jc w:val="center"/>
              <w:rPr>
                <w:bCs/>
                <w:color w:val="auto"/>
                <w:kern w:val="0"/>
                <w:szCs w:val="21"/>
              </w:rPr>
            </w:pPr>
            <w:r>
              <w:rPr>
                <w:bCs/>
                <w:color w:val="auto"/>
                <w:kern w:val="0"/>
              </w:rPr>
              <w:t>总计（建筑面积）</w:t>
            </w:r>
          </w:p>
        </w:tc>
        <w:tc>
          <w:tcPr>
            <w:tcW w:w="396" w:type="pct"/>
            <w:vAlign w:val="center"/>
          </w:tcPr>
          <w:p>
            <w:pPr>
              <w:widowControl/>
              <w:jc w:val="center"/>
              <w:rPr>
                <w:color w:val="auto"/>
                <w:kern w:val="0"/>
                <w:szCs w:val="21"/>
              </w:rPr>
            </w:pPr>
            <w:r>
              <w:rPr>
                <w:color w:val="auto"/>
                <w:kern w:val="0"/>
              </w:rPr>
              <w:t>m</w:t>
            </w:r>
            <w:r>
              <w:rPr>
                <w:color w:val="auto"/>
                <w:kern w:val="0"/>
                <w:vertAlign w:val="superscript"/>
              </w:rPr>
              <w:t>2</w:t>
            </w:r>
          </w:p>
        </w:tc>
        <w:tc>
          <w:tcPr>
            <w:tcW w:w="554" w:type="pct"/>
            <w:vAlign w:val="center"/>
          </w:tcPr>
          <w:p>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9110</w:t>
            </w:r>
          </w:p>
        </w:tc>
        <w:tc>
          <w:tcPr>
            <w:tcW w:w="1936" w:type="pct"/>
            <w:vAlign w:val="center"/>
          </w:tcPr>
          <w:p>
            <w:pPr>
              <w:widowControl/>
              <w:jc w:val="center"/>
              <w:rPr>
                <w:bCs/>
                <w:color w:val="auto"/>
                <w:kern w:val="0"/>
                <w:szCs w:val="21"/>
              </w:rPr>
            </w:pPr>
            <w:r>
              <w:rPr>
                <w:rFonts w:hint="eastAsia"/>
                <w:bCs/>
                <w:color w:val="auto"/>
                <w:kern w:val="0"/>
                <w:szCs w:val="21"/>
                <w:lang w:val="en-US" w:eastAsia="zh-CN"/>
              </w:rPr>
              <w:t>9</w:t>
            </w:r>
            <w:r>
              <w:rPr>
                <w:bCs/>
                <w:color w:val="auto"/>
                <w:kern w:val="0"/>
                <w:szCs w:val="21"/>
              </w:rPr>
              <w:t>栋</w:t>
            </w:r>
          </w:p>
        </w:tc>
      </w:tr>
      <w:bookmarkEnd w:id="69"/>
    </w:tbl>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3.1.3总平面布置合理性</w:t>
      </w:r>
    </w:p>
    <w:p>
      <w:pPr>
        <w:spacing w:line="360" w:lineRule="auto"/>
        <w:ind w:firstLine="480" w:firstLineChars="200"/>
        <w:rPr>
          <w:color w:val="auto"/>
          <w:sz w:val="24"/>
        </w:rPr>
      </w:pPr>
      <w:bookmarkStart w:id="70" w:name="_Hlk480443431"/>
      <w:r>
        <w:rPr>
          <w:color w:val="auto"/>
          <w:sz w:val="24"/>
        </w:rPr>
        <w:t>本项目利用现有厂</w:t>
      </w:r>
      <w:r>
        <w:rPr>
          <w:rFonts w:hint="eastAsia"/>
          <w:color w:val="auto"/>
          <w:sz w:val="24"/>
          <w:lang w:val="en-US" w:eastAsia="zh-CN"/>
        </w:rPr>
        <w:t>区空地新建</w:t>
      </w:r>
      <w:r>
        <w:rPr>
          <w:color w:val="auto"/>
          <w:sz w:val="24"/>
        </w:rPr>
        <w:t>待宰间、</w:t>
      </w:r>
      <w:r>
        <w:rPr>
          <w:rFonts w:hint="eastAsia"/>
          <w:color w:val="auto"/>
          <w:sz w:val="24"/>
          <w:lang w:val="en-US" w:eastAsia="zh-CN"/>
        </w:rPr>
        <w:t>急宰间、</w:t>
      </w:r>
      <w:r>
        <w:rPr>
          <w:color w:val="auto"/>
          <w:sz w:val="24"/>
        </w:rPr>
        <w:t>屠宰车间、污水处理站等工程。</w:t>
      </w:r>
      <w:r>
        <w:rPr>
          <w:rFonts w:hint="eastAsia"/>
          <w:color w:val="auto"/>
          <w:sz w:val="24"/>
        </w:rPr>
        <w:t>项目用地性质为工业用地，现有厂房设计用途为工业厂房。本项目</w:t>
      </w:r>
      <w:r>
        <w:rPr>
          <w:rFonts w:hint="eastAsia"/>
          <w:color w:val="auto"/>
          <w:sz w:val="24"/>
          <w:lang w:val="en-US" w:eastAsia="zh-CN"/>
        </w:rPr>
        <w:t>急宰间、</w:t>
      </w:r>
      <w:r>
        <w:rPr>
          <w:rFonts w:hint="eastAsia"/>
          <w:color w:val="auto"/>
          <w:sz w:val="24"/>
        </w:rPr>
        <w:t>屠宰车间、污水处理站、待宰间位于厂区</w:t>
      </w:r>
      <w:r>
        <w:rPr>
          <w:rFonts w:hint="eastAsia"/>
          <w:color w:val="auto"/>
          <w:sz w:val="24"/>
          <w:lang w:val="en-US" w:eastAsia="zh-CN"/>
        </w:rPr>
        <w:t>西北</w:t>
      </w:r>
      <w:r>
        <w:rPr>
          <w:rFonts w:hint="eastAsia"/>
          <w:color w:val="auto"/>
          <w:sz w:val="24"/>
        </w:rPr>
        <w:t>侧，下风向不设构筑物</w:t>
      </w:r>
      <w:r>
        <w:rPr>
          <w:color w:val="auto"/>
          <w:sz w:val="24"/>
        </w:rPr>
        <w:t>，可降低恶臭对厂区员工的影响。邻冷库建设，便于产品的冷冻。</w:t>
      </w:r>
      <w:r>
        <w:rPr>
          <w:rFonts w:hint="eastAsia"/>
          <w:color w:val="auto"/>
          <w:sz w:val="24"/>
        </w:rPr>
        <w:t>本项目</w:t>
      </w:r>
      <w:r>
        <w:rPr>
          <w:color w:val="auto"/>
          <w:sz w:val="24"/>
        </w:rPr>
        <w:t>办公区位于场区</w:t>
      </w:r>
      <w:r>
        <w:rPr>
          <w:rFonts w:hint="eastAsia"/>
          <w:color w:val="auto"/>
          <w:sz w:val="24"/>
          <w:lang w:val="en-US" w:eastAsia="zh-CN"/>
        </w:rPr>
        <w:t>东南</w:t>
      </w:r>
      <w:r>
        <w:rPr>
          <w:color w:val="auto"/>
          <w:sz w:val="24"/>
        </w:rPr>
        <w:t>侧，便于进出厂区人员及车辆管理。食堂</w:t>
      </w:r>
      <w:r>
        <w:rPr>
          <w:rFonts w:hint="eastAsia"/>
          <w:color w:val="auto"/>
          <w:sz w:val="24"/>
          <w:lang w:val="en-US" w:eastAsia="zh-CN"/>
        </w:rPr>
        <w:t>位于</w:t>
      </w:r>
      <w:r>
        <w:rPr>
          <w:rFonts w:hint="eastAsia"/>
          <w:color w:val="auto"/>
          <w:sz w:val="24"/>
          <w:lang w:eastAsia="zh-CN"/>
        </w:rPr>
        <w:t>办公楼</w:t>
      </w:r>
      <w:r>
        <w:rPr>
          <w:rFonts w:hint="eastAsia"/>
          <w:color w:val="auto"/>
          <w:sz w:val="24"/>
          <w:lang w:val="en-US" w:eastAsia="zh-CN"/>
        </w:rPr>
        <w:t>内</w:t>
      </w:r>
      <w:r>
        <w:rPr>
          <w:color w:val="auto"/>
          <w:sz w:val="24"/>
        </w:rPr>
        <w:t>建设，便于员工生活。本项目在平面布置上保证各功能区布置相对独立，项目运行过程中通过合理组织功能分区，合理布置工艺车间，合理组织交通运输使物料运输方便快捷，保证生产工艺流程畅通。场区平面布置符合环境保护、安全生产、卫生防疫、绿化与工业企业卫生要求。</w:t>
      </w:r>
    </w:p>
    <w:p>
      <w:pPr>
        <w:spacing w:line="360" w:lineRule="auto"/>
        <w:ind w:firstLine="480" w:firstLineChars="200"/>
        <w:rPr>
          <w:color w:val="auto"/>
          <w:sz w:val="24"/>
        </w:rPr>
      </w:pPr>
      <w:r>
        <w:rPr>
          <w:color w:val="auto"/>
          <w:sz w:val="24"/>
        </w:rPr>
        <w:t>综合以上分析，本项目场区平面布局基本合理。</w:t>
      </w:r>
      <w:bookmarkEnd w:id="70"/>
      <w:r>
        <w:rPr>
          <w:color w:val="auto"/>
          <w:sz w:val="24"/>
        </w:rPr>
        <w:t>具体见附图2。</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3.1.4主要设备</w:t>
      </w:r>
    </w:p>
    <w:p>
      <w:pPr>
        <w:spacing w:line="360" w:lineRule="auto"/>
        <w:ind w:firstLine="480" w:firstLineChars="200"/>
        <w:rPr>
          <w:color w:val="auto"/>
          <w:sz w:val="24"/>
          <w:szCs w:val="21"/>
        </w:rPr>
      </w:pPr>
      <w:r>
        <w:rPr>
          <w:color w:val="auto"/>
          <w:sz w:val="24"/>
          <w:szCs w:val="21"/>
        </w:rPr>
        <w:t>主要设备清单见表3-1-</w:t>
      </w:r>
      <w:r>
        <w:rPr>
          <w:rFonts w:hint="eastAsia"/>
          <w:color w:val="auto"/>
          <w:sz w:val="24"/>
          <w:szCs w:val="21"/>
        </w:rPr>
        <w:t>3</w:t>
      </w:r>
      <w:r>
        <w:rPr>
          <w:color w:val="auto"/>
          <w:sz w:val="24"/>
          <w:szCs w:val="21"/>
        </w:rPr>
        <w:t>。</w:t>
      </w:r>
    </w:p>
    <w:p>
      <w:pPr>
        <w:contextualSpacing/>
        <w:jc w:val="center"/>
        <w:rPr>
          <w:b/>
          <w:color w:val="auto"/>
          <w:sz w:val="24"/>
        </w:rPr>
      </w:pPr>
      <w:r>
        <w:rPr>
          <w:b/>
          <w:color w:val="auto"/>
          <w:sz w:val="24"/>
        </w:rPr>
        <w:t>表3-1-</w:t>
      </w:r>
      <w:r>
        <w:rPr>
          <w:rFonts w:hint="eastAsia"/>
          <w:b/>
          <w:color w:val="auto"/>
          <w:sz w:val="24"/>
        </w:rPr>
        <w:t>3</w:t>
      </w:r>
      <w:r>
        <w:rPr>
          <w:b/>
          <w:color w:val="auto"/>
          <w:sz w:val="24"/>
        </w:rPr>
        <w:t>主要设备清单</w:t>
      </w:r>
    </w:p>
    <w:tbl>
      <w:tblPr>
        <w:tblStyle w:val="4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73"/>
        <w:gridCol w:w="3633"/>
        <w:gridCol w:w="1314"/>
        <w:gridCol w:w="20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hAnsiTheme="minorEastAsia" w:eastAsiaTheme="minorEastAsia"/>
                <w:color w:val="auto"/>
                <w:szCs w:val="21"/>
              </w:rPr>
              <w:t>序号</w:t>
            </w:r>
          </w:p>
        </w:tc>
        <w:tc>
          <w:tcPr>
            <w:tcW w:w="2132" w:type="pct"/>
            <w:vAlign w:val="center"/>
          </w:tcPr>
          <w:p>
            <w:pPr>
              <w:contextualSpacing/>
              <w:jc w:val="center"/>
              <w:rPr>
                <w:rFonts w:eastAsiaTheme="minorEastAsia"/>
                <w:color w:val="auto"/>
                <w:szCs w:val="21"/>
              </w:rPr>
            </w:pPr>
            <w:r>
              <w:rPr>
                <w:rFonts w:hAnsiTheme="minorEastAsia" w:eastAsiaTheme="minorEastAsia"/>
                <w:color w:val="auto"/>
                <w:szCs w:val="21"/>
              </w:rPr>
              <w:t>设备名称</w:t>
            </w:r>
          </w:p>
        </w:tc>
        <w:tc>
          <w:tcPr>
            <w:tcW w:w="771" w:type="pct"/>
            <w:vAlign w:val="center"/>
          </w:tcPr>
          <w:p>
            <w:pPr>
              <w:contextualSpacing/>
              <w:jc w:val="center"/>
              <w:rPr>
                <w:rFonts w:eastAsiaTheme="minorEastAsia"/>
                <w:color w:val="auto"/>
                <w:szCs w:val="21"/>
              </w:rPr>
            </w:pPr>
            <w:r>
              <w:rPr>
                <w:rFonts w:hAnsiTheme="minorEastAsia" w:eastAsiaTheme="minorEastAsia"/>
                <w:color w:val="auto"/>
                <w:szCs w:val="21"/>
              </w:rPr>
              <w:t>单位</w:t>
            </w:r>
          </w:p>
        </w:tc>
        <w:tc>
          <w:tcPr>
            <w:tcW w:w="1230" w:type="pct"/>
            <w:vAlign w:val="center"/>
          </w:tcPr>
          <w:p>
            <w:pPr>
              <w:contextualSpacing/>
              <w:jc w:val="center"/>
              <w:rPr>
                <w:rFonts w:eastAsiaTheme="minorEastAsia"/>
                <w:color w:val="auto"/>
                <w:szCs w:val="21"/>
              </w:rPr>
            </w:pPr>
            <w:r>
              <w:rPr>
                <w:rFonts w:hAnsiTheme="minorEastAsia" w:eastAsiaTheme="minorEastAsia"/>
                <w:color w:val="auto"/>
                <w:szCs w:val="21"/>
              </w:rPr>
              <w:t>全厂数量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5000" w:type="pct"/>
            <w:gridSpan w:val="4"/>
            <w:vAlign w:val="center"/>
          </w:tcPr>
          <w:p>
            <w:pPr>
              <w:contextualSpacing/>
              <w:jc w:val="center"/>
              <w:rPr>
                <w:rFonts w:hAnsiTheme="minorEastAsia" w:eastAsiaTheme="minorEastAsia"/>
                <w:color w:val="auto"/>
                <w:szCs w:val="21"/>
              </w:rPr>
            </w:pPr>
            <w:r>
              <w:rPr>
                <w:rFonts w:hAnsiTheme="minorEastAsia" w:eastAsiaTheme="minorEastAsia"/>
                <w:color w:val="auto"/>
                <w:szCs w:val="21"/>
              </w:rPr>
              <w:t>屠宰车间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eastAsiaTheme="minorEastAsia"/>
                <w:color w:val="auto"/>
                <w:szCs w:val="21"/>
              </w:rPr>
              <w:t>1</w:t>
            </w:r>
          </w:p>
        </w:tc>
        <w:tc>
          <w:tcPr>
            <w:tcW w:w="2132" w:type="pct"/>
            <w:vAlign w:val="center"/>
          </w:tcPr>
          <w:p>
            <w:pPr>
              <w:contextualSpacing/>
              <w:jc w:val="center"/>
              <w:rPr>
                <w:rFonts w:eastAsiaTheme="minorEastAsia"/>
                <w:color w:val="auto"/>
                <w:szCs w:val="21"/>
              </w:rPr>
            </w:pPr>
            <w:r>
              <w:rPr>
                <w:rFonts w:eastAsiaTheme="minorEastAsia"/>
                <w:color w:val="auto"/>
                <w:szCs w:val="21"/>
              </w:rPr>
              <w:t>牵牛机</w:t>
            </w:r>
          </w:p>
        </w:tc>
        <w:tc>
          <w:tcPr>
            <w:tcW w:w="771" w:type="pct"/>
            <w:vAlign w:val="center"/>
          </w:tcPr>
          <w:p>
            <w:pPr>
              <w:contextualSpacing/>
              <w:jc w:val="center"/>
              <w:rPr>
                <w:rFonts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eastAsiaTheme="minorEastAsia"/>
                <w:color w:val="auto"/>
                <w:szCs w:val="21"/>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eastAsiaTheme="minorEastAsia"/>
                <w:color w:val="auto"/>
                <w:szCs w:val="21"/>
              </w:rPr>
              <w:t>2</w:t>
            </w:r>
          </w:p>
        </w:tc>
        <w:tc>
          <w:tcPr>
            <w:tcW w:w="2132" w:type="pct"/>
            <w:vAlign w:val="center"/>
          </w:tcPr>
          <w:p>
            <w:pPr>
              <w:contextualSpacing/>
              <w:jc w:val="center"/>
              <w:rPr>
                <w:rFonts w:hint="eastAsia" w:eastAsiaTheme="minorEastAsia"/>
                <w:color w:val="auto"/>
                <w:szCs w:val="21"/>
                <w:lang w:val="en-US" w:eastAsia="zh-CN"/>
              </w:rPr>
            </w:pPr>
            <w:r>
              <w:rPr>
                <w:rFonts w:hint="eastAsia" w:eastAsiaTheme="minorEastAsia"/>
                <w:color w:val="auto"/>
                <w:szCs w:val="21"/>
              </w:rPr>
              <w:t>翻板</w:t>
            </w:r>
            <w:r>
              <w:rPr>
                <w:rFonts w:hint="eastAsia" w:eastAsiaTheme="minorEastAsia"/>
                <w:color w:val="auto"/>
                <w:szCs w:val="21"/>
                <w:lang w:val="en-US" w:eastAsia="zh-CN"/>
              </w:rPr>
              <w:t>机</w:t>
            </w:r>
          </w:p>
        </w:tc>
        <w:tc>
          <w:tcPr>
            <w:tcW w:w="771" w:type="pct"/>
            <w:vAlign w:val="center"/>
          </w:tcPr>
          <w:p>
            <w:pPr>
              <w:contextualSpacing/>
              <w:jc w:val="center"/>
              <w:rPr>
                <w:rFonts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eastAsiaTheme="minorEastAsia"/>
                <w:color w:val="auto"/>
                <w:szCs w:val="21"/>
              </w:rPr>
            </w:pPr>
            <w:r>
              <w:rPr>
                <w:rFonts w:hint="eastAsia"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eastAsiaTheme="minorEastAsia"/>
                <w:color w:val="auto"/>
                <w:szCs w:val="21"/>
              </w:rPr>
              <w:t>3</w:t>
            </w:r>
          </w:p>
        </w:tc>
        <w:tc>
          <w:tcPr>
            <w:tcW w:w="2132" w:type="pct"/>
            <w:vAlign w:val="center"/>
          </w:tcPr>
          <w:p>
            <w:pPr>
              <w:contextualSpacing/>
              <w:jc w:val="center"/>
              <w:rPr>
                <w:rFonts w:hint="eastAsia" w:eastAsiaTheme="minorEastAsia"/>
                <w:color w:val="auto"/>
                <w:szCs w:val="21"/>
                <w:lang w:val="en-US" w:eastAsia="zh-CN"/>
              </w:rPr>
            </w:pPr>
            <w:r>
              <w:rPr>
                <w:rFonts w:hint="eastAsia" w:eastAsiaTheme="minorEastAsia"/>
                <w:color w:val="auto"/>
                <w:szCs w:val="21"/>
                <w:lang w:val="en-US" w:eastAsia="zh-CN"/>
              </w:rPr>
              <w:t>洗牛机</w:t>
            </w:r>
          </w:p>
        </w:tc>
        <w:tc>
          <w:tcPr>
            <w:tcW w:w="771" w:type="pct"/>
            <w:vAlign w:val="center"/>
          </w:tcPr>
          <w:p>
            <w:pPr>
              <w:contextualSpacing/>
              <w:jc w:val="center"/>
              <w:rPr>
                <w:rFonts w:hint="eastAsia" w:eastAsiaTheme="minorEastAsia"/>
                <w:color w:val="auto"/>
                <w:szCs w:val="21"/>
                <w:lang w:val="en-US" w:eastAsia="zh-CN"/>
              </w:rPr>
            </w:pPr>
            <w:r>
              <w:rPr>
                <w:rFonts w:hint="eastAsia" w:eastAsiaTheme="minorEastAsia"/>
                <w:color w:val="auto"/>
                <w:szCs w:val="21"/>
                <w:lang w:val="en-US" w:eastAsia="zh-CN"/>
              </w:rPr>
              <w:t>台</w:t>
            </w:r>
          </w:p>
        </w:tc>
        <w:tc>
          <w:tcPr>
            <w:tcW w:w="1230" w:type="pct"/>
            <w:vAlign w:val="center"/>
          </w:tcPr>
          <w:p>
            <w:pPr>
              <w:contextualSpacing/>
              <w:jc w:val="center"/>
              <w:rPr>
                <w:rFonts w:eastAsiaTheme="minorEastAsia"/>
                <w:color w:val="auto"/>
                <w:szCs w:val="21"/>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eastAsiaTheme="minorEastAsia"/>
                <w:color w:val="auto"/>
                <w:szCs w:val="21"/>
              </w:rPr>
              <w:t>4</w:t>
            </w:r>
          </w:p>
        </w:tc>
        <w:tc>
          <w:tcPr>
            <w:tcW w:w="2132" w:type="pct"/>
            <w:vAlign w:val="center"/>
          </w:tcPr>
          <w:p>
            <w:pPr>
              <w:contextualSpacing/>
              <w:jc w:val="center"/>
              <w:rPr>
                <w:rFonts w:hint="eastAsia" w:eastAsiaTheme="minorEastAsia"/>
                <w:color w:val="auto"/>
                <w:szCs w:val="21"/>
                <w:lang w:val="en-US" w:eastAsia="zh-CN"/>
              </w:rPr>
            </w:pPr>
            <w:r>
              <w:rPr>
                <w:rFonts w:hint="eastAsia" w:eastAsiaTheme="minorEastAsia"/>
                <w:color w:val="auto"/>
                <w:szCs w:val="21"/>
                <w:lang w:val="en-US" w:eastAsia="zh-CN"/>
              </w:rPr>
              <w:t>击晕机</w:t>
            </w:r>
          </w:p>
        </w:tc>
        <w:tc>
          <w:tcPr>
            <w:tcW w:w="771" w:type="pct"/>
            <w:vAlign w:val="center"/>
          </w:tcPr>
          <w:p>
            <w:pPr>
              <w:contextualSpacing/>
              <w:jc w:val="center"/>
              <w:rPr>
                <w:rFonts w:eastAsiaTheme="minorEastAsia"/>
                <w:color w:val="FF0000"/>
                <w:szCs w:val="21"/>
              </w:rPr>
            </w:pPr>
            <w:r>
              <w:rPr>
                <w:rFonts w:hint="eastAsia" w:eastAsiaTheme="minorEastAsia"/>
                <w:color w:val="auto"/>
                <w:szCs w:val="21"/>
                <w:lang w:val="en-US" w:eastAsia="zh-CN"/>
              </w:rPr>
              <w:t>台</w:t>
            </w:r>
          </w:p>
        </w:tc>
        <w:tc>
          <w:tcPr>
            <w:tcW w:w="1230" w:type="pct"/>
            <w:vAlign w:val="center"/>
          </w:tcPr>
          <w:p>
            <w:pPr>
              <w:contextualSpacing/>
              <w:jc w:val="center"/>
              <w:rPr>
                <w:rFonts w:eastAsiaTheme="minorEastAsia"/>
                <w:color w:val="FF0000"/>
                <w:szCs w:val="21"/>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eastAsiaTheme="minorEastAsia"/>
                <w:color w:val="auto"/>
                <w:szCs w:val="21"/>
              </w:rPr>
              <w:t>5</w:t>
            </w:r>
          </w:p>
        </w:tc>
        <w:tc>
          <w:tcPr>
            <w:tcW w:w="2132" w:type="pct"/>
            <w:vAlign w:val="center"/>
          </w:tcPr>
          <w:p>
            <w:pPr>
              <w:contextualSpacing/>
              <w:jc w:val="center"/>
              <w:rPr>
                <w:rFonts w:eastAsiaTheme="minorEastAsia"/>
                <w:color w:val="auto"/>
                <w:szCs w:val="21"/>
              </w:rPr>
            </w:pPr>
            <w:r>
              <w:rPr>
                <w:rFonts w:hint="eastAsia" w:eastAsiaTheme="minorEastAsia"/>
                <w:color w:val="auto"/>
                <w:szCs w:val="21"/>
              </w:rPr>
              <w:t>毛牛提升机</w:t>
            </w:r>
          </w:p>
        </w:tc>
        <w:tc>
          <w:tcPr>
            <w:tcW w:w="771" w:type="pct"/>
            <w:vAlign w:val="center"/>
          </w:tcPr>
          <w:p>
            <w:pPr>
              <w:contextualSpacing/>
              <w:jc w:val="center"/>
              <w:rPr>
                <w:rFonts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eastAsiaTheme="minorEastAsia"/>
                <w:color w:val="auto"/>
                <w:szCs w:val="21"/>
              </w:rPr>
            </w:pPr>
            <w:r>
              <w:rPr>
                <w:rFonts w:hint="eastAsia"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eastAsiaTheme="minorEastAsia"/>
                <w:color w:val="auto"/>
                <w:szCs w:val="21"/>
              </w:rPr>
              <w:t>6</w:t>
            </w:r>
          </w:p>
        </w:tc>
        <w:tc>
          <w:tcPr>
            <w:tcW w:w="2132"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放血传送带</w:t>
            </w:r>
          </w:p>
        </w:tc>
        <w:tc>
          <w:tcPr>
            <w:tcW w:w="771" w:type="pct"/>
            <w:vAlign w:val="center"/>
          </w:tcPr>
          <w:p>
            <w:pPr>
              <w:contextualSpacing/>
              <w:jc w:val="center"/>
              <w:rPr>
                <w:rFonts w:hint="eastAsia" w:eastAsiaTheme="minorEastAsia"/>
                <w:color w:val="auto"/>
                <w:szCs w:val="21"/>
                <w:lang w:eastAsia="zh-CN"/>
              </w:rPr>
            </w:pPr>
            <w:r>
              <w:rPr>
                <w:rFonts w:hint="eastAsia" w:hAnsiTheme="minorEastAsia" w:eastAsiaTheme="minorEastAsia"/>
                <w:color w:val="auto"/>
                <w:szCs w:val="21"/>
                <w:lang w:val="en-US" w:eastAsia="zh-CN"/>
              </w:rPr>
              <w:t>台</w:t>
            </w:r>
          </w:p>
        </w:tc>
        <w:tc>
          <w:tcPr>
            <w:tcW w:w="1230" w:type="pct"/>
            <w:vAlign w:val="center"/>
          </w:tcPr>
          <w:p>
            <w:pPr>
              <w:contextualSpacing/>
              <w:jc w:val="center"/>
              <w:rPr>
                <w:rFonts w:hint="eastAsia" w:eastAsiaTheme="minorEastAsia"/>
                <w:color w:val="auto"/>
                <w:szCs w:val="21"/>
                <w:lang w:eastAsia="zh-CN"/>
              </w:rPr>
            </w:pPr>
            <w:r>
              <w:rPr>
                <w:rFonts w:hint="eastAsia" w:eastAsiaTheme="minorEastAsia"/>
                <w:color w:val="auto"/>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eastAsiaTheme="minorEastAsia"/>
                <w:color w:val="auto"/>
                <w:szCs w:val="21"/>
              </w:rPr>
              <w:t>7</w:t>
            </w:r>
          </w:p>
        </w:tc>
        <w:tc>
          <w:tcPr>
            <w:tcW w:w="2132"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集血泵</w:t>
            </w:r>
          </w:p>
        </w:tc>
        <w:tc>
          <w:tcPr>
            <w:tcW w:w="771" w:type="pct"/>
            <w:vAlign w:val="center"/>
          </w:tcPr>
          <w:p>
            <w:pPr>
              <w:contextualSpacing/>
              <w:jc w:val="center"/>
              <w:rPr>
                <w:rFonts w:hint="eastAsia" w:eastAsiaTheme="minorEastAsia"/>
                <w:color w:val="auto"/>
                <w:szCs w:val="21"/>
                <w:lang w:eastAsia="zh-CN"/>
              </w:rPr>
            </w:pPr>
            <w:r>
              <w:rPr>
                <w:rFonts w:hint="eastAsia" w:hAnsiTheme="minorEastAsia" w:eastAsiaTheme="minorEastAsia"/>
                <w:color w:val="auto"/>
                <w:szCs w:val="21"/>
                <w:lang w:val="en-US" w:eastAsia="zh-CN"/>
              </w:rPr>
              <w:t>台</w:t>
            </w:r>
          </w:p>
        </w:tc>
        <w:tc>
          <w:tcPr>
            <w:tcW w:w="1230" w:type="pct"/>
            <w:vAlign w:val="center"/>
          </w:tcPr>
          <w:p>
            <w:pPr>
              <w:contextualSpacing/>
              <w:jc w:val="center"/>
              <w:rPr>
                <w:rFonts w:hint="eastAsia" w:eastAsiaTheme="minorEastAsia"/>
                <w:color w:val="auto"/>
                <w:szCs w:val="21"/>
                <w:lang w:eastAsia="zh-CN"/>
              </w:rPr>
            </w:pPr>
            <w:r>
              <w:rPr>
                <w:rFonts w:hint="eastAsia" w:eastAsiaTheme="minorEastAsia"/>
                <w:color w:val="auto"/>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eastAsiaTheme="minorEastAsia"/>
                <w:color w:val="auto"/>
                <w:szCs w:val="21"/>
              </w:rPr>
              <w:t>8</w:t>
            </w:r>
          </w:p>
        </w:tc>
        <w:tc>
          <w:tcPr>
            <w:tcW w:w="2132" w:type="pct"/>
            <w:vAlign w:val="center"/>
          </w:tcPr>
          <w:p>
            <w:pPr>
              <w:contextualSpacing/>
              <w:jc w:val="center"/>
              <w:rPr>
                <w:rFonts w:hint="eastAsia" w:eastAsiaTheme="minorEastAsia"/>
                <w:color w:val="auto"/>
                <w:szCs w:val="21"/>
                <w:lang w:eastAsia="zh-CN"/>
              </w:rPr>
            </w:pPr>
            <w:r>
              <w:rPr>
                <w:rFonts w:hint="eastAsia" w:eastAsiaTheme="minorEastAsia"/>
                <w:color w:val="auto"/>
                <w:szCs w:val="21"/>
                <w:lang w:val="en-US" w:eastAsia="zh-CN"/>
              </w:rPr>
              <w:t>血罐</w:t>
            </w:r>
          </w:p>
        </w:tc>
        <w:tc>
          <w:tcPr>
            <w:tcW w:w="771" w:type="pct"/>
            <w:vAlign w:val="center"/>
          </w:tcPr>
          <w:p>
            <w:pPr>
              <w:contextualSpacing/>
              <w:jc w:val="center"/>
              <w:rPr>
                <w:rFonts w:hint="eastAsia" w:eastAsiaTheme="minorEastAsia"/>
                <w:color w:val="auto"/>
                <w:szCs w:val="21"/>
                <w:lang w:eastAsia="zh-CN"/>
              </w:rPr>
            </w:pPr>
            <w:r>
              <w:rPr>
                <w:rFonts w:hint="eastAsia" w:hAnsiTheme="minorEastAsia" w:eastAsiaTheme="minorEastAsia"/>
                <w:color w:val="auto"/>
                <w:szCs w:val="21"/>
                <w:lang w:val="en-US" w:eastAsia="zh-CN"/>
              </w:rPr>
              <w:t>台</w:t>
            </w:r>
          </w:p>
        </w:tc>
        <w:tc>
          <w:tcPr>
            <w:tcW w:w="1230" w:type="pct"/>
            <w:vAlign w:val="center"/>
          </w:tcPr>
          <w:p>
            <w:pPr>
              <w:contextualSpacing/>
              <w:jc w:val="center"/>
              <w:rPr>
                <w:rFonts w:hint="eastAsia" w:eastAsiaTheme="minorEastAsia"/>
                <w:color w:val="auto"/>
                <w:szCs w:val="21"/>
                <w:lang w:eastAsia="zh-CN"/>
              </w:rPr>
            </w:pPr>
            <w:r>
              <w:rPr>
                <w:rFonts w:hint="eastAsia" w:eastAsiaTheme="minorEastAsia"/>
                <w:color w:val="auto"/>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eastAsiaTheme="minorEastAsia"/>
                <w:color w:val="auto"/>
                <w:szCs w:val="21"/>
              </w:rPr>
              <w:t>9</w:t>
            </w:r>
          </w:p>
        </w:tc>
        <w:tc>
          <w:tcPr>
            <w:tcW w:w="2132" w:type="pct"/>
            <w:vAlign w:val="center"/>
          </w:tcPr>
          <w:p>
            <w:pPr>
              <w:contextualSpacing/>
              <w:jc w:val="center"/>
              <w:rPr>
                <w:rFonts w:hint="eastAsia" w:eastAsiaTheme="minorEastAsia"/>
                <w:color w:val="auto"/>
                <w:szCs w:val="21"/>
                <w:lang w:eastAsia="zh-CN"/>
              </w:rPr>
            </w:pPr>
            <w:r>
              <w:rPr>
                <w:rFonts w:hint="eastAsia" w:eastAsiaTheme="minorEastAsia"/>
                <w:color w:val="auto"/>
                <w:szCs w:val="21"/>
                <w:lang w:val="en-US" w:eastAsia="zh-CN"/>
              </w:rPr>
              <w:t>剥皮机</w:t>
            </w:r>
          </w:p>
        </w:tc>
        <w:tc>
          <w:tcPr>
            <w:tcW w:w="771" w:type="pct"/>
            <w:vAlign w:val="center"/>
          </w:tcPr>
          <w:p>
            <w:pPr>
              <w:contextualSpacing/>
              <w:jc w:val="center"/>
              <w:rPr>
                <w:rFonts w:hint="eastAsia" w:eastAsiaTheme="minorEastAsia"/>
                <w:color w:val="auto"/>
                <w:szCs w:val="21"/>
                <w:lang w:eastAsia="zh-CN"/>
              </w:rPr>
            </w:pPr>
            <w:r>
              <w:rPr>
                <w:rFonts w:hint="eastAsia" w:hAnsiTheme="minorEastAsia" w:eastAsiaTheme="minorEastAsia"/>
                <w:color w:val="auto"/>
                <w:szCs w:val="21"/>
                <w:lang w:val="en-US" w:eastAsia="zh-CN"/>
              </w:rPr>
              <w:t>台</w:t>
            </w:r>
          </w:p>
        </w:tc>
        <w:tc>
          <w:tcPr>
            <w:tcW w:w="1230" w:type="pct"/>
            <w:vAlign w:val="center"/>
          </w:tcPr>
          <w:p>
            <w:pPr>
              <w:contextualSpacing/>
              <w:jc w:val="center"/>
              <w:rPr>
                <w:rFonts w:eastAsiaTheme="minorEastAsia"/>
                <w:color w:val="auto"/>
                <w:szCs w:val="21"/>
              </w:rPr>
            </w:pPr>
            <w:r>
              <w:rPr>
                <w:rFonts w:hint="eastAsia"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eastAsiaTheme="minorEastAsia"/>
                <w:color w:val="auto"/>
                <w:szCs w:val="21"/>
              </w:rPr>
              <w:t>10</w:t>
            </w:r>
          </w:p>
        </w:tc>
        <w:tc>
          <w:tcPr>
            <w:tcW w:w="2132" w:type="pct"/>
            <w:vAlign w:val="center"/>
          </w:tcPr>
          <w:p>
            <w:pPr>
              <w:contextualSpacing/>
              <w:jc w:val="center"/>
              <w:rPr>
                <w:rFonts w:hint="eastAsia" w:eastAsiaTheme="minorEastAsia"/>
                <w:color w:val="auto"/>
                <w:szCs w:val="21"/>
                <w:lang w:val="en-US" w:eastAsia="zh-CN"/>
              </w:rPr>
            </w:pPr>
            <w:r>
              <w:rPr>
                <w:rFonts w:hint="eastAsia" w:eastAsiaTheme="minorEastAsia"/>
                <w:color w:val="auto"/>
                <w:szCs w:val="21"/>
                <w:lang w:val="en-US" w:eastAsia="zh-CN"/>
              </w:rPr>
              <w:t>剥皮线</w:t>
            </w:r>
          </w:p>
        </w:tc>
        <w:tc>
          <w:tcPr>
            <w:tcW w:w="771" w:type="pct"/>
            <w:vAlign w:val="center"/>
          </w:tcPr>
          <w:p>
            <w:pPr>
              <w:contextualSpacing/>
              <w:jc w:val="center"/>
              <w:rPr>
                <w:rFonts w:hint="eastAsia" w:eastAsiaTheme="minorEastAsia"/>
                <w:color w:val="auto"/>
                <w:szCs w:val="21"/>
                <w:lang w:val="en-US" w:eastAsia="zh-CN"/>
              </w:rPr>
            </w:pPr>
            <w:r>
              <w:rPr>
                <w:rFonts w:hint="eastAsia" w:eastAsiaTheme="minorEastAsia"/>
                <w:color w:val="auto"/>
                <w:szCs w:val="21"/>
                <w:lang w:val="en-US" w:eastAsia="zh-CN"/>
              </w:rPr>
              <w:t>台</w:t>
            </w:r>
          </w:p>
        </w:tc>
        <w:tc>
          <w:tcPr>
            <w:tcW w:w="1230" w:type="pct"/>
            <w:vAlign w:val="center"/>
          </w:tcPr>
          <w:p>
            <w:pPr>
              <w:contextualSpacing/>
              <w:jc w:val="center"/>
              <w:rPr>
                <w:rFonts w:eastAsiaTheme="minorEastAsia"/>
                <w:color w:val="auto"/>
                <w:szCs w:val="21"/>
              </w:rPr>
            </w:pPr>
            <w:r>
              <w:rPr>
                <w:rFonts w:hint="eastAsia"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eastAsiaTheme="minorEastAsia"/>
                <w:color w:val="auto"/>
                <w:szCs w:val="21"/>
              </w:rPr>
              <w:t>11</w:t>
            </w:r>
          </w:p>
        </w:tc>
        <w:tc>
          <w:tcPr>
            <w:tcW w:w="2132"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切角电锯</w:t>
            </w:r>
          </w:p>
        </w:tc>
        <w:tc>
          <w:tcPr>
            <w:tcW w:w="771" w:type="pct"/>
            <w:vAlign w:val="center"/>
          </w:tcPr>
          <w:p>
            <w:pPr>
              <w:contextualSpacing/>
              <w:jc w:val="center"/>
              <w:rPr>
                <w:rFonts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eastAsiaTheme="minorEastAsia"/>
                <w:color w:val="auto"/>
                <w:szCs w:val="21"/>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ascii="Times New Roman" w:hAnsi="Times New Roman" w:cs="Times New Roman" w:eastAsiaTheme="minorEastAsia"/>
                <w:color w:val="auto"/>
                <w:kern w:val="2"/>
                <w:sz w:val="21"/>
                <w:szCs w:val="21"/>
                <w:lang w:val="en-US" w:eastAsia="zh-CN" w:bidi="ar-SA"/>
              </w:rPr>
            </w:pPr>
            <w:r>
              <w:rPr>
                <w:rFonts w:eastAsiaTheme="minorEastAsia"/>
                <w:color w:val="auto"/>
                <w:szCs w:val="21"/>
              </w:rPr>
              <w:t>12</w:t>
            </w:r>
          </w:p>
        </w:tc>
        <w:tc>
          <w:tcPr>
            <w:tcW w:w="2132" w:type="pct"/>
            <w:vAlign w:val="center"/>
          </w:tcPr>
          <w:p>
            <w:pPr>
              <w:contextualSpacing/>
              <w:jc w:val="center"/>
              <w:rPr>
                <w:rFonts w:hint="eastAsia" w:eastAsiaTheme="minorEastAsia"/>
                <w:color w:val="auto"/>
                <w:szCs w:val="21"/>
                <w:lang w:val="en-US" w:eastAsia="zh-CN"/>
              </w:rPr>
            </w:pPr>
            <w:r>
              <w:rPr>
                <w:rFonts w:hint="eastAsia" w:eastAsiaTheme="minorEastAsia"/>
                <w:color w:val="auto"/>
                <w:szCs w:val="21"/>
                <w:lang w:val="en-US" w:eastAsia="zh-CN"/>
              </w:rPr>
              <w:t>开胸电锯</w:t>
            </w:r>
          </w:p>
        </w:tc>
        <w:tc>
          <w:tcPr>
            <w:tcW w:w="771" w:type="pct"/>
            <w:vAlign w:val="center"/>
          </w:tcPr>
          <w:p>
            <w:pPr>
              <w:contextualSpacing/>
              <w:jc w:val="center"/>
              <w:rPr>
                <w:rFonts w:hint="eastAsia" w:hAnsiTheme="minorEastAsia" w:eastAsiaTheme="minorEastAsia"/>
                <w:color w:val="FF0000"/>
                <w:szCs w:val="21"/>
              </w:rPr>
            </w:pPr>
            <w:r>
              <w:rPr>
                <w:rFonts w:hint="eastAsia" w:hAnsiTheme="minorEastAsia" w:eastAsiaTheme="minorEastAsia"/>
                <w:color w:val="auto"/>
                <w:szCs w:val="21"/>
              </w:rPr>
              <w:t>台</w:t>
            </w:r>
          </w:p>
        </w:tc>
        <w:tc>
          <w:tcPr>
            <w:tcW w:w="1230" w:type="pct"/>
            <w:vAlign w:val="center"/>
          </w:tcPr>
          <w:p>
            <w:pPr>
              <w:contextualSpacing/>
              <w:jc w:val="center"/>
              <w:rPr>
                <w:rFonts w:eastAsiaTheme="minorEastAsia"/>
                <w:color w:val="FF0000"/>
                <w:szCs w:val="21"/>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ascii="Times New Roman" w:hAnsi="Times New Roman" w:cs="Times New Roman" w:eastAsiaTheme="minorEastAsia"/>
                <w:color w:val="auto"/>
                <w:kern w:val="2"/>
                <w:sz w:val="21"/>
                <w:szCs w:val="21"/>
                <w:lang w:val="en-US" w:eastAsia="zh-CN" w:bidi="ar-SA"/>
              </w:rPr>
            </w:pPr>
            <w:r>
              <w:rPr>
                <w:rFonts w:eastAsiaTheme="minorEastAsia"/>
                <w:color w:val="auto"/>
                <w:szCs w:val="21"/>
              </w:rPr>
              <w:t>13</w:t>
            </w:r>
          </w:p>
        </w:tc>
        <w:tc>
          <w:tcPr>
            <w:tcW w:w="2132"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开胸升降台</w:t>
            </w:r>
          </w:p>
        </w:tc>
        <w:tc>
          <w:tcPr>
            <w:tcW w:w="771" w:type="pct"/>
            <w:vAlign w:val="center"/>
          </w:tcPr>
          <w:p>
            <w:pPr>
              <w:contextualSpacing/>
              <w:jc w:val="center"/>
              <w:rPr>
                <w:rFonts w:hint="eastAsia" w:hAnsiTheme="minorEastAsia"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eastAsiaTheme="minorEastAsia"/>
                <w:color w:val="FF0000"/>
                <w:szCs w:val="21"/>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eastAsia" w:ascii="Times New Roman" w:hAnsi="Times New Roman" w:cs="Times New Roman" w:eastAsiaTheme="minorEastAsia"/>
                <w:color w:val="auto"/>
                <w:kern w:val="2"/>
                <w:sz w:val="21"/>
                <w:szCs w:val="21"/>
                <w:lang w:val="en-US" w:eastAsia="zh-CN" w:bidi="ar-SA"/>
              </w:rPr>
            </w:pPr>
            <w:r>
              <w:rPr>
                <w:rFonts w:hint="eastAsia" w:eastAsiaTheme="minorEastAsia"/>
                <w:color w:val="auto"/>
                <w:szCs w:val="21"/>
              </w:rPr>
              <w:t>14</w:t>
            </w:r>
          </w:p>
        </w:tc>
        <w:tc>
          <w:tcPr>
            <w:tcW w:w="2132" w:type="pct"/>
            <w:vAlign w:val="center"/>
          </w:tcPr>
          <w:p>
            <w:pPr>
              <w:contextualSpacing/>
              <w:jc w:val="center"/>
              <w:rPr>
                <w:rFonts w:hint="eastAsia" w:eastAsiaTheme="minorEastAsia"/>
                <w:color w:val="auto"/>
                <w:szCs w:val="21"/>
                <w:lang w:val="en-US" w:eastAsia="zh-CN"/>
              </w:rPr>
            </w:pPr>
            <w:r>
              <w:rPr>
                <w:rFonts w:hint="eastAsia" w:eastAsiaTheme="minorEastAsia"/>
                <w:color w:val="auto"/>
                <w:szCs w:val="21"/>
                <w:lang w:val="en-US" w:eastAsia="zh-CN"/>
              </w:rPr>
              <w:t>劈半机</w:t>
            </w:r>
          </w:p>
        </w:tc>
        <w:tc>
          <w:tcPr>
            <w:tcW w:w="771" w:type="pct"/>
            <w:vAlign w:val="center"/>
          </w:tcPr>
          <w:p>
            <w:pPr>
              <w:contextualSpacing/>
              <w:jc w:val="center"/>
              <w:rPr>
                <w:rFonts w:hint="default" w:hAnsiTheme="minorEastAsia" w:eastAsiaTheme="minorEastAsia"/>
                <w:color w:val="auto"/>
                <w:szCs w:val="21"/>
                <w:lang w:val="en-US"/>
              </w:rPr>
            </w:pPr>
            <w:r>
              <w:rPr>
                <w:rFonts w:hint="eastAsia" w:hAnsiTheme="minorEastAsia" w:eastAsiaTheme="minorEastAsia"/>
                <w:color w:val="auto"/>
                <w:szCs w:val="21"/>
              </w:rPr>
              <w:t>台</w:t>
            </w:r>
          </w:p>
        </w:tc>
        <w:tc>
          <w:tcPr>
            <w:tcW w:w="1230" w:type="pct"/>
            <w:vAlign w:val="center"/>
          </w:tcPr>
          <w:p>
            <w:pPr>
              <w:contextualSpacing/>
              <w:jc w:val="center"/>
              <w:rPr>
                <w:rFonts w:hint="default" w:eastAsiaTheme="minorEastAsia"/>
                <w:color w:val="FF0000"/>
                <w:szCs w:val="21"/>
                <w:lang w:val="en-US"/>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eastAsia" w:ascii="Times New Roman" w:hAnsi="Times New Roman" w:cs="Times New Roman" w:eastAsiaTheme="minorEastAsia"/>
                <w:color w:val="auto"/>
                <w:kern w:val="2"/>
                <w:sz w:val="21"/>
                <w:szCs w:val="21"/>
                <w:lang w:val="en-US" w:eastAsia="zh-CN" w:bidi="ar-SA"/>
              </w:rPr>
            </w:pPr>
            <w:r>
              <w:rPr>
                <w:rFonts w:hint="eastAsia" w:eastAsiaTheme="minorEastAsia"/>
                <w:color w:val="auto"/>
                <w:szCs w:val="21"/>
              </w:rPr>
              <w:t>15</w:t>
            </w:r>
          </w:p>
        </w:tc>
        <w:tc>
          <w:tcPr>
            <w:tcW w:w="2132" w:type="pct"/>
            <w:vAlign w:val="center"/>
          </w:tcPr>
          <w:p>
            <w:pPr>
              <w:contextualSpacing/>
              <w:jc w:val="center"/>
              <w:rPr>
                <w:rFonts w:hint="eastAsia" w:eastAsiaTheme="minorEastAsia"/>
                <w:color w:val="auto"/>
                <w:szCs w:val="21"/>
                <w:lang w:val="en-US" w:eastAsia="zh-CN"/>
              </w:rPr>
            </w:pPr>
            <w:r>
              <w:rPr>
                <w:rFonts w:hint="eastAsia" w:eastAsiaTheme="minorEastAsia"/>
                <w:color w:val="auto"/>
                <w:szCs w:val="21"/>
                <w:lang w:val="en-US" w:eastAsia="zh-CN"/>
              </w:rPr>
              <w:t>劈半升降台</w:t>
            </w:r>
          </w:p>
        </w:tc>
        <w:tc>
          <w:tcPr>
            <w:tcW w:w="771" w:type="pct"/>
            <w:vAlign w:val="center"/>
          </w:tcPr>
          <w:p>
            <w:pPr>
              <w:contextualSpacing/>
              <w:jc w:val="center"/>
              <w:rPr>
                <w:rFonts w:hint="default" w:hAnsiTheme="minorEastAsia" w:eastAsiaTheme="minorEastAsia"/>
                <w:color w:val="auto"/>
                <w:szCs w:val="21"/>
                <w:lang w:val="en-US"/>
              </w:rPr>
            </w:pPr>
            <w:r>
              <w:rPr>
                <w:rFonts w:hint="eastAsia" w:hAnsiTheme="minorEastAsia" w:eastAsiaTheme="minorEastAsia"/>
                <w:color w:val="auto"/>
                <w:szCs w:val="21"/>
              </w:rPr>
              <w:t>台</w:t>
            </w:r>
          </w:p>
        </w:tc>
        <w:tc>
          <w:tcPr>
            <w:tcW w:w="1230" w:type="pct"/>
            <w:vAlign w:val="center"/>
          </w:tcPr>
          <w:p>
            <w:pPr>
              <w:contextualSpacing/>
              <w:jc w:val="center"/>
              <w:rPr>
                <w:rFonts w:hint="default" w:eastAsiaTheme="minorEastAsia"/>
                <w:color w:val="FF0000"/>
                <w:szCs w:val="21"/>
                <w:lang w:val="en-US"/>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eastAsia" w:ascii="Times New Roman" w:hAnsi="Times New Roman" w:cs="Times New Roman" w:eastAsiaTheme="minorEastAsia"/>
                <w:color w:val="auto"/>
                <w:kern w:val="2"/>
                <w:sz w:val="21"/>
                <w:szCs w:val="21"/>
                <w:lang w:val="en-US" w:eastAsia="zh-CN" w:bidi="ar-SA"/>
              </w:rPr>
            </w:pPr>
            <w:r>
              <w:rPr>
                <w:rFonts w:hint="eastAsia" w:eastAsiaTheme="minorEastAsia"/>
                <w:color w:val="auto"/>
                <w:szCs w:val="21"/>
              </w:rPr>
              <w:t>16</w:t>
            </w:r>
          </w:p>
        </w:tc>
        <w:tc>
          <w:tcPr>
            <w:tcW w:w="2132"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切腿升降台</w:t>
            </w:r>
          </w:p>
        </w:tc>
        <w:tc>
          <w:tcPr>
            <w:tcW w:w="771" w:type="pct"/>
            <w:vAlign w:val="center"/>
          </w:tcPr>
          <w:p>
            <w:pPr>
              <w:contextualSpacing/>
              <w:jc w:val="center"/>
              <w:rPr>
                <w:rFonts w:hint="default" w:hAnsiTheme="minorEastAsia" w:eastAsiaTheme="minorEastAsia"/>
                <w:color w:val="auto"/>
                <w:szCs w:val="21"/>
                <w:lang w:val="en-US"/>
              </w:rPr>
            </w:pPr>
            <w:r>
              <w:rPr>
                <w:rFonts w:hint="eastAsia" w:hAnsiTheme="minorEastAsia" w:eastAsiaTheme="minorEastAsia"/>
                <w:color w:val="auto"/>
                <w:szCs w:val="21"/>
              </w:rPr>
              <w:t>台</w:t>
            </w:r>
          </w:p>
        </w:tc>
        <w:tc>
          <w:tcPr>
            <w:tcW w:w="1230" w:type="pct"/>
            <w:vAlign w:val="center"/>
          </w:tcPr>
          <w:p>
            <w:pPr>
              <w:contextualSpacing/>
              <w:jc w:val="center"/>
              <w:rPr>
                <w:rFonts w:hint="eastAsia" w:eastAsiaTheme="minorEastAsia"/>
                <w:color w:val="auto"/>
                <w:szCs w:val="21"/>
                <w:lang w:val="en-US" w:eastAsia="zh-CN"/>
              </w:rPr>
            </w:pPr>
            <w:r>
              <w:rPr>
                <w:rFonts w:hint="eastAsia" w:eastAsiaTheme="minorEastAsia"/>
                <w:color w:val="auto"/>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eastAsia" w:ascii="Times New Roman" w:hAnsi="Times New Roman" w:cs="Times New Roman" w:eastAsiaTheme="minorEastAsia"/>
                <w:color w:val="auto"/>
                <w:kern w:val="2"/>
                <w:sz w:val="21"/>
                <w:szCs w:val="21"/>
                <w:lang w:val="en-US" w:eastAsia="zh-CN" w:bidi="ar-SA"/>
              </w:rPr>
            </w:pPr>
            <w:r>
              <w:rPr>
                <w:rFonts w:hint="eastAsia" w:eastAsiaTheme="minorEastAsia"/>
                <w:color w:val="auto"/>
                <w:szCs w:val="21"/>
              </w:rPr>
              <w:t>17</w:t>
            </w:r>
          </w:p>
        </w:tc>
        <w:tc>
          <w:tcPr>
            <w:tcW w:w="2132" w:type="pct"/>
            <w:vAlign w:val="center"/>
          </w:tcPr>
          <w:p>
            <w:pPr>
              <w:contextualSpacing/>
              <w:jc w:val="center"/>
              <w:rPr>
                <w:rFonts w:hint="eastAsia" w:eastAsiaTheme="minorEastAsia"/>
                <w:color w:val="auto"/>
                <w:szCs w:val="21"/>
                <w:lang w:val="en-US" w:eastAsia="zh-CN"/>
              </w:rPr>
            </w:pPr>
            <w:r>
              <w:rPr>
                <w:rFonts w:hint="eastAsia" w:eastAsiaTheme="minorEastAsia"/>
                <w:color w:val="auto"/>
                <w:szCs w:val="21"/>
                <w:lang w:val="en-US" w:eastAsia="zh-CN"/>
              </w:rPr>
              <w:t>检疫线</w:t>
            </w:r>
          </w:p>
        </w:tc>
        <w:tc>
          <w:tcPr>
            <w:tcW w:w="771" w:type="pct"/>
            <w:vAlign w:val="center"/>
          </w:tcPr>
          <w:p>
            <w:pPr>
              <w:contextualSpacing/>
              <w:jc w:val="center"/>
              <w:rPr>
                <w:rFonts w:hint="default" w:hAnsiTheme="minorEastAsia" w:eastAsiaTheme="minorEastAsia"/>
                <w:color w:val="auto"/>
                <w:szCs w:val="21"/>
                <w:lang w:val="en-US"/>
              </w:rPr>
            </w:pPr>
            <w:r>
              <w:rPr>
                <w:rFonts w:hint="eastAsia" w:hAnsiTheme="minorEastAsia" w:eastAsiaTheme="minorEastAsia"/>
                <w:color w:val="auto"/>
                <w:szCs w:val="21"/>
              </w:rPr>
              <w:t>台</w:t>
            </w:r>
          </w:p>
        </w:tc>
        <w:tc>
          <w:tcPr>
            <w:tcW w:w="1230" w:type="pct"/>
            <w:vAlign w:val="center"/>
          </w:tcPr>
          <w:p>
            <w:pPr>
              <w:contextualSpacing/>
              <w:jc w:val="center"/>
              <w:rPr>
                <w:rFonts w:hint="default" w:eastAsiaTheme="minorEastAsia"/>
                <w:color w:val="auto"/>
                <w:szCs w:val="21"/>
                <w:lang w:val="en-US"/>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18</w:t>
            </w:r>
          </w:p>
        </w:tc>
        <w:tc>
          <w:tcPr>
            <w:tcW w:w="2132" w:type="pct"/>
            <w:vAlign w:val="center"/>
          </w:tcPr>
          <w:p>
            <w:pPr>
              <w:contextualSpacing/>
              <w:jc w:val="center"/>
              <w:rPr>
                <w:rFonts w:hint="eastAsia" w:eastAsiaTheme="minorEastAsia"/>
                <w:color w:val="auto"/>
                <w:szCs w:val="21"/>
                <w:lang w:val="en-US" w:eastAsia="zh-CN"/>
              </w:rPr>
            </w:pPr>
            <w:r>
              <w:rPr>
                <w:rFonts w:hint="eastAsia" w:eastAsiaTheme="minorEastAsia"/>
                <w:color w:val="auto"/>
                <w:szCs w:val="21"/>
                <w:lang w:val="en-US" w:eastAsia="zh-CN"/>
              </w:rPr>
              <w:t>劈头机</w:t>
            </w:r>
          </w:p>
        </w:tc>
        <w:tc>
          <w:tcPr>
            <w:tcW w:w="771" w:type="pct"/>
            <w:vAlign w:val="center"/>
          </w:tcPr>
          <w:p>
            <w:pPr>
              <w:contextualSpacing/>
              <w:jc w:val="center"/>
              <w:rPr>
                <w:rFonts w:hint="default" w:hAnsiTheme="minorEastAsia" w:eastAsiaTheme="minorEastAsia"/>
                <w:color w:val="auto"/>
                <w:szCs w:val="21"/>
                <w:lang w:val="en-US"/>
              </w:rPr>
            </w:pPr>
            <w:r>
              <w:rPr>
                <w:rFonts w:hint="eastAsia" w:hAnsiTheme="minorEastAsia" w:eastAsiaTheme="minorEastAsia"/>
                <w:color w:val="auto"/>
                <w:szCs w:val="21"/>
              </w:rPr>
              <w:t>台</w:t>
            </w:r>
          </w:p>
        </w:tc>
        <w:tc>
          <w:tcPr>
            <w:tcW w:w="1230" w:type="pct"/>
            <w:vAlign w:val="center"/>
          </w:tcPr>
          <w:p>
            <w:pPr>
              <w:contextualSpacing/>
              <w:jc w:val="center"/>
              <w:rPr>
                <w:rFonts w:hint="default" w:eastAsiaTheme="minorEastAsia"/>
                <w:color w:val="auto"/>
                <w:szCs w:val="21"/>
                <w:lang w:val="en-US"/>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19</w:t>
            </w:r>
          </w:p>
        </w:tc>
        <w:tc>
          <w:tcPr>
            <w:tcW w:w="2132"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头部自动脱钩、接受、转送装置</w:t>
            </w:r>
          </w:p>
        </w:tc>
        <w:tc>
          <w:tcPr>
            <w:tcW w:w="771" w:type="pct"/>
            <w:vAlign w:val="center"/>
          </w:tcPr>
          <w:p>
            <w:pPr>
              <w:contextualSpacing/>
              <w:jc w:val="center"/>
              <w:rPr>
                <w:rFonts w:hint="default" w:hAnsiTheme="minorEastAsia" w:eastAsiaTheme="minorEastAsia"/>
                <w:color w:val="auto"/>
                <w:szCs w:val="21"/>
                <w:lang w:val="en-US"/>
              </w:rPr>
            </w:pPr>
            <w:r>
              <w:rPr>
                <w:rFonts w:hint="eastAsia" w:hAnsiTheme="minorEastAsia" w:eastAsiaTheme="minorEastAsia"/>
                <w:color w:val="auto"/>
                <w:szCs w:val="21"/>
              </w:rPr>
              <w:t>台</w:t>
            </w:r>
          </w:p>
        </w:tc>
        <w:tc>
          <w:tcPr>
            <w:tcW w:w="1230" w:type="pct"/>
            <w:vAlign w:val="center"/>
          </w:tcPr>
          <w:p>
            <w:pPr>
              <w:contextualSpacing/>
              <w:jc w:val="center"/>
              <w:rPr>
                <w:rFonts w:hint="default" w:eastAsiaTheme="minorEastAsia"/>
                <w:color w:val="auto"/>
                <w:szCs w:val="21"/>
                <w:lang w:val="en-US"/>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20</w:t>
            </w:r>
          </w:p>
        </w:tc>
        <w:tc>
          <w:tcPr>
            <w:tcW w:w="2132" w:type="pct"/>
            <w:vAlign w:val="center"/>
          </w:tcPr>
          <w:p>
            <w:pPr>
              <w:contextualSpacing/>
              <w:jc w:val="center"/>
              <w:rPr>
                <w:rFonts w:hint="eastAsia" w:eastAsiaTheme="minorEastAsia"/>
                <w:color w:val="auto"/>
                <w:szCs w:val="21"/>
                <w:lang w:val="en-US" w:eastAsia="zh-CN"/>
              </w:rPr>
            </w:pPr>
            <w:r>
              <w:rPr>
                <w:rFonts w:hint="eastAsia" w:eastAsiaTheme="minorEastAsia"/>
                <w:color w:val="auto"/>
                <w:szCs w:val="21"/>
                <w:lang w:val="en-US" w:eastAsia="zh-CN"/>
              </w:rPr>
              <w:t>切蹄机</w:t>
            </w:r>
          </w:p>
        </w:tc>
        <w:tc>
          <w:tcPr>
            <w:tcW w:w="771" w:type="pct"/>
            <w:vAlign w:val="center"/>
          </w:tcPr>
          <w:p>
            <w:pPr>
              <w:contextualSpacing/>
              <w:jc w:val="center"/>
              <w:rPr>
                <w:rFonts w:hint="default" w:hAnsiTheme="minorEastAsia" w:eastAsiaTheme="minorEastAsia"/>
                <w:color w:val="auto"/>
                <w:szCs w:val="21"/>
                <w:lang w:val="en-US"/>
              </w:rPr>
            </w:pPr>
            <w:r>
              <w:rPr>
                <w:rFonts w:hint="eastAsia" w:hAnsiTheme="minorEastAsia" w:eastAsiaTheme="minorEastAsia"/>
                <w:color w:val="auto"/>
                <w:szCs w:val="21"/>
              </w:rPr>
              <w:t>台</w:t>
            </w:r>
          </w:p>
        </w:tc>
        <w:tc>
          <w:tcPr>
            <w:tcW w:w="1230" w:type="pct"/>
            <w:vAlign w:val="center"/>
          </w:tcPr>
          <w:p>
            <w:pPr>
              <w:contextualSpacing/>
              <w:jc w:val="center"/>
              <w:rPr>
                <w:rFonts w:hint="default" w:eastAsiaTheme="minorEastAsia"/>
                <w:color w:val="auto"/>
                <w:szCs w:val="21"/>
                <w:lang w:val="en-US"/>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21</w:t>
            </w:r>
          </w:p>
        </w:tc>
        <w:tc>
          <w:tcPr>
            <w:tcW w:w="2132"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牛蹄输送带</w:t>
            </w:r>
          </w:p>
        </w:tc>
        <w:tc>
          <w:tcPr>
            <w:tcW w:w="771" w:type="pct"/>
            <w:vAlign w:val="center"/>
          </w:tcPr>
          <w:p>
            <w:pPr>
              <w:contextualSpacing/>
              <w:jc w:val="center"/>
              <w:rPr>
                <w:rFonts w:hint="default" w:hAnsiTheme="minorEastAsia" w:eastAsiaTheme="minorEastAsia"/>
                <w:color w:val="auto"/>
                <w:szCs w:val="21"/>
                <w:lang w:val="en-US"/>
              </w:rPr>
            </w:pPr>
            <w:r>
              <w:rPr>
                <w:rFonts w:hint="eastAsia" w:hAnsiTheme="minorEastAsia" w:eastAsiaTheme="minorEastAsia"/>
                <w:color w:val="auto"/>
                <w:szCs w:val="21"/>
              </w:rPr>
              <w:t>台</w:t>
            </w:r>
          </w:p>
        </w:tc>
        <w:tc>
          <w:tcPr>
            <w:tcW w:w="1230" w:type="pct"/>
            <w:vAlign w:val="center"/>
          </w:tcPr>
          <w:p>
            <w:pPr>
              <w:contextualSpacing/>
              <w:jc w:val="center"/>
              <w:rPr>
                <w:rFonts w:hint="default" w:eastAsiaTheme="minorEastAsia"/>
                <w:color w:val="auto"/>
                <w:szCs w:val="21"/>
                <w:lang w:val="en-US"/>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22</w:t>
            </w:r>
          </w:p>
        </w:tc>
        <w:tc>
          <w:tcPr>
            <w:tcW w:w="2132" w:type="pct"/>
            <w:vAlign w:val="center"/>
          </w:tcPr>
          <w:p>
            <w:pPr>
              <w:contextualSpacing/>
              <w:jc w:val="center"/>
              <w:rPr>
                <w:rFonts w:hint="eastAsia" w:eastAsiaTheme="minorEastAsia"/>
                <w:color w:val="auto"/>
                <w:szCs w:val="21"/>
                <w:lang w:val="en-US" w:eastAsia="zh-CN"/>
              </w:rPr>
            </w:pPr>
            <w:r>
              <w:rPr>
                <w:rFonts w:hint="eastAsia" w:eastAsiaTheme="minorEastAsia"/>
                <w:color w:val="auto"/>
                <w:szCs w:val="21"/>
                <w:lang w:val="en-US" w:eastAsia="zh-CN"/>
              </w:rPr>
              <w:t>分割线</w:t>
            </w:r>
          </w:p>
        </w:tc>
        <w:tc>
          <w:tcPr>
            <w:tcW w:w="771" w:type="pct"/>
            <w:vAlign w:val="center"/>
          </w:tcPr>
          <w:p>
            <w:pPr>
              <w:contextualSpacing/>
              <w:jc w:val="center"/>
              <w:rPr>
                <w:rFonts w:hint="default" w:hAnsiTheme="minorEastAsia" w:eastAsiaTheme="minorEastAsia"/>
                <w:color w:val="auto"/>
                <w:szCs w:val="21"/>
                <w:lang w:val="en-US"/>
              </w:rPr>
            </w:pPr>
            <w:r>
              <w:rPr>
                <w:rFonts w:hint="eastAsia" w:hAnsiTheme="minorEastAsia" w:eastAsiaTheme="minorEastAsia"/>
                <w:color w:val="auto"/>
                <w:szCs w:val="21"/>
              </w:rPr>
              <w:t>台</w:t>
            </w:r>
          </w:p>
        </w:tc>
        <w:tc>
          <w:tcPr>
            <w:tcW w:w="1230" w:type="pct"/>
            <w:vAlign w:val="center"/>
          </w:tcPr>
          <w:p>
            <w:pPr>
              <w:contextualSpacing/>
              <w:jc w:val="center"/>
              <w:rPr>
                <w:rFonts w:hint="eastAsia" w:eastAsiaTheme="minorEastAsia"/>
                <w:color w:val="auto"/>
                <w:szCs w:val="21"/>
                <w:lang w:val="en-US" w:eastAsia="zh-CN"/>
              </w:rPr>
            </w:pPr>
            <w:r>
              <w:rPr>
                <w:rFonts w:hint="eastAsia" w:eastAsiaTheme="minorEastAsia"/>
                <w:color w:val="auto"/>
                <w:szCs w:val="21"/>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23</w:t>
            </w:r>
          </w:p>
        </w:tc>
        <w:tc>
          <w:tcPr>
            <w:tcW w:w="2132" w:type="pct"/>
            <w:vAlign w:val="center"/>
          </w:tcPr>
          <w:p>
            <w:pPr>
              <w:contextualSpacing/>
              <w:jc w:val="center"/>
              <w:rPr>
                <w:rFonts w:hint="eastAsia" w:eastAsiaTheme="minorEastAsia"/>
                <w:color w:val="auto"/>
                <w:szCs w:val="21"/>
                <w:lang w:val="en-US" w:eastAsia="zh-CN"/>
              </w:rPr>
            </w:pPr>
            <w:r>
              <w:rPr>
                <w:rFonts w:hint="eastAsia" w:eastAsiaTheme="minorEastAsia"/>
                <w:color w:val="auto"/>
                <w:szCs w:val="21"/>
                <w:lang w:val="en-US" w:eastAsia="zh-CN"/>
              </w:rPr>
              <w:t>胃容物抽排机</w:t>
            </w:r>
          </w:p>
        </w:tc>
        <w:tc>
          <w:tcPr>
            <w:tcW w:w="771" w:type="pct"/>
            <w:vAlign w:val="center"/>
          </w:tcPr>
          <w:p>
            <w:pPr>
              <w:contextualSpacing/>
              <w:jc w:val="center"/>
              <w:rPr>
                <w:rFonts w:hint="default" w:hAnsiTheme="minorEastAsia" w:eastAsiaTheme="minorEastAsia"/>
                <w:color w:val="auto"/>
                <w:szCs w:val="21"/>
                <w:lang w:val="en-US"/>
              </w:rPr>
            </w:pPr>
            <w:r>
              <w:rPr>
                <w:rFonts w:hint="eastAsia" w:hAnsiTheme="minorEastAsia" w:eastAsiaTheme="minorEastAsia"/>
                <w:color w:val="auto"/>
                <w:szCs w:val="21"/>
              </w:rPr>
              <w:t>台</w:t>
            </w:r>
          </w:p>
        </w:tc>
        <w:tc>
          <w:tcPr>
            <w:tcW w:w="1230" w:type="pct"/>
            <w:vAlign w:val="center"/>
          </w:tcPr>
          <w:p>
            <w:pPr>
              <w:contextualSpacing/>
              <w:jc w:val="center"/>
              <w:rPr>
                <w:rFonts w:hint="default" w:eastAsiaTheme="minorEastAsia"/>
                <w:color w:val="FF0000"/>
                <w:szCs w:val="21"/>
                <w:lang w:val="en-US"/>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24</w:t>
            </w:r>
          </w:p>
        </w:tc>
        <w:tc>
          <w:tcPr>
            <w:tcW w:w="2132" w:type="pct"/>
            <w:vAlign w:val="center"/>
          </w:tcPr>
          <w:p>
            <w:pPr>
              <w:contextualSpacing/>
              <w:jc w:val="center"/>
              <w:rPr>
                <w:rFonts w:hint="eastAsia" w:eastAsiaTheme="minorEastAsia"/>
                <w:color w:val="auto"/>
                <w:szCs w:val="21"/>
                <w:lang w:val="en-US" w:eastAsia="zh-CN"/>
              </w:rPr>
            </w:pPr>
            <w:r>
              <w:rPr>
                <w:rFonts w:hint="eastAsia" w:eastAsiaTheme="minorEastAsia"/>
                <w:color w:val="auto"/>
                <w:szCs w:val="21"/>
                <w:lang w:val="en-US" w:eastAsia="zh-CN"/>
              </w:rPr>
              <w:t>洗胃机</w:t>
            </w:r>
          </w:p>
        </w:tc>
        <w:tc>
          <w:tcPr>
            <w:tcW w:w="771" w:type="pct"/>
            <w:vAlign w:val="center"/>
          </w:tcPr>
          <w:p>
            <w:pPr>
              <w:contextualSpacing/>
              <w:jc w:val="center"/>
              <w:rPr>
                <w:rFonts w:hint="default" w:hAnsiTheme="minorEastAsia" w:eastAsiaTheme="minorEastAsia"/>
                <w:color w:val="auto"/>
                <w:szCs w:val="21"/>
                <w:lang w:val="en-US"/>
              </w:rPr>
            </w:pPr>
            <w:r>
              <w:rPr>
                <w:rFonts w:hint="eastAsia" w:hAnsiTheme="minorEastAsia" w:eastAsiaTheme="minorEastAsia"/>
                <w:color w:val="auto"/>
                <w:szCs w:val="21"/>
              </w:rPr>
              <w:t>台</w:t>
            </w:r>
          </w:p>
        </w:tc>
        <w:tc>
          <w:tcPr>
            <w:tcW w:w="1230" w:type="pct"/>
            <w:vAlign w:val="center"/>
          </w:tcPr>
          <w:p>
            <w:pPr>
              <w:contextualSpacing/>
              <w:jc w:val="center"/>
              <w:rPr>
                <w:rFonts w:hint="default" w:eastAsiaTheme="minorEastAsia"/>
                <w:color w:val="FF0000"/>
                <w:szCs w:val="21"/>
                <w:lang w:val="en-US"/>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25</w:t>
            </w:r>
          </w:p>
        </w:tc>
        <w:tc>
          <w:tcPr>
            <w:tcW w:w="2132" w:type="pct"/>
            <w:vAlign w:val="center"/>
          </w:tcPr>
          <w:p>
            <w:pPr>
              <w:contextualSpacing/>
              <w:jc w:val="center"/>
              <w:rPr>
                <w:rFonts w:hint="eastAsia" w:eastAsiaTheme="minorEastAsia"/>
                <w:color w:val="auto"/>
                <w:szCs w:val="21"/>
                <w:lang w:val="en-US" w:eastAsia="zh-CN"/>
              </w:rPr>
            </w:pPr>
            <w:r>
              <w:rPr>
                <w:rFonts w:hint="eastAsia" w:eastAsiaTheme="minorEastAsia"/>
                <w:color w:val="auto"/>
                <w:szCs w:val="21"/>
                <w:lang w:val="en-US" w:eastAsia="zh-CN"/>
              </w:rPr>
              <w:t>牛蹄去毛机</w:t>
            </w:r>
          </w:p>
        </w:tc>
        <w:tc>
          <w:tcPr>
            <w:tcW w:w="771" w:type="pct"/>
            <w:vAlign w:val="center"/>
          </w:tcPr>
          <w:p>
            <w:pPr>
              <w:contextualSpacing/>
              <w:jc w:val="center"/>
              <w:rPr>
                <w:rFonts w:hint="default" w:hAnsiTheme="minorEastAsia" w:eastAsiaTheme="minorEastAsia"/>
                <w:color w:val="auto"/>
                <w:szCs w:val="21"/>
                <w:lang w:val="en-US"/>
              </w:rPr>
            </w:pPr>
            <w:r>
              <w:rPr>
                <w:rFonts w:hint="eastAsia" w:hAnsiTheme="minorEastAsia" w:eastAsiaTheme="minorEastAsia"/>
                <w:color w:val="auto"/>
                <w:szCs w:val="21"/>
              </w:rPr>
              <w:t>台</w:t>
            </w:r>
          </w:p>
        </w:tc>
        <w:tc>
          <w:tcPr>
            <w:tcW w:w="1230" w:type="pct"/>
            <w:vAlign w:val="center"/>
          </w:tcPr>
          <w:p>
            <w:pPr>
              <w:contextualSpacing/>
              <w:jc w:val="center"/>
              <w:rPr>
                <w:rFonts w:hint="default" w:eastAsiaTheme="minorEastAsia"/>
                <w:color w:val="FF0000"/>
                <w:szCs w:val="21"/>
                <w:lang w:val="en-US"/>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26</w:t>
            </w:r>
          </w:p>
        </w:tc>
        <w:tc>
          <w:tcPr>
            <w:tcW w:w="2132"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头部剔骨机</w:t>
            </w:r>
          </w:p>
        </w:tc>
        <w:tc>
          <w:tcPr>
            <w:tcW w:w="771" w:type="pct"/>
            <w:vAlign w:val="center"/>
          </w:tcPr>
          <w:p>
            <w:pPr>
              <w:contextualSpacing/>
              <w:jc w:val="center"/>
              <w:rPr>
                <w:rFonts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eastAsiaTheme="minorEastAsia"/>
                <w:color w:val="FF0000"/>
                <w:szCs w:val="21"/>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27</w:t>
            </w:r>
          </w:p>
        </w:tc>
        <w:tc>
          <w:tcPr>
            <w:tcW w:w="2132"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自动洗烫肚机</w:t>
            </w:r>
          </w:p>
        </w:tc>
        <w:tc>
          <w:tcPr>
            <w:tcW w:w="771" w:type="pct"/>
            <w:vAlign w:val="center"/>
          </w:tcPr>
          <w:p>
            <w:pPr>
              <w:contextualSpacing/>
              <w:jc w:val="center"/>
              <w:rPr>
                <w:rFonts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eastAsiaTheme="minorEastAsia"/>
                <w:color w:val="FF0000"/>
                <w:szCs w:val="21"/>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28</w:t>
            </w:r>
          </w:p>
        </w:tc>
        <w:tc>
          <w:tcPr>
            <w:tcW w:w="2132" w:type="pct"/>
            <w:vAlign w:val="center"/>
          </w:tcPr>
          <w:p>
            <w:pPr>
              <w:contextualSpacing/>
              <w:jc w:val="center"/>
              <w:rPr>
                <w:rFonts w:hint="eastAsia" w:hAnsiTheme="minorEastAsia" w:eastAsiaTheme="minorEastAsia"/>
                <w:color w:val="auto"/>
                <w:szCs w:val="21"/>
                <w:lang w:val="en-US" w:eastAsia="zh-CN"/>
              </w:rPr>
            </w:pPr>
            <w:r>
              <w:rPr>
                <w:rFonts w:hint="eastAsia" w:hAnsiTheme="minorEastAsia" w:eastAsiaTheme="minorEastAsia"/>
                <w:color w:val="auto"/>
                <w:szCs w:val="21"/>
                <w:lang w:val="en-US" w:eastAsia="zh-CN"/>
              </w:rPr>
              <w:t>去油机</w:t>
            </w:r>
          </w:p>
        </w:tc>
        <w:tc>
          <w:tcPr>
            <w:tcW w:w="771" w:type="pct"/>
            <w:vAlign w:val="center"/>
          </w:tcPr>
          <w:p>
            <w:pPr>
              <w:contextualSpacing/>
              <w:jc w:val="center"/>
              <w:rPr>
                <w:rFonts w:hAnsiTheme="minorEastAsia"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eastAsiaTheme="minorEastAsia"/>
                <w:color w:val="FF0000"/>
                <w:szCs w:val="21"/>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29</w:t>
            </w:r>
          </w:p>
        </w:tc>
        <w:tc>
          <w:tcPr>
            <w:tcW w:w="2132" w:type="pct"/>
            <w:vAlign w:val="center"/>
          </w:tcPr>
          <w:p>
            <w:pPr>
              <w:contextualSpacing/>
              <w:jc w:val="center"/>
              <w:rPr>
                <w:rFonts w:hint="eastAsia" w:hAnsiTheme="minorEastAsia" w:eastAsiaTheme="minorEastAsia"/>
                <w:color w:val="auto"/>
                <w:szCs w:val="21"/>
                <w:lang w:val="en-US" w:eastAsia="zh-CN"/>
              </w:rPr>
            </w:pPr>
            <w:r>
              <w:rPr>
                <w:rFonts w:hint="eastAsia" w:hAnsiTheme="minorEastAsia" w:eastAsiaTheme="minorEastAsia"/>
                <w:color w:val="auto"/>
                <w:szCs w:val="21"/>
                <w:lang w:val="en-US" w:eastAsia="zh-CN"/>
              </w:rPr>
              <w:t>病体机</w:t>
            </w:r>
          </w:p>
        </w:tc>
        <w:tc>
          <w:tcPr>
            <w:tcW w:w="771" w:type="pct"/>
            <w:vAlign w:val="center"/>
          </w:tcPr>
          <w:p>
            <w:pPr>
              <w:contextualSpacing/>
              <w:jc w:val="center"/>
              <w:rPr>
                <w:rFonts w:hAnsiTheme="minorEastAsia"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eastAsiaTheme="minorEastAsia"/>
                <w:color w:val="FF0000"/>
                <w:szCs w:val="21"/>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30</w:t>
            </w:r>
          </w:p>
        </w:tc>
        <w:tc>
          <w:tcPr>
            <w:tcW w:w="2132" w:type="pct"/>
            <w:vAlign w:val="center"/>
          </w:tcPr>
          <w:p>
            <w:pPr>
              <w:contextualSpacing/>
              <w:jc w:val="center"/>
              <w:rPr>
                <w:rFonts w:hint="eastAsia" w:hAnsiTheme="minorEastAsia" w:eastAsiaTheme="minorEastAsia"/>
                <w:color w:val="auto"/>
                <w:szCs w:val="21"/>
                <w:lang w:val="en-US" w:eastAsia="zh-CN"/>
              </w:rPr>
            </w:pPr>
            <w:r>
              <w:rPr>
                <w:rFonts w:hint="eastAsia" w:hAnsiTheme="minorEastAsia" w:eastAsiaTheme="minorEastAsia"/>
                <w:color w:val="auto"/>
                <w:szCs w:val="21"/>
                <w:lang w:val="en-US" w:eastAsia="zh-CN"/>
              </w:rPr>
              <w:t>洗血机</w:t>
            </w:r>
          </w:p>
        </w:tc>
        <w:tc>
          <w:tcPr>
            <w:tcW w:w="771" w:type="pct"/>
            <w:vAlign w:val="center"/>
          </w:tcPr>
          <w:p>
            <w:pPr>
              <w:contextualSpacing/>
              <w:jc w:val="center"/>
              <w:rPr>
                <w:rFonts w:hAnsiTheme="minorEastAsia"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eastAsiaTheme="minorEastAsia"/>
                <w:color w:val="FF0000"/>
                <w:szCs w:val="21"/>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31</w:t>
            </w:r>
          </w:p>
        </w:tc>
        <w:tc>
          <w:tcPr>
            <w:tcW w:w="2132" w:type="pct"/>
            <w:vAlign w:val="center"/>
          </w:tcPr>
          <w:p>
            <w:pPr>
              <w:contextualSpacing/>
              <w:jc w:val="center"/>
              <w:rPr>
                <w:rFonts w:hint="default" w:hAnsiTheme="minorEastAsia" w:eastAsiaTheme="minorEastAsia"/>
                <w:color w:val="auto"/>
                <w:szCs w:val="21"/>
                <w:lang w:val="en-US" w:eastAsia="zh-CN"/>
              </w:rPr>
            </w:pPr>
            <w:r>
              <w:rPr>
                <w:rFonts w:hint="eastAsia" w:hAnsiTheme="minorEastAsia" w:eastAsiaTheme="minorEastAsia"/>
                <w:color w:val="auto"/>
                <w:szCs w:val="21"/>
                <w:lang w:val="en-US" w:eastAsia="zh-CN"/>
              </w:rPr>
              <w:t>自动分装电子秤</w:t>
            </w:r>
          </w:p>
        </w:tc>
        <w:tc>
          <w:tcPr>
            <w:tcW w:w="771" w:type="pct"/>
            <w:vAlign w:val="center"/>
          </w:tcPr>
          <w:p>
            <w:pPr>
              <w:contextualSpacing/>
              <w:jc w:val="center"/>
              <w:rPr>
                <w:rFonts w:hAnsiTheme="minorEastAsia"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eastAsiaTheme="minorEastAsia"/>
                <w:color w:val="FF0000"/>
                <w:szCs w:val="21"/>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32</w:t>
            </w:r>
          </w:p>
        </w:tc>
        <w:tc>
          <w:tcPr>
            <w:tcW w:w="2132" w:type="pct"/>
            <w:vAlign w:val="center"/>
          </w:tcPr>
          <w:p>
            <w:pPr>
              <w:contextualSpacing/>
              <w:jc w:val="center"/>
              <w:rPr>
                <w:rFonts w:hint="default" w:hAnsiTheme="minorEastAsia" w:eastAsiaTheme="minorEastAsia"/>
                <w:color w:val="auto"/>
                <w:szCs w:val="21"/>
                <w:lang w:val="en-US" w:eastAsia="zh-CN"/>
              </w:rPr>
            </w:pPr>
            <w:r>
              <w:rPr>
                <w:rFonts w:hint="eastAsia" w:hAnsiTheme="minorEastAsia" w:eastAsiaTheme="minorEastAsia"/>
                <w:color w:val="auto"/>
                <w:szCs w:val="21"/>
                <w:lang w:val="en-US" w:eastAsia="zh-CN"/>
              </w:rPr>
              <w:t>高压清洗机</w:t>
            </w:r>
          </w:p>
        </w:tc>
        <w:tc>
          <w:tcPr>
            <w:tcW w:w="771" w:type="pct"/>
            <w:vAlign w:val="center"/>
          </w:tcPr>
          <w:p>
            <w:pPr>
              <w:contextualSpacing/>
              <w:jc w:val="center"/>
              <w:rPr>
                <w:rFonts w:hint="eastAsia" w:hAnsiTheme="minorEastAsia"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hint="eastAsia" w:eastAsiaTheme="minorEastAsia"/>
                <w:color w:val="FF0000"/>
                <w:szCs w:val="21"/>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33</w:t>
            </w:r>
          </w:p>
        </w:tc>
        <w:tc>
          <w:tcPr>
            <w:tcW w:w="2132" w:type="pct"/>
            <w:vAlign w:val="center"/>
          </w:tcPr>
          <w:p>
            <w:pPr>
              <w:contextualSpacing/>
              <w:jc w:val="center"/>
              <w:rPr>
                <w:rFonts w:hint="default" w:hAnsiTheme="minorEastAsia" w:eastAsiaTheme="minorEastAsia"/>
                <w:color w:val="auto"/>
                <w:szCs w:val="21"/>
                <w:lang w:val="en-US" w:eastAsia="zh-CN"/>
              </w:rPr>
            </w:pPr>
            <w:r>
              <w:rPr>
                <w:rFonts w:hint="eastAsia" w:hAnsiTheme="minorEastAsia" w:eastAsiaTheme="minorEastAsia"/>
                <w:color w:val="auto"/>
                <w:szCs w:val="21"/>
                <w:lang w:val="en-US" w:eastAsia="zh-CN"/>
              </w:rPr>
              <w:t>真空包装机</w:t>
            </w:r>
          </w:p>
        </w:tc>
        <w:tc>
          <w:tcPr>
            <w:tcW w:w="771" w:type="pct"/>
            <w:vAlign w:val="center"/>
          </w:tcPr>
          <w:p>
            <w:pPr>
              <w:contextualSpacing/>
              <w:jc w:val="center"/>
              <w:rPr>
                <w:rFonts w:hint="eastAsia" w:hAnsiTheme="minorEastAsia"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hint="eastAsia" w:eastAsiaTheme="minorEastAsia"/>
                <w:color w:val="FF0000"/>
                <w:szCs w:val="21"/>
                <w:lang w:val="en-US" w:eastAsia="zh-CN"/>
              </w:rPr>
            </w:pPr>
            <w:r>
              <w:rPr>
                <w:rFonts w:hint="eastAsia" w:eastAsiaTheme="minorEastAsia"/>
                <w:color w:val="auto"/>
                <w:szCs w:val="21"/>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34</w:t>
            </w:r>
          </w:p>
        </w:tc>
        <w:tc>
          <w:tcPr>
            <w:tcW w:w="2132" w:type="pct"/>
            <w:vAlign w:val="center"/>
          </w:tcPr>
          <w:p>
            <w:pPr>
              <w:contextualSpacing/>
              <w:jc w:val="center"/>
              <w:rPr>
                <w:rFonts w:hint="default" w:hAnsiTheme="minorEastAsia" w:eastAsiaTheme="minorEastAsia"/>
                <w:color w:val="auto"/>
                <w:szCs w:val="21"/>
                <w:lang w:val="en-US" w:eastAsia="zh-CN"/>
              </w:rPr>
            </w:pPr>
            <w:r>
              <w:rPr>
                <w:rFonts w:hint="eastAsia" w:hAnsiTheme="minorEastAsia" w:eastAsiaTheme="minorEastAsia"/>
                <w:color w:val="auto"/>
                <w:szCs w:val="21"/>
                <w:lang w:val="en-US" w:eastAsia="zh-CN"/>
              </w:rPr>
              <w:t>检疫轨</w:t>
            </w:r>
          </w:p>
        </w:tc>
        <w:tc>
          <w:tcPr>
            <w:tcW w:w="771" w:type="pct"/>
            <w:vAlign w:val="center"/>
          </w:tcPr>
          <w:p>
            <w:pPr>
              <w:contextualSpacing/>
              <w:jc w:val="center"/>
              <w:rPr>
                <w:rFonts w:hint="eastAsia" w:hAnsiTheme="minorEastAsia"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hint="eastAsia" w:eastAsiaTheme="minorEastAsia"/>
                <w:color w:val="FF0000"/>
                <w:szCs w:val="21"/>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35</w:t>
            </w:r>
          </w:p>
        </w:tc>
        <w:tc>
          <w:tcPr>
            <w:tcW w:w="2132" w:type="pct"/>
            <w:vAlign w:val="center"/>
          </w:tcPr>
          <w:p>
            <w:pPr>
              <w:contextualSpacing/>
              <w:jc w:val="center"/>
              <w:rPr>
                <w:rFonts w:hint="default" w:hAnsiTheme="minorEastAsia" w:eastAsiaTheme="minorEastAsia"/>
                <w:color w:val="auto"/>
                <w:szCs w:val="21"/>
                <w:lang w:val="en-US" w:eastAsia="zh-CN"/>
              </w:rPr>
            </w:pPr>
            <w:r>
              <w:rPr>
                <w:rFonts w:hint="eastAsia" w:hAnsiTheme="minorEastAsia" w:eastAsiaTheme="minorEastAsia"/>
                <w:color w:val="auto"/>
                <w:szCs w:val="21"/>
                <w:lang w:val="en-US" w:eastAsia="zh-CN"/>
              </w:rPr>
              <w:t>升降台</w:t>
            </w:r>
          </w:p>
        </w:tc>
        <w:tc>
          <w:tcPr>
            <w:tcW w:w="771" w:type="pct"/>
            <w:vAlign w:val="center"/>
          </w:tcPr>
          <w:p>
            <w:pPr>
              <w:contextualSpacing/>
              <w:jc w:val="center"/>
              <w:rPr>
                <w:rFonts w:hint="eastAsia" w:hAnsiTheme="minorEastAsia"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hint="eastAsia" w:eastAsiaTheme="minorEastAsia"/>
                <w:color w:val="FF0000"/>
                <w:szCs w:val="21"/>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36</w:t>
            </w:r>
          </w:p>
        </w:tc>
        <w:tc>
          <w:tcPr>
            <w:tcW w:w="2132" w:type="pct"/>
            <w:vAlign w:val="center"/>
          </w:tcPr>
          <w:p>
            <w:pPr>
              <w:contextualSpacing/>
              <w:jc w:val="center"/>
              <w:rPr>
                <w:rFonts w:hint="default" w:hAnsiTheme="minorEastAsia" w:eastAsiaTheme="minorEastAsia"/>
                <w:color w:val="auto"/>
                <w:szCs w:val="21"/>
                <w:lang w:val="en-US" w:eastAsia="zh-CN"/>
              </w:rPr>
            </w:pPr>
            <w:r>
              <w:rPr>
                <w:rFonts w:hint="eastAsia" w:hAnsiTheme="minorEastAsia" w:eastAsiaTheme="minorEastAsia"/>
                <w:color w:val="auto"/>
                <w:szCs w:val="21"/>
                <w:lang w:val="en-US" w:eastAsia="zh-CN"/>
              </w:rPr>
              <w:t>出红脏升降台</w:t>
            </w:r>
          </w:p>
        </w:tc>
        <w:tc>
          <w:tcPr>
            <w:tcW w:w="771" w:type="pct"/>
            <w:vAlign w:val="center"/>
          </w:tcPr>
          <w:p>
            <w:pPr>
              <w:contextualSpacing/>
              <w:jc w:val="center"/>
              <w:rPr>
                <w:rFonts w:hint="eastAsia" w:hAnsiTheme="minorEastAsia"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hint="eastAsia" w:eastAsiaTheme="minorEastAsia"/>
                <w:color w:val="auto"/>
                <w:szCs w:val="21"/>
              </w:rPr>
            </w:pPr>
            <w:r>
              <w:rPr>
                <w:rFonts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5000" w:type="pct"/>
            <w:gridSpan w:val="4"/>
            <w:vAlign w:val="center"/>
          </w:tcPr>
          <w:p>
            <w:pPr>
              <w:contextualSpacing/>
              <w:jc w:val="center"/>
              <w:rPr>
                <w:rFonts w:hint="eastAsia" w:eastAsiaTheme="minorEastAsia"/>
                <w:color w:val="auto"/>
                <w:szCs w:val="21"/>
              </w:rPr>
            </w:pPr>
            <w:r>
              <w:rPr>
                <w:rFonts w:hint="eastAsia" w:eastAsiaTheme="minorEastAsia"/>
                <w:color w:val="auto"/>
                <w:szCs w:val="21"/>
              </w:rPr>
              <w:t>冷库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hint="eastAsia" w:eastAsiaTheme="minorEastAsia"/>
                <w:color w:val="auto"/>
                <w:szCs w:val="21"/>
              </w:rPr>
              <w:t>1</w:t>
            </w:r>
          </w:p>
        </w:tc>
        <w:tc>
          <w:tcPr>
            <w:tcW w:w="2132" w:type="pct"/>
            <w:vAlign w:val="center"/>
          </w:tcPr>
          <w:p>
            <w:pPr>
              <w:contextualSpacing/>
              <w:jc w:val="center"/>
              <w:rPr>
                <w:rFonts w:hAnsiTheme="minorEastAsia" w:eastAsiaTheme="minorEastAsia"/>
                <w:color w:val="auto"/>
                <w:szCs w:val="21"/>
              </w:rPr>
            </w:pPr>
            <w:r>
              <w:rPr>
                <w:rFonts w:hint="eastAsia" w:hAnsiTheme="minorEastAsia" w:eastAsiaTheme="minorEastAsia"/>
                <w:color w:val="auto"/>
                <w:szCs w:val="21"/>
              </w:rPr>
              <w:t>压缩机</w:t>
            </w:r>
          </w:p>
        </w:tc>
        <w:tc>
          <w:tcPr>
            <w:tcW w:w="771" w:type="pct"/>
            <w:vAlign w:val="center"/>
          </w:tcPr>
          <w:p>
            <w:pPr>
              <w:contextualSpacing/>
              <w:jc w:val="center"/>
              <w:rPr>
                <w:rFonts w:hAnsiTheme="minorEastAsia"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hint="eastAsia" w:eastAsiaTheme="minorEastAsia"/>
                <w:color w:val="auto"/>
                <w:szCs w:val="21"/>
                <w:lang w:eastAsia="zh-CN"/>
              </w:rPr>
            </w:pPr>
            <w:r>
              <w:rPr>
                <w:rFonts w:hint="eastAsia" w:eastAsiaTheme="minorEastAsia"/>
                <w:color w:val="auto"/>
                <w:szCs w:val="21"/>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hint="eastAsia" w:eastAsiaTheme="minorEastAsia"/>
                <w:color w:val="auto"/>
                <w:szCs w:val="21"/>
              </w:rPr>
              <w:t>2</w:t>
            </w:r>
          </w:p>
        </w:tc>
        <w:tc>
          <w:tcPr>
            <w:tcW w:w="2132" w:type="pct"/>
            <w:vAlign w:val="center"/>
          </w:tcPr>
          <w:p>
            <w:pPr>
              <w:contextualSpacing/>
              <w:jc w:val="center"/>
              <w:rPr>
                <w:rFonts w:hAnsiTheme="minorEastAsia" w:eastAsiaTheme="minorEastAsia"/>
                <w:color w:val="auto"/>
                <w:szCs w:val="21"/>
              </w:rPr>
            </w:pPr>
            <w:r>
              <w:rPr>
                <w:rFonts w:hint="eastAsia" w:hAnsiTheme="minorEastAsia" w:eastAsiaTheme="minorEastAsia"/>
                <w:color w:val="auto"/>
                <w:szCs w:val="21"/>
              </w:rPr>
              <w:t>风机</w:t>
            </w:r>
          </w:p>
        </w:tc>
        <w:tc>
          <w:tcPr>
            <w:tcW w:w="771" w:type="pct"/>
            <w:vAlign w:val="center"/>
          </w:tcPr>
          <w:p>
            <w:pPr>
              <w:contextualSpacing/>
              <w:jc w:val="center"/>
              <w:rPr>
                <w:rFonts w:hAnsiTheme="minorEastAsia"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5000" w:type="pct"/>
            <w:gridSpan w:val="4"/>
            <w:vAlign w:val="center"/>
          </w:tcPr>
          <w:p>
            <w:pPr>
              <w:contextualSpacing/>
              <w:jc w:val="center"/>
              <w:rPr>
                <w:rFonts w:hint="eastAsia" w:eastAsiaTheme="minorEastAsia"/>
                <w:color w:val="auto"/>
                <w:szCs w:val="21"/>
              </w:rPr>
            </w:pPr>
            <w:r>
              <w:rPr>
                <w:rFonts w:hint="eastAsia" w:eastAsiaTheme="minorEastAsia"/>
                <w:color w:val="auto"/>
                <w:szCs w:val="21"/>
              </w:rPr>
              <w:t>污水处理站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hint="eastAsia" w:eastAsiaTheme="minorEastAsia"/>
                <w:color w:val="auto"/>
                <w:szCs w:val="21"/>
              </w:rPr>
              <w:t>1</w:t>
            </w:r>
          </w:p>
        </w:tc>
        <w:tc>
          <w:tcPr>
            <w:tcW w:w="2132" w:type="pct"/>
            <w:vAlign w:val="center"/>
          </w:tcPr>
          <w:p>
            <w:pPr>
              <w:contextualSpacing/>
              <w:jc w:val="center"/>
              <w:rPr>
                <w:rFonts w:hAnsiTheme="minorEastAsia" w:eastAsiaTheme="minorEastAsia"/>
                <w:color w:val="auto"/>
                <w:szCs w:val="21"/>
              </w:rPr>
            </w:pPr>
            <w:r>
              <w:rPr>
                <w:rFonts w:hAnsiTheme="minorEastAsia" w:eastAsiaTheme="minorEastAsia"/>
                <w:color w:val="auto"/>
                <w:szCs w:val="21"/>
              </w:rPr>
              <w:t>污水提升泵</w:t>
            </w:r>
          </w:p>
        </w:tc>
        <w:tc>
          <w:tcPr>
            <w:tcW w:w="771" w:type="pct"/>
            <w:vAlign w:val="center"/>
          </w:tcPr>
          <w:p>
            <w:pPr>
              <w:contextualSpacing/>
              <w:jc w:val="center"/>
              <w:rPr>
                <w:rFonts w:hAnsiTheme="minorEastAsia"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eastAsiaTheme="minorEastAsia"/>
                <w:color w:val="auto"/>
                <w:szCs w:val="21"/>
              </w:rPr>
            </w:pPr>
            <w:r>
              <w:rPr>
                <w:rFonts w:hint="eastAsia"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hint="eastAsia"/>
                <w:color w:val="auto"/>
                <w:szCs w:val="21"/>
              </w:rPr>
              <w:t>2</w:t>
            </w:r>
          </w:p>
        </w:tc>
        <w:tc>
          <w:tcPr>
            <w:tcW w:w="2132" w:type="pct"/>
            <w:vAlign w:val="center"/>
          </w:tcPr>
          <w:p>
            <w:pPr>
              <w:contextualSpacing/>
              <w:jc w:val="center"/>
              <w:rPr>
                <w:rFonts w:hAnsiTheme="minorEastAsia" w:eastAsiaTheme="minorEastAsia"/>
                <w:color w:val="auto"/>
                <w:szCs w:val="21"/>
              </w:rPr>
            </w:pPr>
            <w:r>
              <w:rPr>
                <w:rFonts w:hint="eastAsia"/>
                <w:color w:val="auto"/>
                <w:szCs w:val="21"/>
              </w:rPr>
              <w:t>溶气泵</w:t>
            </w:r>
          </w:p>
        </w:tc>
        <w:tc>
          <w:tcPr>
            <w:tcW w:w="771" w:type="pct"/>
            <w:vAlign w:val="center"/>
          </w:tcPr>
          <w:p>
            <w:pPr>
              <w:contextualSpacing/>
              <w:jc w:val="center"/>
              <w:rPr>
                <w:rFonts w:hAnsiTheme="minorEastAsia"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eastAsiaTheme="minorEastAsia"/>
                <w:color w:val="auto"/>
                <w:szCs w:val="21"/>
              </w:rPr>
            </w:pPr>
            <w:r>
              <w:rPr>
                <w:rFonts w:hint="eastAsia"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hint="eastAsia" w:eastAsiaTheme="minorEastAsia"/>
                <w:color w:val="auto"/>
                <w:szCs w:val="21"/>
              </w:rPr>
              <w:t>3</w:t>
            </w:r>
          </w:p>
        </w:tc>
        <w:tc>
          <w:tcPr>
            <w:tcW w:w="2132" w:type="pct"/>
            <w:vAlign w:val="center"/>
          </w:tcPr>
          <w:p>
            <w:pPr>
              <w:contextualSpacing/>
              <w:jc w:val="center"/>
              <w:rPr>
                <w:rFonts w:hAnsiTheme="minorEastAsia" w:eastAsiaTheme="minorEastAsia"/>
                <w:color w:val="auto"/>
                <w:szCs w:val="21"/>
              </w:rPr>
            </w:pPr>
            <w:r>
              <w:rPr>
                <w:rFonts w:hint="eastAsia"/>
                <w:color w:val="auto"/>
                <w:szCs w:val="21"/>
              </w:rPr>
              <w:t>刮渣机</w:t>
            </w:r>
          </w:p>
        </w:tc>
        <w:tc>
          <w:tcPr>
            <w:tcW w:w="771" w:type="pct"/>
            <w:vAlign w:val="center"/>
          </w:tcPr>
          <w:p>
            <w:pPr>
              <w:contextualSpacing/>
              <w:jc w:val="center"/>
              <w:rPr>
                <w:rFonts w:hAnsiTheme="minorEastAsia"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eastAsiaTheme="minorEastAsia"/>
                <w:color w:val="auto"/>
                <w:szCs w:val="21"/>
              </w:rPr>
            </w:pPr>
            <w:r>
              <w:rPr>
                <w:rFonts w:hint="eastAsia"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hint="eastAsia" w:eastAsiaTheme="minorEastAsia"/>
                <w:color w:val="auto"/>
                <w:szCs w:val="21"/>
              </w:rPr>
              <w:t>4</w:t>
            </w:r>
          </w:p>
        </w:tc>
        <w:tc>
          <w:tcPr>
            <w:tcW w:w="2132" w:type="pct"/>
            <w:vAlign w:val="center"/>
          </w:tcPr>
          <w:p>
            <w:pPr>
              <w:contextualSpacing/>
              <w:jc w:val="center"/>
              <w:rPr>
                <w:rFonts w:hAnsiTheme="minorEastAsia" w:eastAsiaTheme="minorEastAsia"/>
                <w:color w:val="auto"/>
                <w:szCs w:val="21"/>
              </w:rPr>
            </w:pPr>
            <w:r>
              <w:rPr>
                <w:rFonts w:hint="eastAsia"/>
                <w:color w:val="auto"/>
                <w:szCs w:val="21"/>
              </w:rPr>
              <w:t>减速机</w:t>
            </w:r>
          </w:p>
        </w:tc>
        <w:tc>
          <w:tcPr>
            <w:tcW w:w="771" w:type="pct"/>
            <w:vAlign w:val="center"/>
          </w:tcPr>
          <w:p>
            <w:pPr>
              <w:contextualSpacing/>
              <w:jc w:val="center"/>
              <w:rPr>
                <w:rFonts w:hAnsiTheme="minorEastAsia"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eastAsiaTheme="minorEastAsia"/>
                <w:color w:val="auto"/>
                <w:szCs w:val="21"/>
              </w:rPr>
            </w:pPr>
            <w:r>
              <w:rPr>
                <w:rFonts w:hint="eastAsia"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hint="eastAsia" w:eastAsiaTheme="minorEastAsia"/>
                <w:color w:val="auto"/>
                <w:szCs w:val="21"/>
              </w:rPr>
              <w:t>5</w:t>
            </w:r>
          </w:p>
        </w:tc>
        <w:tc>
          <w:tcPr>
            <w:tcW w:w="2132" w:type="pct"/>
            <w:vAlign w:val="center"/>
          </w:tcPr>
          <w:p>
            <w:pPr>
              <w:contextualSpacing/>
              <w:jc w:val="center"/>
              <w:rPr>
                <w:rFonts w:hAnsiTheme="minorEastAsia" w:eastAsiaTheme="minorEastAsia"/>
                <w:color w:val="auto"/>
                <w:szCs w:val="21"/>
              </w:rPr>
            </w:pPr>
            <w:r>
              <w:rPr>
                <w:rFonts w:hint="eastAsia"/>
                <w:color w:val="auto"/>
                <w:szCs w:val="21"/>
              </w:rPr>
              <w:t>空压机</w:t>
            </w:r>
          </w:p>
        </w:tc>
        <w:tc>
          <w:tcPr>
            <w:tcW w:w="771" w:type="pct"/>
            <w:vAlign w:val="center"/>
          </w:tcPr>
          <w:p>
            <w:pPr>
              <w:contextualSpacing/>
              <w:jc w:val="center"/>
              <w:rPr>
                <w:rFonts w:hAnsiTheme="minorEastAsia"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eastAsiaTheme="minorEastAsia"/>
                <w:color w:val="auto"/>
                <w:szCs w:val="21"/>
              </w:rPr>
            </w:pPr>
            <w:r>
              <w:rPr>
                <w:rFonts w:hint="eastAsia"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hint="eastAsia" w:eastAsiaTheme="minorEastAsia"/>
                <w:color w:val="auto"/>
                <w:szCs w:val="21"/>
              </w:rPr>
              <w:t>6</w:t>
            </w:r>
          </w:p>
        </w:tc>
        <w:tc>
          <w:tcPr>
            <w:tcW w:w="2132" w:type="pct"/>
            <w:vAlign w:val="center"/>
          </w:tcPr>
          <w:p>
            <w:pPr>
              <w:jc w:val="center"/>
              <w:rPr>
                <w:color w:val="auto"/>
                <w:szCs w:val="21"/>
              </w:rPr>
            </w:pPr>
            <w:r>
              <w:rPr>
                <w:rFonts w:hint="eastAsia"/>
                <w:color w:val="auto"/>
                <w:szCs w:val="21"/>
              </w:rPr>
              <w:t>PAC加药设备</w:t>
            </w:r>
          </w:p>
        </w:tc>
        <w:tc>
          <w:tcPr>
            <w:tcW w:w="771" w:type="pct"/>
            <w:vAlign w:val="center"/>
          </w:tcPr>
          <w:p>
            <w:pPr>
              <w:contextualSpacing/>
              <w:jc w:val="center"/>
              <w:rPr>
                <w:rFonts w:hAnsiTheme="minorEastAsia"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eastAsiaTheme="minorEastAsia"/>
                <w:color w:val="auto"/>
                <w:szCs w:val="21"/>
              </w:rPr>
            </w:pPr>
            <w:r>
              <w:rPr>
                <w:rFonts w:hint="eastAsia"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hint="eastAsia" w:eastAsiaTheme="minorEastAsia"/>
                <w:color w:val="auto"/>
                <w:szCs w:val="21"/>
              </w:rPr>
              <w:t>7</w:t>
            </w:r>
          </w:p>
        </w:tc>
        <w:tc>
          <w:tcPr>
            <w:tcW w:w="2132" w:type="pct"/>
            <w:vAlign w:val="center"/>
          </w:tcPr>
          <w:p>
            <w:pPr>
              <w:jc w:val="center"/>
              <w:rPr>
                <w:color w:val="auto"/>
                <w:szCs w:val="21"/>
              </w:rPr>
            </w:pPr>
            <w:r>
              <w:rPr>
                <w:rFonts w:hint="eastAsia"/>
                <w:color w:val="auto"/>
                <w:szCs w:val="21"/>
              </w:rPr>
              <w:t>PAM加药设备</w:t>
            </w:r>
          </w:p>
        </w:tc>
        <w:tc>
          <w:tcPr>
            <w:tcW w:w="771" w:type="pct"/>
            <w:vAlign w:val="center"/>
          </w:tcPr>
          <w:p>
            <w:pPr>
              <w:contextualSpacing/>
              <w:jc w:val="center"/>
              <w:rPr>
                <w:rFonts w:hAnsiTheme="minorEastAsia"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eastAsiaTheme="minorEastAsia"/>
                <w:color w:val="auto"/>
                <w:szCs w:val="21"/>
              </w:rPr>
            </w:pPr>
            <w:r>
              <w:rPr>
                <w:rFonts w:hint="eastAsia"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hint="eastAsia" w:eastAsiaTheme="minorEastAsia"/>
                <w:color w:val="auto"/>
                <w:szCs w:val="21"/>
              </w:rPr>
              <w:t>8</w:t>
            </w:r>
          </w:p>
        </w:tc>
        <w:tc>
          <w:tcPr>
            <w:tcW w:w="2132" w:type="pct"/>
            <w:vAlign w:val="center"/>
          </w:tcPr>
          <w:p>
            <w:pPr>
              <w:contextualSpacing/>
              <w:jc w:val="center"/>
              <w:rPr>
                <w:rFonts w:hAnsiTheme="minorEastAsia" w:eastAsiaTheme="minorEastAsia"/>
                <w:color w:val="auto"/>
                <w:szCs w:val="21"/>
              </w:rPr>
            </w:pPr>
            <w:r>
              <w:rPr>
                <w:rFonts w:hint="eastAsia"/>
                <w:color w:val="auto"/>
                <w:szCs w:val="21"/>
              </w:rPr>
              <w:t>罗茨风机</w:t>
            </w:r>
          </w:p>
        </w:tc>
        <w:tc>
          <w:tcPr>
            <w:tcW w:w="771" w:type="pct"/>
            <w:vAlign w:val="center"/>
          </w:tcPr>
          <w:p>
            <w:pPr>
              <w:contextualSpacing/>
              <w:jc w:val="center"/>
              <w:rPr>
                <w:rFonts w:hAnsiTheme="minorEastAsia"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eastAsiaTheme="minorEastAsia"/>
                <w:color w:val="auto"/>
                <w:szCs w:val="21"/>
              </w:rPr>
            </w:pPr>
            <w:r>
              <w:rPr>
                <w:rFonts w:hint="eastAsia"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hint="eastAsia" w:eastAsiaTheme="minorEastAsia"/>
                <w:color w:val="auto"/>
                <w:szCs w:val="21"/>
              </w:rPr>
              <w:t>9</w:t>
            </w:r>
          </w:p>
        </w:tc>
        <w:tc>
          <w:tcPr>
            <w:tcW w:w="2132" w:type="pct"/>
            <w:vAlign w:val="center"/>
          </w:tcPr>
          <w:p>
            <w:pPr>
              <w:contextualSpacing/>
              <w:jc w:val="center"/>
              <w:rPr>
                <w:rFonts w:hAnsiTheme="minorEastAsia" w:eastAsiaTheme="minorEastAsia"/>
                <w:color w:val="auto"/>
                <w:szCs w:val="21"/>
              </w:rPr>
            </w:pPr>
            <w:r>
              <w:rPr>
                <w:rFonts w:hint="eastAsia"/>
                <w:color w:val="auto"/>
                <w:szCs w:val="21"/>
              </w:rPr>
              <w:t>硝化回流</w:t>
            </w:r>
            <w:r>
              <w:rPr>
                <w:color w:val="auto"/>
                <w:szCs w:val="21"/>
              </w:rPr>
              <w:t>泵</w:t>
            </w:r>
          </w:p>
        </w:tc>
        <w:tc>
          <w:tcPr>
            <w:tcW w:w="771" w:type="pct"/>
            <w:vAlign w:val="center"/>
          </w:tcPr>
          <w:p>
            <w:pPr>
              <w:contextualSpacing/>
              <w:jc w:val="center"/>
              <w:rPr>
                <w:rFonts w:hAnsiTheme="minorEastAsia"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eastAsiaTheme="minorEastAsia"/>
                <w:color w:val="auto"/>
                <w:szCs w:val="21"/>
              </w:rPr>
            </w:pPr>
            <w:r>
              <w:rPr>
                <w:rFonts w:hint="eastAsia" w:eastAsiaTheme="minorEastAsia"/>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hint="eastAsia" w:eastAsiaTheme="minorEastAsia"/>
                <w:color w:val="auto"/>
                <w:szCs w:val="21"/>
              </w:rPr>
              <w:t>10</w:t>
            </w:r>
          </w:p>
        </w:tc>
        <w:tc>
          <w:tcPr>
            <w:tcW w:w="2132" w:type="pct"/>
            <w:vAlign w:val="center"/>
          </w:tcPr>
          <w:p>
            <w:pPr>
              <w:contextualSpacing/>
              <w:jc w:val="center"/>
              <w:rPr>
                <w:color w:val="auto"/>
                <w:szCs w:val="21"/>
              </w:rPr>
            </w:pPr>
            <w:r>
              <w:rPr>
                <w:rFonts w:hint="eastAsia"/>
                <w:bCs/>
                <w:color w:val="auto"/>
                <w:szCs w:val="21"/>
              </w:rPr>
              <w:t>排泥泵</w:t>
            </w:r>
          </w:p>
        </w:tc>
        <w:tc>
          <w:tcPr>
            <w:tcW w:w="771" w:type="pct"/>
            <w:vAlign w:val="center"/>
          </w:tcPr>
          <w:p>
            <w:pPr>
              <w:contextualSpacing/>
              <w:jc w:val="center"/>
              <w:rPr>
                <w:rFonts w:hAnsiTheme="minorEastAsia" w:eastAsiaTheme="minorEastAsia"/>
                <w:color w:val="auto"/>
                <w:szCs w:val="21"/>
              </w:rPr>
            </w:pPr>
            <w:r>
              <w:rPr>
                <w:rFonts w:hint="eastAsia" w:hAnsiTheme="minorEastAsia" w:eastAsiaTheme="minorEastAsia"/>
                <w:color w:val="auto"/>
                <w:szCs w:val="21"/>
              </w:rPr>
              <w:t>台</w:t>
            </w:r>
          </w:p>
        </w:tc>
        <w:tc>
          <w:tcPr>
            <w:tcW w:w="1230" w:type="pct"/>
            <w:vAlign w:val="center"/>
          </w:tcPr>
          <w:p>
            <w:pPr>
              <w:contextualSpacing/>
              <w:jc w:val="center"/>
              <w:rPr>
                <w:rFonts w:eastAsiaTheme="minorEastAsia"/>
                <w:color w:val="auto"/>
                <w:szCs w:val="21"/>
              </w:rPr>
            </w:pPr>
            <w:r>
              <w:rPr>
                <w:rFonts w:hint="eastAsia" w:eastAsiaTheme="minorEastAsia"/>
                <w:color w:val="auto"/>
                <w:szCs w:val="21"/>
              </w:rPr>
              <w:t>1</w:t>
            </w:r>
          </w:p>
        </w:tc>
      </w:tr>
      <w:tr>
        <w:tblPrEx>
          <w:tblCellMar>
            <w:top w:w="0" w:type="dxa"/>
            <w:left w:w="108" w:type="dxa"/>
            <w:bottom w:w="0" w:type="dxa"/>
            <w:right w:w="108" w:type="dxa"/>
          </w:tblCellMar>
        </w:tblPrEx>
        <w:trPr>
          <w:trHeight w:val="256" w:hRule="atLeast"/>
          <w:jc w:val="center"/>
        </w:trPr>
        <w:tc>
          <w:tcPr>
            <w:tcW w:w="865" w:type="pct"/>
            <w:vAlign w:val="center"/>
          </w:tcPr>
          <w:p>
            <w:pPr>
              <w:contextualSpacing/>
              <w:jc w:val="center"/>
              <w:rPr>
                <w:rFonts w:eastAsiaTheme="minorEastAsia"/>
                <w:color w:val="auto"/>
                <w:szCs w:val="21"/>
              </w:rPr>
            </w:pPr>
            <w:r>
              <w:rPr>
                <w:rFonts w:hint="eastAsia" w:eastAsiaTheme="minorEastAsia"/>
                <w:color w:val="auto"/>
                <w:szCs w:val="21"/>
              </w:rPr>
              <w:t>11</w:t>
            </w:r>
          </w:p>
        </w:tc>
        <w:tc>
          <w:tcPr>
            <w:tcW w:w="2132" w:type="pct"/>
            <w:vAlign w:val="center"/>
          </w:tcPr>
          <w:p>
            <w:pPr>
              <w:contextualSpacing/>
              <w:jc w:val="center"/>
              <w:rPr>
                <w:color w:val="auto"/>
                <w:szCs w:val="21"/>
              </w:rPr>
            </w:pPr>
            <w:r>
              <w:rPr>
                <w:color w:val="auto"/>
                <w:szCs w:val="21"/>
              </w:rPr>
              <w:t>电控柜</w:t>
            </w:r>
          </w:p>
        </w:tc>
        <w:tc>
          <w:tcPr>
            <w:tcW w:w="771" w:type="pct"/>
            <w:vAlign w:val="center"/>
          </w:tcPr>
          <w:p>
            <w:pPr>
              <w:contextualSpacing/>
              <w:jc w:val="center"/>
              <w:rPr>
                <w:rFonts w:hAnsiTheme="minorEastAsia" w:eastAsiaTheme="minorEastAsia"/>
                <w:color w:val="auto"/>
                <w:szCs w:val="21"/>
              </w:rPr>
            </w:pPr>
            <w:r>
              <w:rPr>
                <w:rFonts w:hint="eastAsia" w:hAnsiTheme="minorEastAsia" w:eastAsiaTheme="minorEastAsia"/>
                <w:color w:val="auto"/>
                <w:szCs w:val="21"/>
              </w:rPr>
              <w:t>套</w:t>
            </w:r>
          </w:p>
        </w:tc>
        <w:tc>
          <w:tcPr>
            <w:tcW w:w="1230" w:type="pct"/>
            <w:vAlign w:val="center"/>
          </w:tcPr>
          <w:p>
            <w:pPr>
              <w:contextualSpacing/>
              <w:jc w:val="center"/>
              <w:rPr>
                <w:rFonts w:eastAsiaTheme="minorEastAsia"/>
                <w:color w:val="auto"/>
                <w:szCs w:val="21"/>
              </w:rPr>
            </w:pPr>
            <w:r>
              <w:rPr>
                <w:rFonts w:hint="eastAsia" w:eastAsiaTheme="minorEastAsia"/>
                <w:color w:val="auto"/>
                <w:szCs w:val="21"/>
              </w:rPr>
              <w:t>1</w:t>
            </w:r>
          </w:p>
        </w:tc>
      </w:tr>
    </w:tbl>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3.1.5主要原辅材料消耗</w:t>
      </w:r>
    </w:p>
    <w:p>
      <w:pPr>
        <w:spacing w:line="360" w:lineRule="auto"/>
        <w:ind w:firstLine="480" w:firstLineChars="200"/>
        <w:jc w:val="left"/>
        <w:rPr>
          <w:color w:val="auto"/>
          <w:sz w:val="24"/>
        </w:rPr>
      </w:pPr>
      <w:r>
        <w:rPr>
          <w:color w:val="auto"/>
          <w:sz w:val="24"/>
          <w:shd w:val="clear" w:color="auto" w:fill="FFFFFF"/>
        </w:rPr>
        <w:t>本项目</w:t>
      </w:r>
      <w:r>
        <w:rPr>
          <w:color w:val="auto"/>
          <w:sz w:val="24"/>
        </w:rPr>
        <w:t>主要原辅材料消耗详见表3-1-</w:t>
      </w:r>
      <w:r>
        <w:rPr>
          <w:rFonts w:hint="eastAsia"/>
          <w:color w:val="auto"/>
          <w:sz w:val="24"/>
        </w:rPr>
        <w:t>4</w:t>
      </w:r>
      <w:r>
        <w:rPr>
          <w:color w:val="auto"/>
          <w:sz w:val="24"/>
        </w:rPr>
        <w:t>。</w:t>
      </w:r>
    </w:p>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rFonts w:hint="eastAsia" w:eastAsia="宋体"/>
          <w:b/>
          <w:color w:val="auto"/>
          <w:sz w:val="24"/>
          <w:lang w:eastAsia="zh-CN"/>
        </w:rPr>
      </w:pPr>
      <w:r>
        <w:rPr>
          <w:b/>
          <w:color w:val="auto"/>
          <w:sz w:val="24"/>
        </w:rPr>
        <w:t>表3-1-</w:t>
      </w:r>
      <w:r>
        <w:rPr>
          <w:rFonts w:hint="eastAsia"/>
          <w:b/>
          <w:color w:val="auto"/>
          <w:sz w:val="24"/>
        </w:rPr>
        <w:t>4</w:t>
      </w:r>
      <w:r>
        <w:rPr>
          <w:b/>
          <w:color w:val="auto"/>
          <w:sz w:val="24"/>
        </w:rPr>
        <w:t>主要原辅材料年消耗</w:t>
      </w:r>
    </w:p>
    <w:tbl>
      <w:tblPr>
        <w:tblStyle w:val="4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9"/>
        <w:gridCol w:w="2572"/>
        <w:gridCol w:w="1992"/>
        <w:gridCol w:w="29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tblHeader/>
          <w:jc w:val="center"/>
        </w:trPr>
        <w:tc>
          <w:tcPr>
            <w:tcW w:w="586" w:type="pct"/>
            <w:vAlign w:val="center"/>
          </w:tcPr>
          <w:p>
            <w:pPr>
              <w:spacing w:line="0" w:lineRule="atLeast"/>
              <w:contextualSpacing/>
              <w:jc w:val="center"/>
              <w:rPr>
                <w:color w:val="auto"/>
                <w:kern w:val="21"/>
                <w:szCs w:val="21"/>
              </w:rPr>
            </w:pPr>
            <w:r>
              <w:rPr>
                <w:color w:val="auto"/>
                <w:kern w:val="21"/>
                <w:szCs w:val="21"/>
              </w:rPr>
              <w:t>序号</w:t>
            </w:r>
          </w:p>
        </w:tc>
        <w:tc>
          <w:tcPr>
            <w:tcW w:w="1509" w:type="pct"/>
            <w:vAlign w:val="center"/>
          </w:tcPr>
          <w:p>
            <w:pPr>
              <w:spacing w:line="0" w:lineRule="atLeast"/>
              <w:contextualSpacing/>
              <w:jc w:val="center"/>
              <w:rPr>
                <w:color w:val="auto"/>
                <w:kern w:val="21"/>
                <w:szCs w:val="21"/>
              </w:rPr>
            </w:pPr>
            <w:r>
              <w:rPr>
                <w:rFonts w:hint="eastAsia"/>
                <w:color w:val="auto"/>
                <w:kern w:val="21"/>
                <w:szCs w:val="21"/>
              </w:rPr>
              <w:t>名称</w:t>
            </w:r>
          </w:p>
        </w:tc>
        <w:tc>
          <w:tcPr>
            <w:tcW w:w="1169" w:type="pct"/>
            <w:vAlign w:val="center"/>
          </w:tcPr>
          <w:p>
            <w:pPr>
              <w:spacing w:line="0" w:lineRule="atLeast"/>
              <w:contextualSpacing/>
              <w:jc w:val="center"/>
              <w:rPr>
                <w:color w:val="auto"/>
                <w:kern w:val="21"/>
                <w:szCs w:val="21"/>
              </w:rPr>
            </w:pPr>
            <w:r>
              <w:rPr>
                <w:color w:val="auto"/>
                <w:kern w:val="21"/>
                <w:szCs w:val="21"/>
              </w:rPr>
              <w:t>数量（</w:t>
            </w:r>
          </w:p>
        </w:tc>
        <w:tc>
          <w:tcPr>
            <w:tcW w:w="1734" w:type="pct"/>
            <w:vAlign w:val="center"/>
          </w:tcPr>
          <w:p>
            <w:pPr>
              <w:spacing w:line="0" w:lineRule="atLeast"/>
              <w:contextualSpacing/>
              <w:jc w:val="center"/>
              <w:rPr>
                <w:color w:val="auto"/>
                <w:kern w:val="21"/>
                <w:szCs w:val="21"/>
              </w:rPr>
            </w:pPr>
            <w:r>
              <w:rPr>
                <w:color w:val="auto"/>
                <w:kern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586" w:type="pct"/>
            <w:vAlign w:val="center"/>
          </w:tcPr>
          <w:p>
            <w:pPr>
              <w:spacing w:line="0" w:lineRule="atLeast"/>
              <w:contextualSpacing/>
              <w:jc w:val="center"/>
              <w:rPr>
                <w:color w:val="auto"/>
                <w:kern w:val="21"/>
                <w:szCs w:val="21"/>
              </w:rPr>
            </w:pPr>
            <w:r>
              <w:rPr>
                <w:color w:val="auto"/>
                <w:kern w:val="21"/>
                <w:szCs w:val="21"/>
              </w:rPr>
              <w:t>1</w:t>
            </w:r>
          </w:p>
        </w:tc>
        <w:tc>
          <w:tcPr>
            <w:tcW w:w="1509" w:type="pct"/>
            <w:vAlign w:val="center"/>
          </w:tcPr>
          <w:p>
            <w:pPr>
              <w:spacing w:line="0" w:lineRule="atLeast"/>
              <w:contextualSpacing/>
              <w:jc w:val="center"/>
              <w:rPr>
                <w:color w:val="auto"/>
                <w:kern w:val="21"/>
                <w:szCs w:val="21"/>
              </w:rPr>
            </w:pPr>
            <w:r>
              <w:rPr>
                <w:rFonts w:hint="eastAsia"/>
                <w:color w:val="auto"/>
                <w:kern w:val="21"/>
                <w:szCs w:val="21"/>
              </w:rPr>
              <w:t>活</w:t>
            </w:r>
            <w:r>
              <w:rPr>
                <w:color w:val="auto"/>
                <w:kern w:val="21"/>
                <w:szCs w:val="21"/>
              </w:rPr>
              <w:t>肉牛</w:t>
            </w:r>
          </w:p>
        </w:tc>
        <w:tc>
          <w:tcPr>
            <w:tcW w:w="1169" w:type="pct"/>
            <w:vAlign w:val="center"/>
          </w:tcPr>
          <w:p>
            <w:pPr>
              <w:spacing w:line="0" w:lineRule="atLeast"/>
              <w:contextualSpacing/>
              <w:jc w:val="center"/>
              <w:rPr>
                <w:color w:val="auto"/>
                <w:kern w:val="21"/>
                <w:szCs w:val="21"/>
              </w:rPr>
            </w:pPr>
            <w:r>
              <w:rPr>
                <w:rFonts w:hint="eastAsia"/>
                <w:color w:val="auto"/>
                <w:kern w:val="21"/>
                <w:szCs w:val="21"/>
                <w:lang w:eastAsia="zh-CN"/>
              </w:rPr>
              <w:t>2万</w:t>
            </w:r>
            <w:r>
              <w:rPr>
                <w:rFonts w:hint="eastAsia"/>
                <w:color w:val="auto"/>
                <w:kern w:val="21"/>
                <w:szCs w:val="21"/>
              </w:rPr>
              <w:t>头/a</w:t>
            </w:r>
          </w:p>
        </w:tc>
        <w:tc>
          <w:tcPr>
            <w:tcW w:w="1734" w:type="pct"/>
            <w:vAlign w:val="center"/>
          </w:tcPr>
          <w:p>
            <w:pPr>
              <w:spacing w:line="0" w:lineRule="atLeast"/>
              <w:contextualSpacing/>
              <w:jc w:val="center"/>
              <w:rPr>
                <w:color w:val="auto"/>
                <w:kern w:val="21"/>
                <w:szCs w:val="21"/>
              </w:rPr>
            </w:pPr>
            <w:r>
              <w:rPr>
                <w:rFonts w:hint="eastAsia"/>
                <w:color w:val="auto"/>
                <w:kern w:val="21"/>
                <w:szCs w:val="21"/>
              </w:rPr>
              <w:t>约</w:t>
            </w:r>
            <w:r>
              <w:rPr>
                <w:rFonts w:hint="eastAsia"/>
                <w:color w:val="auto"/>
                <w:kern w:val="21"/>
                <w:szCs w:val="21"/>
                <w:lang w:val="en-US" w:eastAsia="zh-CN"/>
              </w:rPr>
              <w:t>10</w:t>
            </w:r>
            <w:r>
              <w:rPr>
                <w:rFonts w:hint="eastAsia"/>
                <w:color w:val="auto"/>
                <w:kern w:val="21"/>
                <w:szCs w:val="21"/>
              </w:rPr>
              <w:t>000t/a（活屠重为500kg/头）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586" w:type="pct"/>
            <w:vAlign w:val="center"/>
          </w:tcPr>
          <w:p>
            <w:pPr>
              <w:spacing w:line="0" w:lineRule="atLeast"/>
              <w:contextualSpacing/>
              <w:jc w:val="center"/>
              <w:rPr>
                <w:color w:val="auto"/>
                <w:kern w:val="21"/>
                <w:szCs w:val="21"/>
              </w:rPr>
            </w:pPr>
            <w:r>
              <w:rPr>
                <w:color w:val="auto"/>
                <w:kern w:val="21"/>
                <w:szCs w:val="21"/>
              </w:rPr>
              <w:t>2</w:t>
            </w:r>
          </w:p>
        </w:tc>
        <w:tc>
          <w:tcPr>
            <w:tcW w:w="1509" w:type="pct"/>
            <w:vAlign w:val="center"/>
          </w:tcPr>
          <w:p>
            <w:pPr>
              <w:spacing w:line="0" w:lineRule="atLeast"/>
              <w:contextualSpacing/>
              <w:jc w:val="center"/>
              <w:rPr>
                <w:color w:val="auto"/>
                <w:kern w:val="21"/>
                <w:szCs w:val="21"/>
              </w:rPr>
            </w:pPr>
            <w:r>
              <w:rPr>
                <w:rFonts w:hint="eastAsia"/>
                <w:color w:val="auto"/>
                <w:kern w:val="21"/>
                <w:szCs w:val="21"/>
              </w:rPr>
              <w:t>次氯酸钠消毒剂</w:t>
            </w:r>
          </w:p>
        </w:tc>
        <w:tc>
          <w:tcPr>
            <w:tcW w:w="1169" w:type="pct"/>
            <w:vAlign w:val="center"/>
          </w:tcPr>
          <w:p>
            <w:pPr>
              <w:spacing w:line="0" w:lineRule="atLeast"/>
              <w:contextualSpacing/>
              <w:jc w:val="center"/>
              <w:rPr>
                <w:color w:val="auto"/>
                <w:kern w:val="21"/>
                <w:szCs w:val="21"/>
              </w:rPr>
            </w:pPr>
            <w:r>
              <w:rPr>
                <w:rFonts w:hint="eastAsia"/>
                <w:color w:val="auto"/>
                <w:kern w:val="21"/>
                <w:szCs w:val="21"/>
              </w:rPr>
              <w:t>3.5t/a</w:t>
            </w:r>
          </w:p>
        </w:tc>
        <w:tc>
          <w:tcPr>
            <w:tcW w:w="1734" w:type="pct"/>
            <w:vAlign w:val="center"/>
          </w:tcPr>
          <w:p>
            <w:pPr>
              <w:spacing w:line="0" w:lineRule="atLeast"/>
              <w:ind w:firstLine="29" w:firstLineChars="14"/>
              <w:contextualSpacing/>
              <w:jc w:val="center"/>
              <w:rPr>
                <w:i/>
                <w:color w:val="auto"/>
                <w:kern w:val="21"/>
                <w:szCs w:val="21"/>
              </w:rPr>
            </w:pPr>
            <w:r>
              <w:rPr>
                <w:rFonts w:hint="eastAsia"/>
                <w:color w:val="auto"/>
                <w:szCs w:val="21"/>
              </w:rPr>
              <w:t>20kg塑料袋存放在</w:t>
            </w:r>
            <w:r>
              <w:rPr>
                <w:color w:val="auto"/>
                <w:szCs w:val="21"/>
              </w:rPr>
              <w:t>污水处理站储药间</w:t>
            </w:r>
            <w:r>
              <w:rPr>
                <w:rFonts w:hint="eastAsia"/>
                <w:color w:val="auto"/>
                <w:szCs w:val="21"/>
              </w:rPr>
              <w:t>内，最大存放量为200kg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 w:hRule="atLeast"/>
          <w:jc w:val="center"/>
        </w:trPr>
        <w:tc>
          <w:tcPr>
            <w:tcW w:w="586" w:type="pct"/>
            <w:vAlign w:val="center"/>
          </w:tcPr>
          <w:p>
            <w:pPr>
              <w:contextualSpacing/>
              <w:jc w:val="center"/>
              <w:rPr>
                <w:color w:val="auto"/>
                <w:kern w:val="21"/>
                <w:szCs w:val="21"/>
              </w:rPr>
            </w:pPr>
            <w:r>
              <w:rPr>
                <w:color w:val="auto"/>
                <w:kern w:val="21"/>
                <w:szCs w:val="21"/>
              </w:rPr>
              <w:t>3</w:t>
            </w:r>
          </w:p>
        </w:tc>
        <w:tc>
          <w:tcPr>
            <w:tcW w:w="1509" w:type="pct"/>
            <w:vAlign w:val="center"/>
          </w:tcPr>
          <w:p>
            <w:pPr>
              <w:jc w:val="center"/>
              <w:rPr>
                <w:color w:val="auto"/>
                <w:szCs w:val="21"/>
              </w:rPr>
            </w:pPr>
            <w:r>
              <w:rPr>
                <w:rFonts w:hint="eastAsia"/>
                <w:color w:val="auto"/>
                <w:szCs w:val="21"/>
              </w:rPr>
              <w:t>布氏杆菌病检测试剂盒</w:t>
            </w:r>
          </w:p>
        </w:tc>
        <w:tc>
          <w:tcPr>
            <w:tcW w:w="1169" w:type="pct"/>
            <w:vAlign w:val="center"/>
          </w:tcPr>
          <w:p>
            <w:pPr>
              <w:spacing w:line="0" w:lineRule="atLeast"/>
              <w:contextualSpacing/>
              <w:jc w:val="center"/>
              <w:rPr>
                <w:color w:val="auto"/>
                <w:kern w:val="21"/>
                <w:szCs w:val="21"/>
              </w:rPr>
            </w:pPr>
            <w:r>
              <w:rPr>
                <w:rFonts w:hint="eastAsia"/>
                <w:color w:val="auto"/>
                <w:kern w:val="21"/>
                <w:szCs w:val="21"/>
                <w:lang w:eastAsia="zh-CN"/>
              </w:rPr>
              <w:t>2</w:t>
            </w:r>
            <w:r>
              <w:rPr>
                <w:rFonts w:hint="eastAsia"/>
                <w:color w:val="auto"/>
                <w:kern w:val="21"/>
                <w:szCs w:val="21"/>
                <w:lang w:val="en-US" w:eastAsia="zh-CN"/>
              </w:rPr>
              <w:t>.5</w:t>
            </w:r>
            <w:r>
              <w:rPr>
                <w:rFonts w:hint="eastAsia"/>
                <w:color w:val="auto"/>
                <w:kern w:val="21"/>
                <w:szCs w:val="21"/>
                <w:lang w:eastAsia="zh-CN"/>
              </w:rPr>
              <w:t>万</w:t>
            </w:r>
            <w:r>
              <w:rPr>
                <w:rFonts w:hint="eastAsia"/>
                <w:color w:val="auto"/>
                <w:kern w:val="21"/>
                <w:szCs w:val="21"/>
              </w:rPr>
              <w:t>个/a</w:t>
            </w:r>
          </w:p>
        </w:tc>
        <w:tc>
          <w:tcPr>
            <w:tcW w:w="1734" w:type="pct"/>
            <w:vMerge w:val="restart"/>
            <w:vAlign w:val="center"/>
          </w:tcPr>
          <w:p>
            <w:pPr>
              <w:spacing w:line="0" w:lineRule="atLeast"/>
              <w:contextualSpacing/>
              <w:jc w:val="center"/>
              <w:rPr>
                <w:color w:val="auto"/>
                <w:kern w:val="21"/>
                <w:szCs w:val="21"/>
              </w:rPr>
            </w:pPr>
            <w:r>
              <w:rPr>
                <w:rFonts w:hint="eastAsia"/>
                <w:color w:val="auto"/>
                <w:kern w:val="21"/>
                <w:szCs w:val="21"/>
              </w:rPr>
              <w:t>用于肉牛防疫检查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586" w:type="pct"/>
            <w:vAlign w:val="center"/>
          </w:tcPr>
          <w:p>
            <w:pPr>
              <w:jc w:val="center"/>
              <w:rPr>
                <w:rFonts w:eastAsiaTheme="minorEastAsia"/>
                <w:color w:val="auto"/>
                <w:szCs w:val="21"/>
              </w:rPr>
            </w:pPr>
            <w:r>
              <w:rPr>
                <w:rFonts w:hint="eastAsia" w:eastAsiaTheme="minorEastAsia"/>
                <w:color w:val="auto"/>
                <w:szCs w:val="21"/>
              </w:rPr>
              <w:t>4</w:t>
            </w:r>
          </w:p>
        </w:tc>
        <w:tc>
          <w:tcPr>
            <w:tcW w:w="1509" w:type="pct"/>
            <w:vAlign w:val="center"/>
          </w:tcPr>
          <w:p>
            <w:pPr>
              <w:jc w:val="center"/>
              <w:rPr>
                <w:color w:val="auto"/>
                <w:szCs w:val="21"/>
              </w:rPr>
            </w:pPr>
            <w:r>
              <w:rPr>
                <w:rFonts w:hint="eastAsia"/>
                <w:color w:val="auto"/>
                <w:szCs w:val="21"/>
              </w:rPr>
              <w:t>瘦肉精检测试剂盒</w:t>
            </w:r>
          </w:p>
        </w:tc>
        <w:tc>
          <w:tcPr>
            <w:tcW w:w="1169" w:type="pct"/>
            <w:vAlign w:val="center"/>
          </w:tcPr>
          <w:p>
            <w:pPr>
              <w:spacing w:line="0" w:lineRule="atLeast"/>
              <w:contextualSpacing/>
              <w:jc w:val="center"/>
              <w:rPr>
                <w:color w:val="auto"/>
                <w:kern w:val="21"/>
                <w:szCs w:val="21"/>
              </w:rPr>
            </w:pPr>
            <w:r>
              <w:rPr>
                <w:rFonts w:hint="eastAsia"/>
                <w:color w:val="auto"/>
                <w:kern w:val="21"/>
                <w:szCs w:val="21"/>
                <w:lang w:eastAsia="zh-CN"/>
              </w:rPr>
              <w:t>2</w:t>
            </w:r>
            <w:r>
              <w:rPr>
                <w:rFonts w:hint="eastAsia"/>
                <w:color w:val="auto"/>
                <w:kern w:val="21"/>
                <w:szCs w:val="21"/>
                <w:lang w:val="en-US" w:eastAsia="zh-CN"/>
              </w:rPr>
              <w:t>.5</w:t>
            </w:r>
            <w:r>
              <w:rPr>
                <w:rFonts w:hint="eastAsia"/>
                <w:color w:val="auto"/>
                <w:kern w:val="21"/>
                <w:szCs w:val="21"/>
                <w:lang w:eastAsia="zh-CN"/>
              </w:rPr>
              <w:t>万</w:t>
            </w:r>
            <w:r>
              <w:rPr>
                <w:rFonts w:hint="eastAsia"/>
                <w:color w:val="auto"/>
                <w:kern w:val="21"/>
                <w:szCs w:val="21"/>
              </w:rPr>
              <w:t>个/a</w:t>
            </w:r>
          </w:p>
        </w:tc>
        <w:tc>
          <w:tcPr>
            <w:tcW w:w="1734" w:type="pct"/>
            <w:vMerge w:val="continue"/>
            <w:vAlign w:val="center"/>
          </w:tcPr>
          <w:p>
            <w:pPr>
              <w:spacing w:line="0" w:lineRule="atLeast"/>
              <w:contextualSpacing/>
              <w:jc w:val="center"/>
              <w:rPr>
                <w:color w:val="FF0000"/>
                <w:kern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586" w:type="pct"/>
            <w:vAlign w:val="center"/>
          </w:tcPr>
          <w:p>
            <w:pPr>
              <w:jc w:val="center"/>
              <w:rPr>
                <w:rFonts w:eastAsiaTheme="minorEastAsia"/>
                <w:color w:val="auto"/>
                <w:szCs w:val="21"/>
              </w:rPr>
            </w:pPr>
            <w:r>
              <w:rPr>
                <w:rFonts w:hint="eastAsia" w:eastAsiaTheme="minorEastAsia"/>
                <w:color w:val="auto"/>
                <w:szCs w:val="21"/>
              </w:rPr>
              <w:t>5</w:t>
            </w:r>
          </w:p>
        </w:tc>
        <w:tc>
          <w:tcPr>
            <w:tcW w:w="1509" w:type="pct"/>
            <w:vAlign w:val="center"/>
          </w:tcPr>
          <w:p>
            <w:pPr>
              <w:jc w:val="center"/>
              <w:rPr>
                <w:color w:val="auto"/>
                <w:szCs w:val="21"/>
              </w:rPr>
            </w:pPr>
            <w:r>
              <w:rPr>
                <w:rFonts w:hint="eastAsia"/>
                <w:color w:val="auto"/>
                <w:szCs w:val="21"/>
              </w:rPr>
              <w:t>PAC</w:t>
            </w:r>
          </w:p>
        </w:tc>
        <w:tc>
          <w:tcPr>
            <w:tcW w:w="1169" w:type="pct"/>
            <w:vAlign w:val="center"/>
          </w:tcPr>
          <w:p>
            <w:pPr>
              <w:spacing w:line="0" w:lineRule="atLeast"/>
              <w:contextualSpacing/>
              <w:jc w:val="center"/>
              <w:rPr>
                <w:color w:val="auto"/>
                <w:kern w:val="21"/>
                <w:szCs w:val="21"/>
              </w:rPr>
            </w:pPr>
            <w:r>
              <w:rPr>
                <w:rFonts w:hint="eastAsia"/>
                <w:color w:val="auto"/>
                <w:kern w:val="21"/>
                <w:szCs w:val="21"/>
              </w:rPr>
              <w:t>200kg/a</w:t>
            </w:r>
          </w:p>
        </w:tc>
        <w:tc>
          <w:tcPr>
            <w:tcW w:w="1734" w:type="pct"/>
            <w:vMerge w:val="restart"/>
            <w:vAlign w:val="center"/>
          </w:tcPr>
          <w:p>
            <w:pPr>
              <w:spacing w:line="0" w:lineRule="atLeast"/>
              <w:contextualSpacing/>
              <w:jc w:val="center"/>
              <w:rPr>
                <w:color w:val="auto"/>
                <w:kern w:val="21"/>
                <w:szCs w:val="21"/>
              </w:rPr>
            </w:pPr>
            <w:r>
              <w:rPr>
                <w:color w:val="auto"/>
                <w:kern w:val="21"/>
                <w:szCs w:val="21"/>
              </w:rPr>
              <w:t>存储于</w:t>
            </w:r>
            <w:r>
              <w:rPr>
                <w:color w:val="auto"/>
                <w:szCs w:val="21"/>
              </w:rPr>
              <w:t>污水处理站储药间</w:t>
            </w:r>
            <w:r>
              <w:rPr>
                <w:rFonts w:hint="eastAsia"/>
                <w:color w:val="auto"/>
                <w:szCs w:val="21"/>
              </w:rPr>
              <w:t>内，最大存放量为50kg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586" w:type="pct"/>
            <w:vAlign w:val="center"/>
          </w:tcPr>
          <w:p>
            <w:pPr>
              <w:jc w:val="center"/>
              <w:rPr>
                <w:rFonts w:eastAsiaTheme="minorEastAsia"/>
                <w:color w:val="auto"/>
                <w:szCs w:val="21"/>
              </w:rPr>
            </w:pPr>
            <w:r>
              <w:rPr>
                <w:rFonts w:hint="eastAsia" w:eastAsiaTheme="minorEastAsia"/>
                <w:color w:val="auto"/>
                <w:szCs w:val="21"/>
              </w:rPr>
              <w:t>6</w:t>
            </w:r>
          </w:p>
        </w:tc>
        <w:tc>
          <w:tcPr>
            <w:tcW w:w="1509" w:type="pct"/>
            <w:vAlign w:val="center"/>
          </w:tcPr>
          <w:p>
            <w:pPr>
              <w:jc w:val="center"/>
              <w:rPr>
                <w:color w:val="auto"/>
                <w:szCs w:val="21"/>
              </w:rPr>
            </w:pPr>
            <w:r>
              <w:rPr>
                <w:rFonts w:hint="eastAsia"/>
                <w:color w:val="auto"/>
                <w:szCs w:val="21"/>
              </w:rPr>
              <w:t>PAM</w:t>
            </w:r>
          </w:p>
        </w:tc>
        <w:tc>
          <w:tcPr>
            <w:tcW w:w="1169" w:type="pct"/>
            <w:vAlign w:val="center"/>
          </w:tcPr>
          <w:p>
            <w:pPr>
              <w:spacing w:line="0" w:lineRule="atLeast"/>
              <w:contextualSpacing/>
              <w:jc w:val="center"/>
              <w:rPr>
                <w:color w:val="auto"/>
                <w:kern w:val="21"/>
                <w:szCs w:val="21"/>
              </w:rPr>
            </w:pPr>
            <w:r>
              <w:rPr>
                <w:rFonts w:hint="eastAsia"/>
                <w:color w:val="auto"/>
                <w:kern w:val="21"/>
                <w:szCs w:val="21"/>
              </w:rPr>
              <w:t>5kg/a</w:t>
            </w:r>
          </w:p>
        </w:tc>
        <w:tc>
          <w:tcPr>
            <w:tcW w:w="1734" w:type="pct"/>
            <w:vMerge w:val="continue"/>
            <w:vAlign w:val="center"/>
          </w:tcPr>
          <w:p>
            <w:pPr>
              <w:spacing w:line="0" w:lineRule="atLeast"/>
              <w:contextualSpacing/>
              <w:jc w:val="center"/>
              <w:rPr>
                <w:color w:val="FF0000"/>
                <w:kern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1" w:hRule="atLeast"/>
          <w:jc w:val="center"/>
        </w:trPr>
        <w:tc>
          <w:tcPr>
            <w:tcW w:w="586" w:type="pct"/>
            <w:vAlign w:val="center"/>
          </w:tcPr>
          <w:p>
            <w:pPr>
              <w:jc w:val="center"/>
              <w:rPr>
                <w:rFonts w:eastAsiaTheme="minorEastAsia"/>
                <w:color w:val="auto"/>
                <w:szCs w:val="21"/>
              </w:rPr>
            </w:pPr>
            <w:r>
              <w:rPr>
                <w:rFonts w:hint="eastAsia" w:eastAsiaTheme="minorEastAsia"/>
                <w:color w:val="auto"/>
                <w:szCs w:val="21"/>
              </w:rPr>
              <w:t>7</w:t>
            </w:r>
          </w:p>
        </w:tc>
        <w:tc>
          <w:tcPr>
            <w:tcW w:w="1509" w:type="pct"/>
            <w:vAlign w:val="center"/>
          </w:tcPr>
          <w:p>
            <w:pPr>
              <w:jc w:val="center"/>
              <w:rPr>
                <w:color w:val="auto"/>
                <w:szCs w:val="21"/>
              </w:rPr>
            </w:pPr>
            <w:r>
              <w:rPr>
                <w:rFonts w:hint="eastAsia"/>
                <w:color w:val="auto"/>
                <w:szCs w:val="21"/>
              </w:rPr>
              <w:t>活性炭</w:t>
            </w:r>
          </w:p>
        </w:tc>
        <w:tc>
          <w:tcPr>
            <w:tcW w:w="1169" w:type="pct"/>
            <w:vAlign w:val="center"/>
          </w:tcPr>
          <w:p>
            <w:pPr>
              <w:spacing w:line="0" w:lineRule="atLeast"/>
              <w:contextualSpacing/>
              <w:jc w:val="center"/>
              <w:rPr>
                <w:color w:val="auto"/>
                <w:kern w:val="21"/>
                <w:szCs w:val="21"/>
              </w:rPr>
            </w:pPr>
            <w:r>
              <w:rPr>
                <w:rFonts w:hint="eastAsia"/>
                <w:color w:val="auto"/>
                <w:kern w:val="21"/>
                <w:szCs w:val="21"/>
                <w:lang w:val="en-US" w:eastAsia="zh-CN"/>
              </w:rPr>
              <w:t>0.94</w:t>
            </w:r>
            <w:r>
              <w:rPr>
                <w:rFonts w:hint="eastAsia"/>
                <w:color w:val="auto"/>
                <w:kern w:val="21"/>
                <w:szCs w:val="21"/>
              </w:rPr>
              <w:t>t/a</w:t>
            </w:r>
          </w:p>
        </w:tc>
        <w:tc>
          <w:tcPr>
            <w:tcW w:w="1734" w:type="pct"/>
            <w:vAlign w:val="center"/>
          </w:tcPr>
          <w:p>
            <w:pPr>
              <w:spacing w:line="0" w:lineRule="atLeast"/>
              <w:contextualSpacing/>
              <w:jc w:val="center"/>
              <w:rPr>
                <w:color w:val="auto"/>
                <w:kern w:val="21"/>
                <w:szCs w:val="21"/>
              </w:rPr>
            </w:pPr>
            <w:r>
              <w:rPr>
                <w:rFonts w:hint="eastAsia"/>
                <w:color w:val="auto"/>
                <w:kern w:val="21"/>
                <w:szCs w:val="21"/>
              </w:rPr>
              <w:t>存储于库房，最大存储量1t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586" w:type="pct"/>
            <w:vAlign w:val="center"/>
          </w:tcPr>
          <w:p>
            <w:pPr>
              <w:jc w:val="center"/>
              <w:rPr>
                <w:rFonts w:eastAsiaTheme="minorEastAsia"/>
                <w:color w:val="auto"/>
                <w:szCs w:val="21"/>
              </w:rPr>
            </w:pPr>
            <w:r>
              <w:rPr>
                <w:rFonts w:hint="eastAsia" w:eastAsiaTheme="minorEastAsia"/>
                <w:color w:val="auto"/>
                <w:szCs w:val="21"/>
              </w:rPr>
              <w:t>8</w:t>
            </w:r>
          </w:p>
        </w:tc>
        <w:tc>
          <w:tcPr>
            <w:tcW w:w="1509" w:type="pct"/>
            <w:vAlign w:val="center"/>
          </w:tcPr>
          <w:p>
            <w:pPr>
              <w:jc w:val="center"/>
              <w:rPr>
                <w:color w:val="auto"/>
                <w:szCs w:val="21"/>
              </w:rPr>
            </w:pPr>
            <w:r>
              <w:rPr>
                <w:rFonts w:hint="eastAsia"/>
                <w:color w:val="auto"/>
                <w:szCs w:val="21"/>
              </w:rPr>
              <w:t>包装袋</w:t>
            </w:r>
          </w:p>
        </w:tc>
        <w:tc>
          <w:tcPr>
            <w:tcW w:w="1169" w:type="pct"/>
            <w:vAlign w:val="center"/>
          </w:tcPr>
          <w:p>
            <w:pPr>
              <w:spacing w:line="0" w:lineRule="atLeast"/>
              <w:contextualSpacing/>
              <w:jc w:val="center"/>
              <w:rPr>
                <w:color w:val="auto"/>
                <w:kern w:val="21"/>
                <w:szCs w:val="21"/>
              </w:rPr>
            </w:pPr>
            <w:r>
              <w:rPr>
                <w:rFonts w:hint="eastAsia"/>
                <w:color w:val="auto"/>
                <w:kern w:val="21"/>
                <w:szCs w:val="21"/>
              </w:rPr>
              <w:t>200t/a</w:t>
            </w:r>
          </w:p>
        </w:tc>
        <w:tc>
          <w:tcPr>
            <w:tcW w:w="1734" w:type="pct"/>
            <w:vAlign w:val="center"/>
          </w:tcPr>
          <w:p>
            <w:pPr>
              <w:spacing w:line="0" w:lineRule="atLeast"/>
              <w:contextualSpacing/>
              <w:jc w:val="center"/>
              <w:rPr>
                <w:color w:val="auto"/>
                <w:kern w:val="21"/>
                <w:szCs w:val="21"/>
              </w:rPr>
            </w:pPr>
            <w:r>
              <w:rPr>
                <w:rFonts w:hint="eastAsia"/>
                <w:color w:val="auto"/>
                <w:kern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586" w:type="pct"/>
            <w:vAlign w:val="center"/>
          </w:tcPr>
          <w:p>
            <w:pPr>
              <w:jc w:val="center"/>
              <w:rPr>
                <w:rFonts w:eastAsiaTheme="minorEastAsia"/>
                <w:color w:val="auto"/>
                <w:szCs w:val="21"/>
              </w:rPr>
            </w:pPr>
            <w:r>
              <w:rPr>
                <w:rFonts w:hint="eastAsia" w:eastAsiaTheme="minorEastAsia"/>
                <w:color w:val="auto"/>
                <w:szCs w:val="21"/>
              </w:rPr>
              <w:t>9</w:t>
            </w:r>
          </w:p>
        </w:tc>
        <w:tc>
          <w:tcPr>
            <w:tcW w:w="1509" w:type="pct"/>
            <w:vAlign w:val="center"/>
          </w:tcPr>
          <w:p>
            <w:pPr>
              <w:jc w:val="center"/>
              <w:rPr>
                <w:color w:val="auto"/>
                <w:szCs w:val="21"/>
              </w:rPr>
            </w:pPr>
            <w:r>
              <w:rPr>
                <w:rFonts w:hint="eastAsia"/>
                <w:color w:val="auto"/>
                <w:szCs w:val="21"/>
              </w:rPr>
              <w:t>纸箱</w:t>
            </w:r>
          </w:p>
        </w:tc>
        <w:tc>
          <w:tcPr>
            <w:tcW w:w="1169" w:type="pct"/>
            <w:vAlign w:val="center"/>
          </w:tcPr>
          <w:p>
            <w:pPr>
              <w:spacing w:line="0" w:lineRule="atLeast"/>
              <w:contextualSpacing/>
              <w:jc w:val="center"/>
              <w:rPr>
                <w:color w:val="auto"/>
                <w:kern w:val="21"/>
                <w:szCs w:val="21"/>
              </w:rPr>
            </w:pPr>
            <w:r>
              <w:rPr>
                <w:rFonts w:hint="eastAsia"/>
                <w:color w:val="auto"/>
                <w:kern w:val="21"/>
                <w:szCs w:val="21"/>
              </w:rPr>
              <w:t>100万个/a</w:t>
            </w:r>
          </w:p>
        </w:tc>
        <w:tc>
          <w:tcPr>
            <w:tcW w:w="1734" w:type="pct"/>
            <w:vAlign w:val="center"/>
          </w:tcPr>
          <w:p>
            <w:pPr>
              <w:spacing w:line="0" w:lineRule="atLeast"/>
              <w:contextualSpacing/>
              <w:jc w:val="center"/>
              <w:rPr>
                <w:color w:val="auto"/>
                <w:kern w:val="21"/>
                <w:szCs w:val="21"/>
              </w:rPr>
            </w:pPr>
            <w:r>
              <w:rPr>
                <w:rFonts w:hint="eastAsia"/>
                <w:color w:val="auto"/>
                <w:kern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586" w:type="pct"/>
            <w:vAlign w:val="center"/>
          </w:tcPr>
          <w:p>
            <w:pPr>
              <w:jc w:val="center"/>
              <w:rPr>
                <w:rFonts w:eastAsiaTheme="minorEastAsia"/>
                <w:color w:val="auto"/>
                <w:szCs w:val="21"/>
              </w:rPr>
            </w:pPr>
            <w:r>
              <w:rPr>
                <w:rFonts w:hint="eastAsia" w:eastAsiaTheme="minorEastAsia"/>
                <w:color w:val="auto"/>
                <w:szCs w:val="21"/>
              </w:rPr>
              <w:t>10</w:t>
            </w:r>
          </w:p>
        </w:tc>
        <w:tc>
          <w:tcPr>
            <w:tcW w:w="1509" w:type="pct"/>
            <w:vAlign w:val="center"/>
          </w:tcPr>
          <w:p>
            <w:pPr>
              <w:jc w:val="center"/>
              <w:rPr>
                <w:color w:val="auto"/>
                <w:szCs w:val="21"/>
              </w:rPr>
            </w:pPr>
            <w:r>
              <w:rPr>
                <w:rFonts w:hint="eastAsia" w:eastAsiaTheme="minorEastAsia"/>
                <w:color w:val="auto"/>
                <w:szCs w:val="21"/>
                <w:lang w:val="en-US" w:eastAsia="zh-CN"/>
              </w:rPr>
              <w:t>液氨</w:t>
            </w:r>
            <w:r>
              <w:rPr>
                <w:rFonts w:hint="eastAsia" w:eastAsiaTheme="minorEastAsia"/>
                <w:color w:val="auto"/>
                <w:szCs w:val="21"/>
              </w:rPr>
              <w:t>制冷剂</w:t>
            </w:r>
          </w:p>
        </w:tc>
        <w:tc>
          <w:tcPr>
            <w:tcW w:w="1169" w:type="pct"/>
            <w:vAlign w:val="center"/>
          </w:tcPr>
          <w:p>
            <w:pPr>
              <w:spacing w:line="0" w:lineRule="atLeast"/>
              <w:contextualSpacing/>
              <w:jc w:val="center"/>
              <w:rPr>
                <w:color w:val="auto"/>
                <w:kern w:val="21"/>
                <w:szCs w:val="21"/>
              </w:rPr>
            </w:pPr>
            <w:r>
              <w:rPr>
                <w:rFonts w:hint="eastAsia"/>
                <w:color w:val="auto"/>
                <w:kern w:val="21"/>
                <w:szCs w:val="21"/>
                <w:lang w:val="en-US" w:eastAsia="zh-CN"/>
              </w:rPr>
              <w:t>8</w:t>
            </w:r>
            <w:r>
              <w:rPr>
                <w:rFonts w:hint="eastAsia"/>
                <w:color w:val="auto"/>
                <w:kern w:val="21"/>
                <w:szCs w:val="21"/>
              </w:rPr>
              <w:t>t/a</w:t>
            </w:r>
          </w:p>
        </w:tc>
        <w:tc>
          <w:tcPr>
            <w:tcW w:w="1734" w:type="pct"/>
            <w:vAlign w:val="center"/>
          </w:tcPr>
          <w:p>
            <w:pPr>
              <w:spacing w:line="0" w:lineRule="atLeast"/>
              <w:contextualSpacing/>
              <w:jc w:val="center"/>
              <w:rPr>
                <w:rFonts w:hint="default" w:eastAsia="宋体"/>
                <w:color w:val="auto"/>
                <w:kern w:val="21"/>
                <w:szCs w:val="21"/>
                <w:lang w:val="en-US" w:eastAsia="zh-CN"/>
              </w:rPr>
            </w:pPr>
            <w:r>
              <w:rPr>
                <w:rFonts w:hint="eastAsia"/>
                <w:color w:val="auto"/>
                <w:kern w:val="21"/>
                <w:szCs w:val="21"/>
                <w:lang w:val="en-US" w:eastAsia="zh-CN"/>
              </w:rPr>
              <w:t>存储在液氨罐内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586" w:type="pct"/>
            <w:vAlign w:val="center"/>
          </w:tcPr>
          <w:p>
            <w:pPr>
              <w:jc w:val="center"/>
              <w:rPr>
                <w:rFonts w:hint="default" w:eastAsiaTheme="minorEastAsia"/>
                <w:color w:val="auto"/>
                <w:szCs w:val="21"/>
                <w:lang w:val="en-US" w:eastAsia="zh-CN"/>
              </w:rPr>
            </w:pPr>
            <w:r>
              <w:rPr>
                <w:rFonts w:hint="eastAsia" w:eastAsiaTheme="minorEastAsia"/>
                <w:color w:val="auto"/>
                <w:szCs w:val="21"/>
                <w:lang w:val="en-US" w:eastAsia="zh-CN"/>
              </w:rPr>
              <w:t>11</w:t>
            </w:r>
          </w:p>
        </w:tc>
        <w:tc>
          <w:tcPr>
            <w:tcW w:w="1509" w:type="pct"/>
            <w:vAlign w:val="center"/>
          </w:tcPr>
          <w:p>
            <w:pPr>
              <w:jc w:val="center"/>
              <w:rPr>
                <w:rFonts w:hint="default" w:eastAsiaTheme="minorEastAsia"/>
                <w:color w:val="auto"/>
                <w:szCs w:val="21"/>
                <w:lang w:val="en-US" w:eastAsia="zh-CN"/>
              </w:rPr>
            </w:pPr>
            <w:r>
              <w:rPr>
                <w:rFonts w:hint="eastAsia" w:eastAsiaTheme="minorEastAsia"/>
                <w:color w:val="auto"/>
                <w:szCs w:val="21"/>
                <w:lang w:val="en-US" w:eastAsia="zh-CN"/>
              </w:rPr>
              <w:t>生物质燃料</w:t>
            </w:r>
          </w:p>
        </w:tc>
        <w:tc>
          <w:tcPr>
            <w:tcW w:w="1169" w:type="pct"/>
            <w:vAlign w:val="center"/>
          </w:tcPr>
          <w:p>
            <w:pPr>
              <w:spacing w:line="0" w:lineRule="atLeast"/>
              <w:contextualSpacing/>
              <w:jc w:val="center"/>
              <w:rPr>
                <w:rFonts w:hint="default"/>
                <w:color w:val="auto"/>
                <w:kern w:val="21"/>
                <w:szCs w:val="21"/>
                <w:lang w:val="en-US" w:eastAsia="zh-CN"/>
              </w:rPr>
            </w:pPr>
            <w:r>
              <w:rPr>
                <w:rFonts w:hint="eastAsia"/>
                <w:color w:val="auto"/>
                <w:kern w:val="21"/>
                <w:szCs w:val="21"/>
                <w:lang w:val="en-US" w:eastAsia="zh-CN"/>
              </w:rPr>
              <w:t>468</w:t>
            </w:r>
            <w:r>
              <w:rPr>
                <w:rFonts w:hint="eastAsia"/>
                <w:color w:val="auto"/>
                <w:kern w:val="21"/>
                <w:szCs w:val="21"/>
              </w:rPr>
              <w:t>t/a</w:t>
            </w:r>
          </w:p>
        </w:tc>
        <w:tc>
          <w:tcPr>
            <w:tcW w:w="1734" w:type="pct"/>
            <w:vAlign w:val="center"/>
          </w:tcPr>
          <w:p>
            <w:pPr>
              <w:spacing w:line="0" w:lineRule="atLeast"/>
              <w:contextualSpacing/>
              <w:jc w:val="center"/>
              <w:rPr>
                <w:rFonts w:hint="default"/>
                <w:color w:val="auto"/>
                <w:kern w:val="21"/>
                <w:szCs w:val="21"/>
                <w:lang w:val="en-US" w:eastAsia="zh-CN"/>
              </w:rPr>
            </w:pPr>
            <w:r>
              <w:rPr>
                <w:rFonts w:hint="eastAsia"/>
                <w:color w:val="auto"/>
                <w:kern w:val="21"/>
                <w:szCs w:val="21"/>
                <w:lang w:val="en-US" w:eastAsia="zh-CN"/>
              </w:rPr>
              <w:t>储存在锅炉房内</w:t>
            </w:r>
          </w:p>
        </w:tc>
      </w:tr>
    </w:tbl>
    <w:p>
      <w:pPr>
        <w:pStyle w:val="74"/>
        <w:keepNext w:val="0"/>
        <w:keepLines w:val="0"/>
        <w:pageBreakBefore w:val="0"/>
        <w:kinsoku/>
        <w:wordWrap/>
        <w:overflowPunct/>
        <w:topLinePunct w:val="0"/>
        <w:autoSpaceDE/>
        <w:autoSpaceDN/>
        <w:bidi w:val="0"/>
        <w:contextualSpacing/>
        <w:jc w:val="both"/>
        <w:textAlignment w:val="auto"/>
        <w:rPr>
          <w:color w:val="auto"/>
        </w:rPr>
      </w:pPr>
      <w:r>
        <w:rPr>
          <w:rFonts w:hint="eastAsia"/>
          <w:color w:val="auto"/>
        </w:rPr>
        <w:t>主要原辅材料说明：</w:t>
      </w:r>
    </w:p>
    <w:p>
      <w:pPr>
        <w:pStyle w:val="74"/>
        <w:keepNext w:val="0"/>
        <w:keepLines w:val="0"/>
        <w:pageBreakBefore w:val="0"/>
        <w:kinsoku/>
        <w:wordWrap/>
        <w:overflowPunct/>
        <w:topLinePunct w:val="0"/>
        <w:autoSpaceDE/>
        <w:autoSpaceDN/>
        <w:bidi w:val="0"/>
        <w:adjustRightInd/>
        <w:snapToGrid/>
        <w:contextualSpacing/>
        <w:jc w:val="both"/>
        <w:textAlignment w:val="auto"/>
        <w:rPr>
          <w:color w:val="auto"/>
        </w:rPr>
      </w:pPr>
      <w:r>
        <w:rPr>
          <w:rFonts w:hint="eastAsia"/>
          <w:color w:val="auto"/>
        </w:rPr>
        <w:t>消毒剂：主要成分为次氯酸钠，</w:t>
      </w:r>
      <w:r>
        <w:rPr>
          <w:color w:val="auto"/>
        </w:rPr>
        <w:t>是一种性状为微黄色（溶液）或白色粉末（固体）</w:t>
      </w:r>
      <w:r>
        <w:rPr>
          <w:rFonts w:hint="eastAsia"/>
          <w:color w:val="auto"/>
        </w:rPr>
        <w:t>的</w:t>
      </w:r>
      <w:r>
        <w:rPr>
          <w:color w:val="auto"/>
        </w:rPr>
        <w:t>化学物质，有似氯气的气味</w:t>
      </w:r>
      <w:r>
        <w:rPr>
          <w:rFonts w:hint="eastAsia"/>
          <w:color w:val="auto"/>
        </w:rPr>
        <w:t>。次氯酸钠属于</w:t>
      </w:r>
      <w:r>
        <w:rPr>
          <w:color w:val="auto"/>
        </w:rPr>
        <w:t>强氧化剂，用作漂白剂、氧化剂及水净化剂用于造纸、纺织、轻工业等，具有漂白、杀菌、消毒的作用。</w:t>
      </w:r>
      <w:r>
        <w:rPr>
          <w:rFonts w:hint="eastAsia"/>
          <w:color w:val="auto"/>
        </w:rPr>
        <w:t>还可</w:t>
      </w:r>
      <w:r>
        <w:rPr>
          <w:color w:val="auto"/>
        </w:rPr>
        <w:t>用于水的净化，以及作消毒剂、纸浆漂白等，医药工业中用制氯胺等</w:t>
      </w:r>
      <w:r>
        <w:rPr>
          <w:rFonts w:hint="eastAsia"/>
          <w:color w:val="auto"/>
        </w:rPr>
        <w:t>。化学式：</w:t>
      </w:r>
      <w:r>
        <w:rPr>
          <w:rFonts w:ascii="Times New Roman" w:hAnsi="Times New Roman" w:cs="Times New Roman"/>
          <w:color w:val="auto"/>
        </w:rPr>
        <w:t>NaClO</w:t>
      </w:r>
      <w:r>
        <w:rPr>
          <w:rFonts w:hint="eastAsia" w:ascii="Times New Roman" w:hAnsi="Times New Roman" w:cs="Times New Roman"/>
          <w:color w:val="auto"/>
        </w:rPr>
        <w:t>；分子量：74.44；</w:t>
      </w:r>
      <w:r>
        <w:rPr>
          <w:rFonts w:ascii="Times New Roman" w:hAnsi="Times New Roman" w:cs="Times New Roman"/>
          <w:color w:val="auto"/>
        </w:rPr>
        <w:t>熔点（℃）：-6；</w:t>
      </w:r>
      <w:r>
        <w:rPr>
          <w:rFonts w:hint="eastAsia" w:ascii="Times New Roman" w:hAnsi="Times New Roman" w:cs="Times New Roman"/>
          <w:color w:val="auto"/>
        </w:rPr>
        <w:t>沸点</w:t>
      </w:r>
      <w:r>
        <w:rPr>
          <w:rFonts w:ascii="Times New Roman" w:hAnsi="Times New Roman" w:cs="Times New Roman"/>
          <w:color w:val="auto"/>
        </w:rPr>
        <w:t>（℃）</w:t>
      </w:r>
      <w:r>
        <w:rPr>
          <w:rFonts w:hint="eastAsia" w:ascii="Times New Roman" w:hAnsi="Times New Roman" w:cs="Times New Roman"/>
          <w:color w:val="auto"/>
        </w:rPr>
        <w:t>：102.2；相对密度（水=1）:1.10；不燃，具有腐蚀性。</w:t>
      </w:r>
    </w:p>
    <w:p>
      <w:pPr>
        <w:pStyle w:val="14"/>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氨(NH</w:t>
      </w:r>
      <w:r>
        <w:rPr>
          <w:rFonts w:hint="eastAsia"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)是一种理想的制冷剂，代号为R717，具有良好的热力学性质。氨为无色、有刺激性辛辣味恶臭的气体，分子量17.03。比重0.597。沸点-33.33</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。溶点-77.7°C。爆炸极限为15.7%~27%(容积)。急性毒性:LD50350mg/kg(大鼠经口)</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LC501390mg/m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，4小时，(大鼠吸入)。氨在常温下加压易液化，称为液氨，接触液氨可引起严重冻伤。与水形成氨水(NH</w:t>
      </w:r>
      <w:r>
        <w:rPr>
          <w:rFonts w:hint="default"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+H</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0=NH</w:t>
      </w:r>
      <w:r>
        <w:rPr>
          <w:rFonts w:hint="default"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●H</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0)，呈弱碱性。氨水极不稳定，遇热后分解，1%水溶液PH值为11.7。浓氨水含氨28%~29%。氨在常态下呈气体，比空气轻，易逸出，具有强烈的刺激性和腐蚀性，故易造成急性中毒和灼伤。</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3.1.6产品方案</w:t>
      </w:r>
    </w:p>
    <w:p>
      <w:pPr>
        <w:widowControl/>
        <w:spacing w:line="360" w:lineRule="auto"/>
        <w:ind w:firstLine="480" w:firstLineChars="200"/>
        <w:rPr>
          <w:color w:val="auto"/>
          <w:sz w:val="24"/>
        </w:rPr>
      </w:pPr>
      <w:bookmarkStart w:id="71" w:name="_Hlk480416683"/>
      <w:r>
        <w:rPr>
          <w:color w:val="auto"/>
          <w:sz w:val="24"/>
        </w:rPr>
        <w:t>本项目</w:t>
      </w:r>
      <w:bookmarkEnd w:id="71"/>
      <w:bookmarkStart w:id="72" w:name="_Toc456590362"/>
      <w:r>
        <w:rPr>
          <w:rFonts w:hint="eastAsia"/>
          <w:color w:val="auto"/>
          <w:sz w:val="24"/>
        </w:rPr>
        <w:t>主要</w:t>
      </w:r>
      <w:r>
        <w:rPr>
          <w:color w:val="auto"/>
          <w:sz w:val="24"/>
        </w:rPr>
        <w:t>产品方案见下表</w:t>
      </w:r>
      <w:r>
        <w:rPr>
          <w:rFonts w:hint="eastAsia"/>
          <w:color w:val="auto"/>
          <w:sz w:val="24"/>
        </w:rPr>
        <w:t>。</w:t>
      </w:r>
    </w:p>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b/>
          <w:color w:val="auto"/>
          <w:kern w:val="0"/>
          <w:sz w:val="24"/>
          <w:shd w:val="clear" w:color="auto" w:fill="FFFFFF"/>
        </w:rPr>
      </w:pPr>
      <w:r>
        <w:rPr>
          <w:b/>
          <w:color w:val="auto"/>
          <w:kern w:val="0"/>
          <w:sz w:val="24"/>
          <w:shd w:val="clear" w:color="auto" w:fill="FFFFFF"/>
        </w:rPr>
        <w:t>表</w:t>
      </w:r>
      <w:r>
        <w:rPr>
          <w:rFonts w:hint="eastAsia"/>
          <w:b/>
          <w:color w:val="auto"/>
          <w:kern w:val="0"/>
          <w:sz w:val="24"/>
          <w:shd w:val="clear" w:color="auto" w:fill="FFFFFF"/>
        </w:rPr>
        <w:t>3</w:t>
      </w:r>
      <w:r>
        <w:rPr>
          <w:b/>
          <w:color w:val="auto"/>
          <w:kern w:val="0"/>
          <w:sz w:val="24"/>
          <w:shd w:val="clear" w:color="auto" w:fill="FFFFFF"/>
        </w:rPr>
        <w:t>-1-</w:t>
      </w:r>
      <w:r>
        <w:rPr>
          <w:rFonts w:hint="eastAsia"/>
          <w:b/>
          <w:color w:val="auto"/>
          <w:kern w:val="0"/>
          <w:sz w:val="24"/>
          <w:shd w:val="clear" w:color="auto" w:fill="FFFFFF"/>
          <w:lang w:val="en-US" w:eastAsia="zh-CN"/>
        </w:rPr>
        <w:t>5</w:t>
      </w:r>
      <w:r>
        <w:rPr>
          <w:b/>
          <w:color w:val="auto"/>
          <w:kern w:val="0"/>
          <w:sz w:val="24"/>
          <w:shd w:val="clear" w:color="auto" w:fill="FFFFFF"/>
        </w:rPr>
        <w:t>产品方案</w:t>
      </w:r>
    </w:p>
    <w:tbl>
      <w:tblPr>
        <w:tblStyle w:val="46"/>
        <w:tblW w:w="4999"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047"/>
        <w:gridCol w:w="1094"/>
        <w:gridCol w:w="3146"/>
        <w:gridCol w:w="1837"/>
        <w:gridCol w:w="1396"/>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79" w:hRule="atLeast"/>
          <w:jc w:val="center"/>
        </w:trPr>
        <w:tc>
          <w:tcPr>
            <w:tcW w:w="1256" w:type="pct"/>
            <w:gridSpan w:val="2"/>
            <w:vAlign w:val="center"/>
          </w:tcPr>
          <w:p>
            <w:pPr>
              <w:widowControl/>
              <w:adjustRightInd w:val="0"/>
              <w:snapToGrid w:val="0"/>
              <w:jc w:val="center"/>
              <w:rPr>
                <w:color w:val="auto"/>
                <w:kern w:val="0"/>
                <w:szCs w:val="21"/>
              </w:rPr>
            </w:pPr>
            <w:r>
              <w:rPr>
                <w:rFonts w:hint="eastAsia"/>
                <w:color w:val="auto"/>
                <w:kern w:val="0"/>
                <w:szCs w:val="21"/>
              </w:rPr>
              <w:t>年屠宰量</w:t>
            </w:r>
          </w:p>
        </w:tc>
        <w:tc>
          <w:tcPr>
            <w:tcW w:w="1846" w:type="pct"/>
            <w:vMerge w:val="restart"/>
            <w:vAlign w:val="center"/>
          </w:tcPr>
          <w:p>
            <w:pPr>
              <w:widowControl/>
              <w:adjustRightInd w:val="0"/>
              <w:snapToGrid w:val="0"/>
              <w:jc w:val="center"/>
              <w:rPr>
                <w:color w:val="auto"/>
                <w:kern w:val="0"/>
                <w:szCs w:val="21"/>
              </w:rPr>
            </w:pPr>
            <w:r>
              <w:rPr>
                <w:rFonts w:hint="eastAsia"/>
                <w:color w:val="auto"/>
                <w:kern w:val="0"/>
                <w:szCs w:val="21"/>
              </w:rPr>
              <w:t>产品名称</w:t>
            </w:r>
          </w:p>
        </w:tc>
        <w:tc>
          <w:tcPr>
            <w:tcW w:w="1078" w:type="pct"/>
            <w:vMerge w:val="restart"/>
            <w:vAlign w:val="center"/>
          </w:tcPr>
          <w:p>
            <w:pPr>
              <w:widowControl/>
              <w:adjustRightInd w:val="0"/>
              <w:snapToGrid w:val="0"/>
              <w:jc w:val="center"/>
              <w:rPr>
                <w:color w:val="auto"/>
                <w:kern w:val="0"/>
                <w:szCs w:val="21"/>
              </w:rPr>
            </w:pPr>
            <w:r>
              <w:rPr>
                <w:rFonts w:hint="eastAsia"/>
                <w:color w:val="auto"/>
                <w:kern w:val="0"/>
                <w:szCs w:val="21"/>
              </w:rPr>
              <w:t>产量</w:t>
            </w:r>
          </w:p>
        </w:tc>
        <w:tc>
          <w:tcPr>
            <w:tcW w:w="818" w:type="pct"/>
            <w:vMerge w:val="restart"/>
            <w:vAlign w:val="center"/>
          </w:tcPr>
          <w:p>
            <w:pPr>
              <w:widowControl/>
              <w:adjustRightInd w:val="0"/>
              <w:snapToGrid w:val="0"/>
              <w:jc w:val="center"/>
              <w:rPr>
                <w:color w:val="auto"/>
                <w:kern w:val="0"/>
                <w:szCs w:val="21"/>
              </w:rPr>
            </w:pPr>
            <w:r>
              <w:rPr>
                <w:rFonts w:hint="eastAsia"/>
                <w:color w:val="auto"/>
                <w:kern w:val="0"/>
                <w:szCs w:val="21"/>
              </w:rPr>
              <w:t>备注</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79" w:hRule="atLeast"/>
          <w:jc w:val="center"/>
        </w:trPr>
        <w:tc>
          <w:tcPr>
            <w:tcW w:w="614" w:type="pct"/>
            <w:vAlign w:val="center"/>
          </w:tcPr>
          <w:p>
            <w:pPr>
              <w:widowControl/>
              <w:adjustRightInd w:val="0"/>
              <w:snapToGrid w:val="0"/>
              <w:jc w:val="center"/>
              <w:rPr>
                <w:color w:val="auto"/>
                <w:kern w:val="0"/>
                <w:szCs w:val="21"/>
              </w:rPr>
            </w:pPr>
            <w:r>
              <w:rPr>
                <w:rFonts w:hint="eastAsia"/>
                <w:color w:val="auto"/>
                <w:kern w:val="0"/>
                <w:szCs w:val="21"/>
              </w:rPr>
              <w:t>数量</w:t>
            </w:r>
          </w:p>
        </w:tc>
        <w:tc>
          <w:tcPr>
            <w:tcW w:w="641" w:type="pct"/>
            <w:vAlign w:val="center"/>
          </w:tcPr>
          <w:p>
            <w:pPr>
              <w:widowControl/>
              <w:adjustRightInd w:val="0"/>
              <w:snapToGrid w:val="0"/>
              <w:jc w:val="center"/>
              <w:rPr>
                <w:color w:val="auto"/>
                <w:kern w:val="0"/>
                <w:szCs w:val="21"/>
              </w:rPr>
            </w:pPr>
            <w:r>
              <w:rPr>
                <w:rFonts w:hint="eastAsia"/>
                <w:color w:val="auto"/>
                <w:kern w:val="0"/>
                <w:szCs w:val="21"/>
              </w:rPr>
              <w:t>重量</w:t>
            </w:r>
          </w:p>
        </w:tc>
        <w:tc>
          <w:tcPr>
            <w:tcW w:w="1846" w:type="pct"/>
            <w:vMerge w:val="continue"/>
            <w:vAlign w:val="center"/>
          </w:tcPr>
          <w:p>
            <w:pPr>
              <w:widowControl/>
              <w:adjustRightInd w:val="0"/>
              <w:snapToGrid w:val="0"/>
              <w:jc w:val="center"/>
              <w:rPr>
                <w:color w:val="auto"/>
                <w:kern w:val="0"/>
                <w:szCs w:val="21"/>
              </w:rPr>
            </w:pPr>
          </w:p>
        </w:tc>
        <w:tc>
          <w:tcPr>
            <w:tcW w:w="1078" w:type="pct"/>
            <w:vMerge w:val="continue"/>
            <w:vAlign w:val="center"/>
          </w:tcPr>
          <w:p>
            <w:pPr>
              <w:widowControl/>
              <w:adjustRightInd w:val="0"/>
              <w:snapToGrid w:val="0"/>
              <w:jc w:val="center"/>
              <w:rPr>
                <w:color w:val="auto"/>
                <w:kern w:val="0"/>
                <w:szCs w:val="21"/>
              </w:rPr>
            </w:pPr>
          </w:p>
        </w:tc>
        <w:tc>
          <w:tcPr>
            <w:tcW w:w="818" w:type="pct"/>
            <w:vMerge w:val="continue"/>
            <w:vAlign w:val="center"/>
          </w:tcPr>
          <w:p>
            <w:pPr>
              <w:widowControl/>
              <w:adjustRightInd w:val="0"/>
              <w:snapToGrid w:val="0"/>
              <w:jc w:val="center"/>
              <w:rPr>
                <w:color w:val="auto"/>
                <w:kern w:val="0"/>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42" w:hRule="atLeast"/>
          <w:jc w:val="center"/>
        </w:trPr>
        <w:tc>
          <w:tcPr>
            <w:tcW w:w="614" w:type="pct"/>
            <w:vMerge w:val="restart"/>
            <w:vAlign w:val="center"/>
          </w:tcPr>
          <w:p>
            <w:pPr>
              <w:widowControl/>
              <w:adjustRightInd w:val="0"/>
              <w:snapToGrid w:val="0"/>
              <w:jc w:val="center"/>
              <w:rPr>
                <w:color w:val="auto"/>
                <w:kern w:val="0"/>
                <w:szCs w:val="21"/>
              </w:rPr>
            </w:pPr>
            <w:r>
              <w:rPr>
                <w:rFonts w:hint="eastAsia"/>
                <w:color w:val="auto"/>
                <w:kern w:val="0"/>
                <w:szCs w:val="21"/>
                <w:lang w:eastAsia="zh-CN"/>
              </w:rPr>
              <w:t>20000</w:t>
            </w:r>
            <w:r>
              <w:rPr>
                <w:rFonts w:hint="eastAsia"/>
                <w:color w:val="auto"/>
                <w:kern w:val="0"/>
                <w:szCs w:val="21"/>
              </w:rPr>
              <w:t>头/年</w:t>
            </w:r>
          </w:p>
        </w:tc>
        <w:tc>
          <w:tcPr>
            <w:tcW w:w="641" w:type="pct"/>
            <w:vMerge w:val="restart"/>
            <w:vAlign w:val="center"/>
          </w:tcPr>
          <w:p>
            <w:pPr>
              <w:widowControl/>
              <w:adjustRightInd w:val="0"/>
              <w:snapToGrid w:val="0"/>
              <w:jc w:val="center"/>
              <w:rPr>
                <w:color w:val="auto"/>
                <w:kern w:val="0"/>
                <w:szCs w:val="21"/>
              </w:rPr>
            </w:pPr>
            <w:r>
              <w:rPr>
                <w:rFonts w:hint="eastAsia"/>
                <w:color w:val="auto"/>
                <w:kern w:val="0"/>
                <w:szCs w:val="21"/>
                <w:lang w:val="en-US" w:eastAsia="zh-CN"/>
              </w:rPr>
              <w:t>10</w:t>
            </w:r>
            <w:r>
              <w:rPr>
                <w:rFonts w:hint="eastAsia"/>
                <w:color w:val="auto"/>
                <w:kern w:val="0"/>
                <w:szCs w:val="21"/>
              </w:rPr>
              <w:t>000t/a</w:t>
            </w:r>
          </w:p>
        </w:tc>
        <w:tc>
          <w:tcPr>
            <w:tcW w:w="1846" w:type="pct"/>
            <w:vAlign w:val="center"/>
          </w:tcPr>
          <w:p>
            <w:pPr>
              <w:widowControl/>
              <w:adjustRightInd w:val="0"/>
              <w:snapToGrid w:val="0"/>
              <w:jc w:val="center"/>
              <w:rPr>
                <w:color w:val="auto"/>
                <w:kern w:val="0"/>
                <w:szCs w:val="21"/>
              </w:rPr>
            </w:pPr>
            <w:r>
              <w:rPr>
                <w:rFonts w:hint="eastAsia"/>
                <w:color w:val="auto"/>
                <w:kern w:val="0"/>
                <w:szCs w:val="21"/>
              </w:rPr>
              <w:t>牛肉</w:t>
            </w:r>
          </w:p>
        </w:tc>
        <w:tc>
          <w:tcPr>
            <w:tcW w:w="1078" w:type="pct"/>
            <w:vAlign w:val="center"/>
          </w:tcPr>
          <w:p>
            <w:pPr>
              <w:widowControl/>
              <w:adjustRightInd w:val="0"/>
              <w:snapToGrid w:val="0"/>
              <w:jc w:val="center"/>
              <w:rPr>
                <w:color w:val="auto"/>
                <w:kern w:val="0"/>
                <w:szCs w:val="21"/>
              </w:rPr>
            </w:pPr>
            <w:r>
              <w:rPr>
                <w:rFonts w:hint="eastAsia"/>
                <w:color w:val="auto"/>
                <w:kern w:val="0"/>
                <w:szCs w:val="21"/>
                <w:lang w:val="en-US" w:eastAsia="zh-CN"/>
              </w:rPr>
              <w:t>6</w:t>
            </w:r>
            <w:r>
              <w:rPr>
                <w:rFonts w:hint="eastAsia"/>
                <w:color w:val="auto"/>
                <w:kern w:val="0"/>
                <w:szCs w:val="21"/>
              </w:rPr>
              <w:t>000t/a</w:t>
            </w:r>
          </w:p>
        </w:tc>
        <w:tc>
          <w:tcPr>
            <w:tcW w:w="818" w:type="pct"/>
            <w:vAlign w:val="center"/>
          </w:tcPr>
          <w:p>
            <w:pPr>
              <w:widowControl/>
              <w:adjustRightInd w:val="0"/>
              <w:snapToGrid w:val="0"/>
              <w:jc w:val="center"/>
              <w:rPr>
                <w:color w:val="auto"/>
                <w:kern w:val="0"/>
                <w:szCs w:val="21"/>
              </w:rPr>
            </w:pPr>
            <w:r>
              <w:rPr>
                <w:rFonts w:hint="eastAsia"/>
                <w:color w:val="auto"/>
                <w:kern w:val="0"/>
                <w:szCs w:val="21"/>
              </w:rPr>
              <w:t>主产品</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37" w:hRule="atLeast"/>
          <w:jc w:val="center"/>
        </w:trPr>
        <w:tc>
          <w:tcPr>
            <w:tcW w:w="614" w:type="pct"/>
            <w:vMerge w:val="continue"/>
            <w:vAlign w:val="center"/>
          </w:tcPr>
          <w:p>
            <w:pPr>
              <w:widowControl/>
              <w:adjustRightInd w:val="0"/>
              <w:snapToGrid w:val="0"/>
              <w:jc w:val="center"/>
              <w:rPr>
                <w:color w:val="auto"/>
                <w:kern w:val="0"/>
                <w:szCs w:val="21"/>
              </w:rPr>
            </w:pPr>
          </w:p>
        </w:tc>
        <w:tc>
          <w:tcPr>
            <w:tcW w:w="641" w:type="pct"/>
            <w:vMerge w:val="continue"/>
            <w:vAlign w:val="center"/>
          </w:tcPr>
          <w:p>
            <w:pPr>
              <w:widowControl/>
              <w:adjustRightInd w:val="0"/>
              <w:snapToGrid w:val="0"/>
              <w:jc w:val="center"/>
              <w:rPr>
                <w:color w:val="auto"/>
                <w:kern w:val="0"/>
                <w:szCs w:val="21"/>
              </w:rPr>
            </w:pPr>
          </w:p>
        </w:tc>
        <w:tc>
          <w:tcPr>
            <w:tcW w:w="1846" w:type="pct"/>
            <w:vAlign w:val="center"/>
          </w:tcPr>
          <w:p>
            <w:pPr>
              <w:widowControl/>
              <w:adjustRightInd w:val="0"/>
              <w:snapToGrid w:val="0"/>
              <w:jc w:val="center"/>
              <w:rPr>
                <w:color w:val="auto"/>
                <w:kern w:val="0"/>
                <w:szCs w:val="21"/>
              </w:rPr>
            </w:pPr>
            <w:r>
              <w:rPr>
                <w:rFonts w:hint="eastAsia"/>
                <w:color w:val="auto"/>
                <w:kern w:val="0"/>
                <w:szCs w:val="21"/>
              </w:rPr>
              <w:t>牛骨</w:t>
            </w:r>
          </w:p>
        </w:tc>
        <w:tc>
          <w:tcPr>
            <w:tcW w:w="1078" w:type="pct"/>
            <w:vAlign w:val="center"/>
          </w:tcPr>
          <w:p>
            <w:pPr>
              <w:widowControl/>
              <w:adjustRightInd w:val="0"/>
              <w:snapToGrid w:val="0"/>
              <w:jc w:val="center"/>
              <w:rPr>
                <w:color w:val="auto"/>
                <w:kern w:val="0"/>
                <w:szCs w:val="21"/>
              </w:rPr>
            </w:pPr>
            <w:r>
              <w:rPr>
                <w:rFonts w:hint="eastAsia"/>
                <w:color w:val="auto"/>
                <w:kern w:val="0"/>
                <w:szCs w:val="21"/>
                <w:lang w:val="en-US" w:eastAsia="zh-CN"/>
              </w:rPr>
              <w:t>600</w:t>
            </w:r>
            <w:r>
              <w:rPr>
                <w:rFonts w:hint="eastAsia"/>
                <w:color w:val="auto"/>
                <w:kern w:val="0"/>
                <w:szCs w:val="21"/>
              </w:rPr>
              <w:t>t/a</w:t>
            </w:r>
          </w:p>
        </w:tc>
        <w:tc>
          <w:tcPr>
            <w:tcW w:w="818" w:type="pct"/>
            <w:vMerge w:val="restart"/>
            <w:vAlign w:val="center"/>
          </w:tcPr>
          <w:p>
            <w:pPr>
              <w:widowControl/>
              <w:adjustRightInd w:val="0"/>
              <w:snapToGrid w:val="0"/>
              <w:jc w:val="center"/>
              <w:rPr>
                <w:color w:val="auto"/>
                <w:kern w:val="0"/>
                <w:szCs w:val="21"/>
              </w:rPr>
            </w:pPr>
            <w:r>
              <w:rPr>
                <w:rFonts w:hint="eastAsia"/>
                <w:color w:val="auto"/>
                <w:kern w:val="0"/>
                <w:szCs w:val="21"/>
              </w:rPr>
              <w:t>副产品</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42" w:hRule="atLeast"/>
          <w:jc w:val="center"/>
        </w:trPr>
        <w:tc>
          <w:tcPr>
            <w:tcW w:w="614" w:type="pct"/>
            <w:vMerge w:val="continue"/>
            <w:vAlign w:val="center"/>
          </w:tcPr>
          <w:p>
            <w:pPr>
              <w:widowControl/>
              <w:adjustRightInd w:val="0"/>
              <w:snapToGrid w:val="0"/>
              <w:jc w:val="center"/>
              <w:rPr>
                <w:color w:val="auto"/>
                <w:kern w:val="0"/>
                <w:szCs w:val="21"/>
              </w:rPr>
            </w:pPr>
          </w:p>
        </w:tc>
        <w:tc>
          <w:tcPr>
            <w:tcW w:w="641" w:type="pct"/>
            <w:vMerge w:val="continue"/>
            <w:vAlign w:val="center"/>
          </w:tcPr>
          <w:p>
            <w:pPr>
              <w:widowControl/>
              <w:adjustRightInd w:val="0"/>
              <w:snapToGrid w:val="0"/>
              <w:jc w:val="center"/>
              <w:rPr>
                <w:color w:val="auto"/>
                <w:kern w:val="0"/>
                <w:szCs w:val="21"/>
              </w:rPr>
            </w:pPr>
          </w:p>
        </w:tc>
        <w:tc>
          <w:tcPr>
            <w:tcW w:w="1846" w:type="pct"/>
            <w:vAlign w:val="center"/>
          </w:tcPr>
          <w:p>
            <w:pPr>
              <w:widowControl/>
              <w:adjustRightInd w:val="0"/>
              <w:snapToGrid w:val="0"/>
              <w:jc w:val="center"/>
              <w:rPr>
                <w:color w:val="auto"/>
                <w:kern w:val="0"/>
                <w:szCs w:val="21"/>
              </w:rPr>
            </w:pPr>
            <w:r>
              <w:rPr>
                <w:rFonts w:hint="eastAsia"/>
                <w:color w:val="auto"/>
                <w:kern w:val="0"/>
                <w:szCs w:val="21"/>
              </w:rPr>
              <w:t>牛皮</w:t>
            </w:r>
          </w:p>
        </w:tc>
        <w:tc>
          <w:tcPr>
            <w:tcW w:w="1078" w:type="pct"/>
            <w:vAlign w:val="center"/>
          </w:tcPr>
          <w:p>
            <w:pPr>
              <w:widowControl/>
              <w:adjustRightInd w:val="0"/>
              <w:snapToGrid w:val="0"/>
              <w:jc w:val="center"/>
              <w:rPr>
                <w:color w:val="auto"/>
                <w:kern w:val="0"/>
                <w:szCs w:val="21"/>
              </w:rPr>
            </w:pPr>
            <w:r>
              <w:rPr>
                <w:rFonts w:hint="eastAsia"/>
                <w:color w:val="auto"/>
                <w:kern w:val="0"/>
                <w:szCs w:val="21"/>
                <w:lang w:val="en-US" w:eastAsia="zh-CN"/>
              </w:rPr>
              <w:t>550</w:t>
            </w:r>
            <w:r>
              <w:rPr>
                <w:rFonts w:hint="eastAsia"/>
                <w:color w:val="auto"/>
                <w:kern w:val="0"/>
                <w:szCs w:val="21"/>
              </w:rPr>
              <w:t>t/a</w:t>
            </w:r>
          </w:p>
        </w:tc>
        <w:tc>
          <w:tcPr>
            <w:tcW w:w="818" w:type="pct"/>
            <w:vMerge w:val="continue"/>
            <w:vAlign w:val="center"/>
          </w:tcPr>
          <w:p>
            <w:pPr>
              <w:widowControl/>
              <w:adjustRightInd w:val="0"/>
              <w:snapToGrid w:val="0"/>
              <w:jc w:val="center"/>
              <w:rPr>
                <w:color w:val="auto"/>
                <w:kern w:val="0"/>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42" w:hRule="atLeast"/>
          <w:jc w:val="center"/>
        </w:trPr>
        <w:tc>
          <w:tcPr>
            <w:tcW w:w="614" w:type="pct"/>
            <w:vMerge w:val="continue"/>
            <w:vAlign w:val="center"/>
          </w:tcPr>
          <w:p>
            <w:pPr>
              <w:widowControl/>
              <w:adjustRightInd w:val="0"/>
              <w:snapToGrid w:val="0"/>
              <w:jc w:val="center"/>
              <w:rPr>
                <w:color w:val="auto"/>
                <w:kern w:val="0"/>
                <w:szCs w:val="21"/>
              </w:rPr>
            </w:pPr>
          </w:p>
        </w:tc>
        <w:tc>
          <w:tcPr>
            <w:tcW w:w="641" w:type="pct"/>
            <w:vMerge w:val="continue"/>
            <w:vAlign w:val="center"/>
          </w:tcPr>
          <w:p>
            <w:pPr>
              <w:widowControl/>
              <w:adjustRightInd w:val="0"/>
              <w:snapToGrid w:val="0"/>
              <w:jc w:val="center"/>
              <w:rPr>
                <w:color w:val="auto"/>
                <w:kern w:val="0"/>
                <w:szCs w:val="21"/>
              </w:rPr>
            </w:pPr>
          </w:p>
        </w:tc>
        <w:tc>
          <w:tcPr>
            <w:tcW w:w="1846" w:type="pct"/>
            <w:vAlign w:val="center"/>
          </w:tcPr>
          <w:p>
            <w:pPr>
              <w:widowControl/>
              <w:adjustRightInd w:val="0"/>
              <w:snapToGrid w:val="0"/>
              <w:jc w:val="center"/>
              <w:rPr>
                <w:color w:val="auto"/>
                <w:kern w:val="0"/>
                <w:szCs w:val="21"/>
              </w:rPr>
            </w:pPr>
            <w:r>
              <w:rPr>
                <w:rFonts w:hint="eastAsia"/>
                <w:color w:val="auto"/>
                <w:kern w:val="0"/>
                <w:szCs w:val="21"/>
              </w:rPr>
              <w:t>牛血</w:t>
            </w:r>
          </w:p>
        </w:tc>
        <w:tc>
          <w:tcPr>
            <w:tcW w:w="1078" w:type="pct"/>
            <w:vAlign w:val="center"/>
          </w:tcPr>
          <w:p>
            <w:pPr>
              <w:widowControl/>
              <w:adjustRightInd w:val="0"/>
              <w:snapToGrid w:val="0"/>
              <w:jc w:val="center"/>
              <w:rPr>
                <w:color w:val="auto"/>
                <w:kern w:val="0"/>
                <w:szCs w:val="21"/>
              </w:rPr>
            </w:pPr>
            <w:r>
              <w:rPr>
                <w:rFonts w:hint="eastAsia"/>
                <w:color w:val="auto"/>
                <w:kern w:val="0"/>
                <w:szCs w:val="21"/>
                <w:lang w:val="en-US" w:eastAsia="zh-CN"/>
              </w:rPr>
              <w:t>50</w:t>
            </w:r>
            <w:r>
              <w:rPr>
                <w:rFonts w:hint="eastAsia"/>
                <w:color w:val="auto"/>
                <w:kern w:val="0"/>
                <w:szCs w:val="21"/>
              </w:rPr>
              <w:t>0t/a</w:t>
            </w:r>
          </w:p>
        </w:tc>
        <w:tc>
          <w:tcPr>
            <w:tcW w:w="818" w:type="pct"/>
            <w:vMerge w:val="continue"/>
            <w:vAlign w:val="center"/>
          </w:tcPr>
          <w:p>
            <w:pPr>
              <w:widowControl/>
              <w:adjustRightInd w:val="0"/>
              <w:snapToGrid w:val="0"/>
              <w:jc w:val="center"/>
              <w:rPr>
                <w:color w:val="auto"/>
                <w:kern w:val="0"/>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72" w:hRule="atLeast"/>
          <w:jc w:val="center"/>
        </w:trPr>
        <w:tc>
          <w:tcPr>
            <w:tcW w:w="614" w:type="pct"/>
            <w:vMerge w:val="continue"/>
            <w:vAlign w:val="center"/>
          </w:tcPr>
          <w:p>
            <w:pPr>
              <w:widowControl/>
              <w:adjustRightInd w:val="0"/>
              <w:snapToGrid w:val="0"/>
              <w:jc w:val="center"/>
              <w:rPr>
                <w:color w:val="auto"/>
                <w:kern w:val="0"/>
                <w:szCs w:val="21"/>
              </w:rPr>
            </w:pPr>
          </w:p>
        </w:tc>
        <w:tc>
          <w:tcPr>
            <w:tcW w:w="641" w:type="pct"/>
            <w:vMerge w:val="continue"/>
            <w:vAlign w:val="center"/>
          </w:tcPr>
          <w:p>
            <w:pPr>
              <w:widowControl/>
              <w:adjustRightInd w:val="0"/>
              <w:snapToGrid w:val="0"/>
              <w:jc w:val="center"/>
              <w:rPr>
                <w:color w:val="auto"/>
                <w:kern w:val="0"/>
                <w:szCs w:val="21"/>
              </w:rPr>
            </w:pPr>
          </w:p>
        </w:tc>
        <w:tc>
          <w:tcPr>
            <w:tcW w:w="1846" w:type="pct"/>
            <w:vAlign w:val="center"/>
          </w:tcPr>
          <w:p>
            <w:pPr>
              <w:widowControl/>
              <w:adjustRightInd w:val="0"/>
              <w:snapToGrid w:val="0"/>
              <w:jc w:val="center"/>
              <w:rPr>
                <w:color w:val="auto"/>
                <w:kern w:val="0"/>
                <w:szCs w:val="21"/>
              </w:rPr>
            </w:pPr>
            <w:r>
              <w:rPr>
                <w:rFonts w:hint="eastAsia"/>
                <w:color w:val="auto"/>
                <w:kern w:val="0"/>
                <w:szCs w:val="21"/>
              </w:rPr>
              <w:t>头、蹄、内脏</w:t>
            </w:r>
          </w:p>
        </w:tc>
        <w:tc>
          <w:tcPr>
            <w:tcW w:w="1078" w:type="pct"/>
            <w:vAlign w:val="center"/>
          </w:tcPr>
          <w:p>
            <w:pPr>
              <w:widowControl/>
              <w:adjustRightInd w:val="0"/>
              <w:snapToGrid w:val="0"/>
              <w:jc w:val="center"/>
              <w:rPr>
                <w:color w:val="auto"/>
                <w:kern w:val="0"/>
                <w:szCs w:val="21"/>
              </w:rPr>
            </w:pPr>
            <w:r>
              <w:rPr>
                <w:rFonts w:hint="eastAsia"/>
                <w:color w:val="auto"/>
                <w:kern w:val="0"/>
                <w:szCs w:val="21"/>
                <w:lang w:val="en-US" w:eastAsia="zh-CN"/>
              </w:rPr>
              <w:t>1950</w:t>
            </w:r>
            <w:r>
              <w:rPr>
                <w:rFonts w:hint="eastAsia"/>
                <w:color w:val="auto"/>
                <w:kern w:val="0"/>
                <w:szCs w:val="21"/>
              </w:rPr>
              <w:t>t/a</w:t>
            </w:r>
          </w:p>
        </w:tc>
        <w:tc>
          <w:tcPr>
            <w:tcW w:w="818" w:type="pct"/>
            <w:vMerge w:val="continue"/>
            <w:vAlign w:val="center"/>
          </w:tcPr>
          <w:p>
            <w:pPr>
              <w:widowControl/>
              <w:adjustRightInd w:val="0"/>
              <w:snapToGrid w:val="0"/>
              <w:jc w:val="center"/>
              <w:rPr>
                <w:color w:val="auto"/>
                <w:kern w:val="0"/>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72" w:hRule="atLeast"/>
          <w:jc w:val="center"/>
        </w:trPr>
        <w:tc>
          <w:tcPr>
            <w:tcW w:w="1256" w:type="pct"/>
            <w:gridSpan w:val="2"/>
            <w:vAlign w:val="center"/>
          </w:tcPr>
          <w:p>
            <w:pPr>
              <w:widowControl/>
              <w:adjustRightInd w:val="0"/>
              <w:snapToGrid w:val="0"/>
              <w:jc w:val="center"/>
              <w:rPr>
                <w:color w:val="auto"/>
                <w:kern w:val="0"/>
                <w:szCs w:val="21"/>
              </w:rPr>
            </w:pPr>
            <w:r>
              <w:rPr>
                <w:rFonts w:hint="eastAsia"/>
                <w:color w:val="auto"/>
                <w:kern w:val="0"/>
                <w:szCs w:val="21"/>
              </w:rPr>
              <w:t>备注</w:t>
            </w:r>
          </w:p>
        </w:tc>
        <w:tc>
          <w:tcPr>
            <w:tcW w:w="3743" w:type="pct"/>
            <w:gridSpan w:val="3"/>
            <w:vAlign w:val="center"/>
          </w:tcPr>
          <w:p>
            <w:pPr>
              <w:widowControl/>
              <w:adjustRightInd w:val="0"/>
              <w:snapToGrid w:val="0"/>
              <w:jc w:val="center"/>
              <w:rPr>
                <w:color w:val="auto"/>
                <w:kern w:val="0"/>
                <w:szCs w:val="21"/>
              </w:rPr>
            </w:pPr>
            <w:r>
              <w:rPr>
                <w:rFonts w:hint="eastAsia"/>
                <w:color w:val="auto"/>
                <w:kern w:val="0"/>
                <w:szCs w:val="21"/>
              </w:rPr>
              <w:t>活屠牛重按500kg/头计</w:t>
            </w:r>
          </w:p>
        </w:tc>
      </w:tr>
    </w:tbl>
    <w:p>
      <w:pPr>
        <w:spacing w:line="360" w:lineRule="auto"/>
        <w:rPr>
          <w:color w:val="FF0000"/>
        </w:rPr>
      </w:pPr>
      <w:r>
        <w:rPr>
          <w:color w:val="FF0000"/>
        </w:rPr>
        <w:pict>
          <v:group id="_x0000_s3980" o:spid="_x0000_s3980" o:spt="203" style="height:324.25pt;width:415.3pt;" coordorigin="2362,6847" coordsize="7200,5621" editas="canvas">
            <o:lock v:ext="edit"/>
            <v:shape id="_x0000_s3979" o:spid="_x0000_s3979" o:spt="75" type="#_x0000_t75" style="position:absolute;left:2362;top:6847;height:5621;width:7200;" o:preferrelative="f" coordsize="21600,21600">
              <v:fill focussize="0,0"/>
              <v:stroke/>
              <v:imagedata o:title=""/>
              <o:lock v:ext="edit" text="t" aspectratio="t"/>
            </v:shape>
            <v:rect id="_x0000_s3981" o:spid="_x0000_s3981" o:spt="1" style="position:absolute;left:5340;top:6988;height:428;width:1287;" coordsize="21600,21600">
              <v:path/>
              <v:fill focussize="0,0"/>
              <v:stroke/>
              <v:imagedata o:title=""/>
              <o:lock v:ext="edit"/>
              <v:textbox>
                <w:txbxContent>
                  <w:p>
                    <w:r>
                      <w:t>肉牛</w:t>
                    </w:r>
                    <w:r>
                      <w:rPr>
                        <w:rFonts w:hint="eastAsia"/>
                        <w:lang w:eastAsia="zh-CN"/>
                      </w:rPr>
                      <w:t>2万</w:t>
                    </w:r>
                    <w:r>
                      <w:rPr>
                        <w:rFonts w:hint="eastAsia"/>
                      </w:rPr>
                      <w:t>头</w:t>
                    </w:r>
                  </w:p>
                </w:txbxContent>
              </v:textbox>
            </v:rect>
            <v:shape id="_x0000_s3982" o:spid="_x0000_s3982" o:spt="32" type="#_x0000_t32" style="position:absolute;left:5977;top:7416;height:430;width:1;" o:connectortype="straight" filled="f" coordsize="21600,21600">
              <v:path arrowok="t"/>
              <v:fill on="f" focussize="0,0"/>
              <v:stroke endarrow="block"/>
              <v:imagedata o:title=""/>
              <o:lock v:ext="edit"/>
            </v:shape>
            <v:rect id="_x0000_s3983" o:spid="_x0000_s3983" o:spt="1" style="position:absolute;left:5340;top:8702;height:426;width:1287;" coordsize="21600,21600">
              <v:path/>
              <v:fill focussize="0,0"/>
              <v:stroke/>
              <v:imagedata o:title=""/>
              <o:lock v:ext="edit"/>
              <v:textbox>
                <w:txbxContent>
                  <w:p>
                    <w:pPr>
                      <w:jc w:val="center"/>
                    </w:pPr>
                    <w:r>
                      <w:rPr>
                        <w:rFonts w:hint="eastAsia"/>
                      </w:rPr>
                      <w:t>待宰</w:t>
                    </w:r>
                  </w:p>
                </w:txbxContent>
              </v:textbox>
            </v:rect>
            <v:shape id="_x0000_s3984" o:spid="_x0000_s3984" o:spt="32" type="#_x0000_t32" style="position:absolute;left:6628;top:8896;height:3;width:506;" o:connectortype="straight" filled="f" coordsize="21600,21600">
              <v:path arrowok="t"/>
              <v:fill on="f" focussize="0,0"/>
              <v:stroke endarrow="block"/>
              <v:imagedata o:title=""/>
              <o:lock v:ext="edit"/>
            </v:shape>
            <v:rect id="_x0000_s3985" o:spid="_x0000_s3985" o:spt="1" style="position:absolute;left:7027;top:8702;height:426;width:1471;" filled="f" stroked="f" coordsize="21600,21600">
              <v:path/>
              <v:fill on="f" focussize="0,0"/>
              <v:stroke on="f"/>
              <v:imagedata o:title=""/>
              <o:lock v:ext="edit"/>
              <v:textbox>
                <w:txbxContent>
                  <w:p>
                    <w:pPr>
                      <w:jc w:val="center"/>
                      <w:rPr>
                        <w:rFonts w:hint="eastAsia" w:eastAsia="宋体"/>
                        <w:lang w:eastAsia="zh-CN"/>
                      </w:rPr>
                    </w:pPr>
                    <w:r>
                      <w:rPr>
                        <w:rFonts w:hint="eastAsia"/>
                      </w:rPr>
                      <w:t>粪便：</w:t>
                    </w:r>
                    <w:r>
                      <w:rPr>
                        <w:rFonts w:hint="eastAsia"/>
                        <w:lang w:eastAsia="zh-CN"/>
                      </w:rPr>
                      <w:t>217.6</w:t>
                    </w:r>
                  </w:p>
                </w:txbxContent>
              </v:textbox>
            </v:rect>
            <v:rect id="_x0000_s3986" o:spid="_x0000_s3986" o:spt="1" style="position:absolute;left:5979;top:7417;height:429;width:894;" filled="f" stroked="f" coordsize="21600,21600">
              <v:path/>
              <v:fill on="f" focussize="0,0"/>
              <v:stroke on="f"/>
              <v:imagedata o:title=""/>
              <o:lock v:ext="edit"/>
              <v:textbox>
                <w:txbxContent>
                  <w:p>
                    <w:pPr>
                      <w:jc w:val="center"/>
                    </w:pPr>
                    <w:r>
                      <w:rPr>
                        <w:rFonts w:hint="eastAsia"/>
                        <w:lang w:val="en-US" w:eastAsia="zh-CN"/>
                      </w:rPr>
                      <w:t>10</w:t>
                    </w:r>
                    <w:r>
                      <w:rPr>
                        <w:rFonts w:hint="eastAsia"/>
                      </w:rPr>
                      <w:t>000</w:t>
                    </w:r>
                  </w:p>
                </w:txbxContent>
              </v:textbox>
            </v:rect>
            <v:shape id="_x0000_s3987" o:spid="_x0000_s3987" o:spt="32" type="#_x0000_t32" style="position:absolute;left:5980;top:9128;height:858;width:4;" o:connectortype="straight" filled="f" coordsize="21600,21600">
              <v:path arrowok="t"/>
              <v:fill on="f" focussize="0,0"/>
              <v:stroke endarrow="block"/>
              <v:imagedata o:title=""/>
              <o:lock v:ext="edit"/>
            </v:shape>
            <v:rect id="_x0000_s3988" o:spid="_x0000_s3988" o:spt="1" style="position:absolute;left:5340;top:9986;height:426;width:1287;" coordsize="21600,21600">
              <v:path/>
              <v:fill focussize="0,0"/>
              <v:stroke/>
              <v:imagedata o:title=""/>
              <o:lock v:ext="edit"/>
              <v:textbox>
                <w:txbxContent>
                  <w:p>
                    <w:pPr>
                      <w:jc w:val="center"/>
                    </w:pPr>
                    <w:r>
                      <w:rPr>
                        <w:rFonts w:hint="eastAsia"/>
                      </w:rPr>
                      <w:t>肉牛屠宰</w:t>
                    </w:r>
                  </w:p>
                </w:txbxContent>
              </v:textbox>
            </v:rect>
            <v:rect id="_x0000_s3989" o:spid="_x0000_s3989" o:spt="1" style="position:absolute;left:5340;top:7845;height:426;width:1287;" coordsize="21600,21600">
              <v:path/>
              <v:fill focussize="0,0"/>
              <v:stroke/>
              <v:imagedata o:title=""/>
              <o:lock v:ext="edit"/>
              <v:textbox>
                <w:txbxContent>
                  <w:p>
                    <w:pPr>
                      <w:jc w:val="center"/>
                    </w:pPr>
                    <w:r>
                      <w:rPr>
                        <w:rFonts w:hint="eastAsia"/>
                      </w:rPr>
                      <w:t>宰前检疫</w:t>
                    </w:r>
                  </w:p>
                </w:txbxContent>
              </v:textbox>
            </v:rect>
            <v:shape id="_x0000_s3990" o:spid="_x0000_s3990" o:spt="32" type="#_x0000_t32" style="position:absolute;left:4885;top:8041;flip:x;height:1;width:455;" o:connectortype="straight" filled="f" coordsize="21600,21600">
              <v:path arrowok="t"/>
              <v:fill on="f" focussize="0,0"/>
              <v:stroke endarrow="block"/>
              <v:imagedata o:title=""/>
              <o:lock v:ext="edit"/>
            </v:shape>
            <v:rect id="_x0000_s3991" o:spid="_x0000_s3991" o:spt="1" style="position:absolute;left:2609;top:7845;height:426;width:2276;" filled="f" stroked="f" coordsize="21600,21600">
              <v:path/>
              <v:fill on="f" focussize="0,0"/>
              <v:stroke on="f"/>
              <v:imagedata o:title=""/>
              <o:lock v:ext="edit"/>
              <v:textbox>
                <w:txbxContent>
                  <w:p>
                    <w:pPr>
                      <w:jc w:val="center"/>
                    </w:pPr>
                    <w:r>
                      <w:rPr>
                        <w:rFonts w:hint="eastAsia"/>
                      </w:rPr>
                      <w:t>不合格肉牛及病死牛：1</w:t>
                    </w:r>
                  </w:p>
                </w:txbxContent>
              </v:textbox>
            </v:rect>
            <v:shape id="_x0000_s3992" o:spid="_x0000_s3992" o:spt="32" type="#_x0000_t32" style="position:absolute;left:5979;top:8271;height:431;width:1;" o:connectortype="straight" filled="f" coordsize="21600,21600">
              <v:path arrowok="t"/>
              <v:fill on="f" focussize="0,0"/>
              <v:stroke endarrow="block"/>
              <v:imagedata o:title=""/>
              <o:lock v:ext="edit"/>
            </v:shape>
            <v:rect id="_x0000_s3993" o:spid="_x0000_s3993" o:spt="1" style="position:absolute;left:5977;top:8273;height:429;width:893;" filled="f" stroked="f" coordsize="21600,21600">
              <v:path/>
              <v:fill on="f" focussize="0,0"/>
              <v:stroke on="f"/>
              <v:imagedata o:title=""/>
              <o:lock v:ext="edit"/>
              <v:textbox>
                <w:txbxContent>
                  <w:p>
                    <w:pPr>
                      <w:jc w:val="center"/>
                    </w:pPr>
                    <w:r>
                      <w:rPr>
                        <w:rFonts w:hint="eastAsia"/>
                        <w:lang w:val="en-US" w:eastAsia="zh-CN"/>
                      </w:rPr>
                      <w:t>9</w:t>
                    </w:r>
                    <w:r>
                      <w:rPr>
                        <w:rFonts w:hint="eastAsia"/>
                      </w:rPr>
                      <w:t>999</w:t>
                    </w:r>
                  </w:p>
                </w:txbxContent>
              </v:textbox>
            </v:rect>
            <v:rect id="_x0000_s3994" o:spid="_x0000_s3994" o:spt="1" style="position:absolute;left:5839;top:9341;height:429;width:893;" filled="f" stroked="f" coordsize="21600,21600">
              <v:path/>
              <v:fill on="f" focussize="0,0"/>
              <v:stroke on="f"/>
              <v:imagedata o:title=""/>
              <o:lock v:ext="edit"/>
              <v:textbox>
                <w:txbxContent>
                  <w:p>
                    <w:pPr>
                      <w:jc w:val="center"/>
                      <w:rPr>
                        <w:rFonts w:hint="default" w:eastAsia="宋体"/>
                        <w:lang w:val="en-US" w:eastAsia="zh-CN"/>
                      </w:rPr>
                    </w:pPr>
                    <w:r>
                      <w:rPr>
                        <w:rFonts w:hint="eastAsia"/>
                        <w:lang w:val="en-US" w:eastAsia="zh-CN"/>
                      </w:rPr>
                      <w:t>9781.4</w:t>
                    </w:r>
                  </w:p>
                </w:txbxContent>
              </v:textbox>
            </v:rect>
            <v:shape id="_x0000_s3995" o:spid="_x0000_s3995" o:spt="32" type="#_x0000_t32" style="position:absolute;left:4885;top:10055;flip:x;height:1;width:455;" o:connectortype="straight" filled="f" coordsize="21600,21600">
              <v:path arrowok="t"/>
              <v:fill on="f" focussize="0,0"/>
              <v:stroke endarrow="block"/>
              <v:imagedata o:title=""/>
              <o:lock v:ext="edit"/>
            </v:shape>
            <v:rect id="_x0000_s3996" o:spid="_x0000_s3996" o:spt="1" style="position:absolute;left:2609;top:9863;height:427;width:2276;" filled="f" stroked="f" coordsize="21600,21600">
              <v:path/>
              <v:fill on="f" focussize="0,0"/>
              <v:stroke on="f"/>
              <v:imagedata o:title=""/>
              <o:lock v:ext="edit"/>
              <v:textbox>
                <w:txbxContent>
                  <w:p>
                    <w:pPr>
                      <w:jc w:val="center"/>
                      <w:rPr>
                        <w:rFonts w:hint="default" w:eastAsia="宋体"/>
                        <w:lang w:val="en-US" w:eastAsia="zh-CN"/>
                      </w:rPr>
                    </w:pPr>
                    <w:r>
                      <w:rPr>
                        <w:rFonts w:hint="eastAsia"/>
                      </w:rPr>
                      <w:t>不可食用内脏：</w:t>
                    </w:r>
                    <w:r>
                      <w:rPr>
                        <w:rFonts w:hint="eastAsia"/>
                        <w:lang w:val="en-US" w:eastAsia="zh-CN"/>
                      </w:rPr>
                      <w:t>100</w:t>
                    </w:r>
                  </w:p>
                </w:txbxContent>
              </v:textbox>
            </v:rect>
            <v:shape id="_x0000_s3997" o:spid="_x0000_s3997" o:spt="32" type="#_x0000_t32" style="position:absolute;left:6627;top:10183;height:3;width:506;" o:connectortype="straight" filled="f" coordsize="21600,21600">
              <v:path arrowok="t"/>
              <v:fill on="f" focussize="0,0"/>
              <v:stroke endarrow="block"/>
              <v:imagedata o:title=""/>
              <o:lock v:ext="edit"/>
            </v:shape>
            <v:shape id="_x0000_s3998" o:spid="_x0000_s3998" o:spt="32" type="#_x0000_t32" style="position:absolute;left:7133;top:9557;flip:y;height:1197;width:1;" o:connectortype="straight" filled="f" coordsize="21600,21600">
              <v:path arrowok="t"/>
              <v:fill on="f" focussize="0,0"/>
              <v:stroke/>
              <v:imagedata o:title=""/>
              <o:lock v:ext="edit"/>
            </v:shape>
            <v:shape id="_x0000_s3999" o:spid="_x0000_s3999" o:spt="32" type="#_x0000_t32" style="position:absolute;left:7133;top:9557;height:3;width:506;" o:connectortype="straight" filled="f" coordsize="21600,21600">
              <v:path arrowok="t"/>
              <v:fill on="f" focussize="0,0"/>
              <v:stroke endarrow="block"/>
              <v:imagedata o:title=""/>
              <o:lock v:ext="edit"/>
            </v:shape>
            <v:rect id="_x0000_s4000" o:spid="_x0000_s4000" o:spt="1" style="position:absolute;left:7639;top:9343;height:427;width:1120;" filled="f" stroked="f" coordsize="21600,21600">
              <v:path/>
              <v:fill on="f" focussize="0,0"/>
              <v:stroke on="f"/>
              <v:imagedata o:title=""/>
              <o:lock v:ext="edit"/>
              <v:textbox>
                <w:txbxContent>
                  <w:p>
                    <w:pPr>
                      <w:jc w:val="center"/>
                      <w:rPr>
                        <w:rFonts w:hint="default" w:eastAsia="宋体"/>
                        <w:lang w:val="en-US" w:eastAsia="zh-CN"/>
                      </w:rPr>
                    </w:pPr>
                    <w:r>
                      <w:rPr>
                        <w:rFonts w:hint="eastAsia"/>
                      </w:rPr>
                      <w:t>牛血：</w:t>
                    </w:r>
                    <w:r>
                      <w:rPr>
                        <w:rFonts w:hint="eastAsia"/>
                        <w:lang w:val="en-US" w:eastAsia="zh-CN"/>
                      </w:rPr>
                      <w:t>500</w:t>
                    </w:r>
                  </w:p>
                </w:txbxContent>
              </v:textbox>
            </v:rect>
            <v:shape id="_x0000_s4001" o:spid="_x0000_s4001" o:spt="32" type="#_x0000_t32" style="position:absolute;left:7134;top:10181;height:2;width:506;" o:connectortype="straight" filled="f" coordsize="21600,21600">
              <v:path arrowok="t"/>
              <v:fill on="f" focussize="0,0"/>
              <v:stroke endarrow="block"/>
              <v:imagedata o:title=""/>
              <o:lock v:ext="edit"/>
            </v:shape>
            <v:shape id="_x0000_s4002" o:spid="_x0000_s4002" o:spt="32" type="#_x0000_t32" style="position:absolute;left:7134;top:10754;height:3;width:506;" o:connectortype="straight" filled="f" coordsize="21600,21600">
              <v:path arrowok="t"/>
              <v:fill on="f" focussize="0,0"/>
              <v:stroke endarrow="block"/>
              <v:imagedata o:title=""/>
              <o:lock v:ext="edit"/>
            </v:shape>
            <v:rect id="_x0000_s4003" o:spid="_x0000_s4003" o:spt="1" style="position:absolute;left:7639;top:9986;height:426;width:1029;" filled="f" stroked="f" coordsize="21600,21600">
              <v:path/>
              <v:fill on="f" focussize="0,0"/>
              <v:stroke on="f"/>
              <v:imagedata o:title=""/>
              <o:lock v:ext="edit"/>
              <v:textbox>
                <w:txbxContent>
                  <w:p>
                    <w:pPr>
                      <w:jc w:val="center"/>
                      <w:rPr>
                        <w:rFonts w:hint="default" w:eastAsia="宋体"/>
                        <w:lang w:val="en-US" w:eastAsia="zh-CN"/>
                      </w:rPr>
                    </w:pPr>
                    <w:r>
                      <w:rPr>
                        <w:rFonts w:hint="eastAsia"/>
                      </w:rPr>
                      <w:t>牛皮：</w:t>
                    </w:r>
                    <w:r>
                      <w:rPr>
                        <w:rFonts w:hint="eastAsia"/>
                        <w:lang w:val="en-US" w:eastAsia="zh-CN"/>
                      </w:rPr>
                      <w:t>550</w:t>
                    </w:r>
                  </w:p>
                </w:txbxContent>
              </v:textbox>
            </v:rect>
            <v:rect id="_x0000_s4004" o:spid="_x0000_s4004" o:spt="1" style="position:absolute;left:7640;top:10412;height:687;width:1575;" filled="f" stroked="f" coordsize="21600,21600">
              <v:path/>
              <v:fill on="f" focussize="0,0"/>
              <v:stroke on="f"/>
              <v:imagedata o:title=""/>
              <o:lock v:ext="edit"/>
              <v:textbox>
                <w:txbxContent>
                  <w:p>
                    <w:pPr>
                      <w:jc w:val="center"/>
                      <w:rPr>
                        <w:rFonts w:hint="default" w:eastAsia="宋体"/>
                        <w:lang w:val="en-US" w:eastAsia="zh-CN"/>
                      </w:rPr>
                    </w:pPr>
                    <w:r>
                      <w:rPr>
                        <w:rFonts w:hint="eastAsia"/>
                      </w:rPr>
                      <w:t>头、蹄、内脏：</w:t>
                    </w:r>
                    <w:r>
                      <w:rPr>
                        <w:rFonts w:hint="eastAsia"/>
                        <w:lang w:val="en-US" w:eastAsia="zh-CN"/>
                      </w:rPr>
                      <w:t>1950</w:t>
                    </w:r>
                  </w:p>
                </w:txbxContent>
              </v:textbox>
            </v:rect>
            <v:rect id="_x0000_s4005" o:spid="_x0000_s4005" o:spt="1" style="position:absolute;left:6450;top:9861;height:429;width:893;" filled="f" stroked="f" coordsize="21600,21600">
              <v:path/>
              <v:fill on="f" focussize="0,0"/>
              <v:stroke on="f"/>
              <v:imagedata o:title=""/>
              <o:lock v:ext="edit"/>
              <v:textbox>
                <w:txbxContent>
                  <w:p>
                    <w:pPr>
                      <w:jc w:val="center"/>
                      <w:rPr>
                        <w:rFonts w:hint="default" w:eastAsia="宋体"/>
                        <w:lang w:val="en-US" w:eastAsia="zh-CN"/>
                      </w:rPr>
                    </w:pPr>
                    <w:r>
                      <w:rPr>
                        <w:rFonts w:hint="eastAsia"/>
                        <w:lang w:val="en-US" w:eastAsia="zh-CN"/>
                      </w:rPr>
                      <w:t>3000</w:t>
                    </w:r>
                  </w:p>
                </w:txbxContent>
              </v:textbox>
            </v:rect>
            <v:shape id="_x0000_s4006" o:spid="_x0000_s4006" o:spt="32" type="#_x0000_t32" style="position:absolute;left:5984;top:10412;height:693;width:1;" o:connectortype="straight" filled="f" coordsize="21600,21600">
              <v:path arrowok="t"/>
              <v:fill on="f" focussize="0,0"/>
              <v:stroke endarrow="block"/>
              <v:imagedata o:title=""/>
              <o:lock v:ext="edit"/>
            </v:shape>
            <v:rect id="_x0000_s4007" o:spid="_x0000_s4007" o:spt="1" style="position:absolute;left:5340;top:11099;height:427;width:1287;" coordsize="21600,21600">
              <v:path/>
              <v:fill focussize="0,0"/>
              <v:stroke/>
              <v:imagedata o:title=""/>
              <o:lock v:ext="edit"/>
              <v:textbox>
                <w:txbxContent>
                  <w:p>
                    <w:pPr>
                      <w:jc w:val="center"/>
                    </w:pPr>
                    <w:r>
                      <w:rPr>
                        <w:rFonts w:hint="eastAsia"/>
                      </w:rPr>
                      <w:t>分割</w:t>
                    </w:r>
                  </w:p>
                </w:txbxContent>
              </v:textbox>
            </v:rect>
            <v:shape id="_x0000_s4008" o:spid="_x0000_s4008" o:spt="32" type="#_x0000_t32" style="position:absolute;left:6627;top:11309;height:1;width:507;" o:connectortype="straight" filled="f" coordsize="21600,21600">
              <v:path arrowok="t"/>
              <v:fill on="f" focussize="0,0"/>
              <v:stroke endarrow="block"/>
              <v:imagedata o:title=""/>
              <o:lock v:ext="edit"/>
            </v:shape>
            <v:rect id="_x0000_s4009" o:spid="_x0000_s4009" o:spt="1" style="position:absolute;left:7134;top:11105;height:427;width:1120;" filled="f" stroked="f" coordsize="21600,21600">
              <v:path/>
              <v:fill on="f" focussize="0,0"/>
              <v:stroke on="f"/>
              <v:imagedata o:title=""/>
              <o:lock v:ext="edit"/>
              <v:textbox>
                <w:txbxContent>
                  <w:p>
                    <w:pPr>
                      <w:jc w:val="center"/>
                      <w:rPr>
                        <w:rFonts w:hint="default" w:eastAsia="宋体"/>
                        <w:lang w:val="en-US" w:eastAsia="zh-CN"/>
                      </w:rPr>
                    </w:pPr>
                    <w:r>
                      <w:rPr>
                        <w:rFonts w:hint="eastAsia"/>
                      </w:rPr>
                      <w:t>牛骨：</w:t>
                    </w:r>
                    <w:r>
                      <w:rPr>
                        <w:rFonts w:hint="eastAsia"/>
                        <w:lang w:val="en-US" w:eastAsia="zh-CN"/>
                      </w:rPr>
                      <w:t>600</w:t>
                    </w:r>
                  </w:p>
                </w:txbxContent>
              </v:textbox>
            </v:rect>
            <v:shape id="_x0000_s4010" o:spid="_x0000_s4010" o:spt="32" type="#_x0000_t32" style="position:absolute;left:5985;top:11532;height:431;width:1;" o:connectortype="straight" filled="f" coordsize="21600,21600">
              <v:path arrowok="t"/>
              <v:fill on="f" focussize="0,0"/>
              <v:stroke endarrow="block"/>
              <v:imagedata o:title=""/>
              <o:lock v:ext="edit"/>
            </v:shape>
            <v:rect id="_x0000_s4011" o:spid="_x0000_s4011" o:spt="1" style="position:absolute;left:5507;top:11963;height:427;width:1120;" filled="f" stroked="f" coordsize="21600,21600">
              <v:path/>
              <v:fill on="f" focussize="0,0"/>
              <v:stroke on="f"/>
              <v:imagedata o:title=""/>
              <o:lock v:ext="edit"/>
              <v:textbox>
                <w:txbxContent>
                  <w:p>
                    <w:pPr>
                      <w:jc w:val="center"/>
                    </w:pPr>
                    <w:r>
                      <w:rPr>
                        <w:rFonts w:hint="eastAsia"/>
                      </w:rPr>
                      <w:t>牛肉：</w:t>
                    </w:r>
                    <w:r>
                      <w:rPr>
                        <w:rFonts w:hint="eastAsia"/>
                        <w:lang w:val="en-US" w:eastAsia="zh-CN"/>
                      </w:rPr>
                      <w:t>6</w:t>
                    </w:r>
                    <w:r>
                      <w:rPr>
                        <w:rFonts w:hint="eastAsia"/>
                      </w:rPr>
                      <w:t>000</w:t>
                    </w:r>
                  </w:p>
                </w:txbxContent>
              </v:textbox>
            </v:rect>
            <v:rect id="_x0000_s4012" o:spid="_x0000_s4012" o:spt="1" style="position:absolute;left:5986;top:10550;height:429;width:893;" filled="f" stroked="f" coordsize="21600,21600">
              <v:path/>
              <v:fill on="f" focussize="0,0"/>
              <v:stroke on="f"/>
              <v:imagedata o:title=""/>
              <o:lock v:ext="edit"/>
              <v:textbox>
                <w:txbxContent>
                  <w:p>
                    <w:pPr>
                      <w:jc w:val="center"/>
                      <w:rPr>
                        <w:rFonts w:hint="default" w:eastAsia="宋体"/>
                        <w:lang w:val="en-US" w:eastAsia="zh-CN"/>
                      </w:rPr>
                    </w:pPr>
                    <w:r>
                      <w:rPr>
                        <w:rFonts w:hint="eastAsia"/>
                        <w:lang w:val="en-US" w:eastAsia="zh-CN"/>
                      </w:rPr>
                      <w:t>6600</w:t>
                    </w:r>
                  </w:p>
                </w:txbxContent>
              </v:textbox>
            </v:rect>
            <v:shape id="_x0000_s4013" o:spid="_x0000_s4013" o:spt="32" type="#_x0000_t32" style="position:absolute;left:4885;top:10412;flip:x;height:1;width:455;" o:connectortype="straight" filled="f" coordsize="21600,21600">
              <v:path arrowok="t"/>
              <v:fill on="f" focussize="0,0"/>
              <v:stroke endarrow="block"/>
              <v:imagedata o:title=""/>
              <o:lock v:ext="edit"/>
            </v:shape>
            <v:rect id="_x0000_s4014" o:spid="_x0000_s4014" o:spt="1" style="position:absolute;left:2609;top:10186;height:426;width:2276;" filled="f" stroked="f" coordsize="21600,21600">
              <v:path/>
              <v:fill on="f" focussize="0,0"/>
              <v:stroke on="f"/>
              <v:imagedata o:title=""/>
              <o:lock v:ext="edit"/>
              <v:textbox>
                <w:txbxContent>
                  <w:p>
                    <w:pPr>
                      <w:jc w:val="center"/>
                      <w:rPr>
                        <w:rFonts w:hint="eastAsia" w:eastAsia="宋体"/>
                        <w:lang w:eastAsia="zh-CN"/>
                      </w:rPr>
                    </w:pPr>
                    <w:r>
                      <w:rPr>
                        <w:rFonts w:hint="eastAsia"/>
                      </w:rPr>
                      <w:t>肠胃内容物：</w:t>
                    </w:r>
                    <w:r>
                      <w:rPr>
                        <w:rFonts w:hint="eastAsia"/>
                        <w:lang w:eastAsia="zh-CN"/>
                      </w:rPr>
                      <w:t>81.4</w:t>
                    </w:r>
                  </w:p>
                </w:txbxContent>
              </v:textbox>
            </v:rect>
            <w10:wrap type="none"/>
            <w10:anchorlock/>
          </v:group>
        </w:pict>
      </w:r>
    </w:p>
    <w:p>
      <w:pPr>
        <w:spacing w:line="360" w:lineRule="auto"/>
        <w:jc w:val="center"/>
        <w:rPr>
          <w:b/>
          <w:color w:val="auto"/>
          <w:sz w:val="24"/>
        </w:rPr>
      </w:pPr>
      <w:r>
        <w:rPr>
          <w:b/>
          <w:color w:val="auto"/>
          <w:sz w:val="24"/>
        </w:rPr>
        <w:t>图</w:t>
      </w:r>
      <w:r>
        <w:rPr>
          <w:rFonts w:hint="eastAsia"/>
          <w:b/>
          <w:color w:val="auto"/>
          <w:sz w:val="24"/>
        </w:rPr>
        <w:t>3-1-1 生产物料平衡图     单位：t/a</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3.1.7公用工程</w:t>
      </w:r>
      <w:bookmarkEnd w:id="72"/>
    </w:p>
    <w:p>
      <w:pPr>
        <w:spacing w:line="360" w:lineRule="auto"/>
        <w:outlineLvl w:val="3"/>
        <w:rPr>
          <w:b/>
          <w:snapToGrid w:val="0"/>
          <w:color w:val="auto"/>
          <w:kern w:val="0"/>
          <w:sz w:val="24"/>
        </w:rPr>
      </w:pPr>
      <w:r>
        <w:rPr>
          <w:color w:val="auto"/>
        </w:rPr>
        <w:fldChar w:fldCharType="begin"/>
      </w:r>
      <w:r>
        <w:rPr>
          <w:color w:val="auto"/>
        </w:rPr>
        <w:instrText xml:space="preserve"> HYPERLINK "file:///F:\\360用户文件\\游戏大厅\\天兆养猪有限公司环评\\1106天兆养猪\\天兆养猪有限公司环评1117.docx" \l "_Toc110400207" </w:instrText>
      </w:r>
      <w:r>
        <w:rPr>
          <w:color w:val="auto"/>
        </w:rPr>
        <w:fldChar w:fldCharType="separate"/>
      </w:r>
      <w:bookmarkStart w:id="73" w:name="_Toc182022287"/>
      <w:bookmarkStart w:id="74" w:name="_Toc113078928"/>
      <w:bookmarkStart w:id="75" w:name="_Toc118087006"/>
      <w:bookmarkStart w:id="76" w:name="_Toc112420357"/>
      <w:r>
        <w:rPr>
          <w:b/>
          <w:snapToGrid w:val="0"/>
          <w:color w:val="auto"/>
          <w:kern w:val="0"/>
          <w:sz w:val="24"/>
        </w:rPr>
        <w:t>3.1.7.1</w:t>
      </w:r>
      <w:r>
        <w:rPr>
          <w:rFonts w:hAnsi="宋体"/>
          <w:b/>
          <w:snapToGrid w:val="0"/>
          <w:color w:val="auto"/>
          <w:kern w:val="0"/>
          <w:sz w:val="24"/>
        </w:rPr>
        <w:t>供水工程</w:t>
      </w:r>
      <w:bookmarkEnd w:id="73"/>
      <w:bookmarkEnd w:id="74"/>
      <w:bookmarkEnd w:id="75"/>
      <w:bookmarkEnd w:id="76"/>
      <w:r>
        <w:rPr>
          <w:rFonts w:hAnsi="宋体"/>
          <w:b/>
          <w:snapToGrid w:val="0"/>
          <w:color w:val="auto"/>
          <w:kern w:val="0"/>
          <w:sz w:val="24"/>
        </w:rPr>
        <w:fldChar w:fldCharType="end"/>
      </w:r>
    </w:p>
    <w:p>
      <w:pPr>
        <w:adjustRightInd w:val="0"/>
        <w:spacing w:line="360" w:lineRule="auto"/>
        <w:ind w:firstLine="480" w:firstLineChars="200"/>
        <w:rPr>
          <w:color w:val="auto"/>
          <w:sz w:val="24"/>
        </w:rPr>
      </w:pPr>
      <w:bookmarkStart w:id="77" w:name="_Hlk480319058"/>
      <w:bookmarkStart w:id="78" w:name="_Hlk480327007"/>
      <w:bookmarkStart w:id="79" w:name="_Hlk480325814"/>
      <w:r>
        <w:rPr>
          <w:rFonts w:hint="eastAsia"/>
          <w:color w:val="auto"/>
          <w:sz w:val="24"/>
        </w:rPr>
        <w:t>本项目用水包括生产用水和生活用水，生活用水</w:t>
      </w:r>
      <w:r>
        <w:rPr>
          <w:rFonts w:hint="eastAsia"/>
          <w:color w:val="auto"/>
          <w:sz w:val="24"/>
          <w:lang w:eastAsia="zh-CN"/>
        </w:rPr>
        <w:t>、</w:t>
      </w:r>
      <w:r>
        <w:rPr>
          <w:color w:val="auto"/>
          <w:sz w:val="24"/>
        </w:rPr>
        <w:t>生产用水由厂区自打水井</w:t>
      </w:r>
      <w:r>
        <w:rPr>
          <w:rFonts w:hint="eastAsia"/>
          <w:color w:val="auto"/>
          <w:sz w:val="24"/>
        </w:rPr>
        <w:t>提供。</w:t>
      </w:r>
    </w:p>
    <w:bookmarkEnd w:id="77"/>
    <w:p>
      <w:pPr>
        <w:adjustRightInd w:val="0"/>
        <w:spacing w:line="360" w:lineRule="auto"/>
        <w:ind w:firstLine="480" w:firstLineChars="200"/>
        <w:rPr>
          <w:color w:val="auto"/>
          <w:sz w:val="24"/>
        </w:rPr>
      </w:pPr>
      <w:r>
        <w:rPr>
          <w:color w:val="auto"/>
          <w:sz w:val="24"/>
        </w:rPr>
        <w:t>（</w:t>
      </w:r>
      <w:r>
        <w:rPr>
          <w:rFonts w:hint="eastAsia"/>
          <w:color w:val="auto"/>
          <w:sz w:val="24"/>
        </w:rPr>
        <w:t>1</w:t>
      </w:r>
      <w:r>
        <w:rPr>
          <w:color w:val="auto"/>
          <w:sz w:val="24"/>
        </w:rPr>
        <w:t>）</w:t>
      </w:r>
      <w:r>
        <w:rPr>
          <w:rFonts w:hint="eastAsia"/>
          <w:color w:val="auto"/>
          <w:sz w:val="24"/>
        </w:rPr>
        <w:t>生活用水</w:t>
      </w:r>
    </w:p>
    <w:p>
      <w:pPr>
        <w:adjustRightInd w:val="0"/>
        <w:snapToGrid w:val="0"/>
        <w:spacing w:line="360" w:lineRule="auto"/>
        <w:ind w:firstLine="480" w:firstLineChars="200"/>
        <w:rPr>
          <w:snapToGrid w:val="0"/>
          <w:color w:val="FF0000"/>
          <w:kern w:val="0"/>
          <w:sz w:val="24"/>
        </w:rPr>
      </w:pPr>
      <w:r>
        <w:rPr>
          <w:snapToGrid w:val="0"/>
          <w:color w:val="auto"/>
          <w:kern w:val="0"/>
          <w:sz w:val="24"/>
        </w:rPr>
        <w:t>本项目生活用水量取值</w:t>
      </w:r>
      <w:r>
        <w:rPr>
          <w:rFonts w:hint="eastAsia"/>
          <w:snapToGrid w:val="0"/>
          <w:color w:val="auto"/>
          <w:kern w:val="0"/>
          <w:sz w:val="24"/>
        </w:rPr>
        <w:t>根据黑龙江省地方标准《用水定额》（DB23/T 727-2021）</w:t>
      </w:r>
      <w:r>
        <w:rPr>
          <w:snapToGrid w:val="0"/>
          <w:color w:val="auto"/>
          <w:kern w:val="0"/>
          <w:sz w:val="24"/>
        </w:rPr>
        <w:t>，生活用水采用</w:t>
      </w:r>
      <w:r>
        <w:rPr>
          <w:rFonts w:hint="eastAsia"/>
          <w:snapToGrid w:val="0"/>
          <w:color w:val="auto"/>
          <w:kern w:val="0"/>
          <w:sz w:val="24"/>
        </w:rPr>
        <w:t>80</w:t>
      </w:r>
      <w:r>
        <w:rPr>
          <w:snapToGrid w:val="0"/>
          <w:color w:val="auto"/>
          <w:kern w:val="0"/>
          <w:sz w:val="24"/>
        </w:rPr>
        <w:t>L/人•d计，本项目劳动定员</w:t>
      </w:r>
      <w:r>
        <w:rPr>
          <w:rFonts w:hint="eastAsia"/>
          <w:snapToGrid w:val="0"/>
          <w:color w:val="auto"/>
          <w:kern w:val="0"/>
          <w:sz w:val="24"/>
          <w:lang w:eastAsia="zh-CN"/>
        </w:rPr>
        <w:t>60人</w:t>
      </w:r>
      <w:r>
        <w:rPr>
          <w:rFonts w:hint="eastAsia"/>
          <w:snapToGrid w:val="0"/>
          <w:color w:val="auto"/>
          <w:kern w:val="0"/>
          <w:sz w:val="24"/>
        </w:rPr>
        <w:t>，则生活用水量为4</w:t>
      </w:r>
      <w:r>
        <w:rPr>
          <w:rFonts w:hint="eastAsia"/>
          <w:snapToGrid w:val="0"/>
          <w:color w:val="auto"/>
          <w:kern w:val="0"/>
          <w:sz w:val="24"/>
          <w:lang w:val="en-US" w:eastAsia="zh-CN"/>
        </w:rPr>
        <w:t>.8</w:t>
      </w:r>
      <w:r>
        <w:rPr>
          <w:rFonts w:hint="eastAsia"/>
          <w:snapToGrid w:val="0"/>
          <w:color w:val="auto"/>
          <w:kern w:val="0"/>
          <w:sz w:val="24"/>
        </w:rPr>
        <w:t>t/d，</w:t>
      </w:r>
      <w:r>
        <w:rPr>
          <w:rFonts w:hint="eastAsia"/>
          <w:snapToGrid w:val="0"/>
          <w:color w:val="auto"/>
          <w:kern w:val="0"/>
          <w:sz w:val="24"/>
          <w:lang w:val="en-US" w:eastAsia="zh-CN"/>
        </w:rPr>
        <w:t>1440</w:t>
      </w:r>
      <w:r>
        <w:rPr>
          <w:rFonts w:hint="eastAsia"/>
          <w:snapToGrid w:val="0"/>
          <w:color w:val="auto"/>
          <w:kern w:val="0"/>
          <w:sz w:val="24"/>
        </w:rPr>
        <w:t>t/a。</w:t>
      </w:r>
    </w:p>
    <w:p>
      <w:pPr>
        <w:adjustRightInd w:val="0"/>
        <w:snapToGrid w:val="0"/>
        <w:spacing w:line="360" w:lineRule="auto"/>
        <w:ind w:firstLine="480" w:firstLineChars="200"/>
        <w:rPr>
          <w:snapToGrid w:val="0"/>
          <w:color w:val="auto"/>
          <w:kern w:val="0"/>
          <w:sz w:val="24"/>
        </w:rPr>
      </w:pPr>
      <w:r>
        <w:rPr>
          <w:rFonts w:hint="eastAsia"/>
          <w:snapToGrid w:val="0"/>
          <w:color w:val="auto"/>
          <w:kern w:val="0"/>
          <w:sz w:val="24"/>
        </w:rPr>
        <w:t>（2）生产用水</w:t>
      </w:r>
    </w:p>
    <w:p>
      <w:pPr>
        <w:adjustRightInd w:val="0"/>
        <w:snapToGrid w:val="0"/>
        <w:spacing w:line="360" w:lineRule="auto"/>
        <w:ind w:firstLine="480" w:firstLineChars="200"/>
        <w:rPr>
          <w:snapToGrid w:val="0"/>
          <w:color w:val="auto"/>
          <w:kern w:val="0"/>
          <w:sz w:val="24"/>
        </w:rPr>
      </w:pPr>
      <w:r>
        <w:rPr>
          <w:rFonts w:hint="eastAsia"/>
          <w:snapToGrid w:val="0"/>
          <w:color w:val="auto"/>
          <w:kern w:val="0"/>
          <w:sz w:val="24"/>
        </w:rPr>
        <w:t>本项目生产用水包括待宰间清洗用水、屠宰车间</w:t>
      </w:r>
      <w:r>
        <w:rPr>
          <w:rFonts w:hint="eastAsia"/>
          <w:snapToGrid w:val="0"/>
          <w:color w:val="auto"/>
          <w:kern w:val="0"/>
          <w:sz w:val="24"/>
          <w:lang w:val="en-US" w:eastAsia="zh-CN"/>
        </w:rPr>
        <w:t>及急宰间</w:t>
      </w:r>
      <w:r>
        <w:rPr>
          <w:rFonts w:hint="eastAsia"/>
          <w:snapToGrid w:val="0"/>
          <w:color w:val="auto"/>
          <w:kern w:val="0"/>
          <w:sz w:val="24"/>
        </w:rPr>
        <w:t>用水，根据黑龙江省地方标准《用水定额》（DB23/T 727-2021）牲畜屠宰行业，屠宰牛按1m</w:t>
      </w:r>
      <w:r>
        <w:rPr>
          <w:rFonts w:hint="eastAsia"/>
          <w:snapToGrid w:val="0"/>
          <w:color w:val="auto"/>
          <w:kern w:val="0"/>
          <w:sz w:val="24"/>
          <w:vertAlign w:val="superscript"/>
        </w:rPr>
        <w:t>3</w:t>
      </w:r>
      <w:r>
        <w:rPr>
          <w:rFonts w:hint="eastAsia"/>
          <w:snapToGrid w:val="0"/>
          <w:color w:val="auto"/>
          <w:kern w:val="0"/>
          <w:sz w:val="24"/>
        </w:rPr>
        <w:t>/头计算，则生产用水合计量为</w:t>
      </w:r>
      <w:r>
        <w:rPr>
          <w:rFonts w:hint="eastAsia"/>
          <w:snapToGrid w:val="0"/>
          <w:color w:val="auto"/>
          <w:kern w:val="0"/>
          <w:sz w:val="24"/>
          <w:lang w:eastAsia="zh-CN"/>
        </w:rPr>
        <w:t>20000</w:t>
      </w:r>
      <w:r>
        <w:rPr>
          <w:rFonts w:hint="eastAsia"/>
          <w:snapToGrid w:val="0"/>
          <w:color w:val="auto"/>
          <w:kern w:val="0"/>
          <w:sz w:val="24"/>
        </w:rPr>
        <w:t>t/a。</w:t>
      </w:r>
    </w:p>
    <w:p>
      <w:pPr>
        <w:adjustRightInd w:val="0"/>
        <w:snapToGrid w:val="0"/>
        <w:spacing w:line="360" w:lineRule="auto"/>
        <w:ind w:firstLine="480" w:firstLineChars="200"/>
        <w:rPr>
          <w:snapToGrid w:val="0"/>
          <w:color w:val="auto"/>
          <w:kern w:val="0"/>
          <w:sz w:val="24"/>
        </w:rPr>
      </w:pPr>
      <w:r>
        <w:rPr>
          <w:snapToGrid w:val="0"/>
          <w:color w:val="auto"/>
          <w:kern w:val="0"/>
          <w:sz w:val="24"/>
        </w:rPr>
        <w:t>①待宰间清洗用水</w:t>
      </w:r>
    </w:p>
    <w:p>
      <w:pPr>
        <w:adjustRightInd w:val="0"/>
        <w:snapToGrid w:val="0"/>
        <w:spacing w:line="360" w:lineRule="auto"/>
        <w:ind w:firstLine="480" w:firstLineChars="200"/>
        <w:rPr>
          <w:snapToGrid w:val="0"/>
          <w:color w:val="auto"/>
          <w:kern w:val="0"/>
          <w:sz w:val="24"/>
        </w:rPr>
      </w:pPr>
      <w:r>
        <w:rPr>
          <w:snapToGrid w:val="0"/>
          <w:color w:val="auto"/>
          <w:kern w:val="0"/>
          <w:sz w:val="24"/>
        </w:rPr>
        <w:t>为保证待宰间的卫生条件，及时清理粪尿，每天需对待宰间进行一次清洗处理，清洗水量为6L/m</w:t>
      </w:r>
      <w:r>
        <w:rPr>
          <w:snapToGrid w:val="0"/>
          <w:color w:val="auto"/>
          <w:kern w:val="0"/>
          <w:sz w:val="24"/>
          <w:vertAlign w:val="superscript"/>
        </w:rPr>
        <w:t>2</w:t>
      </w:r>
      <w:r>
        <w:rPr>
          <w:snapToGrid w:val="0"/>
          <w:color w:val="auto"/>
          <w:kern w:val="0"/>
          <w:sz w:val="24"/>
        </w:rPr>
        <w:t>·次，本项目待宰间面积为</w:t>
      </w:r>
      <w:r>
        <w:rPr>
          <w:rFonts w:hint="eastAsia"/>
          <w:snapToGrid w:val="0"/>
          <w:color w:val="auto"/>
          <w:kern w:val="0"/>
          <w:sz w:val="24"/>
          <w:lang w:val="en-US" w:eastAsia="zh-CN"/>
        </w:rPr>
        <w:t>600</w:t>
      </w:r>
      <w:r>
        <w:rPr>
          <w:snapToGrid w:val="0"/>
          <w:color w:val="auto"/>
          <w:kern w:val="0"/>
          <w:sz w:val="24"/>
        </w:rPr>
        <w:t>m</w:t>
      </w:r>
      <w:r>
        <w:rPr>
          <w:snapToGrid w:val="0"/>
          <w:color w:val="auto"/>
          <w:kern w:val="0"/>
          <w:sz w:val="24"/>
          <w:vertAlign w:val="superscript"/>
        </w:rPr>
        <w:t>2</w:t>
      </w:r>
      <w:r>
        <w:rPr>
          <w:snapToGrid w:val="0"/>
          <w:color w:val="auto"/>
          <w:kern w:val="0"/>
          <w:sz w:val="24"/>
        </w:rPr>
        <w:t>，则用水量为</w:t>
      </w:r>
      <w:r>
        <w:rPr>
          <w:rFonts w:hint="eastAsia"/>
          <w:snapToGrid w:val="0"/>
          <w:color w:val="auto"/>
          <w:kern w:val="0"/>
          <w:sz w:val="24"/>
          <w:lang w:val="en-US" w:eastAsia="zh-CN"/>
        </w:rPr>
        <w:t>3</w:t>
      </w:r>
      <w:r>
        <w:rPr>
          <w:snapToGrid w:val="0"/>
          <w:color w:val="auto"/>
          <w:kern w:val="0"/>
          <w:sz w:val="24"/>
        </w:rPr>
        <w:t>t/d，</w:t>
      </w:r>
      <w:r>
        <w:rPr>
          <w:rFonts w:hint="eastAsia"/>
          <w:snapToGrid w:val="0"/>
          <w:color w:val="auto"/>
          <w:kern w:val="0"/>
          <w:sz w:val="24"/>
          <w:lang w:val="en-US" w:eastAsia="zh-CN"/>
        </w:rPr>
        <w:t>900</w:t>
      </w:r>
      <w:r>
        <w:rPr>
          <w:snapToGrid w:val="0"/>
          <w:color w:val="auto"/>
          <w:kern w:val="0"/>
          <w:sz w:val="24"/>
        </w:rPr>
        <w:t>t/a。</w:t>
      </w:r>
    </w:p>
    <w:p>
      <w:pPr>
        <w:adjustRightInd w:val="0"/>
        <w:snapToGrid w:val="0"/>
        <w:spacing w:line="360" w:lineRule="auto"/>
        <w:ind w:firstLine="480" w:firstLineChars="200"/>
        <w:rPr>
          <w:snapToGrid w:val="0"/>
          <w:color w:val="auto"/>
          <w:kern w:val="0"/>
          <w:sz w:val="24"/>
        </w:rPr>
      </w:pPr>
      <w:r>
        <w:rPr>
          <w:rFonts w:hint="eastAsia"/>
          <w:snapToGrid w:val="0"/>
          <w:color w:val="auto"/>
          <w:kern w:val="0"/>
          <w:sz w:val="24"/>
          <w:lang w:val="en-US" w:eastAsia="zh-CN"/>
        </w:rPr>
        <w:t>②</w:t>
      </w:r>
      <w:r>
        <w:rPr>
          <w:snapToGrid w:val="0"/>
          <w:color w:val="auto"/>
          <w:kern w:val="0"/>
          <w:sz w:val="24"/>
        </w:rPr>
        <w:t>屠宰车间及急宰间用水</w:t>
      </w:r>
    </w:p>
    <w:p>
      <w:pPr>
        <w:adjustRightInd w:val="0"/>
        <w:snapToGrid w:val="0"/>
        <w:spacing w:line="360" w:lineRule="auto"/>
        <w:ind w:firstLine="480" w:firstLineChars="200"/>
        <w:rPr>
          <w:snapToGrid w:val="0"/>
          <w:color w:val="auto"/>
          <w:kern w:val="0"/>
          <w:sz w:val="24"/>
        </w:rPr>
      </w:pPr>
      <w:r>
        <w:rPr>
          <w:rFonts w:hint="eastAsia"/>
          <w:snapToGrid w:val="0"/>
          <w:color w:val="auto"/>
          <w:kern w:val="0"/>
          <w:sz w:val="24"/>
        </w:rPr>
        <w:t>屠宰车间</w:t>
      </w:r>
      <w:r>
        <w:rPr>
          <w:snapToGrid w:val="0"/>
          <w:color w:val="auto"/>
          <w:kern w:val="0"/>
          <w:sz w:val="24"/>
        </w:rPr>
        <w:t>及急宰间用水</w:t>
      </w:r>
      <w:r>
        <w:rPr>
          <w:rFonts w:hint="eastAsia"/>
          <w:snapToGrid w:val="0"/>
          <w:color w:val="auto"/>
          <w:kern w:val="0"/>
          <w:sz w:val="24"/>
        </w:rPr>
        <w:t>包括屠宰车间</w:t>
      </w:r>
      <w:r>
        <w:rPr>
          <w:snapToGrid w:val="0"/>
          <w:color w:val="auto"/>
          <w:kern w:val="0"/>
          <w:sz w:val="24"/>
        </w:rPr>
        <w:t>及急宰间</w:t>
      </w:r>
      <w:r>
        <w:rPr>
          <w:rFonts w:hint="eastAsia"/>
          <w:snapToGrid w:val="0"/>
          <w:color w:val="auto"/>
          <w:kern w:val="0"/>
          <w:sz w:val="24"/>
        </w:rPr>
        <w:t>地面冲洗水、活牛淋浴水、胴体冲淋水、设备冲洗水等，用水量为</w:t>
      </w:r>
      <w:r>
        <w:rPr>
          <w:rFonts w:hint="eastAsia"/>
          <w:snapToGrid w:val="0"/>
          <w:color w:val="auto"/>
          <w:kern w:val="0"/>
          <w:sz w:val="24"/>
          <w:lang w:val="en-US" w:eastAsia="zh-CN"/>
        </w:rPr>
        <w:t>19100</w:t>
      </w:r>
      <w:r>
        <w:rPr>
          <w:rFonts w:hint="eastAsia"/>
          <w:snapToGrid w:val="0"/>
          <w:color w:val="auto"/>
          <w:kern w:val="0"/>
          <w:sz w:val="24"/>
        </w:rPr>
        <w:t>t/a，</w:t>
      </w:r>
      <w:r>
        <w:rPr>
          <w:rFonts w:hint="eastAsia"/>
          <w:snapToGrid w:val="0"/>
          <w:color w:val="auto"/>
          <w:kern w:val="0"/>
          <w:sz w:val="24"/>
          <w:lang w:val="en-US" w:eastAsia="zh-CN"/>
        </w:rPr>
        <w:t>64</w:t>
      </w:r>
      <w:r>
        <w:rPr>
          <w:rFonts w:hint="eastAsia"/>
          <w:snapToGrid w:val="0"/>
          <w:color w:val="auto"/>
          <w:kern w:val="0"/>
          <w:sz w:val="24"/>
        </w:rPr>
        <w:t>t/d。</w:t>
      </w:r>
    </w:p>
    <w:p>
      <w:pPr>
        <w:adjustRightInd w:val="0"/>
        <w:snapToGrid w:val="0"/>
        <w:spacing w:line="360" w:lineRule="auto"/>
        <w:ind w:firstLine="480" w:firstLineChars="200"/>
        <w:rPr>
          <w:rFonts w:hint="default" w:eastAsia="宋体"/>
          <w:snapToGrid w:val="0"/>
          <w:color w:val="auto"/>
          <w:kern w:val="0"/>
          <w:sz w:val="24"/>
          <w:lang w:val="en-US" w:eastAsia="zh-CN"/>
        </w:rPr>
      </w:pPr>
      <w:r>
        <w:rPr>
          <w:rFonts w:hint="eastAsia"/>
          <w:snapToGrid w:val="0"/>
          <w:color w:val="auto"/>
          <w:kern w:val="0"/>
          <w:sz w:val="24"/>
          <w:lang w:eastAsia="zh-CN"/>
        </w:rPr>
        <w:t>（</w:t>
      </w:r>
      <w:r>
        <w:rPr>
          <w:rFonts w:hint="eastAsia"/>
          <w:snapToGrid w:val="0"/>
          <w:color w:val="auto"/>
          <w:kern w:val="0"/>
          <w:sz w:val="24"/>
          <w:lang w:val="en-US" w:eastAsia="zh-CN"/>
        </w:rPr>
        <w:t>3</w:t>
      </w:r>
      <w:r>
        <w:rPr>
          <w:rFonts w:hint="eastAsia"/>
          <w:snapToGrid w:val="0"/>
          <w:color w:val="auto"/>
          <w:kern w:val="0"/>
          <w:sz w:val="24"/>
          <w:lang w:eastAsia="zh-CN"/>
        </w:rPr>
        <w:t>）</w:t>
      </w:r>
      <w:r>
        <w:rPr>
          <w:rFonts w:hint="eastAsia"/>
          <w:snapToGrid w:val="0"/>
          <w:color w:val="auto"/>
          <w:kern w:val="0"/>
          <w:sz w:val="24"/>
          <w:lang w:val="en-US" w:eastAsia="zh-CN"/>
        </w:rPr>
        <w:t>锅炉用水</w:t>
      </w:r>
    </w:p>
    <w:p>
      <w:pPr>
        <w:pStyle w:val="19"/>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color w:val="000000" w:themeColor="text1"/>
          <w:sz w:val="24"/>
          <w:szCs w:val="24"/>
          <w:highlight w:val="none"/>
          <w:lang w:eastAsia="zh-CN"/>
        </w:rPr>
      </w:pPr>
      <w:r>
        <w:rPr>
          <w:rFonts w:hint="eastAsia"/>
          <w:color w:val="000000" w:themeColor="text1"/>
          <w:sz w:val="24"/>
          <w:szCs w:val="24"/>
          <w:highlight w:val="none"/>
          <w:lang w:eastAsia="zh-CN"/>
        </w:rPr>
        <w:t>根据《排放源统计调查产排污核算方法和系数手册》中“4430工业锅炉（热力生产和供应）行业系数手册”中产污系数，燃生物质锅炉（锅外水处理）废水产生系数为0.356吨/吨-原料，本项目生物质成型燃料使用量为</w:t>
      </w:r>
      <w:r>
        <w:rPr>
          <w:rFonts w:hint="eastAsia"/>
          <w:color w:val="000000" w:themeColor="text1"/>
          <w:sz w:val="24"/>
          <w:szCs w:val="24"/>
          <w:highlight w:val="none"/>
          <w:lang w:val="en-US" w:eastAsia="zh-CN"/>
        </w:rPr>
        <w:t>468</w:t>
      </w:r>
      <w:r>
        <w:rPr>
          <w:rFonts w:hint="eastAsia"/>
          <w:color w:val="000000" w:themeColor="text1"/>
          <w:sz w:val="24"/>
          <w:szCs w:val="24"/>
          <w:highlight w:val="none"/>
          <w:lang w:eastAsia="zh-CN"/>
        </w:rPr>
        <w:t>t/a，则锅炉排污水和软化处理废水产生量为</w:t>
      </w:r>
      <w:r>
        <w:rPr>
          <w:rFonts w:hint="eastAsia"/>
          <w:color w:val="000000" w:themeColor="text1"/>
          <w:sz w:val="24"/>
          <w:szCs w:val="24"/>
          <w:highlight w:val="none"/>
          <w:lang w:val="en-US" w:eastAsia="zh-CN"/>
        </w:rPr>
        <w:t>0.9256</w:t>
      </w:r>
      <w:r>
        <w:rPr>
          <w:rFonts w:hint="eastAsia"/>
          <w:color w:val="000000" w:themeColor="text1"/>
          <w:sz w:val="24"/>
          <w:szCs w:val="24"/>
          <w:highlight w:val="none"/>
          <w:lang w:eastAsia="zh-CN"/>
        </w:rPr>
        <w:t>t/d，</w:t>
      </w:r>
      <w:r>
        <w:rPr>
          <w:rFonts w:hint="eastAsia"/>
          <w:color w:val="000000" w:themeColor="text1"/>
          <w:sz w:val="24"/>
          <w:szCs w:val="24"/>
          <w:highlight w:val="none"/>
          <w:lang w:val="en-US" w:eastAsia="zh-CN"/>
        </w:rPr>
        <w:t>166.608</w:t>
      </w:r>
      <w:r>
        <w:rPr>
          <w:rFonts w:hint="eastAsia"/>
          <w:color w:val="000000" w:themeColor="text1"/>
          <w:sz w:val="24"/>
          <w:szCs w:val="24"/>
          <w:highlight w:val="none"/>
          <w:lang w:eastAsia="zh-CN"/>
        </w:rPr>
        <w:t>t/a，排放量按用水量90%计，则锅炉用水量为</w:t>
      </w:r>
      <w:r>
        <w:rPr>
          <w:rFonts w:hint="eastAsia"/>
          <w:color w:val="000000" w:themeColor="text1"/>
          <w:sz w:val="24"/>
          <w:szCs w:val="24"/>
          <w:highlight w:val="none"/>
          <w:lang w:val="en-US" w:eastAsia="zh-CN"/>
        </w:rPr>
        <w:t>1.0284</w:t>
      </w:r>
      <w:r>
        <w:rPr>
          <w:rFonts w:hint="eastAsia"/>
          <w:color w:val="000000" w:themeColor="text1"/>
          <w:sz w:val="24"/>
          <w:szCs w:val="24"/>
          <w:highlight w:val="none"/>
          <w:lang w:eastAsia="zh-CN"/>
        </w:rPr>
        <w:t>t/d，</w:t>
      </w:r>
      <w:r>
        <w:rPr>
          <w:rFonts w:hint="eastAsia"/>
          <w:color w:val="000000" w:themeColor="text1"/>
          <w:sz w:val="24"/>
          <w:szCs w:val="24"/>
          <w:highlight w:val="none"/>
          <w:lang w:val="en-US" w:eastAsia="zh-CN"/>
        </w:rPr>
        <w:t>185.12</w:t>
      </w:r>
      <w:r>
        <w:rPr>
          <w:rFonts w:hint="eastAsia"/>
          <w:color w:val="000000" w:themeColor="text1"/>
          <w:sz w:val="24"/>
          <w:szCs w:val="24"/>
          <w:highlight w:val="none"/>
          <w:lang w:eastAsia="zh-CN"/>
        </w:rPr>
        <w:t>t/a。</w:t>
      </w:r>
    </w:p>
    <w:p>
      <w:pPr>
        <w:adjustRightInd w:val="0"/>
        <w:snapToGrid w:val="0"/>
        <w:spacing w:line="360" w:lineRule="auto"/>
        <w:ind w:firstLine="480" w:firstLineChars="200"/>
        <w:rPr>
          <w:snapToGrid w:val="0"/>
          <w:color w:val="auto"/>
          <w:kern w:val="0"/>
          <w:sz w:val="24"/>
        </w:rPr>
      </w:pPr>
      <w:r>
        <w:rPr>
          <w:rFonts w:hint="eastAsia"/>
          <w:snapToGrid w:val="0"/>
          <w:color w:val="auto"/>
          <w:kern w:val="0"/>
          <w:sz w:val="24"/>
        </w:rPr>
        <w:t>综上，本项目总用水量为</w:t>
      </w:r>
      <w:r>
        <w:rPr>
          <w:rFonts w:hint="eastAsia"/>
          <w:snapToGrid w:val="0"/>
          <w:color w:val="auto"/>
          <w:kern w:val="0"/>
          <w:sz w:val="24"/>
          <w:lang w:val="en-US" w:eastAsia="zh-CN"/>
        </w:rPr>
        <w:t>72.8284</w:t>
      </w:r>
      <w:r>
        <w:rPr>
          <w:rFonts w:hint="eastAsia"/>
          <w:snapToGrid w:val="0"/>
          <w:color w:val="auto"/>
          <w:kern w:val="0"/>
          <w:sz w:val="24"/>
        </w:rPr>
        <w:t>t/d，</w:t>
      </w:r>
      <w:r>
        <w:rPr>
          <w:rFonts w:hint="eastAsia"/>
          <w:snapToGrid w:val="0"/>
          <w:color w:val="auto"/>
          <w:kern w:val="0"/>
          <w:sz w:val="24"/>
          <w:lang w:eastAsia="zh-CN"/>
        </w:rPr>
        <w:t>21625.12</w:t>
      </w:r>
      <w:r>
        <w:rPr>
          <w:rFonts w:hint="eastAsia"/>
          <w:snapToGrid w:val="0"/>
          <w:color w:val="auto"/>
          <w:kern w:val="0"/>
          <w:sz w:val="24"/>
        </w:rPr>
        <w:t>t/a。</w:t>
      </w:r>
    </w:p>
    <w:p>
      <w:pPr>
        <w:adjustRightInd w:val="0"/>
        <w:snapToGrid w:val="0"/>
        <w:spacing w:line="360" w:lineRule="auto"/>
        <w:ind w:firstLine="480" w:firstLineChars="200"/>
        <w:rPr>
          <w:color w:val="auto"/>
          <w:sz w:val="24"/>
        </w:rPr>
      </w:pPr>
      <w:bookmarkStart w:id="80" w:name="_Hlk479525140"/>
      <w:r>
        <w:rPr>
          <w:color w:val="auto"/>
          <w:sz w:val="24"/>
        </w:rPr>
        <w:t>用水情况详见</w:t>
      </w:r>
      <w:r>
        <w:rPr>
          <w:rFonts w:hint="eastAsia"/>
          <w:color w:val="auto"/>
          <w:sz w:val="24"/>
        </w:rPr>
        <w:t>下</w:t>
      </w:r>
      <w:r>
        <w:rPr>
          <w:color w:val="auto"/>
          <w:sz w:val="24"/>
        </w:rPr>
        <w:t>表。</w:t>
      </w:r>
    </w:p>
    <w:p>
      <w:pPr>
        <w:contextualSpacing/>
        <w:jc w:val="center"/>
        <w:rPr>
          <w:b/>
          <w:color w:val="auto"/>
          <w:sz w:val="24"/>
        </w:rPr>
      </w:pPr>
      <w:r>
        <w:rPr>
          <w:b/>
          <w:color w:val="auto"/>
          <w:sz w:val="24"/>
        </w:rPr>
        <w:t>表3-1-</w:t>
      </w:r>
      <w:r>
        <w:rPr>
          <w:rFonts w:hint="eastAsia"/>
          <w:b/>
          <w:color w:val="auto"/>
          <w:sz w:val="24"/>
          <w:lang w:val="en-US" w:eastAsia="zh-CN"/>
        </w:rPr>
        <w:t>6</w:t>
      </w:r>
      <w:r>
        <w:rPr>
          <w:b/>
          <w:color w:val="auto"/>
          <w:sz w:val="24"/>
        </w:rPr>
        <w:t>项目用水情况一览表</w:t>
      </w:r>
    </w:p>
    <w:bookmarkEnd w:id="78"/>
    <w:bookmarkEnd w:id="79"/>
    <w:bookmarkEnd w:id="80"/>
    <w:tbl>
      <w:tblPr>
        <w:tblStyle w:val="4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60"/>
        <w:gridCol w:w="1558"/>
        <w:gridCol w:w="1560"/>
        <w:gridCol w:w="27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 w:hRule="atLeast"/>
        </w:trPr>
        <w:tc>
          <w:tcPr>
            <w:tcW w:w="1560" w:type="pct"/>
            <w:shd w:val="clear" w:color="auto" w:fill="auto"/>
            <w:vAlign w:val="center"/>
          </w:tcPr>
          <w:p>
            <w:pPr>
              <w:pStyle w:val="84"/>
              <w:spacing w:line="0" w:lineRule="atLeast"/>
              <w:contextualSpacing/>
              <w:rPr>
                <w:rFonts w:hAnsi="Times New Roman"/>
                <w:snapToGrid w:val="0"/>
                <w:color w:val="auto"/>
                <w:szCs w:val="22"/>
              </w:rPr>
            </w:pPr>
            <w:r>
              <w:rPr>
                <w:rFonts w:hAnsi="Times New Roman"/>
                <w:snapToGrid w:val="0"/>
                <w:color w:val="auto"/>
                <w:szCs w:val="22"/>
              </w:rPr>
              <w:t>项目</w:t>
            </w:r>
          </w:p>
        </w:tc>
        <w:tc>
          <w:tcPr>
            <w:tcW w:w="914" w:type="pct"/>
            <w:vAlign w:val="center"/>
          </w:tcPr>
          <w:p>
            <w:pPr>
              <w:pStyle w:val="84"/>
              <w:spacing w:line="0" w:lineRule="atLeast"/>
              <w:contextualSpacing/>
              <w:rPr>
                <w:rFonts w:hAnsi="Times New Roman"/>
                <w:snapToGrid w:val="0"/>
                <w:color w:val="auto"/>
                <w:szCs w:val="22"/>
              </w:rPr>
            </w:pPr>
            <w:r>
              <w:rPr>
                <w:rFonts w:hAnsi="Times New Roman"/>
                <w:snapToGrid w:val="0"/>
                <w:color w:val="auto"/>
                <w:szCs w:val="22"/>
              </w:rPr>
              <w:t>日最大用水量</w:t>
            </w:r>
          </w:p>
        </w:tc>
        <w:tc>
          <w:tcPr>
            <w:tcW w:w="915" w:type="pct"/>
            <w:shd w:val="clear" w:color="auto" w:fill="auto"/>
            <w:vAlign w:val="center"/>
          </w:tcPr>
          <w:p>
            <w:pPr>
              <w:pStyle w:val="84"/>
              <w:spacing w:line="0" w:lineRule="atLeast"/>
              <w:contextualSpacing/>
              <w:rPr>
                <w:rFonts w:hAnsi="Times New Roman"/>
                <w:snapToGrid w:val="0"/>
                <w:color w:val="auto"/>
                <w:szCs w:val="22"/>
              </w:rPr>
            </w:pPr>
            <w:r>
              <w:rPr>
                <w:rFonts w:hAnsi="Times New Roman"/>
                <w:snapToGrid w:val="0"/>
                <w:color w:val="auto"/>
                <w:szCs w:val="22"/>
              </w:rPr>
              <w:t>年最大用水量</w:t>
            </w:r>
          </w:p>
        </w:tc>
        <w:tc>
          <w:tcPr>
            <w:tcW w:w="1609" w:type="pct"/>
            <w:shd w:val="clear" w:color="auto" w:fill="auto"/>
            <w:vAlign w:val="center"/>
          </w:tcPr>
          <w:p>
            <w:pPr>
              <w:pStyle w:val="84"/>
              <w:spacing w:line="0" w:lineRule="atLeast"/>
              <w:contextualSpacing/>
              <w:rPr>
                <w:rFonts w:hAnsi="Times New Roman"/>
                <w:snapToGrid w:val="0"/>
                <w:color w:val="auto"/>
                <w:szCs w:val="22"/>
              </w:rPr>
            </w:pPr>
            <w:r>
              <w:rPr>
                <w:rFonts w:hint="eastAsia" w:hAnsi="Times New Roman"/>
                <w:snapToGrid w:val="0"/>
                <w:color w:val="auto"/>
                <w:szCs w:val="22"/>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trPr>
        <w:tc>
          <w:tcPr>
            <w:tcW w:w="1560" w:type="pct"/>
            <w:shd w:val="clear" w:color="auto" w:fill="auto"/>
            <w:vAlign w:val="center"/>
          </w:tcPr>
          <w:p>
            <w:pPr>
              <w:pStyle w:val="84"/>
              <w:spacing w:line="0" w:lineRule="atLeast"/>
              <w:contextualSpacing/>
              <w:rPr>
                <w:rFonts w:hAnsi="Times New Roman"/>
                <w:snapToGrid w:val="0"/>
                <w:color w:val="auto"/>
                <w:szCs w:val="22"/>
              </w:rPr>
            </w:pPr>
            <w:r>
              <w:rPr>
                <w:rFonts w:hint="eastAsia" w:hAnsi="Times New Roman"/>
                <w:snapToGrid w:val="0"/>
                <w:color w:val="auto"/>
                <w:szCs w:val="22"/>
              </w:rPr>
              <w:t>待宰间清洗用水</w:t>
            </w:r>
          </w:p>
        </w:tc>
        <w:tc>
          <w:tcPr>
            <w:tcW w:w="914" w:type="pct"/>
            <w:shd w:val="clear" w:color="auto" w:fill="auto"/>
            <w:vAlign w:val="center"/>
          </w:tcPr>
          <w:p>
            <w:pPr>
              <w:spacing w:line="0" w:lineRule="atLeast"/>
              <w:contextualSpacing/>
              <w:jc w:val="center"/>
              <w:rPr>
                <w:color w:val="auto"/>
                <w:szCs w:val="21"/>
              </w:rPr>
            </w:pPr>
            <w:r>
              <w:rPr>
                <w:rFonts w:hint="eastAsia"/>
                <w:color w:val="auto"/>
                <w:szCs w:val="21"/>
                <w:lang w:val="en-US" w:eastAsia="zh-CN"/>
              </w:rPr>
              <w:t>3</w:t>
            </w:r>
            <w:r>
              <w:rPr>
                <w:rFonts w:hint="eastAsia"/>
                <w:color w:val="auto"/>
                <w:szCs w:val="21"/>
              </w:rPr>
              <w:t>t</w:t>
            </w:r>
          </w:p>
        </w:tc>
        <w:tc>
          <w:tcPr>
            <w:tcW w:w="915" w:type="pct"/>
            <w:shd w:val="clear" w:color="auto" w:fill="auto"/>
            <w:vAlign w:val="center"/>
          </w:tcPr>
          <w:p>
            <w:pPr>
              <w:spacing w:line="0" w:lineRule="atLeast"/>
              <w:contextualSpacing/>
              <w:jc w:val="center"/>
              <w:rPr>
                <w:color w:val="auto"/>
                <w:szCs w:val="21"/>
              </w:rPr>
            </w:pPr>
            <w:r>
              <w:rPr>
                <w:rFonts w:hint="eastAsia"/>
                <w:color w:val="auto"/>
                <w:szCs w:val="21"/>
                <w:lang w:val="en-US" w:eastAsia="zh-CN"/>
              </w:rPr>
              <w:t>900</w:t>
            </w:r>
            <w:r>
              <w:rPr>
                <w:rFonts w:hint="eastAsia"/>
                <w:color w:val="auto"/>
                <w:szCs w:val="21"/>
              </w:rPr>
              <w:t>t</w:t>
            </w:r>
          </w:p>
        </w:tc>
        <w:tc>
          <w:tcPr>
            <w:tcW w:w="1609" w:type="pct"/>
            <w:vMerge w:val="restart"/>
            <w:shd w:val="clear" w:color="auto" w:fill="auto"/>
            <w:vAlign w:val="center"/>
          </w:tcPr>
          <w:p>
            <w:pPr>
              <w:pStyle w:val="84"/>
              <w:spacing w:line="0" w:lineRule="atLeast"/>
              <w:contextualSpacing/>
              <w:rPr>
                <w:color w:val="auto"/>
              </w:rPr>
            </w:pPr>
            <w:r>
              <w:rPr>
                <w:rFonts w:hAnsi="Times New Roman"/>
                <w:snapToGrid w:val="0"/>
                <w:color w:val="auto"/>
                <w:szCs w:val="22"/>
              </w:rPr>
              <w:t>每天清洗一次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trPr>
        <w:tc>
          <w:tcPr>
            <w:tcW w:w="1560" w:type="pct"/>
            <w:shd w:val="clear" w:color="auto" w:fill="auto"/>
            <w:vAlign w:val="center"/>
          </w:tcPr>
          <w:p>
            <w:pPr>
              <w:pStyle w:val="84"/>
              <w:spacing w:line="0" w:lineRule="atLeast"/>
              <w:contextualSpacing/>
              <w:rPr>
                <w:rFonts w:ascii="Times New Roman" w:hAnsi="Times New Roman" w:eastAsia="宋体" w:cs="Times New Roman"/>
                <w:snapToGrid w:val="0"/>
                <w:color w:val="auto"/>
                <w:kern w:val="2"/>
                <w:sz w:val="21"/>
                <w:szCs w:val="22"/>
                <w:lang w:val="en-US" w:eastAsia="zh-CN" w:bidi="ar-SA"/>
              </w:rPr>
            </w:pPr>
            <w:r>
              <w:rPr>
                <w:rFonts w:hint="eastAsia" w:hAnsi="Times New Roman"/>
                <w:snapToGrid w:val="0"/>
                <w:color w:val="auto"/>
                <w:szCs w:val="22"/>
              </w:rPr>
              <w:t>屠宰车间及急宰间用水</w:t>
            </w:r>
          </w:p>
        </w:tc>
        <w:tc>
          <w:tcPr>
            <w:tcW w:w="914" w:type="pct"/>
            <w:vAlign w:val="center"/>
          </w:tcPr>
          <w:p>
            <w:pPr>
              <w:pStyle w:val="84"/>
              <w:spacing w:line="0" w:lineRule="atLeast"/>
              <w:contextualSpacing/>
              <w:rPr>
                <w:rFonts w:ascii="Times New Roman" w:hAnsi="Times New Roman" w:eastAsia="宋体" w:cs="Times New Roman"/>
                <w:snapToGrid w:val="0"/>
                <w:color w:val="auto"/>
                <w:kern w:val="2"/>
                <w:sz w:val="21"/>
                <w:szCs w:val="22"/>
                <w:lang w:val="en-US" w:eastAsia="zh-CN" w:bidi="ar-SA"/>
              </w:rPr>
            </w:pPr>
            <w:r>
              <w:rPr>
                <w:rFonts w:hint="eastAsia" w:hAnsi="Times New Roman"/>
                <w:snapToGrid w:val="0"/>
                <w:color w:val="auto"/>
                <w:szCs w:val="22"/>
                <w:lang w:val="en-US" w:eastAsia="zh-CN"/>
              </w:rPr>
              <w:t>64</w:t>
            </w:r>
            <w:r>
              <w:rPr>
                <w:rFonts w:hint="eastAsia" w:hAnsi="Times New Roman"/>
                <w:snapToGrid w:val="0"/>
                <w:color w:val="auto"/>
                <w:szCs w:val="22"/>
              </w:rPr>
              <w:t>t</w:t>
            </w:r>
          </w:p>
        </w:tc>
        <w:tc>
          <w:tcPr>
            <w:tcW w:w="915" w:type="pct"/>
            <w:shd w:val="clear" w:color="auto" w:fill="auto"/>
            <w:vAlign w:val="center"/>
          </w:tcPr>
          <w:p>
            <w:pPr>
              <w:pStyle w:val="84"/>
              <w:spacing w:line="0" w:lineRule="atLeast"/>
              <w:contextualSpacing/>
              <w:rPr>
                <w:rFonts w:ascii="Times New Roman" w:hAnsi="Times New Roman" w:eastAsia="宋体" w:cs="Times New Roman"/>
                <w:snapToGrid w:val="0"/>
                <w:color w:val="auto"/>
                <w:kern w:val="2"/>
                <w:sz w:val="21"/>
                <w:szCs w:val="22"/>
                <w:lang w:val="en-US" w:eastAsia="zh-CN" w:bidi="ar-SA"/>
              </w:rPr>
            </w:pPr>
            <w:r>
              <w:rPr>
                <w:rFonts w:hint="eastAsia" w:hAnsi="Times New Roman"/>
                <w:snapToGrid w:val="0"/>
                <w:color w:val="auto"/>
                <w:szCs w:val="22"/>
                <w:lang w:val="en-US" w:eastAsia="zh-CN"/>
              </w:rPr>
              <w:t>19100</w:t>
            </w:r>
            <w:r>
              <w:rPr>
                <w:rFonts w:hint="eastAsia" w:hAnsi="Times New Roman"/>
                <w:snapToGrid w:val="0"/>
                <w:color w:val="auto"/>
                <w:szCs w:val="22"/>
              </w:rPr>
              <w:t>t</w:t>
            </w:r>
          </w:p>
        </w:tc>
        <w:tc>
          <w:tcPr>
            <w:tcW w:w="1609" w:type="pct"/>
            <w:vMerge w:val="continue"/>
            <w:shd w:val="clear" w:color="auto" w:fill="auto"/>
            <w:vAlign w:val="center"/>
          </w:tcPr>
          <w:p>
            <w:pPr>
              <w:pStyle w:val="84"/>
              <w:spacing w:line="0" w:lineRule="atLeast"/>
              <w:contextualSpacing/>
              <w:rPr>
                <w:rFonts w:hAnsi="Times New Roman"/>
                <w:snapToGrid w:val="0"/>
                <w:color w:val="auto"/>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60" w:type="pct"/>
            <w:shd w:val="clear" w:color="auto" w:fill="auto"/>
            <w:vAlign w:val="center"/>
          </w:tcPr>
          <w:p>
            <w:pPr>
              <w:pStyle w:val="84"/>
              <w:spacing w:line="0" w:lineRule="atLeast"/>
              <w:contextualSpacing/>
              <w:rPr>
                <w:rFonts w:hint="eastAsia" w:hAnsi="Times New Roman" w:eastAsia="宋体"/>
                <w:snapToGrid w:val="0"/>
                <w:color w:val="auto"/>
                <w:szCs w:val="22"/>
                <w:lang w:val="en-US" w:eastAsia="zh-CN"/>
              </w:rPr>
            </w:pPr>
            <w:r>
              <w:rPr>
                <w:rFonts w:hint="eastAsia" w:hAnsi="Times New Roman"/>
                <w:snapToGrid w:val="0"/>
                <w:color w:val="auto"/>
                <w:szCs w:val="22"/>
                <w:lang w:val="en-US" w:eastAsia="zh-CN"/>
              </w:rPr>
              <w:t>锅炉用水</w:t>
            </w:r>
          </w:p>
        </w:tc>
        <w:tc>
          <w:tcPr>
            <w:tcW w:w="914" w:type="pct"/>
            <w:vAlign w:val="center"/>
          </w:tcPr>
          <w:p>
            <w:pPr>
              <w:pStyle w:val="84"/>
              <w:spacing w:line="0" w:lineRule="atLeast"/>
              <w:contextualSpacing/>
              <w:rPr>
                <w:rFonts w:hint="default" w:hAnsi="Times New Roman" w:eastAsia="宋体"/>
                <w:snapToGrid w:val="0"/>
                <w:color w:val="auto"/>
                <w:szCs w:val="22"/>
                <w:lang w:val="en-US" w:eastAsia="zh-CN"/>
              </w:rPr>
            </w:pPr>
            <w:r>
              <w:rPr>
                <w:rFonts w:hint="eastAsia" w:hAnsi="Times New Roman"/>
                <w:snapToGrid w:val="0"/>
                <w:color w:val="auto"/>
                <w:szCs w:val="22"/>
                <w:lang w:val="en-US" w:eastAsia="zh-CN"/>
              </w:rPr>
              <w:t>1.0284t</w:t>
            </w:r>
          </w:p>
        </w:tc>
        <w:tc>
          <w:tcPr>
            <w:tcW w:w="915" w:type="pct"/>
            <w:shd w:val="clear" w:color="auto" w:fill="auto"/>
            <w:vAlign w:val="center"/>
          </w:tcPr>
          <w:p>
            <w:pPr>
              <w:pStyle w:val="84"/>
              <w:spacing w:line="0" w:lineRule="atLeast"/>
              <w:contextualSpacing/>
              <w:rPr>
                <w:rFonts w:hAnsi="Times New Roman"/>
                <w:snapToGrid w:val="0"/>
                <w:color w:val="auto"/>
                <w:szCs w:val="22"/>
              </w:rPr>
            </w:pPr>
            <w:r>
              <w:rPr>
                <w:rFonts w:hint="eastAsia"/>
                <w:color w:val="000000" w:themeColor="text1"/>
                <w:sz w:val="21"/>
                <w:szCs w:val="21"/>
                <w:highlight w:val="none"/>
                <w:lang w:val="en-US" w:eastAsia="zh-CN"/>
              </w:rPr>
              <w:t>185.12</w:t>
            </w:r>
            <w:r>
              <w:rPr>
                <w:rFonts w:hint="eastAsia"/>
                <w:color w:val="000000" w:themeColor="text1"/>
                <w:sz w:val="21"/>
                <w:szCs w:val="21"/>
                <w:highlight w:val="none"/>
                <w:lang w:eastAsia="zh-CN"/>
              </w:rPr>
              <w:t>t</w:t>
            </w:r>
          </w:p>
        </w:tc>
        <w:tc>
          <w:tcPr>
            <w:tcW w:w="1609" w:type="pct"/>
            <w:vMerge w:val="restart"/>
            <w:shd w:val="clear" w:color="auto" w:fill="auto"/>
            <w:vAlign w:val="center"/>
          </w:tcPr>
          <w:p>
            <w:pPr>
              <w:widowControl/>
              <w:jc w:val="center"/>
              <w:textAlignment w:val="center"/>
              <w:rPr>
                <w:color w:val="auto"/>
                <w:kern w:val="0"/>
                <w:szCs w:val="21"/>
              </w:rPr>
            </w:pPr>
            <w:r>
              <w:rPr>
                <w:rFonts w:hint="eastAsia"/>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trPr>
        <w:tc>
          <w:tcPr>
            <w:tcW w:w="1560" w:type="pct"/>
            <w:shd w:val="clear" w:color="auto" w:fill="auto"/>
            <w:vAlign w:val="center"/>
          </w:tcPr>
          <w:p>
            <w:pPr>
              <w:pStyle w:val="84"/>
              <w:spacing w:line="0" w:lineRule="atLeast"/>
              <w:contextualSpacing/>
              <w:rPr>
                <w:rFonts w:hint="eastAsia" w:hAnsi="Times New Roman" w:eastAsia="宋体"/>
                <w:snapToGrid w:val="0"/>
                <w:color w:val="auto"/>
                <w:szCs w:val="22"/>
                <w:lang w:eastAsia="zh-CN"/>
              </w:rPr>
            </w:pPr>
            <w:r>
              <w:rPr>
                <w:rFonts w:hint="eastAsia" w:hAnsi="Times New Roman"/>
                <w:snapToGrid w:val="0"/>
                <w:color w:val="auto"/>
                <w:szCs w:val="22"/>
              </w:rPr>
              <w:t>员工</w:t>
            </w:r>
            <w:r>
              <w:rPr>
                <w:rFonts w:hAnsi="Times New Roman"/>
                <w:snapToGrid w:val="0"/>
                <w:color w:val="auto"/>
                <w:szCs w:val="22"/>
              </w:rPr>
              <w:t>生活</w:t>
            </w:r>
            <w:r>
              <w:rPr>
                <w:rFonts w:hint="eastAsia" w:hAnsi="Times New Roman"/>
                <w:snapToGrid w:val="0"/>
                <w:color w:val="auto"/>
                <w:szCs w:val="22"/>
                <w:lang w:val="en-US" w:eastAsia="zh-CN"/>
              </w:rPr>
              <w:t>用水</w:t>
            </w:r>
          </w:p>
        </w:tc>
        <w:tc>
          <w:tcPr>
            <w:tcW w:w="914" w:type="pct"/>
            <w:vAlign w:val="center"/>
          </w:tcPr>
          <w:p>
            <w:pPr>
              <w:widowControl/>
              <w:jc w:val="center"/>
              <w:textAlignment w:val="center"/>
              <w:rPr>
                <w:color w:val="auto"/>
                <w:kern w:val="0"/>
                <w:szCs w:val="21"/>
              </w:rPr>
            </w:pPr>
            <w:r>
              <w:rPr>
                <w:rFonts w:hint="eastAsia"/>
                <w:color w:val="auto"/>
                <w:kern w:val="0"/>
                <w:szCs w:val="21"/>
              </w:rPr>
              <w:t>4</w:t>
            </w:r>
            <w:r>
              <w:rPr>
                <w:rFonts w:hint="eastAsia"/>
                <w:color w:val="auto"/>
                <w:kern w:val="0"/>
                <w:szCs w:val="21"/>
                <w:lang w:val="en-US" w:eastAsia="zh-CN"/>
              </w:rPr>
              <w:t>.8</w:t>
            </w:r>
            <w:r>
              <w:rPr>
                <w:rFonts w:hint="eastAsia"/>
                <w:color w:val="auto"/>
                <w:kern w:val="0"/>
                <w:szCs w:val="21"/>
              </w:rPr>
              <w:t>t</w:t>
            </w:r>
          </w:p>
        </w:tc>
        <w:tc>
          <w:tcPr>
            <w:tcW w:w="915" w:type="pct"/>
            <w:shd w:val="clear" w:color="auto" w:fill="auto"/>
            <w:vAlign w:val="center"/>
          </w:tcPr>
          <w:p>
            <w:pPr>
              <w:widowControl/>
              <w:jc w:val="center"/>
              <w:textAlignment w:val="center"/>
              <w:rPr>
                <w:color w:val="auto"/>
                <w:kern w:val="0"/>
                <w:szCs w:val="21"/>
              </w:rPr>
            </w:pPr>
            <w:r>
              <w:rPr>
                <w:rFonts w:hint="eastAsia"/>
                <w:color w:val="auto"/>
                <w:kern w:val="0"/>
                <w:szCs w:val="21"/>
                <w:lang w:val="en-US" w:eastAsia="zh-CN"/>
              </w:rPr>
              <w:t>1440</w:t>
            </w:r>
            <w:r>
              <w:rPr>
                <w:rFonts w:hint="eastAsia"/>
                <w:color w:val="auto"/>
                <w:kern w:val="0"/>
                <w:szCs w:val="21"/>
              </w:rPr>
              <w:t>t</w:t>
            </w:r>
          </w:p>
        </w:tc>
        <w:tc>
          <w:tcPr>
            <w:tcW w:w="1609" w:type="pct"/>
            <w:vMerge w:val="continue"/>
            <w:shd w:val="clear" w:color="auto" w:fill="auto"/>
            <w:vAlign w:val="center"/>
          </w:tcPr>
          <w:p>
            <w:pPr>
              <w:widowControl/>
              <w:jc w:val="center"/>
              <w:textAlignment w:val="center"/>
              <w:rPr>
                <w:color w:val="auto"/>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trPr>
        <w:tc>
          <w:tcPr>
            <w:tcW w:w="1560" w:type="pct"/>
            <w:shd w:val="clear" w:color="auto" w:fill="auto"/>
            <w:vAlign w:val="center"/>
          </w:tcPr>
          <w:p>
            <w:pPr>
              <w:pStyle w:val="84"/>
              <w:spacing w:line="0" w:lineRule="atLeast"/>
              <w:contextualSpacing/>
              <w:rPr>
                <w:rFonts w:hAnsi="Times New Roman"/>
                <w:snapToGrid w:val="0"/>
                <w:color w:val="auto"/>
                <w:szCs w:val="22"/>
              </w:rPr>
            </w:pPr>
            <w:r>
              <w:rPr>
                <w:rFonts w:hAnsi="Times New Roman"/>
                <w:snapToGrid w:val="0"/>
                <w:color w:val="auto"/>
                <w:szCs w:val="22"/>
              </w:rPr>
              <w:t>总计</w:t>
            </w:r>
          </w:p>
        </w:tc>
        <w:tc>
          <w:tcPr>
            <w:tcW w:w="914" w:type="pct"/>
            <w:vAlign w:val="center"/>
          </w:tcPr>
          <w:p>
            <w:pPr>
              <w:pStyle w:val="84"/>
              <w:spacing w:line="0" w:lineRule="atLeast"/>
              <w:contextualSpacing/>
              <w:rPr>
                <w:rFonts w:hAnsi="Times New Roman"/>
                <w:snapToGrid w:val="0"/>
                <w:color w:val="auto"/>
                <w:szCs w:val="22"/>
              </w:rPr>
            </w:pPr>
            <w:r>
              <w:rPr>
                <w:rFonts w:hint="eastAsia" w:hAnsi="Times New Roman"/>
                <w:snapToGrid w:val="0"/>
                <w:color w:val="auto"/>
                <w:szCs w:val="22"/>
                <w:lang w:val="en-US" w:eastAsia="zh-CN"/>
              </w:rPr>
              <w:t>72.8284</w:t>
            </w:r>
            <w:r>
              <w:rPr>
                <w:rFonts w:hint="eastAsia" w:hAnsi="Times New Roman"/>
                <w:snapToGrid w:val="0"/>
                <w:color w:val="auto"/>
                <w:szCs w:val="22"/>
              </w:rPr>
              <w:t>t</w:t>
            </w:r>
          </w:p>
        </w:tc>
        <w:tc>
          <w:tcPr>
            <w:tcW w:w="915" w:type="pct"/>
            <w:shd w:val="clear" w:color="auto" w:fill="auto"/>
            <w:vAlign w:val="center"/>
          </w:tcPr>
          <w:p>
            <w:pPr>
              <w:pStyle w:val="84"/>
              <w:spacing w:line="0" w:lineRule="atLeast"/>
              <w:contextualSpacing/>
              <w:rPr>
                <w:rFonts w:hAnsi="Times New Roman"/>
                <w:snapToGrid w:val="0"/>
                <w:color w:val="auto"/>
                <w:szCs w:val="22"/>
              </w:rPr>
            </w:pPr>
            <w:r>
              <w:rPr>
                <w:rFonts w:hint="eastAsia" w:hAnsi="Times New Roman"/>
                <w:snapToGrid w:val="0"/>
                <w:color w:val="auto"/>
                <w:szCs w:val="22"/>
                <w:lang w:eastAsia="zh-CN"/>
              </w:rPr>
              <w:t>21625.12</w:t>
            </w:r>
            <w:r>
              <w:rPr>
                <w:rFonts w:hint="eastAsia" w:hAnsi="Times New Roman"/>
                <w:snapToGrid w:val="0"/>
                <w:color w:val="auto"/>
                <w:szCs w:val="22"/>
              </w:rPr>
              <w:t>t</w:t>
            </w:r>
          </w:p>
        </w:tc>
        <w:tc>
          <w:tcPr>
            <w:tcW w:w="1609" w:type="pct"/>
            <w:shd w:val="clear" w:color="auto" w:fill="auto"/>
            <w:vAlign w:val="center"/>
          </w:tcPr>
          <w:p>
            <w:pPr>
              <w:pStyle w:val="84"/>
              <w:spacing w:line="0" w:lineRule="atLeast"/>
              <w:contextualSpacing/>
              <w:rPr>
                <w:rFonts w:hAnsi="Times New Roman"/>
                <w:snapToGrid w:val="0"/>
                <w:color w:val="auto"/>
                <w:szCs w:val="22"/>
              </w:rPr>
            </w:pPr>
            <w:r>
              <w:rPr>
                <w:rFonts w:hint="eastAsia" w:hAnsi="Times New Roman"/>
                <w:snapToGrid w:val="0"/>
                <w:color w:val="auto"/>
                <w:szCs w:val="22"/>
              </w:rPr>
              <w:t>/</w:t>
            </w:r>
          </w:p>
        </w:tc>
      </w:tr>
    </w:tbl>
    <w:p>
      <w:pPr>
        <w:spacing w:line="360" w:lineRule="auto"/>
        <w:outlineLvl w:val="3"/>
        <w:rPr>
          <w:rFonts w:eastAsiaTheme="minorEastAsia"/>
          <w:b/>
          <w:color w:val="FF0000"/>
          <w:sz w:val="24"/>
        </w:rPr>
      </w:pPr>
      <w:r>
        <w:rPr>
          <w:color w:val="auto"/>
        </w:rPr>
        <w:fldChar w:fldCharType="begin"/>
      </w:r>
      <w:r>
        <w:rPr>
          <w:color w:val="auto"/>
        </w:rPr>
        <w:instrText xml:space="preserve"> HYPERLINK "file:///F:\\360用户文件\\游戏大厅\\天兆养猪有限公司环评\\1106天兆养猪\\天兆养猪有限公司环评1117.docx" \l "_Toc110400208" </w:instrText>
      </w:r>
      <w:r>
        <w:rPr>
          <w:color w:val="auto"/>
        </w:rPr>
        <w:fldChar w:fldCharType="separate"/>
      </w:r>
      <w:r>
        <w:rPr>
          <w:rFonts w:eastAsiaTheme="minorEastAsia"/>
          <w:b/>
          <w:color w:val="auto"/>
          <w:sz w:val="24"/>
        </w:rPr>
        <w:t>3.1.7.2排水工程</w:t>
      </w:r>
      <w:r>
        <w:rPr>
          <w:rFonts w:eastAsiaTheme="minorEastAsia"/>
          <w:b/>
          <w:color w:val="auto"/>
          <w:sz w:val="24"/>
        </w:rPr>
        <w:fldChar w:fldCharType="end"/>
      </w:r>
    </w:p>
    <w:p>
      <w:pPr>
        <w:spacing w:line="360" w:lineRule="auto"/>
        <w:ind w:firstLine="480" w:firstLineChars="200"/>
        <w:contextualSpacing/>
        <w:rPr>
          <w:color w:val="auto"/>
          <w:sz w:val="24"/>
        </w:rPr>
      </w:pPr>
      <w:bookmarkStart w:id="81" w:name="_Hlk479525778"/>
      <w:bookmarkStart w:id="82" w:name="_Hlk480325836"/>
      <w:r>
        <w:rPr>
          <w:rFonts w:hint="eastAsia"/>
          <w:color w:val="auto"/>
          <w:sz w:val="24"/>
        </w:rPr>
        <w:t>本项目</w:t>
      </w:r>
      <w:r>
        <w:rPr>
          <w:color w:val="auto"/>
          <w:sz w:val="24"/>
        </w:rPr>
        <w:t>产生的生产废水和生活污水经厂区污水处理站处理达到</w:t>
      </w:r>
      <w:r>
        <w:rPr>
          <w:bCs/>
          <w:color w:val="auto"/>
          <w:sz w:val="24"/>
        </w:rPr>
        <w:t>《肉类加工工业水污染物排放标准》（GB13457-92）表3三级畜类屠宰加工标准限值，</w:t>
      </w:r>
      <w:r>
        <w:rPr>
          <w:rFonts w:hint="eastAsia"/>
          <w:bCs/>
          <w:color w:val="auto"/>
          <w:sz w:val="24"/>
        </w:rPr>
        <w:t>暂存</w:t>
      </w:r>
      <w:r>
        <w:rPr>
          <w:bCs/>
          <w:color w:val="auto"/>
          <w:sz w:val="24"/>
        </w:rPr>
        <w:t>于贮水池，</w:t>
      </w:r>
      <w:r>
        <w:rPr>
          <w:rFonts w:hint="eastAsia"/>
          <w:bCs/>
          <w:color w:val="auto"/>
          <w:sz w:val="24"/>
        </w:rPr>
        <w:t>每天</w:t>
      </w:r>
      <w:r>
        <w:rPr>
          <w:bCs/>
          <w:color w:val="auto"/>
          <w:sz w:val="24"/>
        </w:rPr>
        <w:t>采用专用罐车</w:t>
      </w:r>
      <w:r>
        <w:rPr>
          <w:rFonts w:hint="eastAsia"/>
          <w:bCs/>
          <w:color w:val="auto"/>
          <w:sz w:val="24"/>
        </w:rPr>
        <w:t>运至</w:t>
      </w:r>
      <w:r>
        <w:rPr>
          <w:rFonts w:hint="eastAsia"/>
          <w:bCs/>
          <w:color w:val="auto"/>
          <w:sz w:val="24"/>
          <w:lang w:eastAsia="zh-CN"/>
        </w:rPr>
        <w:t>尚志污水处理厂</w:t>
      </w:r>
      <w:r>
        <w:rPr>
          <w:bCs/>
          <w:color w:val="auto"/>
          <w:sz w:val="24"/>
        </w:rPr>
        <w:t>，经处理后排入</w:t>
      </w:r>
      <w:r>
        <w:rPr>
          <w:rFonts w:hint="eastAsia"/>
          <w:bCs/>
          <w:color w:val="auto"/>
          <w:sz w:val="24"/>
          <w:lang w:eastAsia="zh-CN"/>
        </w:rPr>
        <w:t>乌珠河</w:t>
      </w:r>
      <w:r>
        <w:rPr>
          <w:bCs/>
          <w:color w:val="auto"/>
          <w:sz w:val="24"/>
        </w:rPr>
        <w:t>，最终进入</w:t>
      </w:r>
      <w:r>
        <w:rPr>
          <w:rFonts w:hint="eastAsia"/>
          <w:bCs/>
          <w:color w:val="auto"/>
          <w:sz w:val="24"/>
          <w:lang w:val="en-US" w:eastAsia="zh-CN"/>
        </w:rPr>
        <w:t>蚂蚁河</w:t>
      </w:r>
      <w:r>
        <w:rPr>
          <w:bCs/>
          <w:color w:val="auto"/>
          <w:sz w:val="24"/>
        </w:rPr>
        <w:t>。</w:t>
      </w:r>
    </w:p>
    <w:p>
      <w:pPr>
        <w:spacing w:line="360" w:lineRule="auto"/>
        <w:ind w:firstLine="480" w:firstLineChars="200"/>
        <w:contextualSpacing/>
        <w:rPr>
          <w:color w:val="auto"/>
          <w:sz w:val="24"/>
        </w:rPr>
      </w:pPr>
      <w:r>
        <w:rPr>
          <w:rFonts w:hint="eastAsia"/>
          <w:color w:val="auto"/>
          <w:sz w:val="24"/>
        </w:rPr>
        <w:t>（1）生活污水</w:t>
      </w:r>
    </w:p>
    <w:p>
      <w:pPr>
        <w:spacing w:line="360" w:lineRule="auto"/>
        <w:ind w:firstLine="480" w:firstLineChars="200"/>
        <w:contextualSpacing/>
        <w:rPr>
          <w:color w:val="auto"/>
          <w:sz w:val="24"/>
        </w:rPr>
      </w:pPr>
      <w:r>
        <w:rPr>
          <w:color w:val="auto"/>
          <w:kern w:val="0"/>
          <w:sz w:val="24"/>
        </w:rPr>
        <w:t>本项目生活污水排水量以用水量的80%计，排水量为</w:t>
      </w:r>
      <w:r>
        <w:rPr>
          <w:rFonts w:hint="eastAsia"/>
          <w:color w:val="auto"/>
          <w:kern w:val="0"/>
          <w:sz w:val="24"/>
          <w:lang w:val="en-US" w:eastAsia="zh-CN"/>
        </w:rPr>
        <w:t>3.84</w:t>
      </w:r>
      <w:r>
        <w:rPr>
          <w:rFonts w:hint="eastAsia"/>
          <w:color w:val="auto"/>
          <w:kern w:val="0"/>
          <w:sz w:val="24"/>
        </w:rPr>
        <w:t>t</w:t>
      </w:r>
      <w:r>
        <w:rPr>
          <w:color w:val="auto"/>
          <w:kern w:val="0"/>
          <w:sz w:val="24"/>
        </w:rPr>
        <w:t>/d</w:t>
      </w:r>
      <w:r>
        <w:rPr>
          <w:rFonts w:hint="eastAsia"/>
          <w:color w:val="auto"/>
          <w:kern w:val="0"/>
          <w:sz w:val="24"/>
        </w:rPr>
        <w:t>、</w:t>
      </w:r>
      <w:r>
        <w:rPr>
          <w:rFonts w:hint="eastAsia"/>
          <w:color w:val="auto"/>
          <w:kern w:val="0"/>
          <w:sz w:val="24"/>
          <w:lang w:val="en-US" w:eastAsia="zh-CN"/>
        </w:rPr>
        <w:t>1152</w:t>
      </w:r>
      <w:r>
        <w:rPr>
          <w:rFonts w:hint="eastAsia"/>
          <w:color w:val="auto"/>
          <w:sz w:val="24"/>
        </w:rPr>
        <w:t>t</w:t>
      </w:r>
      <w:r>
        <w:rPr>
          <w:color w:val="auto"/>
          <w:sz w:val="24"/>
        </w:rPr>
        <w:t>/a。</w:t>
      </w:r>
    </w:p>
    <w:p>
      <w:pPr>
        <w:spacing w:line="360" w:lineRule="auto"/>
        <w:ind w:firstLine="480" w:firstLineChars="200"/>
        <w:contextualSpacing/>
        <w:rPr>
          <w:color w:val="auto"/>
          <w:sz w:val="24"/>
        </w:rPr>
      </w:pPr>
      <w:r>
        <w:rPr>
          <w:rFonts w:hint="eastAsia"/>
          <w:color w:val="auto"/>
          <w:sz w:val="24"/>
        </w:rPr>
        <w:t>（2）生产车间废水</w:t>
      </w:r>
    </w:p>
    <w:p>
      <w:pPr>
        <w:spacing w:line="360" w:lineRule="auto"/>
        <w:ind w:firstLine="480" w:firstLineChars="200"/>
        <w:contextualSpacing/>
        <w:rPr>
          <w:color w:val="auto"/>
          <w:sz w:val="24"/>
        </w:rPr>
      </w:pPr>
      <w:r>
        <w:rPr>
          <w:rFonts w:hint="eastAsia"/>
          <w:color w:val="auto"/>
          <w:sz w:val="24"/>
        </w:rPr>
        <w:t>根据《屠宰与肉类加工废水治理工程技术规范》（HJ2004-2010），按全厂用水量估算总废水排放量时，废水量宜取全厂用水量的80%~90%，本项目取80%。</w:t>
      </w:r>
    </w:p>
    <w:p>
      <w:pPr>
        <w:spacing w:line="360" w:lineRule="auto"/>
        <w:ind w:firstLine="480" w:firstLineChars="200"/>
        <w:contextualSpacing/>
        <w:rPr>
          <w:snapToGrid w:val="0"/>
          <w:color w:val="auto"/>
          <w:kern w:val="0"/>
          <w:sz w:val="24"/>
        </w:rPr>
      </w:pPr>
      <w:r>
        <w:rPr>
          <w:snapToGrid w:val="0"/>
          <w:color w:val="auto"/>
          <w:kern w:val="0"/>
          <w:sz w:val="24"/>
        </w:rPr>
        <w:t>①</w:t>
      </w:r>
      <w:r>
        <w:rPr>
          <w:rFonts w:hint="eastAsia"/>
          <w:snapToGrid w:val="0"/>
          <w:color w:val="auto"/>
          <w:kern w:val="0"/>
          <w:sz w:val="24"/>
        </w:rPr>
        <w:t>待宰间清洗废水（含尿液）</w:t>
      </w:r>
    </w:p>
    <w:p>
      <w:pPr>
        <w:spacing w:line="360" w:lineRule="auto"/>
        <w:ind w:firstLine="480" w:firstLineChars="200"/>
        <w:contextualSpacing/>
        <w:rPr>
          <w:color w:val="FF0000"/>
          <w:sz w:val="24"/>
          <w:highlight w:val="none"/>
        </w:rPr>
      </w:pPr>
      <w:r>
        <w:rPr>
          <w:rFonts w:hint="eastAsia"/>
          <w:color w:val="auto"/>
          <w:sz w:val="24"/>
          <w:highlight w:val="none"/>
        </w:rPr>
        <w:t>待宰间清洗废水量以用水量的80%计，则清洗废水量</w:t>
      </w:r>
      <w:r>
        <w:rPr>
          <w:rFonts w:hint="eastAsia"/>
          <w:color w:val="auto"/>
          <w:sz w:val="24"/>
          <w:highlight w:val="none"/>
          <w:lang w:val="en-US" w:eastAsia="zh-CN"/>
        </w:rPr>
        <w:t>720</w:t>
      </w:r>
      <w:r>
        <w:rPr>
          <w:rFonts w:hint="eastAsia"/>
          <w:color w:val="auto"/>
          <w:sz w:val="24"/>
          <w:highlight w:val="none"/>
        </w:rPr>
        <w:t>t/a、</w:t>
      </w:r>
      <w:r>
        <w:rPr>
          <w:rFonts w:hint="eastAsia"/>
          <w:color w:val="auto"/>
          <w:sz w:val="24"/>
          <w:highlight w:val="none"/>
          <w:lang w:val="en-US" w:eastAsia="zh-CN"/>
        </w:rPr>
        <w:t>2.4</w:t>
      </w:r>
      <w:r>
        <w:rPr>
          <w:rFonts w:hint="eastAsia"/>
          <w:color w:val="auto"/>
          <w:sz w:val="24"/>
          <w:highlight w:val="none"/>
        </w:rPr>
        <w:t>t/d；待宰间肉牛尿液量根据</w:t>
      </w:r>
      <w:r>
        <w:rPr>
          <w:color w:val="auto"/>
          <w:sz w:val="24"/>
          <w:highlight w:val="none"/>
        </w:rPr>
        <w:t>《畜禽养殖业污染治理工程技术规范》的资料性附录A“畜禽养殖废水水质和粪污产生量”，牛尿液量</w:t>
      </w:r>
      <w:r>
        <w:rPr>
          <w:rFonts w:hint="eastAsia"/>
          <w:color w:val="auto"/>
          <w:sz w:val="24"/>
          <w:highlight w:val="none"/>
        </w:rPr>
        <w:t>取</w:t>
      </w:r>
      <w:r>
        <w:rPr>
          <w:color w:val="auto"/>
          <w:sz w:val="24"/>
          <w:highlight w:val="none"/>
        </w:rPr>
        <w:t>10</w:t>
      </w:r>
      <w:r>
        <w:rPr>
          <w:rFonts w:hint="eastAsia"/>
          <w:color w:val="auto"/>
          <w:sz w:val="24"/>
          <w:highlight w:val="none"/>
        </w:rPr>
        <w:t>kg</w:t>
      </w:r>
      <w:r>
        <w:rPr>
          <w:color w:val="auto"/>
          <w:sz w:val="24"/>
          <w:highlight w:val="none"/>
        </w:rPr>
        <w:t>/</w:t>
      </w:r>
      <w:r>
        <w:rPr>
          <w:rFonts w:hint="eastAsia"/>
          <w:color w:val="auto"/>
          <w:sz w:val="24"/>
          <w:highlight w:val="none"/>
        </w:rPr>
        <w:t>只</w:t>
      </w:r>
      <w:r>
        <w:rPr>
          <w:color w:val="auto"/>
          <w:sz w:val="24"/>
          <w:highlight w:val="none"/>
        </w:rPr>
        <w:t>▪d，则待宰间尿液产生量为</w:t>
      </w:r>
      <w:r>
        <w:rPr>
          <w:rFonts w:hint="eastAsia"/>
          <w:color w:val="auto"/>
          <w:sz w:val="24"/>
          <w:highlight w:val="none"/>
          <w:lang w:val="en-US" w:eastAsia="zh-CN"/>
        </w:rPr>
        <w:t>0.67</w:t>
      </w:r>
      <w:r>
        <w:rPr>
          <w:rFonts w:hint="eastAsia"/>
          <w:color w:val="auto"/>
          <w:sz w:val="24"/>
          <w:highlight w:val="none"/>
        </w:rPr>
        <w:t>t/d、</w:t>
      </w:r>
      <w:r>
        <w:rPr>
          <w:rFonts w:hint="eastAsia"/>
          <w:color w:val="auto"/>
          <w:sz w:val="24"/>
          <w:highlight w:val="none"/>
          <w:lang w:val="en-US" w:eastAsia="zh-CN"/>
        </w:rPr>
        <w:t>200</w:t>
      </w:r>
      <w:r>
        <w:rPr>
          <w:rFonts w:hint="eastAsia"/>
          <w:color w:val="auto"/>
          <w:sz w:val="24"/>
          <w:highlight w:val="none"/>
        </w:rPr>
        <w:t>t/a。综上</w:t>
      </w:r>
      <w:r>
        <w:rPr>
          <w:rFonts w:hint="eastAsia"/>
          <w:color w:val="auto"/>
          <w:sz w:val="24"/>
          <w:highlight w:val="none"/>
          <w:lang w:eastAsia="zh-CN"/>
        </w:rPr>
        <w:t>，</w:t>
      </w:r>
      <w:r>
        <w:rPr>
          <w:rFonts w:hint="eastAsia"/>
          <w:color w:val="auto"/>
          <w:sz w:val="24"/>
          <w:highlight w:val="none"/>
        </w:rPr>
        <w:t>待宰间清洗废水（含尿液）产生量为</w:t>
      </w:r>
      <w:r>
        <w:rPr>
          <w:rFonts w:hint="eastAsia"/>
          <w:color w:val="auto"/>
          <w:sz w:val="24"/>
          <w:highlight w:val="none"/>
          <w:lang w:val="en-US" w:eastAsia="zh-CN"/>
        </w:rPr>
        <w:t>3.07</w:t>
      </w:r>
      <w:r>
        <w:rPr>
          <w:rFonts w:hint="eastAsia"/>
          <w:color w:val="auto"/>
          <w:sz w:val="24"/>
          <w:highlight w:val="none"/>
        </w:rPr>
        <w:t>t/d、</w:t>
      </w:r>
      <w:r>
        <w:rPr>
          <w:rFonts w:hint="eastAsia"/>
          <w:color w:val="auto"/>
          <w:sz w:val="24"/>
          <w:highlight w:val="none"/>
          <w:lang w:val="en-US" w:eastAsia="zh-CN"/>
        </w:rPr>
        <w:t>920</w:t>
      </w:r>
      <w:r>
        <w:rPr>
          <w:rFonts w:hint="eastAsia"/>
          <w:color w:val="auto"/>
          <w:sz w:val="24"/>
          <w:highlight w:val="none"/>
        </w:rPr>
        <w:t>t/a。</w:t>
      </w:r>
    </w:p>
    <w:p>
      <w:pPr>
        <w:spacing w:line="360" w:lineRule="auto"/>
        <w:ind w:firstLine="480" w:firstLineChars="200"/>
        <w:contextualSpacing/>
        <w:rPr>
          <w:snapToGrid w:val="0"/>
          <w:color w:val="auto"/>
          <w:kern w:val="0"/>
          <w:sz w:val="24"/>
        </w:rPr>
      </w:pPr>
      <w:r>
        <w:rPr>
          <w:rFonts w:hint="eastAsia"/>
          <w:snapToGrid w:val="0"/>
          <w:color w:val="auto"/>
          <w:kern w:val="0"/>
          <w:sz w:val="24"/>
          <w:lang w:val="en-US" w:eastAsia="zh-CN"/>
        </w:rPr>
        <w:t>②</w:t>
      </w:r>
      <w:r>
        <w:rPr>
          <w:rFonts w:hint="eastAsia"/>
          <w:color w:val="auto"/>
          <w:sz w:val="24"/>
        </w:rPr>
        <w:t>屠宰车间</w:t>
      </w:r>
      <w:r>
        <w:rPr>
          <w:rFonts w:hint="eastAsia"/>
          <w:color w:val="auto"/>
          <w:sz w:val="24"/>
          <w:lang w:val="en-US" w:eastAsia="zh-CN"/>
        </w:rPr>
        <w:t>及急宰间</w:t>
      </w:r>
      <w:r>
        <w:rPr>
          <w:rFonts w:hint="eastAsia"/>
          <w:color w:val="auto"/>
          <w:sz w:val="24"/>
        </w:rPr>
        <w:t>废水</w:t>
      </w:r>
    </w:p>
    <w:p>
      <w:pPr>
        <w:spacing w:line="360" w:lineRule="auto"/>
        <w:ind w:firstLine="480" w:firstLineChars="200"/>
        <w:contextualSpacing/>
        <w:rPr>
          <w:color w:val="auto"/>
          <w:sz w:val="24"/>
        </w:rPr>
      </w:pPr>
      <w:r>
        <w:rPr>
          <w:rFonts w:hint="eastAsia"/>
          <w:color w:val="auto"/>
          <w:sz w:val="24"/>
        </w:rPr>
        <w:t>屠宰车间</w:t>
      </w:r>
      <w:r>
        <w:rPr>
          <w:rFonts w:hint="eastAsia"/>
          <w:color w:val="auto"/>
          <w:sz w:val="24"/>
          <w:lang w:val="en-US" w:eastAsia="zh-CN"/>
        </w:rPr>
        <w:t>及急宰间</w:t>
      </w:r>
      <w:r>
        <w:rPr>
          <w:rFonts w:hint="eastAsia"/>
          <w:color w:val="auto"/>
          <w:sz w:val="24"/>
        </w:rPr>
        <w:t>废水以用水量的80%计，则屠宰车间</w:t>
      </w:r>
      <w:r>
        <w:rPr>
          <w:rFonts w:hint="eastAsia"/>
          <w:color w:val="auto"/>
          <w:sz w:val="24"/>
          <w:lang w:val="en-US" w:eastAsia="zh-CN"/>
        </w:rPr>
        <w:t>及急宰间</w:t>
      </w:r>
      <w:r>
        <w:rPr>
          <w:rFonts w:hint="eastAsia"/>
          <w:color w:val="auto"/>
          <w:sz w:val="24"/>
        </w:rPr>
        <w:t>废水量为</w:t>
      </w:r>
      <w:r>
        <w:rPr>
          <w:rFonts w:hint="eastAsia"/>
          <w:color w:val="auto"/>
          <w:sz w:val="24"/>
          <w:lang w:val="en-US" w:eastAsia="zh-CN"/>
        </w:rPr>
        <w:t>15280</w:t>
      </w:r>
      <w:r>
        <w:rPr>
          <w:rFonts w:hint="eastAsia"/>
          <w:color w:val="auto"/>
          <w:sz w:val="24"/>
        </w:rPr>
        <w:t>t/a、</w:t>
      </w:r>
      <w:r>
        <w:rPr>
          <w:rFonts w:hint="eastAsia"/>
          <w:color w:val="auto"/>
          <w:sz w:val="24"/>
          <w:lang w:val="en-US" w:eastAsia="zh-CN"/>
        </w:rPr>
        <w:t>51.2</w:t>
      </w:r>
      <w:r>
        <w:rPr>
          <w:rFonts w:hint="eastAsia"/>
          <w:color w:val="auto"/>
          <w:sz w:val="24"/>
        </w:rPr>
        <w:t>t/d</w:t>
      </w:r>
      <w:r>
        <w:rPr>
          <w:color w:val="auto"/>
          <w:sz w:val="24"/>
        </w:rPr>
        <w:t>。</w:t>
      </w:r>
    </w:p>
    <w:p>
      <w:pPr>
        <w:spacing w:line="360" w:lineRule="auto"/>
        <w:ind w:firstLine="480" w:firstLineChars="200"/>
        <w:contextualSpacing/>
        <w:rPr>
          <w:rFonts w:hint="default" w:eastAsia="宋体"/>
          <w:color w:val="auto"/>
          <w:sz w:val="24"/>
          <w:lang w:val="en-US" w:eastAsia="zh-CN"/>
        </w:rPr>
      </w:pPr>
      <w:r>
        <w:rPr>
          <w:rFonts w:hint="eastAsia"/>
          <w:color w:val="auto"/>
          <w:sz w:val="24"/>
          <w:lang w:eastAsia="zh-CN"/>
        </w:rPr>
        <w:t>（</w:t>
      </w:r>
      <w:r>
        <w:rPr>
          <w:rFonts w:hint="eastAsia"/>
          <w:color w:val="auto"/>
          <w:sz w:val="24"/>
          <w:lang w:val="en-US" w:eastAsia="zh-CN"/>
        </w:rPr>
        <w:t>3</w:t>
      </w:r>
      <w:r>
        <w:rPr>
          <w:rFonts w:hint="eastAsia"/>
          <w:color w:val="auto"/>
          <w:sz w:val="24"/>
          <w:lang w:eastAsia="zh-CN"/>
        </w:rPr>
        <w:t>）</w:t>
      </w:r>
      <w:r>
        <w:rPr>
          <w:rFonts w:hint="eastAsia"/>
          <w:color w:val="auto"/>
          <w:sz w:val="24"/>
          <w:lang w:val="en-US" w:eastAsia="zh-CN"/>
        </w:rPr>
        <w:t>锅炉排水</w:t>
      </w:r>
    </w:p>
    <w:p>
      <w:pPr>
        <w:spacing w:line="360" w:lineRule="auto"/>
        <w:ind w:firstLine="480" w:firstLineChars="200"/>
        <w:contextualSpacing/>
        <w:rPr>
          <w:rFonts w:hint="default" w:ascii="Times New Roman" w:hAnsi="Times New Roman" w:cs="Times New Roman"/>
          <w:color w:val="FF0000"/>
          <w:sz w:val="24"/>
        </w:rPr>
      </w:pPr>
      <w:r>
        <w:rPr>
          <w:rFonts w:hint="default" w:ascii="Times New Roman" w:hAnsi="Times New Roman" w:cs="Times New Roman"/>
          <w:color w:val="000000" w:themeColor="text1"/>
          <w:sz w:val="24"/>
          <w:szCs w:val="24"/>
          <w:highlight w:val="none"/>
          <w:lang w:eastAsia="zh-CN"/>
        </w:rPr>
        <w:t>根据《排放源统计调查产排污核算方法和系数手册》中“4430工业锅炉（热力生产和供应）行业系数手册”中产污系数，燃生物质锅炉（锅外水处理）废水产生系数为0.356吨/吨-原料，本项目生物质成型燃料使用量为</w:t>
      </w:r>
      <w:r>
        <w:rPr>
          <w:rFonts w:hint="default" w:ascii="Times New Roman" w:hAnsi="Times New Roman" w:cs="Times New Roman"/>
          <w:color w:val="000000" w:themeColor="text1"/>
          <w:sz w:val="24"/>
          <w:szCs w:val="24"/>
          <w:highlight w:val="none"/>
          <w:lang w:val="en-US" w:eastAsia="zh-CN"/>
        </w:rPr>
        <w:t>468</w:t>
      </w:r>
      <w:r>
        <w:rPr>
          <w:rFonts w:hint="default" w:ascii="Times New Roman" w:hAnsi="Times New Roman" w:cs="Times New Roman"/>
          <w:color w:val="000000" w:themeColor="text1"/>
          <w:sz w:val="24"/>
          <w:szCs w:val="24"/>
          <w:highlight w:val="none"/>
          <w:lang w:eastAsia="zh-CN"/>
        </w:rPr>
        <w:t>t/a，则锅炉排污水和软化处理废水产生量为</w:t>
      </w:r>
      <w:r>
        <w:rPr>
          <w:rFonts w:hint="default" w:ascii="Times New Roman" w:hAnsi="Times New Roman" w:cs="Times New Roman"/>
          <w:color w:val="000000" w:themeColor="text1"/>
          <w:sz w:val="24"/>
          <w:szCs w:val="24"/>
          <w:highlight w:val="none"/>
          <w:lang w:val="en-US" w:eastAsia="zh-CN"/>
        </w:rPr>
        <w:t>0.9256</w:t>
      </w:r>
      <w:r>
        <w:rPr>
          <w:rFonts w:hint="default" w:ascii="Times New Roman" w:hAnsi="Times New Roman" w:cs="Times New Roman"/>
          <w:color w:val="000000" w:themeColor="text1"/>
          <w:sz w:val="24"/>
          <w:szCs w:val="24"/>
          <w:highlight w:val="none"/>
          <w:lang w:eastAsia="zh-CN"/>
        </w:rPr>
        <w:t>t/d，</w:t>
      </w:r>
      <w:r>
        <w:rPr>
          <w:rFonts w:hint="default" w:ascii="Times New Roman" w:hAnsi="Times New Roman" w:cs="Times New Roman"/>
          <w:color w:val="000000" w:themeColor="text1"/>
          <w:sz w:val="24"/>
          <w:szCs w:val="24"/>
          <w:highlight w:val="none"/>
          <w:lang w:val="en-US" w:eastAsia="zh-CN"/>
        </w:rPr>
        <w:t>166.608</w:t>
      </w:r>
      <w:r>
        <w:rPr>
          <w:rFonts w:hint="default" w:ascii="Times New Roman" w:hAnsi="Times New Roman" w:cs="Times New Roman"/>
          <w:color w:val="000000" w:themeColor="text1"/>
          <w:sz w:val="24"/>
          <w:szCs w:val="24"/>
          <w:highlight w:val="none"/>
          <w:lang w:eastAsia="zh-CN"/>
        </w:rPr>
        <w:t>t/a。</w:t>
      </w:r>
    </w:p>
    <w:p>
      <w:pPr>
        <w:spacing w:line="360" w:lineRule="auto"/>
        <w:ind w:firstLine="480" w:firstLineChars="200"/>
        <w:contextualSpacing/>
        <w:rPr>
          <w:color w:val="auto"/>
          <w:sz w:val="24"/>
        </w:rPr>
      </w:pPr>
      <w:r>
        <w:rPr>
          <w:rFonts w:hint="eastAsia"/>
          <w:color w:val="auto"/>
          <w:sz w:val="24"/>
        </w:rPr>
        <w:t>综上，本项目废水合计产生量为</w:t>
      </w:r>
      <w:r>
        <w:rPr>
          <w:rFonts w:hint="eastAsia"/>
          <w:color w:val="auto"/>
          <w:sz w:val="24"/>
          <w:lang w:val="en-US" w:eastAsia="zh-CN"/>
        </w:rPr>
        <w:t>59.0356</w:t>
      </w:r>
      <w:r>
        <w:rPr>
          <w:rFonts w:hint="eastAsia"/>
          <w:color w:val="auto"/>
          <w:kern w:val="0"/>
          <w:sz w:val="24"/>
        </w:rPr>
        <w:t>t</w:t>
      </w:r>
      <w:r>
        <w:rPr>
          <w:color w:val="auto"/>
          <w:kern w:val="0"/>
          <w:sz w:val="24"/>
        </w:rPr>
        <w:t>/d</w:t>
      </w:r>
      <w:r>
        <w:rPr>
          <w:rFonts w:hint="eastAsia"/>
          <w:color w:val="auto"/>
          <w:kern w:val="0"/>
          <w:sz w:val="24"/>
        </w:rPr>
        <w:t>、</w:t>
      </w:r>
      <w:r>
        <w:rPr>
          <w:rFonts w:hint="eastAsia"/>
          <w:color w:val="auto"/>
          <w:kern w:val="0"/>
          <w:sz w:val="24"/>
          <w:lang w:eastAsia="zh-CN"/>
        </w:rPr>
        <w:t>17518.608</w:t>
      </w:r>
      <w:r>
        <w:rPr>
          <w:rFonts w:hint="eastAsia"/>
          <w:color w:val="auto"/>
          <w:sz w:val="24"/>
        </w:rPr>
        <w:t>t</w:t>
      </w:r>
      <w:r>
        <w:rPr>
          <w:color w:val="auto"/>
          <w:sz w:val="24"/>
        </w:rPr>
        <w:t>/a</w:t>
      </w:r>
      <w:r>
        <w:rPr>
          <w:rFonts w:hint="eastAsia"/>
          <w:color w:val="auto"/>
          <w:sz w:val="24"/>
        </w:rPr>
        <w:t>。</w:t>
      </w:r>
      <w:r>
        <w:rPr>
          <w:color w:val="auto"/>
          <w:sz w:val="24"/>
        </w:rPr>
        <w:t>项目水平衡图见图3-1-</w:t>
      </w:r>
      <w:r>
        <w:rPr>
          <w:rFonts w:hint="eastAsia"/>
          <w:color w:val="auto"/>
          <w:sz w:val="24"/>
        </w:rPr>
        <w:t>2</w:t>
      </w:r>
      <w:r>
        <w:rPr>
          <w:color w:val="auto"/>
          <w:sz w:val="24"/>
        </w:rPr>
        <w:t>。</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sz w:val="24"/>
        </w:rPr>
      </w:pPr>
      <w:r>
        <w:rPr>
          <w:b/>
          <w:color w:val="auto"/>
          <w:sz w:val="24"/>
        </w:rPr>
        <w:t>表3-1-</w:t>
      </w:r>
      <w:r>
        <w:rPr>
          <w:rFonts w:hint="eastAsia"/>
          <w:b/>
          <w:color w:val="auto"/>
          <w:sz w:val="24"/>
          <w:lang w:val="en-US" w:eastAsia="zh-CN"/>
        </w:rPr>
        <w:t>7</w:t>
      </w:r>
      <w:r>
        <w:rPr>
          <w:b/>
          <w:color w:val="auto"/>
          <w:sz w:val="24"/>
        </w:rPr>
        <w:t>项目废水</w:t>
      </w:r>
      <w:r>
        <w:rPr>
          <w:rFonts w:hint="eastAsia"/>
          <w:b/>
          <w:color w:val="auto"/>
          <w:sz w:val="24"/>
        </w:rPr>
        <w:t>排放</w:t>
      </w:r>
      <w:r>
        <w:rPr>
          <w:b/>
          <w:color w:val="auto"/>
          <w:sz w:val="24"/>
        </w:rPr>
        <w:t>情况一览表</w:t>
      </w:r>
    </w:p>
    <w:bookmarkEnd w:id="81"/>
    <w:bookmarkEnd w:id="82"/>
    <w:tbl>
      <w:tblPr>
        <w:tblStyle w:val="46"/>
        <w:tblW w:w="4971"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28"/>
        <w:gridCol w:w="1276"/>
        <w:gridCol w:w="1274"/>
        <w:gridCol w:w="26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904" w:type="pct"/>
            <w:shd w:val="clear" w:color="auto" w:fill="auto"/>
            <w:vAlign w:val="center"/>
          </w:tcPr>
          <w:p>
            <w:pPr>
              <w:pStyle w:val="84"/>
              <w:spacing w:line="0" w:lineRule="atLeast"/>
              <w:contextualSpacing/>
              <w:rPr>
                <w:rFonts w:hAnsi="Times New Roman"/>
                <w:snapToGrid w:val="0"/>
                <w:color w:val="auto"/>
              </w:rPr>
            </w:pPr>
            <w:r>
              <w:rPr>
                <w:rFonts w:hAnsi="Times New Roman"/>
                <w:snapToGrid w:val="0"/>
                <w:color w:val="auto"/>
              </w:rPr>
              <w:t>项目</w:t>
            </w:r>
          </w:p>
        </w:tc>
        <w:tc>
          <w:tcPr>
            <w:tcW w:w="752" w:type="pct"/>
            <w:shd w:val="clear" w:color="auto" w:fill="auto"/>
            <w:vAlign w:val="center"/>
          </w:tcPr>
          <w:p>
            <w:pPr>
              <w:pStyle w:val="84"/>
              <w:spacing w:line="0" w:lineRule="atLeast"/>
              <w:contextualSpacing/>
              <w:rPr>
                <w:rFonts w:hAnsi="Times New Roman"/>
                <w:snapToGrid w:val="0"/>
                <w:color w:val="auto"/>
              </w:rPr>
            </w:pPr>
            <w:r>
              <w:rPr>
                <w:rFonts w:hAnsi="Times New Roman"/>
                <w:snapToGrid w:val="0"/>
                <w:color w:val="auto"/>
              </w:rPr>
              <w:t>排水量t/d</w:t>
            </w:r>
          </w:p>
        </w:tc>
        <w:tc>
          <w:tcPr>
            <w:tcW w:w="751" w:type="pct"/>
            <w:shd w:val="clear" w:color="auto" w:fill="auto"/>
            <w:vAlign w:val="center"/>
          </w:tcPr>
          <w:p>
            <w:pPr>
              <w:pStyle w:val="84"/>
              <w:spacing w:line="0" w:lineRule="atLeast"/>
              <w:contextualSpacing/>
              <w:rPr>
                <w:rFonts w:hAnsi="Times New Roman"/>
                <w:snapToGrid w:val="0"/>
                <w:color w:val="auto"/>
              </w:rPr>
            </w:pPr>
            <w:r>
              <w:rPr>
                <w:rFonts w:hAnsi="Times New Roman"/>
                <w:snapToGrid w:val="0"/>
                <w:color w:val="auto"/>
              </w:rPr>
              <w:t>排水量t/a</w:t>
            </w:r>
          </w:p>
        </w:tc>
        <w:tc>
          <w:tcPr>
            <w:tcW w:w="1590" w:type="pct"/>
            <w:shd w:val="clear" w:color="auto" w:fill="auto"/>
            <w:vAlign w:val="center"/>
          </w:tcPr>
          <w:p>
            <w:pPr>
              <w:pStyle w:val="84"/>
              <w:spacing w:line="0" w:lineRule="atLeast"/>
              <w:contextualSpacing/>
              <w:rPr>
                <w:rFonts w:hAnsi="Times New Roman"/>
                <w:snapToGrid w:val="0"/>
                <w:color w:val="auto"/>
              </w:rPr>
            </w:pPr>
            <w:r>
              <w:rPr>
                <w:rFonts w:hint="eastAsia" w:hAnsi="Times New Roman"/>
                <w:snapToGrid w:val="0"/>
                <w:color w:val="auto"/>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904" w:type="pct"/>
            <w:shd w:val="clear" w:color="auto" w:fill="auto"/>
            <w:vAlign w:val="center"/>
          </w:tcPr>
          <w:p>
            <w:pPr>
              <w:pStyle w:val="84"/>
              <w:spacing w:line="0" w:lineRule="atLeast"/>
              <w:contextualSpacing/>
              <w:rPr>
                <w:rFonts w:hAnsi="Times New Roman"/>
                <w:snapToGrid w:val="0"/>
                <w:color w:val="auto"/>
              </w:rPr>
            </w:pPr>
            <w:r>
              <w:rPr>
                <w:rFonts w:hint="eastAsia" w:hAnsi="Times New Roman"/>
                <w:snapToGrid w:val="0"/>
                <w:color w:val="auto"/>
              </w:rPr>
              <w:t>待宰间清洗废水（含尿液）</w:t>
            </w:r>
          </w:p>
        </w:tc>
        <w:tc>
          <w:tcPr>
            <w:tcW w:w="752" w:type="pct"/>
            <w:shd w:val="clear" w:color="auto" w:fill="auto"/>
            <w:vAlign w:val="center"/>
          </w:tcPr>
          <w:p>
            <w:pPr>
              <w:pStyle w:val="84"/>
              <w:spacing w:line="0" w:lineRule="atLeast"/>
              <w:contextualSpacing/>
              <w:rPr>
                <w:rFonts w:hint="default" w:hAnsi="Times New Roman" w:eastAsia="宋体"/>
                <w:snapToGrid w:val="0"/>
                <w:color w:val="auto"/>
                <w:lang w:val="en-US" w:eastAsia="zh-CN"/>
              </w:rPr>
            </w:pPr>
            <w:r>
              <w:rPr>
                <w:rFonts w:hint="eastAsia" w:hAnsi="Times New Roman"/>
                <w:snapToGrid w:val="0"/>
                <w:color w:val="auto"/>
                <w:lang w:val="en-US" w:eastAsia="zh-CN"/>
              </w:rPr>
              <w:t>3.07</w:t>
            </w:r>
          </w:p>
        </w:tc>
        <w:tc>
          <w:tcPr>
            <w:tcW w:w="751" w:type="pct"/>
            <w:shd w:val="clear" w:color="auto" w:fill="auto"/>
            <w:vAlign w:val="center"/>
          </w:tcPr>
          <w:p>
            <w:pPr>
              <w:pStyle w:val="84"/>
              <w:spacing w:line="0" w:lineRule="atLeast"/>
              <w:contextualSpacing/>
              <w:rPr>
                <w:rFonts w:hint="default" w:hAnsi="Times New Roman" w:eastAsia="宋体"/>
                <w:snapToGrid w:val="0"/>
                <w:color w:val="auto"/>
                <w:lang w:val="en-US" w:eastAsia="zh-CN"/>
              </w:rPr>
            </w:pPr>
            <w:r>
              <w:rPr>
                <w:rFonts w:hint="eastAsia" w:hAnsi="Times New Roman"/>
                <w:snapToGrid w:val="0"/>
                <w:color w:val="auto"/>
                <w:lang w:val="en-US" w:eastAsia="zh-CN"/>
              </w:rPr>
              <w:t>920</w:t>
            </w:r>
          </w:p>
        </w:tc>
        <w:tc>
          <w:tcPr>
            <w:tcW w:w="1590" w:type="pct"/>
            <w:vMerge w:val="restart"/>
            <w:shd w:val="clear" w:color="auto" w:fill="auto"/>
            <w:vAlign w:val="center"/>
          </w:tcPr>
          <w:p>
            <w:pPr>
              <w:spacing w:line="0" w:lineRule="atLeast"/>
              <w:contextualSpacing/>
              <w:jc w:val="center"/>
              <w:rPr>
                <w:color w:val="auto"/>
                <w:szCs w:val="21"/>
              </w:rPr>
            </w:pPr>
            <w:r>
              <w:rPr>
                <w:color w:val="auto"/>
                <w:szCs w:val="21"/>
              </w:rPr>
              <w:t>每天清洗一次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904" w:type="pct"/>
            <w:shd w:val="clear" w:color="auto" w:fill="auto"/>
            <w:vAlign w:val="center"/>
          </w:tcPr>
          <w:p>
            <w:pPr>
              <w:pStyle w:val="84"/>
              <w:spacing w:line="0" w:lineRule="atLeast"/>
              <w:contextualSpacing/>
              <w:rPr>
                <w:rFonts w:ascii="Times New Roman" w:hAnsi="Times New Roman" w:eastAsia="宋体" w:cs="Times New Roman"/>
                <w:snapToGrid w:val="0"/>
                <w:color w:val="auto"/>
                <w:kern w:val="2"/>
                <w:sz w:val="21"/>
                <w:szCs w:val="21"/>
                <w:lang w:val="en-US" w:eastAsia="zh-CN" w:bidi="ar-SA"/>
              </w:rPr>
            </w:pPr>
            <w:r>
              <w:rPr>
                <w:rFonts w:hint="eastAsia" w:hAnsi="Times New Roman"/>
                <w:snapToGrid w:val="0"/>
                <w:color w:val="auto"/>
              </w:rPr>
              <w:t>屠宰车间</w:t>
            </w:r>
            <w:r>
              <w:rPr>
                <w:rFonts w:hint="eastAsia" w:hAnsi="Times New Roman"/>
                <w:snapToGrid w:val="0"/>
                <w:color w:val="auto"/>
                <w:lang w:val="en-US" w:eastAsia="zh-CN"/>
              </w:rPr>
              <w:t>及急宰间</w:t>
            </w:r>
            <w:r>
              <w:rPr>
                <w:rFonts w:hint="eastAsia" w:hAnsi="Times New Roman"/>
                <w:snapToGrid w:val="0"/>
                <w:color w:val="auto"/>
              </w:rPr>
              <w:t>废水</w:t>
            </w:r>
          </w:p>
        </w:tc>
        <w:tc>
          <w:tcPr>
            <w:tcW w:w="752" w:type="pct"/>
            <w:shd w:val="clear" w:color="auto" w:fill="auto"/>
            <w:vAlign w:val="center"/>
          </w:tcPr>
          <w:p>
            <w:pPr>
              <w:pStyle w:val="84"/>
              <w:spacing w:line="0" w:lineRule="atLeast"/>
              <w:contextualSpacing/>
              <w:rPr>
                <w:rFonts w:hint="default" w:ascii="Times New Roman" w:hAnsi="Times New Roman" w:eastAsia="宋体" w:cs="Times New Roman"/>
                <w:snapToGrid w:val="0"/>
                <w:color w:val="auto"/>
                <w:kern w:val="2"/>
                <w:sz w:val="21"/>
                <w:szCs w:val="21"/>
                <w:lang w:val="en-US" w:eastAsia="zh-CN" w:bidi="ar-SA"/>
              </w:rPr>
            </w:pPr>
            <w:r>
              <w:rPr>
                <w:rFonts w:hint="eastAsia" w:hAnsi="Times New Roman" w:cs="Times New Roman"/>
                <w:snapToGrid w:val="0"/>
                <w:color w:val="auto"/>
                <w:kern w:val="2"/>
                <w:sz w:val="21"/>
                <w:szCs w:val="21"/>
                <w:lang w:val="en-US" w:eastAsia="zh-CN" w:bidi="ar-SA"/>
              </w:rPr>
              <w:t>51.2</w:t>
            </w:r>
          </w:p>
        </w:tc>
        <w:tc>
          <w:tcPr>
            <w:tcW w:w="751" w:type="pct"/>
            <w:shd w:val="clear" w:color="auto" w:fill="auto"/>
            <w:vAlign w:val="center"/>
          </w:tcPr>
          <w:p>
            <w:pPr>
              <w:pStyle w:val="84"/>
              <w:spacing w:line="0" w:lineRule="atLeast"/>
              <w:contextualSpacing/>
              <w:rPr>
                <w:rFonts w:hint="default" w:ascii="Times New Roman" w:hAnsi="Times New Roman" w:eastAsia="宋体" w:cs="Times New Roman"/>
                <w:snapToGrid w:val="0"/>
                <w:color w:val="auto"/>
                <w:kern w:val="2"/>
                <w:sz w:val="21"/>
                <w:szCs w:val="21"/>
                <w:lang w:val="en-US" w:eastAsia="zh-CN" w:bidi="ar-SA"/>
              </w:rPr>
            </w:pPr>
            <w:r>
              <w:rPr>
                <w:rFonts w:hint="eastAsia" w:hAnsi="Times New Roman" w:cs="Times New Roman"/>
                <w:snapToGrid w:val="0"/>
                <w:color w:val="auto"/>
                <w:kern w:val="2"/>
                <w:sz w:val="21"/>
                <w:szCs w:val="21"/>
                <w:lang w:val="en-US" w:eastAsia="zh-CN" w:bidi="ar-SA"/>
              </w:rPr>
              <w:t>15280</w:t>
            </w:r>
          </w:p>
        </w:tc>
        <w:tc>
          <w:tcPr>
            <w:tcW w:w="1590" w:type="pct"/>
            <w:vMerge w:val="continue"/>
            <w:shd w:val="clear" w:color="auto" w:fill="auto"/>
            <w:vAlign w:val="center"/>
          </w:tcPr>
          <w:p>
            <w:pPr>
              <w:pStyle w:val="84"/>
              <w:spacing w:line="0" w:lineRule="atLeast"/>
              <w:contextualSpacing/>
              <w:rPr>
                <w:rFonts w:hAnsi="Times New Roman"/>
                <w:snapToGrid w:val="0"/>
                <w:color w:val="auto"/>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904" w:type="pct"/>
            <w:shd w:val="clear" w:color="auto" w:fill="auto"/>
            <w:vAlign w:val="center"/>
          </w:tcPr>
          <w:p>
            <w:pPr>
              <w:pStyle w:val="84"/>
              <w:spacing w:line="0" w:lineRule="atLeast"/>
              <w:contextualSpacing/>
              <w:rPr>
                <w:rFonts w:hint="eastAsia" w:hAnsi="Times New Roman" w:eastAsia="宋体"/>
                <w:snapToGrid w:val="0"/>
                <w:color w:val="auto"/>
                <w:lang w:val="en-US" w:eastAsia="zh-CN"/>
              </w:rPr>
            </w:pPr>
            <w:r>
              <w:rPr>
                <w:rFonts w:hint="eastAsia" w:hAnsi="Times New Roman"/>
                <w:snapToGrid w:val="0"/>
                <w:color w:val="auto"/>
                <w:lang w:val="en-US" w:eastAsia="zh-CN"/>
              </w:rPr>
              <w:t>锅炉排水</w:t>
            </w:r>
          </w:p>
        </w:tc>
        <w:tc>
          <w:tcPr>
            <w:tcW w:w="752" w:type="pct"/>
            <w:shd w:val="clear" w:color="auto" w:fill="auto"/>
            <w:vAlign w:val="center"/>
          </w:tcPr>
          <w:p>
            <w:pPr>
              <w:widowControl/>
              <w:jc w:val="center"/>
              <w:textAlignment w:val="center"/>
              <w:rPr>
                <w:rFonts w:hint="default" w:eastAsia="宋体"/>
                <w:color w:val="auto"/>
                <w:szCs w:val="21"/>
                <w:lang w:val="en-US" w:eastAsia="zh-CN"/>
              </w:rPr>
            </w:pPr>
            <w:r>
              <w:rPr>
                <w:rFonts w:hint="eastAsia"/>
                <w:color w:val="auto"/>
                <w:szCs w:val="21"/>
                <w:lang w:val="en-US" w:eastAsia="zh-CN"/>
              </w:rPr>
              <w:t>0.9256</w:t>
            </w:r>
          </w:p>
        </w:tc>
        <w:tc>
          <w:tcPr>
            <w:tcW w:w="751" w:type="pct"/>
            <w:shd w:val="clear" w:color="auto" w:fill="auto"/>
            <w:vAlign w:val="center"/>
          </w:tcPr>
          <w:p>
            <w:pPr>
              <w:widowControl/>
              <w:jc w:val="center"/>
              <w:textAlignment w:val="center"/>
              <w:rPr>
                <w:rFonts w:hint="default" w:eastAsia="宋体"/>
                <w:color w:val="auto"/>
                <w:szCs w:val="21"/>
                <w:lang w:val="en-US" w:eastAsia="zh-CN"/>
              </w:rPr>
            </w:pPr>
            <w:r>
              <w:rPr>
                <w:rFonts w:hint="eastAsia"/>
                <w:color w:val="auto"/>
                <w:szCs w:val="21"/>
                <w:lang w:val="en-US" w:eastAsia="zh-CN"/>
              </w:rPr>
              <w:t>166.608</w:t>
            </w:r>
          </w:p>
        </w:tc>
        <w:tc>
          <w:tcPr>
            <w:tcW w:w="1590" w:type="pct"/>
            <w:vMerge w:val="restart"/>
            <w:shd w:val="clear" w:color="auto" w:fill="auto"/>
            <w:vAlign w:val="center"/>
          </w:tcPr>
          <w:p>
            <w:pPr>
              <w:widowControl/>
              <w:jc w:val="center"/>
              <w:textAlignment w:val="center"/>
              <w:rPr>
                <w:color w:val="auto"/>
                <w:kern w:val="0"/>
                <w:szCs w:val="21"/>
              </w:rPr>
            </w:pPr>
            <w:r>
              <w:rPr>
                <w:rFonts w:hint="eastAsia"/>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904" w:type="pct"/>
            <w:shd w:val="clear" w:color="auto" w:fill="auto"/>
            <w:vAlign w:val="center"/>
          </w:tcPr>
          <w:p>
            <w:pPr>
              <w:pStyle w:val="84"/>
              <w:spacing w:line="0" w:lineRule="atLeast"/>
              <w:contextualSpacing/>
              <w:rPr>
                <w:rFonts w:hAnsi="Times New Roman"/>
                <w:snapToGrid w:val="0"/>
                <w:color w:val="auto"/>
              </w:rPr>
            </w:pPr>
            <w:r>
              <w:rPr>
                <w:rFonts w:hint="eastAsia" w:hAnsi="Times New Roman"/>
                <w:snapToGrid w:val="0"/>
                <w:color w:val="auto"/>
              </w:rPr>
              <w:t>员工</w:t>
            </w:r>
            <w:r>
              <w:rPr>
                <w:rFonts w:hAnsi="Times New Roman"/>
                <w:snapToGrid w:val="0"/>
                <w:color w:val="auto"/>
              </w:rPr>
              <w:t>生活污水</w:t>
            </w:r>
          </w:p>
        </w:tc>
        <w:tc>
          <w:tcPr>
            <w:tcW w:w="752" w:type="pct"/>
            <w:shd w:val="clear" w:color="auto" w:fill="auto"/>
            <w:vAlign w:val="center"/>
          </w:tcPr>
          <w:p>
            <w:pPr>
              <w:widowControl/>
              <w:jc w:val="center"/>
              <w:textAlignment w:val="center"/>
              <w:rPr>
                <w:rFonts w:hint="default" w:eastAsia="宋体"/>
                <w:color w:val="auto"/>
                <w:szCs w:val="21"/>
                <w:lang w:val="en-US" w:eastAsia="zh-CN"/>
              </w:rPr>
            </w:pPr>
            <w:r>
              <w:rPr>
                <w:rFonts w:hint="eastAsia"/>
                <w:color w:val="auto"/>
                <w:szCs w:val="21"/>
                <w:lang w:val="en-US" w:eastAsia="zh-CN"/>
              </w:rPr>
              <w:t>3.84</w:t>
            </w:r>
          </w:p>
        </w:tc>
        <w:tc>
          <w:tcPr>
            <w:tcW w:w="751" w:type="pct"/>
            <w:shd w:val="clear" w:color="auto" w:fill="auto"/>
            <w:vAlign w:val="center"/>
          </w:tcPr>
          <w:p>
            <w:pPr>
              <w:widowControl/>
              <w:jc w:val="center"/>
              <w:textAlignment w:val="center"/>
              <w:rPr>
                <w:rFonts w:hint="default" w:eastAsia="宋体"/>
                <w:color w:val="auto"/>
                <w:szCs w:val="21"/>
                <w:lang w:val="en-US" w:eastAsia="zh-CN"/>
              </w:rPr>
            </w:pPr>
            <w:r>
              <w:rPr>
                <w:rFonts w:hint="eastAsia"/>
                <w:color w:val="auto"/>
                <w:szCs w:val="21"/>
                <w:lang w:val="en-US" w:eastAsia="zh-CN"/>
              </w:rPr>
              <w:t>1152</w:t>
            </w:r>
          </w:p>
        </w:tc>
        <w:tc>
          <w:tcPr>
            <w:tcW w:w="1590" w:type="pct"/>
            <w:vMerge w:val="continue"/>
            <w:shd w:val="clear" w:color="auto" w:fill="auto"/>
            <w:vAlign w:val="center"/>
          </w:tcPr>
          <w:p>
            <w:pPr>
              <w:widowControl/>
              <w:jc w:val="center"/>
              <w:textAlignment w:val="center"/>
              <w:rPr>
                <w:color w:val="auto"/>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904" w:type="pct"/>
            <w:shd w:val="clear" w:color="auto" w:fill="auto"/>
            <w:vAlign w:val="center"/>
          </w:tcPr>
          <w:p>
            <w:pPr>
              <w:pStyle w:val="84"/>
              <w:spacing w:line="0" w:lineRule="atLeast"/>
              <w:contextualSpacing/>
              <w:rPr>
                <w:rFonts w:hAnsi="Times New Roman"/>
                <w:snapToGrid w:val="0"/>
                <w:color w:val="auto"/>
              </w:rPr>
            </w:pPr>
            <w:r>
              <w:rPr>
                <w:rFonts w:hAnsi="Times New Roman"/>
                <w:snapToGrid w:val="0"/>
                <w:color w:val="auto"/>
              </w:rPr>
              <w:t>总计</w:t>
            </w:r>
          </w:p>
        </w:tc>
        <w:tc>
          <w:tcPr>
            <w:tcW w:w="752" w:type="pct"/>
            <w:shd w:val="clear" w:color="auto" w:fill="auto"/>
            <w:vAlign w:val="center"/>
          </w:tcPr>
          <w:p>
            <w:pPr>
              <w:pStyle w:val="84"/>
              <w:spacing w:line="0" w:lineRule="atLeast"/>
              <w:contextualSpacing/>
              <w:rPr>
                <w:rFonts w:hint="default" w:hAnsi="Times New Roman" w:eastAsia="宋体"/>
                <w:snapToGrid w:val="0"/>
                <w:color w:val="auto"/>
                <w:lang w:val="en-US" w:eastAsia="zh-CN"/>
              </w:rPr>
            </w:pPr>
            <w:r>
              <w:rPr>
                <w:rFonts w:hint="eastAsia" w:hAnsi="Times New Roman"/>
                <w:snapToGrid w:val="0"/>
                <w:color w:val="auto"/>
                <w:lang w:val="en-US" w:eastAsia="zh-CN"/>
              </w:rPr>
              <w:t>59.0356</w:t>
            </w:r>
          </w:p>
        </w:tc>
        <w:tc>
          <w:tcPr>
            <w:tcW w:w="751" w:type="pct"/>
            <w:shd w:val="clear" w:color="auto" w:fill="auto"/>
            <w:vAlign w:val="center"/>
          </w:tcPr>
          <w:p>
            <w:pPr>
              <w:pStyle w:val="84"/>
              <w:spacing w:line="0" w:lineRule="atLeast"/>
              <w:contextualSpacing/>
              <w:rPr>
                <w:rFonts w:hAnsi="Times New Roman"/>
                <w:snapToGrid w:val="0"/>
                <w:color w:val="auto"/>
              </w:rPr>
            </w:pPr>
            <w:r>
              <w:rPr>
                <w:rFonts w:hint="eastAsia" w:hAnsi="Times New Roman"/>
                <w:snapToGrid w:val="0"/>
                <w:color w:val="auto"/>
                <w:lang w:eastAsia="zh-CN"/>
              </w:rPr>
              <w:t>17518.608</w:t>
            </w:r>
          </w:p>
        </w:tc>
        <w:tc>
          <w:tcPr>
            <w:tcW w:w="1590" w:type="pct"/>
            <w:shd w:val="clear" w:color="auto" w:fill="auto"/>
            <w:vAlign w:val="center"/>
          </w:tcPr>
          <w:p>
            <w:pPr>
              <w:pStyle w:val="84"/>
              <w:spacing w:line="0" w:lineRule="atLeast"/>
              <w:contextualSpacing/>
              <w:rPr>
                <w:rFonts w:hAnsi="Times New Roman"/>
                <w:snapToGrid w:val="0"/>
                <w:color w:val="auto"/>
                <w:szCs w:val="22"/>
              </w:rPr>
            </w:pPr>
            <w:r>
              <w:rPr>
                <w:rFonts w:hint="eastAsia" w:hAnsi="Times New Roman"/>
                <w:snapToGrid w:val="0"/>
                <w:color w:val="auto"/>
                <w:szCs w:val="22"/>
              </w:rPr>
              <w:t>/</w:t>
            </w:r>
          </w:p>
        </w:tc>
      </w:tr>
    </w:tbl>
    <w:p>
      <w:pPr>
        <w:spacing w:line="360" w:lineRule="auto"/>
        <w:contextualSpacing/>
        <w:jc w:val="center"/>
        <w:rPr>
          <w:color w:val="FF0000"/>
        </w:rPr>
      </w:pPr>
      <w:r>
        <w:rPr>
          <w:color w:val="FF0000"/>
        </w:rPr>
        <w:object>
          <v:shape id="_x0000_i1025" o:spt="75" type="#_x0000_t75" style="height:261.4pt;width:367pt;" o:ole="t" filled="f" o:preferrelative="t" stroked="f" coordsize="21600,21600">
            <v:path/>
            <v:fill on="f" focussize="0,0"/>
            <v:stroke on="f"/>
            <v:imagedata r:id="rId20" o:title=""/>
            <o:lock v:ext="edit" aspectratio="f"/>
            <w10:wrap type="none"/>
            <w10:anchorlock/>
          </v:shape>
          <o:OLEObject Type="Embed" ProgID="Visio.Drawing.15" ShapeID="_x0000_i1025" DrawAspect="Content" ObjectID="_1468075725" r:id="rId19">
            <o:LockedField>false</o:LockedField>
          </o:OLEObject>
        </w:object>
      </w:r>
    </w:p>
    <w:p>
      <w:pPr>
        <w:spacing w:line="360" w:lineRule="auto"/>
        <w:contextualSpacing/>
        <w:jc w:val="center"/>
        <w:rPr>
          <w:b/>
          <w:snapToGrid w:val="0"/>
          <w:color w:val="auto"/>
          <w:kern w:val="0"/>
          <w:szCs w:val="21"/>
        </w:rPr>
      </w:pPr>
      <w:r>
        <w:rPr>
          <w:b/>
          <w:snapToGrid w:val="0"/>
          <w:color w:val="auto"/>
          <w:kern w:val="0"/>
          <w:sz w:val="24"/>
        </w:rPr>
        <w:t>图3-1-</w:t>
      </w:r>
      <w:r>
        <w:rPr>
          <w:rFonts w:hint="eastAsia"/>
          <w:b/>
          <w:snapToGrid w:val="0"/>
          <w:color w:val="auto"/>
          <w:kern w:val="0"/>
          <w:sz w:val="24"/>
        </w:rPr>
        <w:t>2</w:t>
      </w:r>
      <w:r>
        <w:rPr>
          <w:b/>
          <w:snapToGrid w:val="0"/>
          <w:color w:val="auto"/>
          <w:kern w:val="0"/>
          <w:sz w:val="24"/>
        </w:rPr>
        <w:t>水平衡图</w:t>
      </w:r>
      <w:r>
        <w:rPr>
          <w:rFonts w:hint="eastAsia"/>
          <w:b/>
          <w:snapToGrid w:val="0"/>
          <w:color w:val="auto"/>
          <w:kern w:val="0"/>
          <w:sz w:val="24"/>
          <w:lang w:val="en-US" w:eastAsia="zh-CN"/>
        </w:rPr>
        <w:t xml:space="preserve">  </w:t>
      </w:r>
      <w:r>
        <w:rPr>
          <w:b/>
          <w:snapToGrid w:val="0"/>
          <w:color w:val="auto"/>
          <w:kern w:val="0"/>
          <w:sz w:val="24"/>
        </w:rPr>
        <w:t>单位：t/d</w:t>
      </w:r>
    </w:p>
    <w:p>
      <w:pPr>
        <w:spacing w:line="360" w:lineRule="auto"/>
        <w:outlineLvl w:val="3"/>
        <w:rPr>
          <w:rFonts w:eastAsiaTheme="minorEastAsia"/>
          <w:b/>
          <w:color w:val="auto"/>
          <w:sz w:val="24"/>
        </w:rPr>
      </w:pPr>
      <w:r>
        <w:rPr>
          <w:color w:val="auto"/>
        </w:rPr>
        <w:fldChar w:fldCharType="begin"/>
      </w:r>
      <w:r>
        <w:rPr>
          <w:color w:val="auto"/>
        </w:rPr>
        <w:instrText xml:space="preserve"> HYPERLINK "file:///F:\\360用户文件\\游戏大厅\\天兆养猪有限公司环评\\1106天兆养猪\\天兆养猪有限公司环评1117.docx" \l "_Toc110400208" </w:instrText>
      </w:r>
      <w:r>
        <w:rPr>
          <w:color w:val="auto"/>
        </w:rPr>
        <w:fldChar w:fldCharType="separate"/>
      </w:r>
      <w:bookmarkStart w:id="83" w:name="_Toc112420358"/>
      <w:bookmarkStart w:id="84" w:name="_Toc118087007"/>
      <w:bookmarkStart w:id="85" w:name="_Toc113078929"/>
      <w:bookmarkStart w:id="86" w:name="_Toc182022288"/>
      <w:r>
        <w:rPr>
          <w:rFonts w:eastAsiaTheme="minorEastAsia"/>
          <w:b/>
          <w:color w:val="auto"/>
          <w:sz w:val="24"/>
        </w:rPr>
        <w:t>3.1.7.3供电工程</w:t>
      </w:r>
      <w:bookmarkEnd w:id="83"/>
      <w:bookmarkEnd w:id="84"/>
      <w:bookmarkEnd w:id="85"/>
      <w:bookmarkEnd w:id="86"/>
      <w:r>
        <w:rPr>
          <w:rFonts w:eastAsiaTheme="minorEastAsia"/>
          <w:b/>
          <w:color w:val="auto"/>
          <w:sz w:val="24"/>
        </w:rPr>
        <w:fldChar w:fldCharType="end"/>
      </w:r>
    </w:p>
    <w:p>
      <w:pPr>
        <w:spacing w:line="360" w:lineRule="auto"/>
        <w:ind w:firstLine="480" w:firstLineChars="200"/>
        <w:rPr>
          <w:color w:val="auto"/>
          <w:sz w:val="24"/>
        </w:rPr>
      </w:pPr>
      <w:r>
        <w:rPr>
          <w:color w:val="auto"/>
          <w:sz w:val="24"/>
        </w:rPr>
        <w:t>本项目供电由当地电业局提供</w:t>
      </w:r>
    </w:p>
    <w:p>
      <w:pPr>
        <w:spacing w:line="360" w:lineRule="auto"/>
        <w:outlineLvl w:val="3"/>
        <w:rPr>
          <w:rFonts w:eastAsiaTheme="minorEastAsia"/>
          <w:b/>
          <w:color w:val="auto"/>
          <w:sz w:val="24"/>
        </w:rPr>
      </w:pPr>
      <w:r>
        <w:rPr>
          <w:color w:val="auto"/>
        </w:rPr>
        <w:fldChar w:fldCharType="begin"/>
      </w:r>
      <w:r>
        <w:rPr>
          <w:color w:val="auto"/>
        </w:rPr>
        <w:instrText xml:space="preserve"> HYPERLINK "file:///F:\\360用户文件\\游戏大厅\\天兆养猪有限公司环评\\1106天兆养猪\\天兆养猪有限公司环评1117.docx" \l "_Toc110400209" </w:instrText>
      </w:r>
      <w:r>
        <w:rPr>
          <w:color w:val="auto"/>
        </w:rPr>
        <w:fldChar w:fldCharType="separate"/>
      </w:r>
      <w:r>
        <w:rPr>
          <w:rFonts w:eastAsiaTheme="minorEastAsia"/>
          <w:b/>
          <w:color w:val="auto"/>
          <w:sz w:val="24"/>
        </w:rPr>
        <w:t>3.1.7.4</w:t>
      </w:r>
      <w:r>
        <w:rPr>
          <w:rFonts w:eastAsiaTheme="minorEastAsia"/>
          <w:b/>
          <w:color w:val="auto"/>
          <w:sz w:val="24"/>
        </w:rPr>
        <w:fldChar w:fldCharType="end"/>
      </w:r>
      <w:r>
        <w:rPr>
          <w:rFonts w:eastAsiaTheme="minorEastAsia"/>
          <w:b/>
          <w:color w:val="auto"/>
          <w:sz w:val="24"/>
        </w:rPr>
        <w:t>供热工程</w:t>
      </w:r>
    </w:p>
    <w:p>
      <w:pPr>
        <w:adjustRightInd w:val="0"/>
        <w:snapToGrid w:val="0"/>
        <w:spacing w:line="360" w:lineRule="auto"/>
        <w:ind w:firstLine="480" w:firstLineChars="200"/>
        <w:rPr>
          <w:rFonts w:hint="eastAsia"/>
          <w:snapToGrid w:val="0"/>
          <w:color w:val="auto"/>
          <w:kern w:val="0"/>
          <w:sz w:val="24"/>
        </w:rPr>
      </w:pPr>
      <w:r>
        <w:rPr>
          <w:rFonts w:hint="eastAsia"/>
          <w:snapToGrid w:val="0"/>
          <w:color w:val="auto"/>
          <w:kern w:val="0"/>
          <w:sz w:val="24"/>
        </w:rPr>
        <w:t>本项目设置一台</w:t>
      </w:r>
      <w:r>
        <w:rPr>
          <w:rFonts w:hint="eastAsia"/>
          <w:snapToGrid w:val="0"/>
          <w:color w:val="auto"/>
          <w:kern w:val="0"/>
          <w:sz w:val="24"/>
          <w:lang w:val="en-US" w:eastAsia="zh-CN"/>
        </w:rPr>
        <w:t>2.1MW</w:t>
      </w:r>
      <w:r>
        <w:rPr>
          <w:rFonts w:hint="eastAsia"/>
          <w:snapToGrid w:val="0"/>
          <w:color w:val="auto"/>
          <w:kern w:val="0"/>
          <w:sz w:val="24"/>
          <w:lang w:eastAsia="zh-CN"/>
        </w:rPr>
        <w:t>生物质热水锅炉</w:t>
      </w:r>
      <w:r>
        <w:rPr>
          <w:rFonts w:hint="eastAsia"/>
          <w:snapToGrid w:val="0"/>
          <w:color w:val="auto"/>
          <w:kern w:val="0"/>
          <w:sz w:val="24"/>
        </w:rPr>
        <w:t>用于</w:t>
      </w:r>
      <w:r>
        <w:rPr>
          <w:rFonts w:hint="eastAsia"/>
          <w:snapToGrid w:val="0"/>
          <w:color w:val="auto"/>
          <w:kern w:val="0"/>
          <w:sz w:val="24"/>
          <w:lang w:val="en-US" w:eastAsia="zh-CN"/>
        </w:rPr>
        <w:t>冬季</w:t>
      </w:r>
      <w:r>
        <w:rPr>
          <w:rFonts w:hint="eastAsia"/>
          <w:snapToGrid w:val="0"/>
          <w:color w:val="auto"/>
          <w:kern w:val="0"/>
          <w:sz w:val="24"/>
          <w:lang w:eastAsia="zh-CN"/>
        </w:rPr>
        <w:t>供热</w:t>
      </w:r>
      <w:r>
        <w:rPr>
          <w:rFonts w:hint="eastAsia"/>
          <w:snapToGrid w:val="0"/>
          <w:color w:val="auto"/>
          <w:kern w:val="0"/>
          <w:sz w:val="24"/>
        </w:rPr>
        <w:t>。</w:t>
      </w:r>
    </w:p>
    <w:p>
      <w:pPr>
        <w:adjustRightInd w:val="0"/>
        <w:snapToGrid w:val="0"/>
        <w:spacing w:line="360" w:lineRule="auto"/>
        <w:ind w:firstLine="480" w:firstLineChars="200"/>
        <w:rPr>
          <w:rFonts w:hint="eastAsia"/>
          <w:snapToGrid w:val="0"/>
          <w:color w:val="FF0000"/>
          <w:kern w:val="0"/>
          <w:sz w:val="24"/>
        </w:rPr>
      </w:pPr>
      <w:r>
        <w:rPr>
          <w:rFonts w:hint="eastAsia"/>
          <w:snapToGrid w:val="0"/>
          <w:color w:val="auto"/>
          <w:kern w:val="0"/>
          <w:sz w:val="24"/>
        </w:rPr>
        <w:t>供暖面积为</w:t>
      </w:r>
      <w:r>
        <w:rPr>
          <w:rFonts w:hint="eastAsia"/>
          <w:snapToGrid w:val="0"/>
          <w:color w:val="auto"/>
          <w:kern w:val="0"/>
          <w:sz w:val="24"/>
          <w:highlight w:val="none"/>
          <w:lang w:val="en-US" w:eastAsia="zh-CN"/>
        </w:rPr>
        <w:t>5300m</w:t>
      </w:r>
      <w:r>
        <w:rPr>
          <w:rFonts w:hint="eastAsia"/>
          <w:snapToGrid w:val="0"/>
          <w:color w:val="auto"/>
          <w:kern w:val="0"/>
          <w:sz w:val="24"/>
          <w:highlight w:val="none"/>
          <w:vertAlign w:val="superscript"/>
          <w:lang w:val="en-US" w:eastAsia="zh-CN"/>
        </w:rPr>
        <w:t>2</w:t>
      </w:r>
      <w:r>
        <w:rPr>
          <w:rFonts w:hint="eastAsia"/>
          <w:snapToGrid w:val="0"/>
          <w:color w:val="auto"/>
          <w:kern w:val="0"/>
          <w:sz w:val="24"/>
          <w:highlight w:val="none"/>
        </w:rPr>
        <w:t>，供暖燃煤</w:t>
      </w:r>
      <w:r>
        <w:rPr>
          <w:rFonts w:hint="eastAsia"/>
          <w:snapToGrid w:val="0"/>
          <w:color w:val="auto"/>
          <w:kern w:val="0"/>
          <w:sz w:val="24"/>
        </w:rPr>
        <w:t>量通过供热面积进行计算，燃煤量=供热面积</w:t>
      </w:r>
      <w:r>
        <w:rPr>
          <w:rFonts w:hint="default" w:ascii="Times New Roman" w:hAnsi="Times New Roman" w:cs="Times New Roman"/>
          <w:snapToGrid w:val="0"/>
          <w:color w:val="auto"/>
          <w:kern w:val="0"/>
          <w:sz w:val="24"/>
        </w:rPr>
        <w:t>×</w:t>
      </w:r>
      <w:r>
        <w:rPr>
          <w:rFonts w:hint="eastAsia"/>
          <w:snapToGrid w:val="0"/>
          <w:color w:val="auto"/>
          <w:kern w:val="0"/>
          <w:sz w:val="24"/>
        </w:rPr>
        <w:t>40千克/平方米，则供暖燃煤量=</w:t>
      </w:r>
      <w:r>
        <w:rPr>
          <w:rFonts w:hint="eastAsia"/>
          <w:snapToGrid w:val="0"/>
          <w:color w:val="auto"/>
          <w:kern w:val="0"/>
          <w:sz w:val="24"/>
          <w:lang w:val="en-US" w:eastAsia="zh-CN"/>
        </w:rPr>
        <w:t>5300</w:t>
      </w:r>
      <w:r>
        <w:rPr>
          <w:rFonts w:hint="eastAsia"/>
          <w:snapToGrid w:val="0"/>
          <w:color w:val="auto"/>
          <w:kern w:val="0"/>
          <w:sz w:val="24"/>
        </w:rPr>
        <w:t>m</w:t>
      </w:r>
      <w:r>
        <w:rPr>
          <w:rFonts w:hint="eastAsia"/>
          <w:snapToGrid w:val="0"/>
          <w:color w:val="auto"/>
          <w:kern w:val="0"/>
          <w:sz w:val="24"/>
          <w:vertAlign w:val="superscript"/>
        </w:rPr>
        <w:t>2</w:t>
      </w:r>
      <w:r>
        <w:rPr>
          <w:rFonts w:hint="default" w:ascii="Times New Roman" w:hAnsi="Times New Roman" w:cs="Times New Roman"/>
          <w:snapToGrid w:val="0"/>
          <w:color w:val="auto"/>
          <w:kern w:val="0"/>
          <w:sz w:val="24"/>
        </w:rPr>
        <w:t>×</w:t>
      </w:r>
      <w:r>
        <w:rPr>
          <w:rFonts w:hint="eastAsia"/>
          <w:snapToGrid w:val="0"/>
          <w:color w:val="auto"/>
          <w:kern w:val="0"/>
          <w:sz w:val="24"/>
        </w:rPr>
        <w:t>40kg/m</w:t>
      </w:r>
      <w:r>
        <w:rPr>
          <w:rFonts w:hint="eastAsia"/>
          <w:snapToGrid w:val="0"/>
          <w:color w:val="auto"/>
          <w:kern w:val="0"/>
          <w:sz w:val="24"/>
          <w:vertAlign w:val="superscript"/>
        </w:rPr>
        <w:t>2</w:t>
      </w:r>
      <w:r>
        <w:rPr>
          <w:rFonts w:hint="eastAsia"/>
          <w:snapToGrid w:val="0"/>
          <w:color w:val="auto"/>
          <w:kern w:val="0"/>
          <w:sz w:val="24"/>
        </w:rPr>
        <w:t>=</w:t>
      </w:r>
      <w:r>
        <w:rPr>
          <w:rFonts w:hint="eastAsia"/>
          <w:snapToGrid w:val="0"/>
          <w:color w:val="auto"/>
          <w:kern w:val="0"/>
          <w:sz w:val="24"/>
          <w:lang w:val="en-US" w:eastAsia="zh-CN"/>
        </w:rPr>
        <w:t>212000</w:t>
      </w:r>
      <w:r>
        <w:rPr>
          <w:rFonts w:hint="eastAsia"/>
          <w:snapToGrid w:val="0"/>
          <w:color w:val="auto"/>
          <w:kern w:val="0"/>
          <w:sz w:val="24"/>
        </w:rPr>
        <w:t>kg/a</w:t>
      </w:r>
      <w:r>
        <w:rPr>
          <w:rFonts w:hint="eastAsia"/>
          <w:snapToGrid w:val="0"/>
          <w:color w:val="auto"/>
          <w:kern w:val="0"/>
          <w:sz w:val="24"/>
          <w:lang w:eastAsia="zh-CN"/>
        </w:rPr>
        <w:t>；</w:t>
      </w:r>
      <w:r>
        <w:rPr>
          <w:rFonts w:hint="eastAsia"/>
          <w:snapToGrid w:val="0"/>
          <w:color w:val="auto"/>
          <w:kern w:val="0"/>
          <w:sz w:val="24"/>
        </w:rPr>
        <w:t>标煤的热值为7000大卡/kg，生物质燃料热值约</w:t>
      </w:r>
      <w:r>
        <w:rPr>
          <w:rFonts w:hint="eastAsia"/>
          <w:snapToGrid w:val="0"/>
          <w:color w:val="auto"/>
          <w:kern w:val="0"/>
          <w:sz w:val="24"/>
          <w:lang w:val="en-US" w:eastAsia="zh-CN"/>
        </w:rPr>
        <w:t>3168</w:t>
      </w:r>
      <w:r>
        <w:rPr>
          <w:rFonts w:hint="eastAsia"/>
          <w:snapToGrid w:val="0"/>
          <w:color w:val="auto"/>
          <w:kern w:val="0"/>
          <w:sz w:val="24"/>
        </w:rPr>
        <w:t>大卡/kg（见附件），则冬季供暖生物质成型燃料的用量</w:t>
      </w:r>
      <w:r>
        <w:rPr>
          <w:rFonts w:hint="eastAsia"/>
          <w:snapToGrid w:val="0"/>
          <w:color w:val="auto"/>
          <w:kern w:val="0"/>
          <w:sz w:val="24"/>
          <w:lang w:val="en-US" w:eastAsia="zh-CN"/>
        </w:rPr>
        <w:t>=212000</w:t>
      </w:r>
      <w:r>
        <w:rPr>
          <w:rFonts w:hint="eastAsia"/>
          <w:snapToGrid w:val="0"/>
          <w:color w:val="auto"/>
          <w:kern w:val="0"/>
          <w:sz w:val="24"/>
        </w:rPr>
        <w:t>kg/a</w:t>
      </w:r>
      <w:r>
        <w:rPr>
          <w:rFonts w:hint="default" w:ascii="Times New Roman" w:hAnsi="Times New Roman" w:cs="Times New Roman"/>
          <w:snapToGrid w:val="0"/>
          <w:color w:val="auto"/>
          <w:kern w:val="0"/>
          <w:sz w:val="24"/>
        </w:rPr>
        <w:t>×</w:t>
      </w:r>
      <w:r>
        <w:rPr>
          <w:rFonts w:hint="eastAsia"/>
          <w:snapToGrid w:val="0"/>
          <w:color w:val="auto"/>
          <w:kern w:val="0"/>
          <w:sz w:val="24"/>
          <w:lang w:val="en-US" w:eastAsia="zh-CN"/>
        </w:rPr>
        <w:t>7000</w:t>
      </w:r>
      <w:r>
        <w:rPr>
          <w:rFonts w:hint="eastAsia"/>
          <w:snapToGrid w:val="0"/>
          <w:color w:val="auto"/>
          <w:kern w:val="0"/>
          <w:sz w:val="24"/>
        </w:rPr>
        <w:t>大卡/kg</w:t>
      </w:r>
      <w:r>
        <w:rPr>
          <w:rFonts w:hint="eastAsia"/>
          <w:snapToGrid w:val="0"/>
          <w:color w:val="auto"/>
          <w:kern w:val="0"/>
          <w:sz w:val="24"/>
          <w:lang w:val="en-US" w:eastAsia="zh-CN"/>
        </w:rPr>
        <w:t>÷3168</w:t>
      </w:r>
      <w:r>
        <w:rPr>
          <w:rFonts w:hint="eastAsia"/>
          <w:snapToGrid w:val="0"/>
          <w:color w:val="auto"/>
          <w:kern w:val="0"/>
          <w:sz w:val="24"/>
        </w:rPr>
        <w:t>大卡/kg</w:t>
      </w:r>
      <w:r>
        <w:rPr>
          <w:rFonts w:hint="eastAsia"/>
          <w:snapToGrid w:val="0"/>
          <w:color w:val="auto"/>
          <w:kern w:val="0"/>
          <w:sz w:val="24"/>
          <w:lang w:val="en-US" w:eastAsia="zh-CN"/>
        </w:rPr>
        <w:t>÷10</w:t>
      </w:r>
      <w:r>
        <w:rPr>
          <w:rFonts w:hint="eastAsia"/>
          <w:snapToGrid w:val="0"/>
          <w:color w:val="auto"/>
          <w:kern w:val="0"/>
          <w:sz w:val="24"/>
          <w:vertAlign w:val="superscript"/>
          <w:lang w:val="en-US" w:eastAsia="zh-CN"/>
        </w:rPr>
        <w:t>3</w:t>
      </w:r>
      <w:r>
        <w:rPr>
          <w:rFonts w:hint="eastAsia"/>
          <w:snapToGrid w:val="0"/>
          <w:color w:val="auto"/>
          <w:kern w:val="0"/>
          <w:sz w:val="24"/>
          <w:lang w:val="en-US" w:eastAsia="zh-CN"/>
        </w:rPr>
        <w:t>=468t/a</w:t>
      </w:r>
      <w:r>
        <w:rPr>
          <w:rFonts w:hint="eastAsia"/>
          <w:snapToGrid w:val="0"/>
          <w:color w:val="auto"/>
          <w:kern w:val="0"/>
          <w:sz w:val="24"/>
          <w:lang w:eastAsia="zh-CN"/>
        </w:rPr>
        <w:t>。</w:t>
      </w:r>
      <w:r>
        <w:rPr>
          <w:rFonts w:hint="eastAsia"/>
          <w:snapToGrid w:val="0"/>
          <w:color w:val="auto"/>
          <w:kern w:val="0"/>
          <w:sz w:val="24"/>
        </w:rPr>
        <w:t>锅炉年运行180天，每天运行</w:t>
      </w:r>
      <w:r>
        <w:rPr>
          <w:rFonts w:hint="eastAsia"/>
          <w:snapToGrid w:val="0"/>
          <w:color w:val="auto"/>
          <w:kern w:val="0"/>
          <w:sz w:val="24"/>
          <w:lang w:val="en-US" w:eastAsia="zh-CN"/>
        </w:rPr>
        <w:t>20</w:t>
      </w:r>
      <w:r>
        <w:rPr>
          <w:rFonts w:hint="eastAsia"/>
          <w:snapToGrid w:val="0"/>
          <w:color w:val="auto"/>
          <w:kern w:val="0"/>
          <w:sz w:val="24"/>
        </w:rPr>
        <w:t>h，年运行</w:t>
      </w:r>
      <w:r>
        <w:rPr>
          <w:rFonts w:hint="eastAsia"/>
          <w:snapToGrid w:val="0"/>
          <w:color w:val="auto"/>
          <w:kern w:val="0"/>
          <w:sz w:val="24"/>
          <w:lang w:val="en-US" w:eastAsia="zh-CN"/>
        </w:rPr>
        <w:t>3600</w:t>
      </w:r>
      <w:r>
        <w:rPr>
          <w:rFonts w:hint="eastAsia"/>
          <w:snapToGrid w:val="0"/>
          <w:color w:val="auto"/>
          <w:kern w:val="0"/>
          <w:sz w:val="24"/>
        </w:rPr>
        <w:t>h，锅炉烟气经布袋除尘器（除尘效率按</w:t>
      </w:r>
      <w:r>
        <w:rPr>
          <w:rFonts w:hint="eastAsia"/>
          <w:snapToGrid w:val="0"/>
          <w:color w:val="auto"/>
          <w:kern w:val="0"/>
          <w:sz w:val="24"/>
          <w:lang w:eastAsia="zh-CN"/>
        </w:rPr>
        <w:t>99.8</w:t>
      </w:r>
      <w:r>
        <w:rPr>
          <w:rFonts w:hint="eastAsia"/>
          <w:snapToGrid w:val="0"/>
          <w:color w:val="auto"/>
          <w:kern w:val="0"/>
          <w:sz w:val="24"/>
        </w:rPr>
        <w:t>%计）处理后由</w:t>
      </w:r>
      <w:r>
        <w:rPr>
          <w:rFonts w:hint="eastAsia"/>
          <w:snapToGrid w:val="0"/>
          <w:color w:val="auto"/>
          <w:kern w:val="0"/>
          <w:sz w:val="24"/>
          <w:lang w:val="en-US" w:eastAsia="zh-CN"/>
        </w:rPr>
        <w:t>30m</w:t>
      </w:r>
      <w:r>
        <w:rPr>
          <w:rFonts w:hint="eastAsia"/>
          <w:snapToGrid w:val="0"/>
          <w:color w:val="auto"/>
          <w:kern w:val="0"/>
          <w:sz w:val="24"/>
        </w:rPr>
        <w:t>高烟囱排放。</w:t>
      </w:r>
    </w:p>
    <w:p>
      <w:pPr>
        <w:spacing w:line="360" w:lineRule="auto"/>
        <w:contextualSpacing/>
        <w:outlineLvl w:val="1"/>
        <w:rPr>
          <w:b/>
          <w:bCs/>
          <w:color w:val="auto"/>
          <w:kern w:val="44"/>
          <w:sz w:val="30"/>
          <w:szCs w:val="30"/>
        </w:rPr>
      </w:pPr>
      <w:bookmarkStart w:id="87" w:name="_Toc20536"/>
      <w:r>
        <w:rPr>
          <w:b/>
          <w:bCs/>
          <w:color w:val="auto"/>
          <w:kern w:val="44"/>
          <w:sz w:val="30"/>
          <w:szCs w:val="30"/>
        </w:rPr>
        <w:t>3.2影响因素分析</w:t>
      </w:r>
      <w:bookmarkEnd w:id="87"/>
    </w:p>
    <w:p>
      <w:pPr>
        <w:spacing w:line="360" w:lineRule="auto"/>
        <w:contextualSpacing/>
        <w:outlineLvl w:val="1"/>
        <w:rPr>
          <w:rFonts w:ascii="Times New Roman" w:hAnsi="Times New Roman" w:cs="Times New Roman"/>
          <w:b/>
          <w:color w:val="auto"/>
          <w:sz w:val="28"/>
          <w:szCs w:val="28"/>
        </w:rPr>
      </w:pPr>
      <w:bookmarkStart w:id="88" w:name="_Toc24519"/>
      <w:r>
        <w:rPr>
          <w:rFonts w:ascii="Times New Roman" w:hAnsi="Times New Roman" w:cs="Times New Roman"/>
          <w:b/>
          <w:color w:val="auto"/>
          <w:sz w:val="28"/>
          <w:szCs w:val="28"/>
        </w:rPr>
        <w:t>3.2.1施工期影响因素分析</w:t>
      </w:r>
      <w:bookmarkEnd w:id="88"/>
    </w:p>
    <w:p>
      <w:pPr>
        <w:pStyle w:val="74"/>
        <w:adjustRightInd/>
        <w:snapToGrid/>
        <w:contextualSpacing/>
        <w:jc w:val="both"/>
        <w:rPr>
          <w:rFonts w:ascii="Times New Roman" w:hAnsi="Times New Roman" w:eastAsia="宋体" w:cs="Times New Roman"/>
          <w:snapToGrid w:val="0"/>
          <w:color w:val="auto"/>
        </w:rPr>
      </w:pPr>
      <w:r>
        <w:rPr>
          <w:rFonts w:ascii="Times New Roman" w:hAnsi="Times New Roman" w:eastAsia="宋体" w:cs="Times New Roman"/>
          <w:snapToGrid w:val="0"/>
          <w:color w:val="auto"/>
        </w:rPr>
        <w:t>本项目施工期建设内容主要为建设</w:t>
      </w:r>
      <w:r>
        <w:rPr>
          <w:rFonts w:hint="eastAsia" w:ascii="Times New Roman" w:hAnsi="Times New Roman" w:eastAsia="宋体" w:cs="Times New Roman"/>
          <w:snapToGrid w:val="0"/>
          <w:color w:val="auto"/>
          <w:lang w:val="en-US" w:eastAsia="zh-CN"/>
        </w:rPr>
        <w:t>急宰间、</w:t>
      </w:r>
      <w:r>
        <w:rPr>
          <w:rFonts w:hint="eastAsia" w:ascii="Times New Roman" w:hAnsi="Times New Roman" w:eastAsia="宋体" w:cs="Times New Roman"/>
          <w:snapToGrid w:val="0"/>
          <w:color w:val="auto"/>
        </w:rPr>
        <w:t>待宰间、屠宰车间、污水处理站以及贮水池等</w:t>
      </w:r>
      <w:r>
        <w:rPr>
          <w:rFonts w:ascii="Times New Roman" w:hAnsi="Times New Roman" w:eastAsia="宋体" w:cs="Times New Roman"/>
          <w:snapToGrid w:val="0"/>
          <w:color w:val="auto"/>
        </w:rPr>
        <w:t>工程，并为车间安装设备及调试。施工期对环境的影响主要表现为施工噪声、施工扬尘、施工废物和施工污水对环境产生</w:t>
      </w:r>
      <w:r>
        <w:rPr>
          <w:rFonts w:hint="eastAsia" w:ascii="Times New Roman" w:hAnsi="Times New Roman" w:eastAsia="宋体" w:cs="Times New Roman"/>
          <w:snapToGrid w:val="0"/>
          <w:color w:val="auto"/>
        </w:rPr>
        <w:t>的</w:t>
      </w:r>
      <w:r>
        <w:rPr>
          <w:rFonts w:ascii="Times New Roman" w:hAnsi="Times New Roman" w:eastAsia="宋体" w:cs="Times New Roman"/>
          <w:snapToGrid w:val="0"/>
          <w:color w:val="auto"/>
        </w:rPr>
        <w:t>不利影响。</w:t>
      </w:r>
    </w:p>
    <w:p>
      <w:pPr>
        <w:pStyle w:val="74"/>
        <w:adjustRightInd/>
        <w:snapToGrid/>
        <w:ind w:firstLine="0" w:firstLineChars="0"/>
        <w:contextualSpacing/>
        <w:jc w:val="both"/>
        <w:rPr>
          <w:rFonts w:ascii="Times New Roman" w:hAnsi="Times New Roman" w:eastAsia="宋体" w:cs="Times New Roman"/>
          <w:b/>
          <w:snapToGrid w:val="0"/>
          <w:color w:val="auto"/>
          <w:lang w:val="zh-CN"/>
        </w:rPr>
      </w:pPr>
      <w:r>
        <w:rPr>
          <w:rFonts w:hint="eastAsia" w:ascii="Times New Roman" w:hAnsi="Times New Roman" w:eastAsia="宋体" w:cs="Times New Roman"/>
          <w:b/>
          <w:snapToGrid w:val="0"/>
          <w:color w:val="auto"/>
          <w:lang w:val="zh-CN"/>
        </w:rPr>
        <w:t>3.2.1.1</w:t>
      </w:r>
      <w:r>
        <w:rPr>
          <w:rFonts w:ascii="Times New Roman" w:hAnsi="Times New Roman" w:eastAsia="宋体" w:cs="Times New Roman"/>
          <w:b/>
          <w:snapToGrid w:val="0"/>
          <w:color w:val="auto"/>
        </w:rPr>
        <w:t>施工期大气环境影响因素分析</w:t>
      </w:r>
    </w:p>
    <w:p>
      <w:pPr>
        <w:pStyle w:val="74"/>
        <w:adjustRightInd/>
        <w:snapToGrid/>
        <w:contextualSpacing/>
        <w:jc w:val="both"/>
        <w:rPr>
          <w:rFonts w:ascii="Times New Roman" w:hAnsi="Times New Roman" w:eastAsia="宋体" w:cs="Times New Roman"/>
          <w:snapToGrid w:val="0"/>
          <w:color w:val="auto"/>
        </w:rPr>
      </w:pPr>
      <w:r>
        <w:rPr>
          <w:rFonts w:ascii="Times New Roman" w:hAnsi="Times New Roman" w:eastAsia="宋体" w:cs="Times New Roman"/>
          <w:snapToGrid w:val="0"/>
          <w:color w:val="auto"/>
        </w:rPr>
        <w:t>对整个施工期而言，施工过程中对环境造成影响较为突出的是扬尘污染。施工期产生的扬尘主要集中在平整土地等施工阶段。按起尘的原因可分为风力起尘和动力起尘，其中风力起尘主要是由于露天堆放的建材及裸露的施工区表层浮尘因天气干燥及大风，产生风力扬尘；而动力起尘，主要是在建材的装卸、搅拌过程中，由于外力而产生的尘粒再悬浮而造成，其中施工及装卸车辆造成的扬尘最为严重。</w:t>
      </w:r>
    </w:p>
    <w:p>
      <w:pPr>
        <w:pStyle w:val="74"/>
        <w:adjustRightInd/>
        <w:snapToGrid/>
        <w:ind w:firstLine="0" w:firstLineChars="0"/>
        <w:contextualSpacing/>
        <w:jc w:val="both"/>
        <w:rPr>
          <w:rFonts w:ascii="Times New Roman" w:hAnsi="Times New Roman" w:eastAsia="宋体" w:cs="Times New Roman"/>
          <w:b/>
          <w:snapToGrid w:val="0"/>
          <w:color w:val="auto"/>
        </w:rPr>
      </w:pPr>
      <w:r>
        <w:rPr>
          <w:rFonts w:hint="eastAsia" w:ascii="Times New Roman" w:hAnsi="Times New Roman" w:eastAsia="宋体" w:cs="Times New Roman"/>
          <w:b/>
          <w:snapToGrid w:val="0"/>
          <w:color w:val="auto"/>
          <w:lang w:val="zh-CN"/>
        </w:rPr>
        <w:t>3.2.1.2</w:t>
      </w:r>
      <w:r>
        <w:rPr>
          <w:rFonts w:ascii="Times New Roman" w:hAnsi="Times New Roman" w:eastAsia="宋体" w:cs="Times New Roman"/>
          <w:b/>
          <w:snapToGrid w:val="0"/>
          <w:color w:val="auto"/>
        </w:rPr>
        <w:t>施工期水环境影响因素分析</w:t>
      </w:r>
    </w:p>
    <w:p>
      <w:pPr>
        <w:pStyle w:val="74"/>
        <w:adjustRightInd/>
        <w:snapToGrid/>
        <w:contextualSpacing/>
        <w:jc w:val="both"/>
        <w:rPr>
          <w:rFonts w:ascii="Times New Roman" w:hAnsi="Times New Roman" w:eastAsia="宋体" w:cs="Times New Roman"/>
          <w:snapToGrid w:val="0"/>
          <w:color w:val="auto"/>
        </w:rPr>
      </w:pPr>
      <w:r>
        <w:rPr>
          <w:rFonts w:hint="eastAsia" w:ascii="Times New Roman" w:hAnsi="Times New Roman" w:eastAsia="宋体" w:cs="Times New Roman"/>
          <w:snapToGrid w:val="0"/>
          <w:color w:val="auto"/>
        </w:rPr>
        <w:t>①施工废水</w:t>
      </w:r>
    </w:p>
    <w:p>
      <w:pPr>
        <w:pStyle w:val="74"/>
        <w:adjustRightInd/>
        <w:snapToGrid/>
        <w:contextualSpacing/>
        <w:jc w:val="both"/>
        <w:rPr>
          <w:rFonts w:ascii="Times New Roman" w:hAnsi="Times New Roman" w:eastAsia="宋体" w:cs="Times New Roman"/>
          <w:snapToGrid w:val="0"/>
          <w:color w:val="auto"/>
        </w:rPr>
      </w:pPr>
      <w:r>
        <w:rPr>
          <w:rFonts w:ascii="Times New Roman" w:hAnsi="Times New Roman" w:eastAsia="宋体" w:cs="Times New Roman"/>
          <w:snapToGrid w:val="0"/>
          <w:color w:val="auto"/>
        </w:rPr>
        <w:t>施工废水主要来源于机械设备及运输车辆冲洗废水。施工现场设置沉淀池，</w:t>
      </w:r>
      <w:r>
        <w:rPr>
          <w:rFonts w:hint="eastAsia" w:ascii="Times New Roman" w:hAnsi="Times New Roman" w:eastAsia="宋体" w:cs="Times New Roman"/>
          <w:snapToGrid w:val="0"/>
          <w:color w:val="auto"/>
        </w:rPr>
        <w:t>施工</w:t>
      </w:r>
      <w:r>
        <w:rPr>
          <w:rFonts w:ascii="Times New Roman" w:hAnsi="Times New Roman" w:eastAsia="宋体" w:cs="Times New Roman"/>
          <w:snapToGrid w:val="0"/>
          <w:color w:val="auto"/>
        </w:rPr>
        <w:t>废水</w:t>
      </w:r>
      <w:r>
        <w:rPr>
          <w:rFonts w:hint="eastAsia" w:ascii="Times New Roman" w:hAnsi="Times New Roman" w:eastAsia="宋体" w:cs="Times New Roman"/>
          <w:snapToGrid w:val="0"/>
          <w:color w:val="auto"/>
        </w:rPr>
        <w:t>经</w:t>
      </w:r>
      <w:r>
        <w:rPr>
          <w:rFonts w:ascii="Times New Roman" w:hAnsi="Times New Roman" w:eastAsia="宋体" w:cs="Times New Roman"/>
          <w:snapToGrid w:val="0"/>
          <w:color w:val="auto"/>
        </w:rPr>
        <w:t>沉淀后</w:t>
      </w:r>
      <w:r>
        <w:rPr>
          <w:rFonts w:hint="eastAsia" w:ascii="Times New Roman" w:hAnsi="Times New Roman" w:eastAsia="宋体" w:cs="Times New Roman"/>
          <w:snapToGrid w:val="0"/>
          <w:color w:val="auto"/>
        </w:rPr>
        <w:t>用于</w:t>
      </w:r>
      <w:r>
        <w:rPr>
          <w:rFonts w:ascii="Times New Roman" w:hAnsi="Times New Roman" w:eastAsia="宋体" w:cs="Times New Roman"/>
          <w:snapToGrid w:val="0"/>
          <w:color w:val="auto"/>
        </w:rPr>
        <w:t>场地降尘，不外排。</w:t>
      </w:r>
    </w:p>
    <w:p>
      <w:pPr>
        <w:pStyle w:val="74"/>
        <w:adjustRightInd/>
        <w:snapToGrid/>
        <w:contextualSpacing/>
        <w:jc w:val="both"/>
        <w:rPr>
          <w:rFonts w:ascii="Times New Roman" w:hAnsi="Times New Roman" w:eastAsia="宋体" w:cs="Times New Roman"/>
          <w:snapToGrid w:val="0"/>
          <w:color w:val="auto"/>
        </w:rPr>
      </w:pPr>
      <w:r>
        <w:rPr>
          <w:rFonts w:hint="eastAsia" w:ascii="Times New Roman" w:hAnsi="Times New Roman" w:eastAsia="宋体" w:cs="Times New Roman"/>
          <w:snapToGrid w:val="0"/>
          <w:color w:val="auto"/>
        </w:rPr>
        <w:t>②生活污水</w:t>
      </w:r>
    </w:p>
    <w:p>
      <w:pPr>
        <w:pStyle w:val="74"/>
        <w:adjustRightInd/>
        <w:snapToGrid/>
        <w:contextualSpacing/>
        <w:jc w:val="both"/>
        <w:rPr>
          <w:rFonts w:ascii="Times New Roman" w:hAnsi="Times New Roman" w:eastAsia="宋体" w:cs="Times New Roman"/>
          <w:snapToGrid w:val="0"/>
          <w:color w:val="auto"/>
          <w:lang w:val="zh-CN"/>
        </w:rPr>
      </w:pPr>
      <w:r>
        <w:rPr>
          <w:rFonts w:ascii="Times New Roman" w:hAnsi="Times New Roman" w:eastAsia="宋体" w:cs="Times New Roman"/>
          <w:snapToGrid w:val="0"/>
          <w:color w:val="auto"/>
        </w:rPr>
        <w:t>本项目施工人员产生的生活污水排入临时建设的防渗旱厕，定期清掏，外运堆肥。</w:t>
      </w:r>
    </w:p>
    <w:p>
      <w:pPr>
        <w:pStyle w:val="74"/>
        <w:adjustRightInd/>
        <w:snapToGrid/>
        <w:ind w:firstLine="0" w:firstLineChars="0"/>
        <w:contextualSpacing/>
        <w:jc w:val="both"/>
        <w:rPr>
          <w:rFonts w:ascii="Times New Roman" w:hAnsi="Times New Roman" w:eastAsia="宋体" w:cs="Times New Roman"/>
          <w:b/>
          <w:snapToGrid w:val="0"/>
          <w:color w:val="auto"/>
          <w:lang w:val="zh-CN"/>
        </w:rPr>
      </w:pPr>
      <w:r>
        <w:rPr>
          <w:rFonts w:hint="eastAsia" w:ascii="Times New Roman" w:hAnsi="Times New Roman" w:eastAsia="宋体" w:cs="Times New Roman"/>
          <w:b/>
          <w:snapToGrid w:val="0"/>
          <w:color w:val="auto"/>
          <w:lang w:val="zh-CN"/>
        </w:rPr>
        <w:t>3.2.1.3</w:t>
      </w:r>
      <w:r>
        <w:rPr>
          <w:rFonts w:ascii="Times New Roman" w:hAnsi="Times New Roman" w:eastAsia="宋体" w:cs="Times New Roman"/>
          <w:b/>
          <w:snapToGrid w:val="0"/>
          <w:color w:val="auto"/>
        </w:rPr>
        <w:t>施工期噪声影响因素分析</w:t>
      </w:r>
    </w:p>
    <w:p>
      <w:pPr>
        <w:pStyle w:val="74"/>
        <w:adjustRightInd/>
        <w:snapToGrid/>
        <w:contextualSpacing/>
        <w:jc w:val="both"/>
        <w:rPr>
          <w:rFonts w:ascii="Times New Roman" w:hAnsi="Times New Roman" w:eastAsia="宋体" w:cs="Times New Roman"/>
          <w:snapToGrid w:val="0"/>
          <w:color w:val="auto"/>
          <w:lang w:val="zh-CN"/>
        </w:rPr>
      </w:pPr>
      <w:r>
        <w:rPr>
          <w:rFonts w:ascii="Times New Roman" w:hAnsi="Times New Roman" w:eastAsia="宋体" w:cs="Times New Roman"/>
          <w:snapToGrid w:val="0"/>
          <w:color w:val="auto"/>
        </w:rPr>
        <w:t>施工期的噪声主要可分为机械噪声、施工作业噪声和施工车辆噪声。机械噪声主要由施工机械所造成，多为点声源；施工作业噪声主要指一些零星的敲打声、装卸车辆的撞击声、吆喝声、拆装模板的撞击声等，多为瞬间噪声；施工车辆的噪声属于交通噪声</w:t>
      </w:r>
      <w:r>
        <w:rPr>
          <w:rFonts w:hint="eastAsia" w:ascii="Times New Roman" w:hAnsi="Times New Roman" w:eastAsia="宋体" w:cs="Times New Roman"/>
          <w:snapToGrid w:val="0"/>
          <w:color w:val="auto"/>
        </w:rPr>
        <w:t>。</w:t>
      </w:r>
    </w:p>
    <w:p>
      <w:pPr>
        <w:pStyle w:val="74"/>
        <w:adjustRightInd/>
        <w:snapToGrid/>
        <w:ind w:firstLine="0" w:firstLineChars="0"/>
        <w:contextualSpacing/>
        <w:jc w:val="both"/>
        <w:rPr>
          <w:rFonts w:ascii="Times New Roman" w:hAnsi="Times New Roman" w:eastAsia="宋体" w:cs="Times New Roman"/>
          <w:b/>
          <w:snapToGrid w:val="0"/>
          <w:color w:val="auto"/>
          <w:lang w:val="zh-CN"/>
        </w:rPr>
      </w:pPr>
      <w:r>
        <w:rPr>
          <w:rFonts w:hint="eastAsia" w:ascii="Times New Roman" w:hAnsi="Times New Roman" w:eastAsia="宋体" w:cs="Times New Roman"/>
          <w:b/>
          <w:snapToGrid w:val="0"/>
          <w:color w:val="auto"/>
          <w:lang w:val="zh-CN"/>
        </w:rPr>
        <w:t>3.2.1.4</w:t>
      </w:r>
      <w:r>
        <w:rPr>
          <w:rFonts w:ascii="Times New Roman" w:hAnsi="Times New Roman" w:eastAsia="宋体" w:cs="Times New Roman"/>
          <w:b/>
          <w:snapToGrid w:val="0"/>
          <w:color w:val="auto"/>
        </w:rPr>
        <w:t>施工期固体废物影响因素分析</w:t>
      </w:r>
    </w:p>
    <w:p>
      <w:pPr>
        <w:pStyle w:val="74"/>
        <w:adjustRightInd/>
        <w:snapToGrid/>
        <w:contextualSpacing/>
        <w:jc w:val="both"/>
        <w:rPr>
          <w:rFonts w:ascii="Times New Roman" w:hAnsi="Times New Roman" w:eastAsia="宋体" w:cs="Times New Roman"/>
          <w:snapToGrid w:val="0"/>
          <w:color w:val="auto"/>
          <w:lang w:val="zh-CN"/>
        </w:rPr>
      </w:pPr>
      <w:r>
        <w:rPr>
          <w:rFonts w:ascii="Times New Roman" w:hAnsi="Times New Roman" w:eastAsia="宋体" w:cs="Times New Roman"/>
          <w:snapToGrid w:val="0"/>
          <w:color w:val="auto"/>
        </w:rPr>
        <w:t>施工期产生的固体废弃物主要是</w:t>
      </w:r>
      <w:r>
        <w:rPr>
          <w:rFonts w:hint="eastAsia" w:ascii="Times New Roman" w:hAnsi="Times New Roman" w:eastAsia="宋体" w:cs="Times New Roman"/>
          <w:snapToGrid w:val="0"/>
          <w:color w:val="auto"/>
        </w:rPr>
        <w:t>施工废物</w:t>
      </w:r>
      <w:r>
        <w:rPr>
          <w:rFonts w:ascii="Times New Roman" w:hAnsi="Times New Roman" w:eastAsia="宋体" w:cs="Times New Roman"/>
          <w:snapToGrid w:val="0"/>
          <w:color w:val="auto"/>
        </w:rPr>
        <w:t>及施工人员生活垃圾。</w:t>
      </w:r>
      <w:r>
        <w:rPr>
          <w:rFonts w:hint="eastAsia" w:ascii="Times New Roman" w:hAnsi="Times New Roman" w:eastAsia="宋体" w:cs="Times New Roman"/>
          <w:snapToGrid w:val="0"/>
          <w:color w:val="auto"/>
        </w:rPr>
        <w:t>施工废物</w:t>
      </w:r>
      <w:r>
        <w:rPr>
          <w:rFonts w:ascii="Times New Roman" w:hAnsi="Times New Roman" w:eastAsia="宋体" w:cs="Times New Roman"/>
          <w:snapToGrid w:val="0"/>
          <w:color w:val="auto"/>
        </w:rPr>
        <w:t>主要包括平整场地</w:t>
      </w:r>
      <w:r>
        <w:rPr>
          <w:rFonts w:hint="eastAsia" w:ascii="Times New Roman" w:hAnsi="Times New Roman" w:eastAsia="宋体" w:cs="Times New Roman"/>
          <w:snapToGrid w:val="0"/>
          <w:color w:val="auto"/>
        </w:rPr>
        <w:t>和地基开挖</w:t>
      </w:r>
      <w:r>
        <w:rPr>
          <w:rFonts w:ascii="Times New Roman" w:hAnsi="Times New Roman" w:eastAsia="宋体" w:cs="Times New Roman"/>
          <w:snapToGrid w:val="0"/>
          <w:color w:val="auto"/>
        </w:rPr>
        <w:t>产生的</w:t>
      </w:r>
      <w:r>
        <w:rPr>
          <w:rFonts w:hint="eastAsia" w:ascii="Times New Roman" w:cs="Times New Roman" w:hAnsiTheme="minorEastAsia"/>
          <w:snapToGrid w:val="0"/>
          <w:color w:val="auto"/>
        </w:rPr>
        <w:t>少量</w:t>
      </w:r>
      <w:r>
        <w:rPr>
          <w:rFonts w:ascii="Times New Roman" w:cs="Times New Roman" w:hAnsiTheme="minorEastAsia"/>
          <w:snapToGrid w:val="0"/>
          <w:color w:val="auto"/>
        </w:rPr>
        <w:t>弃土弃渣</w:t>
      </w:r>
      <w:r>
        <w:rPr>
          <w:rFonts w:hint="eastAsia" w:ascii="Times New Roman" w:hAnsi="Times New Roman" w:eastAsia="宋体" w:cs="Times New Roman"/>
          <w:snapToGrid w:val="0"/>
          <w:color w:val="auto"/>
        </w:rPr>
        <w:t>、</w:t>
      </w:r>
      <w:r>
        <w:rPr>
          <w:rFonts w:ascii="Times New Roman" w:hAnsi="Times New Roman" w:eastAsia="宋体" w:cs="Times New Roman"/>
          <w:snapToGrid w:val="0"/>
          <w:color w:val="auto"/>
        </w:rPr>
        <w:t>建筑</w:t>
      </w:r>
      <w:r>
        <w:rPr>
          <w:rFonts w:hint="eastAsia" w:ascii="Times New Roman" w:hAnsi="Times New Roman" w:eastAsia="宋体" w:cs="Times New Roman"/>
          <w:snapToGrid w:val="0"/>
          <w:color w:val="auto"/>
        </w:rPr>
        <w:t>垃圾</w:t>
      </w:r>
      <w:r>
        <w:rPr>
          <w:rFonts w:ascii="Times New Roman" w:hAnsi="Times New Roman" w:eastAsia="宋体" w:cs="Times New Roman"/>
          <w:snapToGrid w:val="0"/>
          <w:color w:val="auto"/>
        </w:rPr>
        <w:t>等。</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3.2.2营运期影响因素分析</w:t>
      </w:r>
    </w:p>
    <w:p>
      <w:pPr>
        <w:spacing w:line="360" w:lineRule="auto"/>
        <w:outlineLvl w:val="4"/>
        <w:rPr>
          <w:b/>
          <w:snapToGrid w:val="0"/>
          <w:color w:val="auto"/>
          <w:kern w:val="0"/>
          <w:sz w:val="24"/>
        </w:rPr>
      </w:pPr>
      <w:r>
        <w:rPr>
          <w:b/>
          <w:snapToGrid w:val="0"/>
          <w:color w:val="auto"/>
          <w:kern w:val="0"/>
          <w:sz w:val="24"/>
        </w:rPr>
        <w:t>3.2.2.1工艺流程及产污环节分析</w:t>
      </w:r>
    </w:p>
    <w:p>
      <w:pPr>
        <w:spacing w:line="360" w:lineRule="auto"/>
        <w:ind w:firstLine="480" w:firstLineChars="200"/>
        <w:rPr>
          <w:color w:val="auto"/>
          <w:sz w:val="24"/>
        </w:rPr>
      </w:pPr>
      <w:r>
        <w:rPr>
          <w:bCs/>
          <w:color w:val="auto"/>
          <w:sz w:val="24"/>
        </w:rPr>
        <w:t>本项目主要采用</w:t>
      </w:r>
      <w:r>
        <w:rPr>
          <w:rFonts w:hint="eastAsia"/>
          <w:bCs/>
          <w:color w:val="auto"/>
          <w:sz w:val="24"/>
        </w:rPr>
        <w:t>麻电致晕</w:t>
      </w:r>
      <w:r>
        <w:rPr>
          <w:bCs/>
          <w:color w:val="auto"/>
          <w:sz w:val="24"/>
        </w:rPr>
        <w:t>、机械分割的屠宰工艺，</w:t>
      </w:r>
      <w:r>
        <w:rPr>
          <w:snapToGrid w:val="0"/>
          <w:color w:val="auto"/>
          <w:kern w:val="0"/>
          <w:sz w:val="24"/>
        </w:rPr>
        <w:t>项目生产工艺流程示意图见图3-2-1。</w:t>
      </w:r>
    </w:p>
    <w:p>
      <w:pPr>
        <w:snapToGrid w:val="0"/>
        <w:jc w:val="center"/>
        <w:rPr>
          <w:color w:val="FF0000"/>
          <w:sz w:val="24"/>
        </w:rPr>
      </w:pPr>
      <w:r>
        <w:rPr>
          <w:rFonts w:ascii="宋体" w:hAnsi="宋体"/>
          <w:color w:val="FF0000"/>
        </w:rPr>
        <w:pict>
          <v:group id="_x0000_s3784" o:spid="_x0000_s3784" o:spt="203" style="height:684.25pt;width:369.75pt;" coordorigin="2420,1983" coordsize="7395,13684" editas="canvas">
            <o:lock v:ext="edit"/>
            <v:shape id="_x0000_s3785" o:spid="_x0000_s3785" o:spt="75" type="#_x0000_t75" style="position:absolute;left:2420;top:1983;height:13684;width:7395;" fillcolor="#FFFFFF" filled="t" stroked="f" coordsize="21600,21600">
              <v:path/>
              <v:fill on="t" color2="#FFFFFF" focussize="0,0"/>
              <v:stroke on="f"/>
              <v:imagedata o:title=""/>
              <o:lock v:ext="edit" text="t" aspectratio="t"/>
            </v:shape>
            <v:rect id="_x0000_s3786" o:spid="_x0000_s3786" o:spt="1" style="position:absolute;left:4989;top:2211;height:476;width:1329;" fillcolor="#FFFFFF" filled="t" stroked="t" coordsize="21600,21600">
              <v:path/>
              <v:fill on="t" color2="#FFFFFF" focussize="0,0"/>
              <v:stroke color="#000000" joinstyle="miter"/>
              <v:imagedata o:title=""/>
              <o:lock v:ext="edit" aspectratio="f"/>
              <v:textbox>
                <w:txbxContent>
                  <w:p>
                    <w:pPr>
                      <w:jc w:val="center"/>
                      <w:rPr>
                        <w:sz w:val="18"/>
                        <w:szCs w:val="18"/>
                      </w:rPr>
                    </w:pPr>
                    <w:r>
                      <w:rPr>
                        <w:rFonts w:hint="eastAsia"/>
                        <w:sz w:val="18"/>
                        <w:szCs w:val="18"/>
                      </w:rPr>
                      <w:t>宰前</w:t>
                    </w:r>
                    <w:r>
                      <w:rPr>
                        <w:sz w:val="18"/>
                        <w:szCs w:val="18"/>
                      </w:rPr>
                      <w:t>检疫</w:t>
                    </w:r>
                  </w:p>
                </w:txbxContent>
              </v:textbox>
            </v:rect>
            <v:shape id="_x0000_s3787" o:spid="_x0000_s3787" o:spt="32" type="#_x0000_t32" style="position:absolute;left:5659;top:2712;flip:x;height:329;width:8;" filled="f" stroked="t" coordsize="21600,21600">
              <v:path arrowok="t"/>
              <v:fill on="f" focussize="0,0"/>
              <v:stroke color="#000000" endarrow="block"/>
              <v:imagedata o:title=""/>
              <o:lock v:ext="edit" aspectratio="f"/>
            </v:shape>
            <v:rect id="_x0000_s3788" o:spid="_x0000_s3788" o:spt="1" style="position:absolute;left:4995;top:3012;height:417;width:1328;" fillcolor="#FFFFFF" filled="t" stroked="t" coordsize="21600,21600">
              <v:path/>
              <v:fill on="t" color2="#FFFFFF" focussize="0,0"/>
              <v:stroke color="#000000" joinstyle="miter"/>
              <v:imagedata o:title=""/>
              <o:lock v:ext="edit" aspectratio="f"/>
              <v:textbox>
                <w:txbxContent>
                  <w:p>
                    <w:pPr>
                      <w:jc w:val="center"/>
                      <w:rPr>
                        <w:sz w:val="18"/>
                        <w:szCs w:val="18"/>
                      </w:rPr>
                    </w:pPr>
                    <w:r>
                      <w:rPr>
                        <w:rFonts w:hint="eastAsia"/>
                        <w:sz w:val="18"/>
                        <w:szCs w:val="18"/>
                      </w:rPr>
                      <w:t>待</w:t>
                    </w:r>
                    <w:r>
                      <w:rPr>
                        <w:sz w:val="18"/>
                        <w:szCs w:val="18"/>
                      </w:rPr>
                      <w:t>宰</w:t>
                    </w:r>
                  </w:p>
                </w:txbxContent>
              </v:textbox>
            </v:rect>
            <v:rect id="_x0000_s3789" o:spid="_x0000_s3789" o:spt="1" style="position:absolute;left:4996;top:3801;height:403;width:1328;" fillcolor="#FFFFFF" filled="t" stroked="t" coordsize="21600,21600">
              <v:path/>
              <v:fill on="t" color2="#FFFFFF" focussize="0,0"/>
              <v:stroke color="#000000" joinstyle="miter"/>
              <v:imagedata o:title=""/>
              <o:lock v:ext="edit" aspectratio="f"/>
              <v:textbox>
                <w:txbxContent>
                  <w:p>
                    <w:pPr>
                      <w:jc w:val="center"/>
                      <w:rPr>
                        <w:sz w:val="18"/>
                        <w:szCs w:val="18"/>
                      </w:rPr>
                    </w:pPr>
                    <w:r>
                      <w:rPr>
                        <w:sz w:val="18"/>
                        <w:szCs w:val="18"/>
                      </w:rPr>
                      <w:t>电麻</w:t>
                    </w:r>
                    <w:r>
                      <w:rPr>
                        <w:rFonts w:hint="eastAsia"/>
                        <w:sz w:val="18"/>
                        <w:szCs w:val="18"/>
                      </w:rPr>
                      <w:t>击晕</w:t>
                    </w:r>
                  </w:p>
                </w:txbxContent>
              </v:textbox>
            </v:rect>
            <v:rect id="_x0000_s3790" o:spid="_x0000_s3790" o:spt="1" style="position:absolute;left:4996;top:4538;height:431;width:1328;" fillcolor="#FFFFFF" filled="t" stroked="t" coordsize="21600,21600">
              <v:path/>
              <v:fill on="t" color2="#FFFFFF" focussize="0,0"/>
              <v:stroke color="#000000" joinstyle="miter"/>
              <v:imagedata o:title=""/>
              <o:lock v:ext="edit" aspectratio="f"/>
              <v:textbox>
                <w:txbxContent>
                  <w:p>
                    <w:pPr>
                      <w:jc w:val="center"/>
                      <w:rPr>
                        <w:sz w:val="18"/>
                        <w:szCs w:val="18"/>
                      </w:rPr>
                    </w:pPr>
                    <w:r>
                      <w:rPr>
                        <w:rFonts w:hint="eastAsia"/>
                        <w:sz w:val="18"/>
                        <w:szCs w:val="18"/>
                      </w:rPr>
                      <w:t>刺杀沥血</w:t>
                    </w:r>
                  </w:p>
                </w:txbxContent>
              </v:textbox>
            </v:rect>
            <v:rect id="_x0000_s3791" o:spid="_x0000_s3791" o:spt="1" style="position:absolute;left:4996;top:5287;height:428;width:1328;" fillcolor="#FFFFFF" filled="t" stroked="t" coordsize="21600,21600">
              <v:path/>
              <v:fill on="t" color2="#FFFFFF" focussize="0,0"/>
              <v:stroke color="#000000" joinstyle="miter"/>
              <v:imagedata o:title=""/>
              <o:lock v:ext="edit" aspectratio="f"/>
              <v:textbox>
                <w:txbxContent>
                  <w:p>
                    <w:pPr>
                      <w:jc w:val="center"/>
                      <w:rPr>
                        <w:sz w:val="18"/>
                        <w:szCs w:val="18"/>
                      </w:rPr>
                    </w:pPr>
                    <w:r>
                      <w:rPr>
                        <w:sz w:val="18"/>
                        <w:szCs w:val="18"/>
                      </w:rPr>
                      <w:t>预</w:t>
                    </w:r>
                    <w:r>
                      <w:rPr>
                        <w:rFonts w:hint="eastAsia"/>
                        <w:sz w:val="18"/>
                        <w:szCs w:val="18"/>
                      </w:rPr>
                      <w:t>剥皮</w:t>
                    </w:r>
                  </w:p>
                </w:txbxContent>
              </v:textbox>
            </v:rect>
            <v:rect id="_x0000_s3792" o:spid="_x0000_s3792" o:spt="1" style="position:absolute;left:5003;top:6093;height:439;width:1328;" fillcolor="#FFFFFF" filled="t" stroked="t" coordsize="21600,21600">
              <v:path/>
              <v:fill on="t" color2="#FFFFFF" focussize="0,0"/>
              <v:stroke color="#000000" joinstyle="miter"/>
              <v:imagedata o:title=""/>
              <o:lock v:ext="edit" aspectratio="f"/>
              <v:textbox>
                <w:txbxContent>
                  <w:p>
                    <w:pPr>
                      <w:jc w:val="center"/>
                      <w:rPr>
                        <w:sz w:val="18"/>
                        <w:szCs w:val="18"/>
                      </w:rPr>
                    </w:pPr>
                    <w:r>
                      <w:rPr>
                        <w:rFonts w:hint="eastAsia"/>
                        <w:sz w:val="18"/>
                        <w:szCs w:val="18"/>
                      </w:rPr>
                      <w:t>割头蹄</w:t>
                    </w:r>
                  </w:p>
                </w:txbxContent>
              </v:textbox>
            </v:rect>
            <v:rect id="_x0000_s3793" o:spid="_x0000_s3793" o:spt="1" style="position:absolute;left:5003;top:6911;height:439;width:1328;" fillcolor="#FFFFFF" filled="t" stroked="t" coordsize="21600,21600">
              <v:path/>
              <v:fill on="t" color2="#FFFFFF" focussize="0,0"/>
              <v:stroke color="#000000" joinstyle="miter"/>
              <v:imagedata o:title=""/>
              <o:lock v:ext="edit" aspectratio="f"/>
              <v:textbox>
                <w:txbxContent>
                  <w:p>
                    <w:pPr>
                      <w:jc w:val="center"/>
                      <w:rPr>
                        <w:sz w:val="18"/>
                        <w:szCs w:val="18"/>
                      </w:rPr>
                    </w:pPr>
                    <w:r>
                      <w:rPr>
                        <w:rFonts w:hint="eastAsia"/>
                        <w:sz w:val="18"/>
                        <w:szCs w:val="18"/>
                      </w:rPr>
                      <w:t>扯皮</w:t>
                    </w:r>
                  </w:p>
                </w:txbxContent>
              </v:textbox>
            </v:rect>
            <v:rect id="_x0000_s3794" o:spid="_x0000_s3794" o:spt="1" style="position:absolute;left:5003;top:7683;height:439;width:1328;" fillcolor="#FFFFFF" filled="t" stroked="t" coordsize="21600,21600">
              <v:path/>
              <v:fill on="t" color2="#FFFFFF" focussize="0,0"/>
              <v:stroke color="#000000" joinstyle="miter"/>
              <v:imagedata o:title=""/>
              <o:lock v:ext="edit" aspectratio="f"/>
              <v:textbox>
                <w:txbxContent>
                  <w:p>
                    <w:pPr>
                      <w:jc w:val="center"/>
                      <w:rPr>
                        <w:sz w:val="18"/>
                        <w:szCs w:val="18"/>
                      </w:rPr>
                    </w:pPr>
                    <w:r>
                      <w:rPr>
                        <w:rFonts w:hint="eastAsia"/>
                        <w:sz w:val="18"/>
                        <w:szCs w:val="18"/>
                      </w:rPr>
                      <w:t>开膛去内脏</w:t>
                    </w:r>
                  </w:p>
                </w:txbxContent>
              </v:textbox>
            </v:rect>
            <v:rect id="_x0000_s3795" o:spid="_x0000_s3795" o:spt="1" style="position:absolute;left:5007;top:8478;height:439;width:1328;" fillcolor="#FFFFFF" filled="t" stroked="t" coordsize="21600,21600">
              <v:path/>
              <v:fill on="t" color2="#FFFFFF" focussize="0,0"/>
              <v:stroke color="#000000" joinstyle="miter"/>
              <v:imagedata o:title=""/>
              <o:lock v:ext="edit" aspectratio="f"/>
              <v:textbox>
                <w:txbxContent>
                  <w:p>
                    <w:pPr>
                      <w:jc w:val="center"/>
                      <w:rPr>
                        <w:sz w:val="18"/>
                        <w:szCs w:val="18"/>
                      </w:rPr>
                    </w:pPr>
                    <w:r>
                      <w:rPr>
                        <w:rFonts w:hint="eastAsia"/>
                        <w:sz w:val="18"/>
                        <w:szCs w:val="18"/>
                      </w:rPr>
                      <w:t>修整</w:t>
                    </w:r>
                  </w:p>
                </w:txbxContent>
              </v:textbox>
            </v:rect>
            <v:rect id="_x0000_s3796" o:spid="_x0000_s3796" o:spt="1" style="position:absolute;left:5046;top:9353;height:439;width:1253;" fillcolor="#FFFFFF" filled="t" stroked="t" coordsize="21600,21600">
              <v:path/>
              <v:fill on="t" color2="#FFFFFF" focussize="0,0"/>
              <v:stroke color="#000000" joinstyle="miter"/>
              <v:imagedata o:title=""/>
              <o:lock v:ext="edit" aspectratio="f"/>
              <v:textbox>
                <w:txbxContent>
                  <w:p>
                    <w:pPr>
                      <w:jc w:val="center"/>
                      <w:rPr>
                        <w:sz w:val="18"/>
                        <w:szCs w:val="18"/>
                      </w:rPr>
                    </w:pPr>
                    <w:r>
                      <w:rPr>
                        <w:rFonts w:hint="eastAsia"/>
                        <w:sz w:val="18"/>
                        <w:szCs w:val="18"/>
                      </w:rPr>
                      <w:t>冲淋</w:t>
                    </w:r>
                  </w:p>
                </w:txbxContent>
              </v:textbox>
            </v:rect>
            <v:rect id="_x0000_s3798" o:spid="_x0000_s3798" o:spt="1" style="position:absolute;left:4988;top:10150;height:439;width:1328;" fillcolor="#FFFFFF" filled="t" stroked="t" coordsize="21600,21600">
              <v:path/>
              <v:fill on="t" color2="#FFFFFF" focussize="0,0"/>
              <v:stroke color="#000000" joinstyle="miter"/>
              <v:imagedata o:title=""/>
              <o:lock v:ext="edit" aspectratio="f"/>
              <v:textbox>
                <w:txbxContent>
                  <w:p>
                    <w:pPr>
                      <w:jc w:val="center"/>
                      <w:rPr>
                        <w:sz w:val="18"/>
                        <w:szCs w:val="18"/>
                      </w:rPr>
                    </w:pPr>
                    <w:r>
                      <w:rPr>
                        <w:rFonts w:hint="eastAsia"/>
                        <w:sz w:val="18"/>
                        <w:szCs w:val="18"/>
                      </w:rPr>
                      <w:t>分割</w:t>
                    </w:r>
                  </w:p>
                </w:txbxContent>
              </v:textbox>
            </v:rect>
            <v:rect id="_x0000_s3799" o:spid="_x0000_s3799" o:spt="1" style="position:absolute;left:5060;top:10976;height:439;width:1328;" fillcolor="#FFFFFF" filled="t" stroked="t" coordsize="21600,21600">
              <v:path/>
              <v:fill on="t" color2="#FFFFFF" focussize="0,0"/>
              <v:stroke color="#000000" joinstyle="miter"/>
              <v:imagedata o:title=""/>
              <o:lock v:ext="edit" aspectratio="f"/>
              <v:textbox>
                <w:txbxContent>
                  <w:p>
                    <w:pPr>
                      <w:jc w:val="center"/>
                      <w:rPr>
                        <w:sz w:val="18"/>
                        <w:szCs w:val="18"/>
                      </w:rPr>
                    </w:pPr>
                    <w:r>
                      <w:rPr>
                        <w:rFonts w:hint="eastAsia"/>
                        <w:sz w:val="18"/>
                        <w:szCs w:val="18"/>
                      </w:rPr>
                      <w:t>包装速冻</w:t>
                    </w:r>
                  </w:p>
                </w:txbxContent>
              </v:textbox>
            </v:rect>
            <v:rect id="_x0000_s3800" o:spid="_x0000_s3800" o:spt="1" style="position:absolute;left:5075;top:11761;height:439;width:1328;" fillcolor="#FFFFFF" filled="t" stroked="t" coordsize="21600,21600">
              <v:path/>
              <v:fill on="t" color2="#FFFFFF" focussize="0,0"/>
              <v:stroke color="#000000" joinstyle="miter"/>
              <v:imagedata o:title=""/>
              <o:lock v:ext="edit" aspectratio="f"/>
              <v:textbox>
                <w:txbxContent>
                  <w:p>
                    <w:pPr>
                      <w:jc w:val="center"/>
                      <w:rPr>
                        <w:sz w:val="18"/>
                        <w:szCs w:val="18"/>
                      </w:rPr>
                    </w:pPr>
                    <w:r>
                      <w:rPr>
                        <w:rFonts w:hint="eastAsia"/>
                        <w:sz w:val="18"/>
                        <w:szCs w:val="18"/>
                      </w:rPr>
                      <w:t>冷库储存</w:t>
                    </w:r>
                  </w:p>
                </w:txbxContent>
              </v:textbox>
            </v:rect>
            <v:shape id="_x0000_s3801" o:spid="_x0000_s3801" o:spt="32" type="#_x0000_t32" style="position:absolute;left:5659;top:3429;height:372;width:1;" filled="f" stroked="t" coordsize="21600,21600">
              <v:path arrowok="t"/>
              <v:fill on="f" focussize="0,0"/>
              <v:stroke color="#000000" endarrow="block"/>
              <v:imagedata o:title=""/>
              <o:lock v:ext="edit" aspectratio="f"/>
            </v:shape>
            <v:shape id="_x0000_s3802" o:spid="_x0000_s3802" o:spt="32" type="#_x0000_t32" style="position:absolute;left:5660;top:4204;height:334;width:1;" filled="f" stroked="t" coordsize="21600,21600">
              <v:path arrowok="t"/>
              <v:fill on="f" focussize="0,0"/>
              <v:stroke color="#000000" endarrow="block"/>
              <v:imagedata o:title=""/>
              <o:lock v:ext="edit" aspectratio="f"/>
            </v:shape>
            <v:shape id="_x0000_s3803" o:spid="_x0000_s3803" o:spt="32" type="#_x0000_t32" style="position:absolute;left:5660;top:4940;height:347;width:1;" filled="f" stroked="t" coordsize="21600,21600">
              <v:path arrowok="t"/>
              <v:fill on="f" focussize="0,0"/>
              <v:stroke color="#000000" endarrow="block"/>
              <v:imagedata o:title=""/>
              <o:lock v:ext="edit" aspectratio="f"/>
            </v:shape>
            <v:shape id="_x0000_s3804" o:spid="_x0000_s3804" o:spt="32" type="#_x0000_t32" style="position:absolute;left:5660;top:5715;height:378;width:7;" filled="f" stroked="t" coordsize="21600,21600">
              <v:path arrowok="t"/>
              <v:fill on="f" focussize="0,0"/>
              <v:stroke color="#000000" endarrow="block"/>
              <v:imagedata o:title=""/>
              <o:lock v:ext="edit" aspectratio="f"/>
            </v:shape>
            <v:shape id="_x0000_s3805" o:spid="_x0000_s3805" o:spt="32" type="#_x0000_t32" style="position:absolute;left:5667;top:6532;height:379;width:1;" filled="f" stroked="t" coordsize="21600,21600">
              <v:path arrowok="t"/>
              <v:fill on="f" focussize="0,0"/>
              <v:stroke color="#000000" endarrow="block"/>
              <v:imagedata o:title=""/>
              <o:lock v:ext="edit" aspectratio="f"/>
            </v:shape>
            <v:shape id="_x0000_s3806" o:spid="_x0000_s3806" o:spt="32" type="#_x0000_t32" style="position:absolute;left:5667;top:7350;height:333;width:1;" filled="f" stroked="t" coordsize="21600,21600">
              <v:path arrowok="t"/>
              <v:fill on="f" focussize="0,0"/>
              <v:stroke color="#000000" endarrow="block"/>
              <v:imagedata o:title=""/>
              <o:lock v:ext="edit" aspectratio="f"/>
            </v:shape>
            <v:shape id="_x0000_s3807" o:spid="_x0000_s3807" o:spt="32" type="#_x0000_t32" style="position:absolute;left:5667;top:8122;height:356;width:4;" filled="f" stroked="t" coordsize="21600,21600">
              <v:path arrowok="t"/>
              <v:fill on="f" focussize="0,0"/>
              <v:stroke color="#000000" endarrow="block"/>
              <v:imagedata o:title=""/>
              <o:lock v:ext="edit" aspectratio="f"/>
            </v:shape>
            <v:shape id="_x0000_s3808" o:spid="_x0000_s3808" o:spt="32" type="#_x0000_t32" style="position:absolute;left:5671;top:8917;height:436;width:2;" filled="f" stroked="t" coordsize="21600,21600">
              <v:path arrowok="t"/>
              <v:fill on="f" focussize="0,0"/>
              <v:stroke color="#000000" endarrow="block"/>
              <v:imagedata o:title=""/>
              <o:lock v:ext="edit" aspectratio="f"/>
            </v:shape>
            <v:shape id="_x0000_s3809" o:spid="_x0000_s3809" o:spt="32" type="#_x0000_t32" style="position:absolute;left:5673;top:9792;height:318;width:6;" filled="f" stroked="t" coordsize="21600,21600">
              <v:path arrowok="t"/>
              <v:fill on="f" focussize="0,0"/>
              <v:stroke color="#000000" endarrow="block"/>
              <v:imagedata o:title=""/>
              <o:lock v:ext="edit" aspectratio="f"/>
            </v:shape>
            <v:shape id="_x0000_s3811" o:spid="_x0000_s3811" o:spt="32" type="#_x0000_t32" style="position:absolute;left:5682;top:10664;height:297;width:12;" filled="f" stroked="t" coordsize="21600,21600">
              <v:path arrowok="t"/>
              <v:fill on="f" focussize="0,0"/>
              <v:stroke color="#000000" endarrow="block"/>
              <v:imagedata o:title=""/>
              <o:lock v:ext="edit" aspectratio="f"/>
            </v:shape>
            <v:shape id="_x0000_s3812" o:spid="_x0000_s3812" o:spt="32" type="#_x0000_t32" style="position:absolute;left:5709;top:11385;height:391;width:1;" filled="f" stroked="t" coordsize="21600,21600">
              <v:path arrowok="t"/>
              <v:fill on="f" focussize="0,0"/>
              <v:stroke color="#000000" endarrow="block"/>
              <v:imagedata o:title=""/>
              <o:lock v:ext="edit" aspectratio="f"/>
            </v:shape>
            <v:shape id="_x0000_s3813" o:spid="_x0000_s3813" o:spt="32" type="#_x0000_t32" style="position:absolute;left:5754;top:12215;height:432;width:4;" filled="f" stroked="t" coordsize="21600,21600">
              <v:path arrowok="t"/>
              <v:fill on="f" focussize="0,0"/>
              <v:stroke color="#000000" endarrow="block"/>
              <v:imagedata o:title=""/>
              <o:lock v:ext="edit" aspectratio="f"/>
            </v:shape>
            <v:rect id="_x0000_s3814" o:spid="_x0000_s3814" o:spt="1" style="position:absolute;left:2977;top:4740;height:1373;width:1001;" fillcolor="#FFFFFF" filled="t" stroked="t" coordsize="21600,21600">
              <v:path/>
              <v:fill on="t" color2="#FFFFFF" focussize="0,0"/>
              <v:stroke color="#000000" joinstyle="miter"/>
              <v:imagedata o:title=""/>
              <o:lock v:ext="edit" aspectratio="f"/>
              <v:textbox>
                <w:txbxContent>
                  <w:p>
                    <w:pPr>
                      <w:jc w:val="center"/>
                      <w:rPr>
                        <w:sz w:val="18"/>
                        <w:szCs w:val="18"/>
                      </w:rPr>
                    </w:pPr>
                    <w:r>
                      <w:rPr>
                        <w:rFonts w:hint="eastAsia"/>
                        <w:sz w:val="18"/>
                        <w:szCs w:val="18"/>
                      </w:rPr>
                      <w:t>交由专业无害化处置单位</w:t>
                    </w:r>
                  </w:p>
                </w:txbxContent>
              </v:textbox>
            </v:rect>
            <v:rect id="_x0000_s3815" o:spid="_x0000_s3815" o:spt="1" style="position:absolute;left:6970;top:3027;height:402;width:1869;" fillcolor="#FFFFFF" filled="t" stroked="f" coordsize="21600,21600">
              <v:path/>
              <v:fill on="t" color2="#FFFFFF" focussize="0,0"/>
              <v:stroke on="f"/>
              <v:imagedata o:title=""/>
              <o:lock v:ext="edit" aspectratio="f"/>
              <v:textbox>
                <w:txbxContent>
                  <w:p>
                    <w:pPr>
                      <w:jc w:val="center"/>
                      <w:rPr>
                        <w:sz w:val="18"/>
                        <w:szCs w:val="18"/>
                      </w:rPr>
                    </w:pPr>
                    <w:r>
                      <w:rPr>
                        <w:sz w:val="18"/>
                        <w:szCs w:val="18"/>
                      </w:rPr>
                      <w:t>废气、废水、固废</w:t>
                    </w:r>
                  </w:p>
                </w:txbxContent>
              </v:textbox>
            </v:rect>
            <v:shape id="_x0000_s3816" o:spid="_x0000_s3816" o:spt="32" type="#_x0000_t32" style="position:absolute;left:6323;top:3228;flip:y;height:7;width:647;" filled="f" stroked="t" coordsize="21600,21600">
              <v:path arrowok="t"/>
              <v:fill on="f" focussize="0,0"/>
              <v:stroke color="#000000" dashstyle="dashDot" endarrow="block"/>
              <v:imagedata o:title=""/>
              <o:lock v:ext="edit" aspectratio="f"/>
            </v:shape>
            <v:rect id="_x0000_s3817" o:spid="_x0000_s3817" o:spt="1" style="position:absolute;left:8750;top:4658;height:402;width:899;" fillcolor="#FFFFFF" filled="t" stroked="f" coordsize="21600,21600">
              <v:path/>
              <v:fill on="t" color2="#FFFFFF" focussize="0,0"/>
              <v:stroke on="f"/>
              <v:imagedata o:title=""/>
              <o:lock v:ext="edit" aspectratio="f"/>
              <v:textbox>
                <w:txbxContent>
                  <w:p>
                    <w:pPr>
                      <w:jc w:val="center"/>
                      <w:rPr>
                        <w:sz w:val="18"/>
                        <w:szCs w:val="18"/>
                      </w:rPr>
                    </w:pPr>
                    <w:r>
                      <w:rPr>
                        <w:sz w:val="18"/>
                        <w:szCs w:val="18"/>
                      </w:rPr>
                      <w:t>出售</w:t>
                    </w:r>
                  </w:p>
                </w:txbxContent>
              </v:textbox>
            </v:rect>
            <v:rect id="_x0000_s3818" o:spid="_x0000_s3818" o:spt="1" style="position:absolute;left:7106;top:4658;height:431;width:1001;" fillcolor="#FFFFFF" filled="t" stroked="t" coordsize="21600,21600">
              <v:path/>
              <v:fill on="t" color2="#FFFFFF" focussize="0,0"/>
              <v:stroke color="#000000" joinstyle="miter"/>
              <v:imagedata o:title=""/>
              <o:lock v:ext="edit" aspectratio="f"/>
              <v:textbox>
                <w:txbxContent>
                  <w:p>
                    <w:pPr>
                      <w:jc w:val="center"/>
                      <w:rPr>
                        <w:sz w:val="18"/>
                        <w:szCs w:val="18"/>
                      </w:rPr>
                    </w:pPr>
                    <w:r>
                      <w:rPr>
                        <w:rFonts w:hint="eastAsia"/>
                        <w:sz w:val="18"/>
                        <w:szCs w:val="18"/>
                      </w:rPr>
                      <w:t>牛</w:t>
                    </w:r>
                    <w:r>
                      <w:rPr>
                        <w:sz w:val="18"/>
                        <w:szCs w:val="18"/>
                      </w:rPr>
                      <w:t>血</w:t>
                    </w:r>
                  </w:p>
                </w:txbxContent>
              </v:textbox>
            </v:rect>
            <v:shape id="_x0000_s3819" o:spid="_x0000_s3819" o:spt="32" type="#_x0000_t32" style="position:absolute;left:6343;top:4835;height:1;width:782;" filled="f" stroked="t" coordsize="21600,21600">
              <v:path arrowok="t"/>
              <v:fill on="f" focussize="0,0"/>
              <v:stroke color="#000000" endarrow="block"/>
              <v:imagedata o:title=""/>
              <o:lock v:ext="edit" aspectratio="f"/>
            </v:shape>
            <v:shape id="_x0000_s3820" o:spid="_x0000_s3820" o:spt="32" type="#_x0000_t32" style="position:absolute;left:8114;top:4836;height:1;width:597;" filled="f" stroked="t" coordsize="21600,21600">
              <v:path arrowok="t"/>
              <v:fill on="f" focussize="0,0"/>
              <v:stroke color="#000000" dashstyle="dashDot" endarrow="block"/>
              <v:imagedata o:title=""/>
              <o:lock v:ext="edit" aspectratio="f"/>
            </v:shape>
            <v:rect id="_x0000_s3821" o:spid="_x0000_s3821" o:spt="1" style="position:absolute;left:8793;top:6948;height:402;width:899;" fillcolor="#FFFFFF" filled="t" stroked="f" coordsize="21600,21600">
              <v:path/>
              <v:fill on="t" color2="#FFFFFF" focussize="0,0"/>
              <v:stroke on="f"/>
              <v:imagedata o:title=""/>
              <o:lock v:ext="edit" aspectratio="f"/>
              <v:textbox>
                <w:txbxContent>
                  <w:p>
                    <w:pPr>
                      <w:jc w:val="center"/>
                      <w:rPr>
                        <w:sz w:val="18"/>
                        <w:szCs w:val="18"/>
                      </w:rPr>
                    </w:pPr>
                    <w:r>
                      <w:rPr>
                        <w:sz w:val="18"/>
                        <w:szCs w:val="18"/>
                      </w:rPr>
                      <w:t>出售</w:t>
                    </w:r>
                  </w:p>
                </w:txbxContent>
              </v:textbox>
            </v:rect>
            <v:rect id="_x0000_s3822" o:spid="_x0000_s3822" o:spt="1" style="position:absolute;left:7111;top:6931;height:447;width:1001;" fillcolor="#FFFFFF" filled="t" stroked="t" coordsize="21600,21600">
              <v:path/>
              <v:fill on="t" color2="#FFFFFF" focussize="0,0"/>
              <v:stroke color="#000000" joinstyle="miter"/>
              <v:imagedata o:title=""/>
              <o:lock v:ext="edit" aspectratio="f"/>
              <v:textbox>
                <w:txbxContent>
                  <w:p>
                    <w:pPr>
                      <w:jc w:val="center"/>
                      <w:rPr>
                        <w:sz w:val="18"/>
                        <w:szCs w:val="18"/>
                      </w:rPr>
                    </w:pPr>
                    <w:r>
                      <w:rPr>
                        <w:rFonts w:hint="eastAsia"/>
                        <w:sz w:val="18"/>
                        <w:szCs w:val="18"/>
                      </w:rPr>
                      <w:t>皮毛</w:t>
                    </w:r>
                  </w:p>
                </w:txbxContent>
              </v:textbox>
            </v:rect>
            <v:shape id="_x0000_s3823" o:spid="_x0000_s3823" o:spt="32" type="#_x0000_t32" style="position:absolute;left:6331;top:7131;height:1;width:780;" filled="f" stroked="t" coordsize="21600,21600">
              <v:path arrowok="t"/>
              <v:fill on="f" focussize="0,0"/>
              <v:stroke color="#000000" endarrow="block"/>
              <v:imagedata o:title=""/>
              <o:lock v:ext="edit" aspectratio="f"/>
            </v:shape>
            <v:shape id="_x0000_s3824" o:spid="_x0000_s3824" o:spt="32" type="#_x0000_t32" style="position:absolute;left:8112;top:7132;height:17;width:681;" filled="f" stroked="t" coordsize="21600,21600">
              <v:path arrowok="t"/>
              <v:fill on="f" focussize="0,0"/>
              <v:stroke color="#000000" dashstyle="dashDot" endarrow="block"/>
              <v:imagedata o:title=""/>
              <o:lock v:ext="edit" aspectratio="f"/>
            </v:shape>
            <v:rect id="_x0000_s3825" o:spid="_x0000_s3825" o:spt="1" style="position:absolute;left:8711;top:7903;height:402;width:899;" fillcolor="#FFFFFF" filled="t" stroked="f" coordsize="21600,21600">
              <v:path/>
              <v:fill on="t" color2="#FFFFFF" focussize="0,0"/>
              <v:stroke on="f"/>
              <v:imagedata o:title=""/>
              <o:lock v:ext="edit" aspectratio="f"/>
              <v:textbox>
                <w:txbxContent>
                  <w:p>
                    <w:pPr>
                      <w:jc w:val="center"/>
                      <w:rPr>
                        <w:sz w:val="18"/>
                        <w:szCs w:val="18"/>
                      </w:rPr>
                    </w:pPr>
                    <w:r>
                      <w:rPr>
                        <w:sz w:val="18"/>
                        <w:szCs w:val="18"/>
                      </w:rPr>
                      <w:t>出售</w:t>
                    </w:r>
                  </w:p>
                </w:txbxContent>
              </v:textbox>
            </v:rect>
            <v:rect id="_x0000_s3826" o:spid="_x0000_s3826" o:spt="1" style="position:absolute;left:7113;top:7903;height:461;width:1001;" fillcolor="#FFFFFF" filled="t" stroked="t" coordsize="21600,21600">
              <v:path/>
              <v:fill on="t" color2="#FFFFFF" focussize="0,0"/>
              <v:stroke color="#000000" joinstyle="miter"/>
              <v:imagedata o:title=""/>
              <o:lock v:ext="edit" aspectratio="f"/>
              <v:textbox>
                <w:txbxContent>
                  <w:p>
                    <w:pPr>
                      <w:jc w:val="center"/>
                      <w:rPr>
                        <w:sz w:val="18"/>
                        <w:szCs w:val="18"/>
                      </w:rPr>
                    </w:pPr>
                    <w:r>
                      <w:rPr>
                        <w:rFonts w:hint="eastAsia"/>
                        <w:sz w:val="18"/>
                        <w:szCs w:val="18"/>
                      </w:rPr>
                      <w:t>内脏</w:t>
                    </w:r>
                  </w:p>
                </w:txbxContent>
              </v:textbox>
            </v:rect>
            <v:shape id="_x0000_s3827" o:spid="_x0000_s3827" o:spt="32" type="#_x0000_t32" style="position:absolute;left:6318;top:8104;height:6;width:782;" filled="f" stroked="t" coordsize="21600,21600">
              <v:path arrowok="t"/>
              <v:fill on="f" focussize="0,0"/>
              <v:stroke color="#000000" endarrow="block"/>
              <v:imagedata o:title=""/>
              <o:lock v:ext="edit" aspectratio="f"/>
            </v:shape>
            <v:shape id="_x0000_s3828" o:spid="_x0000_s3828" o:spt="32" type="#_x0000_t32" style="position:absolute;left:8153;top:8121;height:1;width:597;" filled="f" stroked="t" coordsize="21600,21600">
              <v:path arrowok="t"/>
              <v:fill on="f" focussize="0,0"/>
              <v:stroke color="#000000" dashstyle="dashDot" endarrow="block"/>
              <v:imagedata o:title=""/>
              <o:lock v:ext="edit" aspectratio="f"/>
            </v:shape>
            <v:rect id="_x0000_s3829" o:spid="_x0000_s3829" o:spt="1" style="position:absolute;left:8807;top:10227;height:402;width:899;" fillcolor="#FFFFFF" filled="t" stroked="f" coordsize="21600,21600">
              <v:path/>
              <v:fill on="t" color2="#FFFFFF" focussize="0,0"/>
              <v:stroke on="f"/>
              <v:imagedata o:title=""/>
              <o:lock v:ext="edit" aspectratio="f"/>
              <v:textbox>
                <w:txbxContent>
                  <w:p>
                    <w:pPr>
                      <w:jc w:val="center"/>
                      <w:rPr>
                        <w:sz w:val="18"/>
                        <w:szCs w:val="18"/>
                      </w:rPr>
                    </w:pPr>
                    <w:r>
                      <w:rPr>
                        <w:sz w:val="18"/>
                        <w:szCs w:val="18"/>
                      </w:rPr>
                      <w:t>出售</w:t>
                    </w:r>
                  </w:p>
                </w:txbxContent>
              </v:textbox>
            </v:rect>
            <v:rect id="_x0000_s3830" o:spid="_x0000_s3830" o:spt="1" style="position:absolute;left:7128;top:10137;height:431;width:1001;" fillcolor="#FFFFFF" filled="t" stroked="t" coordsize="21600,21600">
              <v:path/>
              <v:fill on="t" color2="#FFFFFF" focussize="0,0"/>
              <v:stroke color="#000000" joinstyle="miter"/>
              <v:imagedata o:title=""/>
              <o:lock v:ext="edit" aspectratio="f"/>
              <v:textbox>
                <w:txbxContent>
                  <w:p>
                    <w:pPr>
                      <w:jc w:val="center"/>
                      <w:rPr>
                        <w:sz w:val="18"/>
                        <w:szCs w:val="18"/>
                      </w:rPr>
                    </w:pPr>
                    <w:r>
                      <w:rPr>
                        <w:rFonts w:hint="eastAsia"/>
                        <w:sz w:val="18"/>
                        <w:szCs w:val="18"/>
                      </w:rPr>
                      <w:t>牛骨</w:t>
                    </w:r>
                  </w:p>
                </w:txbxContent>
              </v:textbox>
            </v:rect>
            <v:shape id="_x0000_s3831" o:spid="_x0000_s3831" o:spt="32" type="#_x0000_t32" style="position:absolute;left:6346;top:10368;flip:y;height:2;width:782;" filled="f" stroked="t" coordsize="21600,21600">
              <v:path arrowok="t"/>
              <v:fill on="f" focussize="0,0"/>
              <v:stroke color="#000000" endarrow="block"/>
              <v:imagedata o:title=""/>
              <o:lock v:ext="edit" aspectratio="f"/>
            </v:shape>
            <v:shape id="_x0000_s3832" o:spid="_x0000_s3832" o:spt="32" type="#_x0000_t32" style="position:absolute;left:8114;top:10353;height:1;width:708;" filled="f" stroked="t" coordsize="21600,21600">
              <v:path arrowok="t"/>
              <v:fill on="f" focussize="0,0"/>
              <v:stroke color="#000000" dashstyle="dashDot" endarrow="block"/>
              <v:imagedata o:title=""/>
              <o:lock v:ext="edit" aspectratio="f"/>
            </v:shape>
            <v:rect id="_x0000_s3833" o:spid="_x0000_s3833" o:spt="1" style="position:absolute;left:7106;top:9373;height:402;width:840;" fillcolor="#FFFFFF" filled="t" stroked="f" coordsize="21600,21600">
              <v:path/>
              <v:fill on="t" color2="#FFFFFF" focussize="0,0"/>
              <v:stroke on="f"/>
              <v:imagedata o:title=""/>
              <o:lock v:ext="edit" aspectratio="f"/>
              <v:textbox>
                <w:txbxContent>
                  <w:p>
                    <w:pPr>
                      <w:jc w:val="center"/>
                      <w:rPr>
                        <w:sz w:val="18"/>
                        <w:szCs w:val="18"/>
                      </w:rPr>
                    </w:pPr>
                    <w:r>
                      <w:rPr>
                        <w:rFonts w:hint="eastAsia"/>
                        <w:sz w:val="18"/>
                        <w:szCs w:val="18"/>
                      </w:rPr>
                      <w:t>废水</w:t>
                    </w:r>
                  </w:p>
                </w:txbxContent>
              </v:textbox>
            </v:rect>
            <v:shape id="_x0000_s3834" o:spid="_x0000_s3834" o:spt="32" type="#_x0000_t32" style="position:absolute;left:6299;top:9573;height:1;width:807;" filled="f" stroked="t" coordsize="21600,21600">
              <v:path arrowok="t"/>
              <v:fill on="f" focussize="0,0"/>
              <v:stroke color="#000000" dashstyle="dashDot" endarrow="block"/>
              <v:imagedata o:title=""/>
              <o:lock v:ext="edit" aspectratio="f"/>
            </v:shape>
            <v:shape id="_x0000_s3835" o:spid="_x0000_s3835" o:spt="33" type="#_x0000_t33" style="position:absolute;left:3478;top:6113;height:2585;width:1529;rotation:11796480f;" filled="f" stroked="t" coordsize="21600,21600">
              <v:path arrowok="t"/>
              <v:fill on="f" focussize="0,0"/>
              <v:stroke color="#000000" joinstyle="miter" endarrow="block"/>
              <v:imagedata o:title=""/>
              <o:lock v:ext="edit" aspectratio="f"/>
            </v:shape>
            <v:rect id="_x0000_s3836" o:spid="_x0000_s3836" o:spt="1" style="position:absolute;left:3775;top:8398;height:402;width:899;" filled="f" stroked="f" coordsize="21600,21600">
              <v:path/>
              <v:fill on="f" focussize="0,0"/>
              <v:stroke on="f"/>
              <v:imagedata o:title=""/>
              <o:lock v:ext="edit" aspectratio="f"/>
              <v:textbox>
                <w:txbxContent>
                  <w:p>
                    <w:pPr>
                      <w:jc w:val="center"/>
                      <w:rPr>
                        <w:sz w:val="18"/>
                        <w:szCs w:val="18"/>
                      </w:rPr>
                    </w:pPr>
                    <w:r>
                      <w:rPr>
                        <w:sz w:val="18"/>
                        <w:szCs w:val="18"/>
                      </w:rPr>
                      <w:t>不合格</w:t>
                    </w:r>
                  </w:p>
                </w:txbxContent>
              </v:textbox>
            </v:rect>
            <v:rect id="_x0000_s3837" o:spid="_x0000_s3837" o:spt="1" style="position:absolute;left:5166;top:12632;height:431;width:1244;" fillcolor="#FFFFFF" filled="t" stroked="t" coordsize="21600,21600">
              <v:path/>
              <v:fill on="t" color2="#FFFFFF" focussize="0,0"/>
              <v:stroke color="#000000" joinstyle="miter"/>
              <v:imagedata o:title=""/>
              <o:lock v:ext="edit" aspectratio="f"/>
              <v:textbox>
                <w:txbxContent>
                  <w:p>
                    <w:pPr>
                      <w:jc w:val="center"/>
                      <w:rPr>
                        <w:sz w:val="18"/>
                        <w:szCs w:val="18"/>
                      </w:rPr>
                    </w:pPr>
                    <w:r>
                      <w:rPr>
                        <w:sz w:val="18"/>
                        <w:szCs w:val="18"/>
                      </w:rPr>
                      <w:t>产品出售</w:t>
                    </w:r>
                  </w:p>
                </w:txbxContent>
              </v:textbox>
            </v:rect>
            <v:shape id="_x0000_s3838" o:spid="_x0000_s3838" o:spt="33" type="#_x0000_t33" style="position:absolute;left:3478;top:2412;flip:y;height:2328;width:1511;rotation:11796480f;" filled="f" stroked="t" coordsize="21600,21600">
              <v:path arrowok="t"/>
              <v:fill on="f" focussize="0,0"/>
              <v:stroke color="#000000" joinstyle="miter" endarrow="block"/>
              <v:imagedata o:title=""/>
              <o:lock v:ext="edit" aspectratio="f"/>
            </v:shape>
            <v:rect id="_x0000_s3839" o:spid="_x0000_s3839" o:spt="1" style="position:absolute;left:7106;top:6113;height:402;width:1001;" fillcolor="#FFFFFF" filled="t" stroked="t" coordsize="21600,21600">
              <v:path/>
              <v:fill on="t" color2="#FFFFFF" focussize="0,0"/>
              <v:stroke color="#000000" joinstyle="miter"/>
              <v:imagedata o:title=""/>
              <o:lock v:ext="edit" aspectratio="f"/>
              <v:textbox>
                <w:txbxContent>
                  <w:p>
                    <w:pPr>
                      <w:jc w:val="center"/>
                      <w:rPr>
                        <w:sz w:val="18"/>
                        <w:szCs w:val="18"/>
                      </w:rPr>
                    </w:pPr>
                    <w:r>
                      <w:rPr>
                        <w:rFonts w:hint="eastAsia"/>
                        <w:sz w:val="18"/>
                        <w:szCs w:val="18"/>
                      </w:rPr>
                      <w:t>头蹄</w:t>
                    </w:r>
                  </w:p>
                </w:txbxContent>
              </v:textbox>
            </v:rect>
            <v:shape id="_x0000_s3840" o:spid="_x0000_s3840" o:spt="32" type="#_x0000_t32" style="position:absolute;left:6331;top:6313;height:1;width:775;" filled="f" stroked="t" coordsize="21600,21600">
              <v:path arrowok="t"/>
              <v:fill on="f" focussize="0,0"/>
              <v:stroke color="#000000" endarrow="block"/>
              <v:imagedata o:title=""/>
              <o:lock v:ext="edit" aspectratio="f"/>
            </v:shape>
            <v:rect id="_x0000_s3841" o:spid="_x0000_s3841" o:spt="1" style="position:absolute;left:8839;top:6113;height:402;width:899;" fillcolor="#FFFFFF" filled="t" stroked="f" coordsize="21600,21600">
              <v:path/>
              <v:fill on="t" color2="#FFFFFF" focussize="0,0"/>
              <v:stroke on="f"/>
              <v:imagedata o:title=""/>
              <o:lock v:ext="edit" aspectratio="f"/>
              <v:textbox>
                <w:txbxContent>
                  <w:p>
                    <w:pPr>
                      <w:jc w:val="center"/>
                      <w:rPr>
                        <w:sz w:val="18"/>
                        <w:szCs w:val="18"/>
                      </w:rPr>
                    </w:pPr>
                    <w:r>
                      <w:rPr>
                        <w:sz w:val="18"/>
                        <w:szCs w:val="18"/>
                      </w:rPr>
                      <w:t>出售</w:t>
                    </w:r>
                  </w:p>
                </w:txbxContent>
              </v:textbox>
            </v:rect>
            <v:shape id="_x0000_s3842" o:spid="_x0000_s3842" o:spt="32" type="#_x0000_t32" style="position:absolute;left:8107;top:6314;height:1;width:732;" filled="f" stroked="t" coordsize="21600,21600">
              <v:path arrowok="t"/>
              <v:fill on="f" focussize="0,0"/>
              <v:stroke color="#000000" dashstyle="dashDot" endarrow="block"/>
              <v:imagedata o:title=""/>
              <o:lock v:ext="edit" aspectratio="f"/>
            </v:shape>
            <v:shape id="_x0000_s3843" o:spid="_x0000_s3843" o:spt="32" type="#_x0000_t32" style="position:absolute;left:3478;top:7903;flip:x;height:1;width:1525;" filled="f" stroked="t" coordsize="21600,21600">
              <v:path arrowok="t"/>
              <v:fill on="f" focussize="0,0"/>
              <v:stroke color="#000000" endarrow="block"/>
              <v:imagedata o:title=""/>
              <o:lock v:ext="edit" aspectratio="f"/>
            </v:shape>
            <v:rect id="_x0000_s3844" o:spid="_x0000_s3844" o:spt="1" style="position:absolute;left:3775;top:7520;height:402;width:899;" filled="f" stroked="f" coordsize="21600,21600">
              <v:path/>
              <v:fill on="f" focussize="0,0"/>
              <v:stroke on="f"/>
              <v:imagedata o:title=""/>
              <o:lock v:ext="edit" aspectratio="f"/>
              <v:textbox>
                <w:txbxContent>
                  <w:p>
                    <w:pPr>
                      <w:jc w:val="center"/>
                      <w:rPr>
                        <w:sz w:val="18"/>
                        <w:szCs w:val="18"/>
                      </w:rPr>
                    </w:pPr>
                    <w:r>
                      <w:rPr>
                        <w:sz w:val="18"/>
                        <w:szCs w:val="18"/>
                      </w:rPr>
                      <w:t>不合格</w:t>
                    </w:r>
                  </w:p>
                </w:txbxContent>
              </v:textbox>
            </v:rect>
            <v:rect id="_x0000_s3845" o:spid="_x0000_s3845" o:spt="1" style="position:absolute;left:3718;top:1983;height:402;width:899;" filled="f" stroked="f" coordsize="21600,21600">
              <v:path/>
              <v:fill on="f" focussize="0,0"/>
              <v:stroke on="f"/>
              <v:imagedata o:title=""/>
              <o:lock v:ext="edit" aspectratio="f"/>
              <v:textbox>
                <w:txbxContent>
                  <w:p>
                    <w:pPr>
                      <w:jc w:val="center"/>
                      <w:rPr>
                        <w:sz w:val="18"/>
                        <w:szCs w:val="18"/>
                      </w:rPr>
                    </w:pPr>
                    <w:r>
                      <w:rPr>
                        <w:rFonts w:hint="eastAsia"/>
                        <w:sz w:val="18"/>
                        <w:szCs w:val="18"/>
                      </w:rPr>
                      <w:t>病死牛</w:t>
                    </w:r>
                  </w:p>
                </w:txbxContent>
              </v:textbox>
            </v:rect>
            <v:rect id="_x0000_s3846" o:spid="_x0000_s3846" o:spt="1" style="position:absolute;left:3119;top:10183;height:402;width:1244;" fillcolor="#FFFFFF" filled="t" stroked="t" coordsize="21600,21600">
              <v:path/>
              <v:fill on="t" color2="#FFFFFF" focussize="0,0"/>
              <v:stroke color="#000000" joinstyle="miter"/>
              <v:imagedata o:title=""/>
              <o:lock v:ext="edit" aspectratio="f"/>
              <v:textbox>
                <w:txbxContent>
                  <w:p>
                    <w:pPr>
                      <w:jc w:val="center"/>
                      <w:rPr>
                        <w:sz w:val="18"/>
                        <w:szCs w:val="18"/>
                      </w:rPr>
                    </w:pPr>
                    <w:r>
                      <w:rPr>
                        <w:sz w:val="18"/>
                        <w:szCs w:val="18"/>
                      </w:rPr>
                      <w:t>产品出售</w:t>
                    </w:r>
                  </w:p>
                </w:txbxContent>
              </v:textbox>
            </v:rect>
            <v:shape id="_x0000_s3847" o:spid="_x0000_s3847" o:spt="32" type="#_x0000_t32" style="position:absolute;left:4393;top:10399;flip:x y;height:1;width:580;" filled="f" stroked="t" coordsize="21600,21600">
              <v:path arrowok="t"/>
              <v:fill on="f" focussize="0,0"/>
              <v:stroke color="#000000" endarrow="block"/>
              <v:imagedata o:title=""/>
              <o:lock v:ext="edit" aspectratio="f"/>
            </v:shape>
            <v:shape id="_x0000_s3848" o:spid="_x0000_s3848" o:spt="32" type="#_x0000_t32" style="position:absolute;left:6318;top:2412;height:1;width:652;" filled="f" stroked="t" coordsize="21600,21600">
              <v:path arrowok="t"/>
              <v:fill on="f" focussize="0,0"/>
              <v:stroke color="#000000" dashstyle="dashDot" endarrow="block"/>
              <v:imagedata o:title=""/>
              <o:lock v:ext="edit" aspectratio="f"/>
            </v:shape>
            <v:rect id="_x0000_s3849" o:spid="_x0000_s3849" o:spt="1" style="position:absolute;left:6970;top:2211;height:402;width:1190;" fillcolor="#FFFFFF" filled="t" stroked="f" coordsize="21600,21600">
              <v:path/>
              <v:fill on="t" color2="#FFFFFF" focussize="0,0"/>
              <v:stroke on="f"/>
              <v:imagedata o:title=""/>
              <o:lock v:ext="edit" aspectratio="f"/>
              <v:textbox>
                <w:txbxContent>
                  <w:p>
                    <w:pPr>
                      <w:jc w:val="center"/>
                      <w:rPr>
                        <w:sz w:val="18"/>
                        <w:szCs w:val="18"/>
                      </w:rPr>
                    </w:pPr>
                    <w:r>
                      <w:rPr>
                        <w:rFonts w:hint="eastAsia"/>
                        <w:sz w:val="18"/>
                        <w:szCs w:val="18"/>
                      </w:rPr>
                      <w:t>危险废物</w:t>
                    </w:r>
                  </w:p>
                </w:txbxContent>
              </v:textbox>
            </v:rect>
            <v:shape id="_x0000_s3850" o:spid="_x0000_s3850" o:spt="32" type="#_x0000_t32" style="position:absolute;left:6343;top:4545;height:1;width:369;" filled="f" stroked="t" coordsize="21600,21600">
              <v:path arrowok="t"/>
              <v:fill on="f" focussize="0,0"/>
              <v:stroke color="#000000" dashstyle="dashDot" endarrow="block"/>
              <v:imagedata o:title=""/>
              <o:lock v:ext="edit" aspectratio="f"/>
            </v:shape>
            <v:rect id="_x0000_s3851" o:spid="_x0000_s3851" o:spt="1" style="position:absolute;left:6518;top:4256;height:402;width:1008;" filled="f" stroked="f" coordsize="21600,21600">
              <v:path/>
              <v:fill on="f" focussize="0,0"/>
              <v:stroke on="f"/>
              <v:imagedata o:title=""/>
              <o:lock v:ext="edit" aspectratio="f"/>
              <v:textbox>
                <w:txbxContent>
                  <w:p>
                    <w:pPr>
                      <w:jc w:val="center"/>
                      <w:rPr>
                        <w:sz w:val="18"/>
                        <w:szCs w:val="18"/>
                      </w:rPr>
                    </w:pPr>
                    <w:r>
                      <w:rPr>
                        <w:sz w:val="18"/>
                        <w:szCs w:val="18"/>
                      </w:rPr>
                      <w:t>废气</w:t>
                    </w:r>
                  </w:p>
                </w:txbxContent>
              </v:textbox>
            </v:rect>
            <v:shape id="_x0000_s3852" o:spid="_x0000_s3852" o:spt="32" type="#_x0000_t32" style="position:absolute;left:6335;top:5496;flip:y;height:7;width:647;" filled="f" stroked="t" coordsize="21600,21600">
              <v:path arrowok="t"/>
              <v:fill on="f" focussize="0,0"/>
              <v:stroke color="#000000" dashstyle="dashDot" endarrow="block"/>
              <v:imagedata o:title=""/>
              <o:lock v:ext="edit" aspectratio="f"/>
            </v:shape>
            <v:rect id="_x0000_s3854" o:spid="_x0000_s3854" o:spt="1" style="position:absolute;left:6823;top:5287;height:402;width:703;" filled="f" stroked="f" coordsize="21600,21600">
              <v:path/>
              <v:fill on="f" focussize="0,0"/>
              <v:stroke on="f"/>
              <v:imagedata o:title=""/>
              <o:lock v:ext="edit" aspectratio="f"/>
              <v:textbox>
                <w:txbxContent>
                  <w:p>
                    <w:pPr>
                      <w:jc w:val="center"/>
                      <w:rPr>
                        <w:sz w:val="18"/>
                        <w:szCs w:val="18"/>
                      </w:rPr>
                    </w:pPr>
                    <w:r>
                      <w:rPr>
                        <w:sz w:val="18"/>
                        <w:szCs w:val="18"/>
                      </w:rPr>
                      <w:t>废气</w:t>
                    </w:r>
                  </w:p>
                </w:txbxContent>
              </v:textbox>
            </v:rect>
            <v:shape id="_x0000_s3855" o:spid="_x0000_s3855" o:spt="32" type="#_x0000_t32" style="position:absolute;left:6331;top:7683;flip:y;height:7;width:647;" filled="f" stroked="t" coordsize="21600,21600">
              <v:path arrowok="t"/>
              <v:fill on="f" focussize="0,0"/>
              <v:stroke color="#000000" dashstyle="dashDot" endarrow="block"/>
              <v:imagedata o:title=""/>
              <o:lock v:ext="edit" aspectratio="f"/>
            </v:shape>
            <v:rect id="_x0000_s3856" o:spid="_x0000_s3856" o:spt="1" style="position:absolute;left:6982;top:7501;height:402;width:703;" filled="f" stroked="f" coordsize="21600,21600">
              <v:path/>
              <v:fill on="f" focussize="0,0"/>
              <v:stroke on="f"/>
              <v:imagedata o:title=""/>
              <o:lock v:ext="edit" aspectratio="f"/>
              <v:textbox>
                <w:txbxContent>
                  <w:p>
                    <w:pPr>
                      <w:jc w:val="center"/>
                      <w:rPr>
                        <w:sz w:val="18"/>
                        <w:szCs w:val="18"/>
                      </w:rPr>
                    </w:pPr>
                    <w:r>
                      <w:rPr>
                        <w:sz w:val="18"/>
                        <w:szCs w:val="18"/>
                      </w:rPr>
                      <w:t>废气</w:t>
                    </w:r>
                  </w:p>
                </w:txbxContent>
              </v:textbox>
            </v:rect>
            <v:rect id="_x0000_s4019" o:spid="_x0000_s4019" o:spt="1" style="position:absolute;left:3718;top:13836;height:492;width:1244;" fillcolor="#FFFFFF" filled="t" stroked="t" coordsize="21600,21600">
              <v:path/>
              <v:fill on="t" color2="#FFFFFF" focussize="0,0"/>
              <v:stroke color="#000000" joinstyle="miter"/>
              <v:imagedata o:title=""/>
              <o:lock v:ext="edit" aspectratio="f"/>
              <v:textbox>
                <w:txbxContent>
                  <w:p>
                    <w:pPr>
                      <w:jc w:val="center"/>
                      <w:rPr>
                        <w:sz w:val="18"/>
                        <w:szCs w:val="18"/>
                      </w:rPr>
                    </w:pPr>
                    <w:r>
                      <w:rPr>
                        <w:rFonts w:hint="eastAsia"/>
                        <w:sz w:val="18"/>
                        <w:szCs w:val="18"/>
                      </w:rPr>
                      <w:t>污水</w:t>
                    </w:r>
                    <w:r>
                      <w:rPr>
                        <w:sz w:val="18"/>
                        <w:szCs w:val="18"/>
                      </w:rPr>
                      <w:t>处理站</w:t>
                    </w:r>
                  </w:p>
                </w:txbxContent>
              </v:textbox>
            </v:rect>
            <v:rect id="_x0000_s4020" o:spid="_x0000_s4020" o:spt="1" style="position:absolute;left:2496;top:13806;height:402;width:840;" fillcolor="#FFFFFF" filled="t" stroked="f" coordsize="21600,21600">
              <v:path/>
              <v:fill on="t" color2="#FFFFFF" focussize="0,0"/>
              <v:stroke on="f"/>
              <v:imagedata o:title=""/>
              <o:lock v:ext="edit" aspectratio="f"/>
              <v:textbox>
                <w:txbxContent>
                  <w:p>
                    <w:pPr>
                      <w:jc w:val="center"/>
                      <w:rPr>
                        <w:sz w:val="18"/>
                        <w:szCs w:val="18"/>
                      </w:rPr>
                    </w:pPr>
                    <w:r>
                      <w:rPr>
                        <w:rFonts w:hint="eastAsia"/>
                        <w:sz w:val="18"/>
                        <w:szCs w:val="18"/>
                      </w:rPr>
                      <w:t>废水</w:t>
                    </w:r>
                  </w:p>
                </w:txbxContent>
              </v:textbox>
            </v:rect>
            <v:shape id="_x0000_s4021" o:spid="_x0000_s4021" o:spt="32" type="#_x0000_t32" style="position:absolute;left:3286;top:14104;height:1;width:432;" filled="f" stroked="t" coordsize="21600,21600">
              <v:path arrowok="t"/>
              <v:fill on="f" focussize="0,0"/>
              <v:stroke color="#000000" endarrow="block"/>
              <v:imagedata o:title=""/>
              <o:lock v:ext="edit" aspectratio="f"/>
            </v:shape>
            <v:rect id="_x0000_s4022" o:spid="_x0000_s4022" o:spt="1" style="position:absolute;left:5593;top:13866;height:402;width:1869;" fillcolor="#FFFFFF" filled="t" stroked="f" coordsize="21600,21600">
              <v:path/>
              <v:fill on="t" color2="#FFFFFF" focussize="0,0"/>
              <v:stroke on="f"/>
              <v:imagedata o:title=""/>
              <o:lock v:ext="edit" aspectratio="f"/>
              <v:textbox>
                <w:txbxContent>
                  <w:p>
                    <w:pPr>
                      <w:jc w:val="center"/>
                      <w:rPr>
                        <w:sz w:val="18"/>
                        <w:szCs w:val="18"/>
                      </w:rPr>
                    </w:pPr>
                    <w:r>
                      <w:rPr>
                        <w:sz w:val="18"/>
                        <w:szCs w:val="18"/>
                      </w:rPr>
                      <w:t>废气、</w:t>
                    </w:r>
                    <w:r>
                      <w:rPr>
                        <w:rFonts w:hint="eastAsia"/>
                        <w:sz w:val="18"/>
                        <w:szCs w:val="18"/>
                      </w:rPr>
                      <w:t>噪声</w:t>
                    </w:r>
                    <w:r>
                      <w:rPr>
                        <w:sz w:val="18"/>
                        <w:szCs w:val="18"/>
                      </w:rPr>
                      <w:t>、固废</w:t>
                    </w:r>
                  </w:p>
                </w:txbxContent>
              </v:textbox>
            </v:rect>
            <v:shape id="_x0000_s4023" o:spid="_x0000_s4023" o:spt="32" type="#_x0000_t32" style="position:absolute;left:4965;top:14073;height:1;width:708;" filled="f" stroked="t" coordsize="21600,21600">
              <v:path arrowok="t"/>
              <v:fill on="f" focussize="0,0"/>
              <v:stroke color="#000000" dashstyle="dashDot" endarrow="block"/>
              <v:imagedata o:title=""/>
              <o:lock v:ext="edit" aspectratio="f"/>
            </v:shape>
            <v:rect id="_x0000_s4024" o:spid="_x0000_s4024" o:spt="1" style="position:absolute;left:3718;top:14542;height:461;width:1244;" fillcolor="#FFFFFF" filled="t" stroked="t" coordsize="21600,21600">
              <v:path/>
              <v:fill on="t" color2="#FFFFFF" focussize="0,0"/>
              <v:stroke color="#000000" joinstyle="miter"/>
              <v:imagedata o:title=""/>
              <o:lock v:ext="edit" aspectratio="f"/>
              <v:textbox>
                <w:txbxContent>
                  <w:p>
                    <w:pPr>
                      <w:jc w:val="center"/>
                      <w:rPr>
                        <w:sz w:val="18"/>
                        <w:szCs w:val="18"/>
                      </w:rPr>
                    </w:pPr>
                    <w:r>
                      <w:rPr>
                        <w:rFonts w:hint="eastAsia"/>
                        <w:sz w:val="18"/>
                        <w:szCs w:val="18"/>
                      </w:rPr>
                      <w:t>食堂</w:t>
                    </w:r>
                  </w:p>
                </w:txbxContent>
              </v:textbox>
            </v:rect>
            <v:shape id="_x0000_s4025" o:spid="_x0000_s4025" o:spt="32" type="#_x0000_t32" style="position:absolute;left:5011;top:14776;height:1;width:708;" filled="f" stroked="t" coordsize="21600,21600">
              <v:path arrowok="t"/>
              <v:fill on="f" focussize="0,0"/>
              <v:stroke color="#000000" dashstyle="dashDot" endarrow="block"/>
              <v:imagedata o:title=""/>
              <o:lock v:ext="edit" aspectratio="f"/>
            </v:shape>
            <v:rect id="_x0000_s4026" o:spid="_x0000_s4026" o:spt="1" style="position:absolute;left:5572;top:14541;height:402;width:1846;" filled="f" stroked="f" coordsize="21600,21600">
              <v:path/>
              <v:fill on="f" focussize="0,0"/>
              <v:stroke on="f"/>
              <v:imagedata o:title=""/>
              <o:lock v:ext="edit" aspectratio="f"/>
              <v:textbox>
                <w:txbxContent>
                  <w:p>
                    <w:pPr>
                      <w:jc w:val="center"/>
                      <w:rPr>
                        <w:sz w:val="18"/>
                        <w:szCs w:val="18"/>
                      </w:rPr>
                    </w:pPr>
                    <w:r>
                      <w:rPr>
                        <w:sz w:val="18"/>
                        <w:szCs w:val="18"/>
                      </w:rPr>
                      <w:t>废气</w:t>
                    </w:r>
                    <w:r>
                      <w:rPr>
                        <w:rFonts w:hint="eastAsia"/>
                        <w:sz w:val="18"/>
                        <w:szCs w:val="18"/>
                        <w:lang w:eastAsia="zh-CN"/>
                      </w:rPr>
                      <w:t>、</w:t>
                    </w:r>
                    <w:r>
                      <w:rPr>
                        <w:rFonts w:hint="eastAsia"/>
                        <w:sz w:val="18"/>
                        <w:szCs w:val="18"/>
                        <w:lang w:val="en-US" w:eastAsia="zh-CN"/>
                      </w:rPr>
                      <w:t>废水、</w:t>
                    </w:r>
                    <w:r>
                      <w:rPr>
                        <w:sz w:val="18"/>
                        <w:szCs w:val="18"/>
                      </w:rPr>
                      <w:t>固废</w:t>
                    </w:r>
                  </w:p>
                </w:txbxContent>
              </v:textbox>
            </v:rect>
            <v:rect id="_x0000_s4027" o:spid="_x0000_s4027" o:spt="1" style="position:absolute;left:3707;top:15084;height:492;width:1244;" fillcolor="#FFFFFF" filled="t" stroked="t" coordsize="21600,21600">
              <v:path/>
              <v:fill on="t" color2="#FFFFFF" focussize="0,0"/>
              <v:stroke color="#000000" joinstyle="miter"/>
              <v:imagedata o:title=""/>
              <o:lock v:ext="edit" aspectratio="f"/>
              <v:textbox>
                <w:txbxContent>
                  <w:p>
                    <w:pPr>
                      <w:jc w:val="center"/>
                      <w:rPr>
                        <w:sz w:val="18"/>
                        <w:szCs w:val="18"/>
                      </w:rPr>
                    </w:pPr>
                    <w:r>
                      <w:rPr>
                        <w:rFonts w:hint="eastAsia"/>
                        <w:sz w:val="18"/>
                        <w:szCs w:val="18"/>
                      </w:rPr>
                      <w:t>固废暂存</w:t>
                    </w:r>
                  </w:p>
                </w:txbxContent>
              </v:textbox>
            </v:rect>
            <v:shape id="_x0000_s4028" o:spid="_x0000_s4028" o:spt="32" type="#_x0000_t32" style="position:absolute;left:5011;top:15347;height:1;width:708;" filled="f" stroked="t" coordsize="21600,21600">
              <v:path arrowok="t"/>
              <v:fill on="f" focussize="0,0"/>
              <v:stroke color="#000000" dashstyle="dashDot" endarrow="block"/>
              <v:imagedata o:title=""/>
              <o:lock v:ext="edit" aspectratio="f"/>
            </v:shape>
            <v:rect id="_x0000_s4029" o:spid="_x0000_s4029" o:spt="1" style="position:absolute;left:5407;top:15114;height:402;width:1266;" filled="f" stroked="f" coordsize="21600,21600">
              <v:path/>
              <v:fill on="f" focussize="0,0"/>
              <v:stroke on="f"/>
              <v:imagedata o:title=""/>
              <o:lock v:ext="edit" aspectratio="f"/>
              <v:textbox>
                <w:txbxContent>
                  <w:p>
                    <w:pPr>
                      <w:jc w:val="center"/>
                      <w:rPr>
                        <w:sz w:val="18"/>
                        <w:szCs w:val="18"/>
                      </w:rPr>
                    </w:pPr>
                    <w:r>
                      <w:rPr>
                        <w:sz w:val="18"/>
                        <w:szCs w:val="18"/>
                      </w:rPr>
                      <w:t>废气</w:t>
                    </w:r>
                  </w:p>
                </w:txbxContent>
              </v:textbox>
            </v:rect>
            <v:shape id="_x0000_s71684" o:spid="_x0000_s71684" o:spt="202" type="#_x0000_t202" style="position:absolute;left:3757;top:13148;height:480;width:1186;" fillcolor="#FFFFFF" filled="t" stroked="t" coordsize="21600,21600">
              <v:path/>
              <v:fill on="t" color2="#FFFFFF" focussize="0,0"/>
              <v:stroke weight="1pt" color="#000000" joinstyle="miter"/>
              <v:imagedata o:title=""/>
              <o:lock v:ext="edit" aspectratio="f"/>
              <v:textbox>
                <w:txbxContent>
                  <w:p>
                    <w:pPr>
                      <w:jc w:val="center"/>
                      <w:rPr>
                        <w:rFonts w:hint="default" w:eastAsia="宋体"/>
                        <w:sz w:val="18"/>
                        <w:szCs w:val="18"/>
                        <w:lang w:val="en-US" w:eastAsia="zh-CN"/>
                      </w:rPr>
                    </w:pPr>
                    <w:r>
                      <w:rPr>
                        <w:rFonts w:hint="eastAsia"/>
                        <w:sz w:val="18"/>
                        <w:szCs w:val="18"/>
                        <w:lang w:val="en-US" w:eastAsia="zh-CN"/>
                      </w:rPr>
                      <w:t>锅炉房</w:t>
                    </w:r>
                  </w:p>
                </w:txbxContent>
              </v:textbox>
            </v:shape>
            <v:shape id="_x0000_s71685" o:spid="_x0000_s71685" o:spt="32" type="#_x0000_t32" style="position:absolute;left:4953;top:13381;height:0;width:700;" filled="f" stroked="t" coordsize="21600,21600">
              <v:path arrowok="t"/>
              <v:fill on="f" focussize="0,0"/>
              <v:stroke color="#000000" dashstyle="dashDot" endarrow="block"/>
              <v:imagedata o:title=""/>
              <o:lock v:ext="edit" aspectratio="f"/>
            </v:shape>
            <v:rect id="_x0000_s71686" o:spid="_x0000_s71686" o:spt="1" style="position:absolute;left:5658;top:13231;height:400;width:2550;" fillcolor="#FFFFFF" filled="t" stroked="f" coordsize="21600,21600">
              <v:path/>
              <v:fill on="t" color2="#FFFFFF" focussize="0,0"/>
              <v:stroke on="f"/>
              <v:imagedata o:title=""/>
              <o:lock v:ext="edit" aspectratio="f"/>
              <v:textbox>
                <w:txbxContent>
                  <w:p>
                    <w:pPr>
                      <w:jc w:val="center"/>
                      <w:rPr>
                        <w:sz w:val="18"/>
                        <w:szCs w:val="18"/>
                      </w:rPr>
                    </w:pPr>
                    <w:r>
                      <w:rPr>
                        <w:sz w:val="18"/>
                        <w:szCs w:val="18"/>
                      </w:rPr>
                      <w:t>废气、</w:t>
                    </w:r>
                    <w:r>
                      <w:rPr>
                        <w:rFonts w:hint="eastAsia"/>
                        <w:sz w:val="18"/>
                        <w:szCs w:val="18"/>
                        <w:lang w:val="en-US" w:eastAsia="zh-CN"/>
                      </w:rPr>
                      <w:t>废水、</w:t>
                    </w:r>
                    <w:r>
                      <w:rPr>
                        <w:rFonts w:hint="eastAsia"/>
                        <w:sz w:val="18"/>
                        <w:szCs w:val="18"/>
                      </w:rPr>
                      <w:t>噪声</w:t>
                    </w:r>
                    <w:r>
                      <w:rPr>
                        <w:sz w:val="18"/>
                        <w:szCs w:val="18"/>
                      </w:rPr>
                      <w:t>、固废</w:t>
                    </w:r>
                  </w:p>
                </w:txbxContent>
              </v:textbox>
            </v:rect>
            <w10:wrap type="none"/>
            <w10:anchorlock/>
          </v:group>
        </w:pict>
      </w:r>
    </w:p>
    <w:p>
      <w:pPr>
        <w:spacing w:line="360" w:lineRule="auto"/>
        <w:contextualSpacing/>
        <w:jc w:val="center"/>
        <w:rPr>
          <w:b/>
          <w:color w:val="auto"/>
          <w:sz w:val="24"/>
        </w:rPr>
      </w:pPr>
      <w:r>
        <w:rPr>
          <w:b/>
          <w:color w:val="auto"/>
          <w:sz w:val="24"/>
        </w:rPr>
        <w:t>图3-2-1 项目生产过程及产污环节示意图</w:t>
      </w:r>
    </w:p>
    <w:p>
      <w:pPr>
        <w:spacing w:line="360" w:lineRule="auto"/>
        <w:ind w:firstLine="480" w:firstLineChars="200"/>
        <w:contextualSpacing/>
        <w:rPr>
          <w:rFonts w:hAnsiTheme="minorEastAsia" w:eastAsiaTheme="minorEastAsia"/>
          <w:snapToGrid w:val="0"/>
          <w:color w:val="auto"/>
          <w:kern w:val="0"/>
          <w:sz w:val="24"/>
        </w:rPr>
      </w:pPr>
      <w:r>
        <w:rPr>
          <w:rFonts w:hAnsiTheme="minorEastAsia" w:eastAsiaTheme="minorEastAsia"/>
          <w:snapToGrid w:val="0"/>
          <w:color w:val="auto"/>
          <w:kern w:val="0"/>
          <w:sz w:val="24"/>
        </w:rPr>
        <w:t>主要过程如下：</w:t>
      </w:r>
    </w:p>
    <w:p>
      <w:pPr>
        <w:spacing w:line="360" w:lineRule="auto"/>
        <w:ind w:firstLine="480" w:firstLineChars="200"/>
        <w:contextualSpacing/>
        <w:rPr>
          <w:rFonts w:hAnsiTheme="minorEastAsia" w:eastAsiaTheme="minorEastAsia"/>
          <w:snapToGrid w:val="0"/>
          <w:color w:val="auto"/>
          <w:kern w:val="0"/>
          <w:sz w:val="24"/>
        </w:rPr>
      </w:pPr>
      <w:r>
        <w:rPr>
          <w:rFonts w:hint="eastAsia" w:hAnsiTheme="minorEastAsia" w:eastAsiaTheme="minorEastAsia"/>
          <w:snapToGrid w:val="0"/>
          <w:color w:val="auto"/>
          <w:kern w:val="0"/>
          <w:sz w:val="24"/>
        </w:rPr>
        <w:t>（1）宰前检疫</w:t>
      </w:r>
    </w:p>
    <w:p>
      <w:pPr>
        <w:spacing w:line="360" w:lineRule="auto"/>
        <w:ind w:firstLine="480" w:firstLineChars="200"/>
        <w:contextualSpacing/>
        <w:rPr>
          <w:rFonts w:hAnsiTheme="minorEastAsia" w:eastAsiaTheme="minorEastAsia"/>
          <w:snapToGrid w:val="0"/>
          <w:color w:val="auto"/>
          <w:kern w:val="0"/>
          <w:sz w:val="24"/>
        </w:rPr>
      </w:pPr>
      <w:r>
        <w:rPr>
          <w:rFonts w:hint="eastAsia" w:hAnsiTheme="minorEastAsia" w:eastAsiaTheme="minorEastAsia"/>
          <w:snapToGrid w:val="0"/>
          <w:color w:val="auto"/>
          <w:kern w:val="0"/>
          <w:sz w:val="24"/>
        </w:rPr>
        <w:t>肉牛</w:t>
      </w:r>
      <w:r>
        <w:rPr>
          <w:rFonts w:hAnsiTheme="minorEastAsia" w:eastAsiaTheme="minorEastAsia"/>
          <w:snapToGrid w:val="0"/>
          <w:color w:val="auto"/>
          <w:kern w:val="0"/>
          <w:sz w:val="24"/>
        </w:rPr>
        <w:t>运进厂后，首先对待宰</w:t>
      </w:r>
      <w:r>
        <w:rPr>
          <w:rFonts w:hint="eastAsia" w:hAnsiTheme="minorEastAsia" w:eastAsiaTheme="minorEastAsia"/>
          <w:snapToGrid w:val="0"/>
          <w:color w:val="auto"/>
          <w:kern w:val="0"/>
          <w:sz w:val="24"/>
        </w:rPr>
        <w:t>肉牛</w:t>
      </w:r>
      <w:r>
        <w:rPr>
          <w:rFonts w:hAnsiTheme="minorEastAsia" w:eastAsiaTheme="minorEastAsia"/>
          <w:snapToGrid w:val="0"/>
          <w:color w:val="auto"/>
          <w:kern w:val="0"/>
          <w:sz w:val="24"/>
        </w:rPr>
        <w:t>进行动物检疫，发现病</w:t>
      </w:r>
      <w:r>
        <w:rPr>
          <w:rFonts w:hint="eastAsia" w:hAnsiTheme="minorEastAsia" w:eastAsiaTheme="minorEastAsia"/>
          <w:snapToGrid w:val="0"/>
          <w:color w:val="auto"/>
          <w:kern w:val="0"/>
          <w:sz w:val="24"/>
        </w:rPr>
        <w:t>牛</w:t>
      </w:r>
      <w:r>
        <w:rPr>
          <w:rFonts w:hAnsiTheme="minorEastAsia" w:eastAsiaTheme="minorEastAsia"/>
          <w:snapToGrid w:val="0"/>
          <w:color w:val="auto"/>
          <w:kern w:val="0"/>
          <w:sz w:val="24"/>
        </w:rPr>
        <w:t>或疑似病</w:t>
      </w:r>
      <w:r>
        <w:rPr>
          <w:rFonts w:hint="eastAsia" w:hAnsiTheme="minorEastAsia" w:eastAsiaTheme="minorEastAsia"/>
          <w:snapToGrid w:val="0"/>
          <w:color w:val="auto"/>
          <w:kern w:val="0"/>
          <w:sz w:val="24"/>
        </w:rPr>
        <w:t>牛</w:t>
      </w:r>
      <w:r>
        <w:rPr>
          <w:rFonts w:hAnsiTheme="minorEastAsia" w:eastAsiaTheme="minorEastAsia"/>
          <w:snapToGrid w:val="0"/>
          <w:color w:val="auto"/>
          <w:kern w:val="0"/>
          <w:sz w:val="24"/>
        </w:rPr>
        <w:t>要及时进行处理，检疫合格</w:t>
      </w:r>
      <w:r>
        <w:rPr>
          <w:rFonts w:hint="eastAsia" w:hAnsiTheme="minorEastAsia" w:eastAsiaTheme="minorEastAsia"/>
          <w:snapToGrid w:val="0"/>
          <w:color w:val="auto"/>
          <w:kern w:val="0"/>
          <w:sz w:val="24"/>
        </w:rPr>
        <w:t>肉牛</w:t>
      </w:r>
      <w:r>
        <w:rPr>
          <w:rFonts w:hAnsiTheme="minorEastAsia" w:eastAsiaTheme="minorEastAsia"/>
          <w:snapToGrid w:val="0"/>
          <w:color w:val="auto"/>
          <w:kern w:val="0"/>
          <w:sz w:val="24"/>
        </w:rPr>
        <w:t>赶入待宰</w:t>
      </w:r>
      <w:r>
        <w:rPr>
          <w:rFonts w:hint="eastAsia" w:hAnsiTheme="minorEastAsia" w:eastAsiaTheme="minorEastAsia"/>
          <w:snapToGrid w:val="0"/>
          <w:color w:val="auto"/>
          <w:kern w:val="0"/>
          <w:sz w:val="24"/>
        </w:rPr>
        <w:t>间</w:t>
      </w:r>
      <w:r>
        <w:rPr>
          <w:rFonts w:hAnsiTheme="minorEastAsia" w:eastAsiaTheme="minorEastAsia"/>
          <w:snapToGrid w:val="0"/>
          <w:color w:val="auto"/>
          <w:kern w:val="0"/>
          <w:sz w:val="24"/>
        </w:rPr>
        <w:t>。</w:t>
      </w:r>
    </w:p>
    <w:p>
      <w:pPr>
        <w:spacing w:line="360" w:lineRule="auto"/>
        <w:ind w:firstLine="480" w:firstLineChars="200"/>
        <w:contextualSpacing/>
        <w:rPr>
          <w:rFonts w:hAnsiTheme="minorEastAsia" w:eastAsiaTheme="minorEastAsia"/>
          <w:snapToGrid w:val="0"/>
          <w:color w:val="auto"/>
          <w:kern w:val="0"/>
          <w:sz w:val="24"/>
        </w:rPr>
      </w:pPr>
      <w:r>
        <w:rPr>
          <w:rFonts w:hint="eastAsia" w:hAnsiTheme="minorEastAsia" w:eastAsiaTheme="minorEastAsia"/>
          <w:snapToGrid w:val="0"/>
          <w:color w:val="auto"/>
          <w:kern w:val="0"/>
          <w:sz w:val="24"/>
        </w:rPr>
        <w:t>（2）待宰</w:t>
      </w:r>
    </w:p>
    <w:p>
      <w:pPr>
        <w:spacing w:line="360" w:lineRule="auto"/>
        <w:ind w:firstLine="480" w:firstLineChars="200"/>
        <w:contextualSpacing/>
        <w:rPr>
          <w:rFonts w:hAnsiTheme="minorEastAsia" w:eastAsiaTheme="minorEastAsia"/>
          <w:snapToGrid w:val="0"/>
          <w:color w:val="auto"/>
          <w:kern w:val="0"/>
          <w:sz w:val="24"/>
        </w:rPr>
      </w:pPr>
      <w:r>
        <w:rPr>
          <w:rFonts w:hint="eastAsia" w:hAnsiTheme="minorEastAsia" w:eastAsiaTheme="minorEastAsia"/>
          <w:snapToGrid w:val="0"/>
          <w:color w:val="auto"/>
          <w:kern w:val="0"/>
          <w:sz w:val="24"/>
        </w:rPr>
        <w:t>活牛送宰前停食静养12-24h，以便消除运输途中的疲劳，恢复正常的生理状态，在静养期间仅提供饮水，屠宰前3小时停止饮水并进行淋浴，以消除牛体上的污垢，便于电麻击晕</w:t>
      </w:r>
      <w:r>
        <w:rPr>
          <w:rFonts w:hAnsiTheme="minorEastAsia" w:eastAsiaTheme="minorEastAsia"/>
          <w:snapToGrid w:val="0"/>
          <w:color w:val="auto"/>
          <w:kern w:val="0"/>
          <w:sz w:val="24"/>
        </w:rPr>
        <w:t>。</w:t>
      </w:r>
      <w:r>
        <w:rPr>
          <w:rFonts w:hint="eastAsia" w:hAnsiTheme="minorEastAsia" w:eastAsiaTheme="minorEastAsia"/>
          <w:snapToGrid w:val="0"/>
          <w:color w:val="auto"/>
          <w:kern w:val="0"/>
          <w:sz w:val="24"/>
        </w:rPr>
        <w:t>此过程会产生少量粪便、废水以及恶臭气体。</w:t>
      </w:r>
    </w:p>
    <w:p>
      <w:pPr>
        <w:spacing w:line="360" w:lineRule="auto"/>
        <w:ind w:firstLine="480" w:firstLineChars="200"/>
        <w:contextualSpacing/>
        <w:rPr>
          <w:rFonts w:hAnsiTheme="minorEastAsia" w:eastAsiaTheme="minorEastAsia"/>
          <w:snapToGrid w:val="0"/>
          <w:color w:val="auto"/>
          <w:kern w:val="0"/>
          <w:sz w:val="24"/>
        </w:rPr>
      </w:pPr>
      <w:r>
        <w:rPr>
          <w:rFonts w:hint="eastAsia" w:hAnsiTheme="minorEastAsia" w:eastAsiaTheme="minorEastAsia"/>
          <w:snapToGrid w:val="0"/>
          <w:color w:val="auto"/>
          <w:kern w:val="0"/>
          <w:sz w:val="24"/>
        </w:rPr>
        <w:t>（3）电麻击晕</w:t>
      </w:r>
    </w:p>
    <w:p>
      <w:pPr>
        <w:spacing w:line="360" w:lineRule="auto"/>
        <w:ind w:firstLine="480" w:firstLineChars="200"/>
        <w:contextualSpacing/>
        <w:rPr>
          <w:rFonts w:hAnsiTheme="minorEastAsia" w:eastAsiaTheme="minorEastAsia"/>
          <w:snapToGrid w:val="0"/>
          <w:color w:val="auto"/>
          <w:kern w:val="0"/>
          <w:sz w:val="24"/>
        </w:rPr>
      </w:pPr>
      <w:r>
        <w:rPr>
          <w:rFonts w:hint="eastAsia" w:hAnsiTheme="minorEastAsia" w:eastAsiaTheme="minorEastAsia"/>
          <w:snapToGrid w:val="0"/>
          <w:color w:val="auto"/>
          <w:kern w:val="0"/>
          <w:sz w:val="24"/>
        </w:rPr>
        <w:t>电麻法牛用单接触杆式电麻器，一般电压不超过200V，电流强度为1~1.5A，电麻时间为7~30s</w:t>
      </w:r>
      <w:r>
        <w:rPr>
          <w:rFonts w:hAnsiTheme="minorEastAsia" w:eastAsiaTheme="minorEastAsia"/>
          <w:snapToGrid w:val="0"/>
          <w:color w:val="auto"/>
          <w:kern w:val="0"/>
          <w:sz w:val="24"/>
        </w:rPr>
        <w:t>。</w:t>
      </w:r>
    </w:p>
    <w:p>
      <w:pPr>
        <w:spacing w:line="360" w:lineRule="auto"/>
        <w:ind w:firstLine="480" w:firstLineChars="200"/>
        <w:contextualSpacing/>
        <w:rPr>
          <w:rFonts w:hAnsiTheme="minorEastAsia" w:eastAsiaTheme="minorEastAsia"/>
          <w:snapToGrid w:val="0"/>
          <w:color w:val="auto"/>
          <w:kern w:val="0"/>
          <w:sz w:val="24"/>
        </w:rPr>
      </w:pPr>
      <w:r>
        <w:rPr>
          <w:rFonts w:hint="eastAsia" w:hAnsiTheme="minorEastAsia" w:eastAsiaTheme="minorEastAsia"/>
          <w:snapToGrid w:val="0"/>
          <w:color w:val="auto"/>
          <w:kern w:val="0"/>
          <w:sz w:val="24"/>
        </w:rPr>
        <w:t>（4）刺杀沥血</w:t>
      </w:r>
    </w:p>
    <w:p>
      <w:pPr>
        <w:spacing w:line="360" w:lineRule="auto"/>
        <w:ind w:firstLine="480" w:firstLineChars="200"/>
        <w:contextualSpacing/>
        <w:rPr>
          <w:rFonts w:hAnsiTheme="minorEastAsia" w:eastAsiaTheme="minorEastAsia"/>
          <w:snapToGrid w:val="0"/>
          <w:color w:val="auto"/>
          <w:kern w:val="0"/>
          <w:sz w:val="24"/>
        </w:rPr>
      </w:pPr>
      <w:r>
        <w:rPr>
          <w:rFonts w:hint="eastAsia" w:hAnsiTheme="minorEastAsia" w:eastAsiaTheme="minorEastAsia"/>
          <w:snapToGrid w:val="0"/>
          <w:color w:val="auto"/>
          <w:kern w:val="0"/>
          <w:sz w:val="24"/>
        </w:rPr>
        <w:t>击晕后的牛用抠脚链拴住一后腿，通过提牛机将牛提升进入放血线进行放血，沥血时间9min</w:t>
      </w:r>
      <w:r>
        <w:rPr>
          <w:rFonts w:hAnsiTheme="minorEastAsia" w:eastAsiaTheme="minorEastAsia"/>
          <w:snapToGrid w:val="0"/>
          <w:color w:val="auto"/>
          <w:kern w:val="0"/>
          <w:sz w:val="24"/>
        </w:rPr>
        <w:t>。</w:t>
      </w:r>
      <w:r>
        <w:rPr>
          <w:rFonts w:hint="eastAsia" w:hAnsiTheme="minorEastAsia" w:eastAsiaTheme="minorEastAsia"/>
          <w:snapToGrid w:val="0"/>
          <w:color w:val="auto"/>
          <w:kern w:val="0"/>
          <w:sz w:val="24"/>
        </w:rPr>
        <w:t>此过程会产生少量恶臭气体。</w:t>
      </w:r>
    </w:p>
    <w:p>
      <w:pPr>
        <w:spacing w:line="360" w:lineRule="auto"/>
        <w:ind w:firstLine="480" w:firstLineChars="200"/>
        <w:contextualSpacing/>
        <w:rPr>
          <w:rFonts w:hAnsiTheme="minorEastAsia" w:eastAsiaTheme="minorEastAsia"/>
          <w:snapToGrid w:val="0"/>
          <w:color w:val="auto"/>
          <w:kern w:val="0"/>
          <w:sz w:val="24"/>
        </w:rPr>
      </w:pPr>
      <w:r>
        <w:rPr>
          <w:rFonts w:hint="eastAsia" w:hAnsiTheme="minorEastAsia" w:eastAsiaTheme="minorEastAsia"/>
          <w:snapToGrid w:val="0"/>
          <w:color w:val="auto"/>
          <w:kern w:val="0"/>
          <w:sz w:val="24"/>
        </w:rPr>
        <w:t>（5）预剥皮</w:t>
      </w:r>
    </w:p>
    <w:p>
      <w:pPr>
        <w:spacing w:line="360" w:lineRule="auto"/>
        <w:ind w:firstLine="480" w:firstLineChars="200"/>
        <w:contextualSpacing/>
        <w:rPr>
          <w:rFonts w:hAnsiTheme="minorEastAsia" w:eastAsiaTheme="minorEastAsia"/>
          <w:snapToGrid w:val="0"/>
          <w:color w:val="auto"/>
          <w:kern w:val="0"/>
          <w:sz w:val="24"/>
        </w:rPr>
      </w:pPr>
      <w:r>
        <w:rPr>
          <w:rFonts w:hint="eastAsia" w:hAnsiTheme="minorEastAsia" w:eastAsiaTheme="minorEastAsia"/>
          <w:snapToGrid w:val="0"/>
          <w:color w:val="auto"/>
          <w:kern w:val="0"/>
          <w:sz w:val="24"/>
        </w:rPr>
        <w:t>低中高位预剥：低位预剥由人工剃去前腿皮、去前蹄。接着在高轨上剥悬空的那条后腿皮并去蹄，再用电葫芦吊钩将牛从高轨上取出，用中轨上的滑轮钩勾住已剥过的腿，然后放下电葫芦吊钩并取出，使牛转挂到中轨上，最后在中轨上剥另一条后腿皮并去蹄，并将另一条后腿也挂在中轨滑轮轮钩上，用称腿器将牛腿撑开，最后分离，再剥其他高位皮和中位皮</w:t>
      </w:r>
      <w:r>
        <w:rPr>
          <w:rFonts w:hAnsiTheme="minorEastAsia" w:eastAsiaTheme="minorEastAsia"/>
          <w:snapToGrid w:val="0"/>
          <w:color w:val="auto"/>
          <w:kern w:val="0"/>
          <w:sz w:val="24"/>
        </w:rPr>
        <w:t>。</w:t>
      </w:r>
      <w:r>
        <w:rPr>
          <w:rFonts w:hint="eastAsia" w:hAnsiTheme="minorEastAsia" w:eastAsiaTheme="minorEastAsia"/>
          <w:snapToGrid w:val="0"/>
          <w:color w:val="auto"/>
          <w:kern w:val="0"/>
          <w:sz w:val="24"/>
        </w:rPr>
        <w:t>此过程会产生少量恶臭气体。</w:t>
      </w:r>
    </w:p>
    <w:p>
      <w:pPr>
        <w:spacing w:line="360" w:lineRule="auto"/>
        <w:ind w:firstLine="480" w:firstLineChars="200"/>
        <w:contextualSpacing/>
        <w:rPr>
          <w:rFonts w:hAnsiTheme="minorEastAsia" w:eastAsiaTheme="minorEastAsia"/>
          <w:snapToGrid w:val="0"/>
          <w:color w:val="auto"/>
          <w:kern w:val="0"/>
          <w:sz w:val="24"/>
        </w:rPr>
      </w:pPr>
      <w:r>
        <w:rPr>
          <w:rFonts w:hint="eastAsia" w:hAnsiTheme="minorEastAsia" w:eastAsiaTheme="minorEastAsia"/>
          <w:snapToGrid w:val="0"/>
          <w:color w:val="auto"/>
          <w:kern w:val="0"/>
          <w:sz w:val="24"/>
        </w:rPr>
        <w:t>（6）割头</w:t>
      </w:r>
    </w:p>
    <w:p>
      <w:pPr>
        <w:spacing w:line="360" w:lineRule="auto"/>
        <w:ind w:firstLine="480" w:firstLineChars="200"/>
        <w:contextualSpacing/>
        <w:rPr>
          <w:rFonts w:hAnsiTheme="minorEastAsia" w:eastAsiaTheme="minorEastAsia"/>
          <w:snapToGrid w:val="0"/>
          <w:color w:val="auto"/>
          <w:kern w:val="0"/>
          <w:sz w:val="24"/>
        </w:rPr>
      </w:pPr>
      <w:r>
        <w:rPr>
          <w:rFonts w:hint="eastAsia" w:hAnsiTheme="minorEastAsia" w:eastAsiaTheme="minorEastAsia"/>
          <w:snapToGrid w:val="0"/>
          <w:color w:val="auto"/>
          <w:kern w:val="0"/>
          <w:sz w:val="24"/>
        </w:rPr>
        <w:t>割去牛头，与牛蹄一起外售</w:t>
      </w:r>
      <w:r>
        <w:rPr>
          <w:rFonts w:hAnsiTheme="minorEastAsia" w:eastAsiaTheme="minorEastAsia"/>
          <w:snapToGrid w:val="0"/>
          <w:color w:val="auto"/>
          <w:kern w:val="0"/>
          <w:sz w:val="24"/>
        </w:rPr>
        <w:t>。</w:t>
      </w:r>
    </w:p>
    <w:p>
      <w:pPr>
        <w:spacing w:line="360" w:lineRule="auto"/>
        <w:ind w:firstLine="480" w:firstLineChars="200"/>
        <w:contextualSpacing/>
        <w:rPr>
          <w:rFonts w:hAnsiTheme="minorEastAsia" w:eastAsiaTheme="minorEastAsia"/>
          <w:snapToGrid w:val="0"/>
          <w:color w:val="auto"/>
          <w:kern w:val="0"/>
          <w:sz w:val="24"/>
        </w:rPr>
      </w:pPr>
      <w:r>
        <w:rPr>
          <w:rFonts w:hint="eastAsia" w:hAnsiTheme="minorEastAsia" w:eastAsiaTheme="minorEastAsia"/>
          <w:snapToGrid w:val="0"/>
          <w:color w:val="auto"/>
          <w:kern w:val="0"/>
          <w:sz w:val="24"/>
        </w:rPr>
        <w:t>（7）扯皮</w:t>
      </w:r>
    </w:p>
    <w:p>
      <w:pPr>
        <w:spacing w:line="360" w:lineRule="auto"/>
        <w:ind w:firstLine="480" w:firstLineChars="200"/>
        <w:contextualSpacing/>
        <w:rPr>
          <w:rFonts w:hAnsiTheme="minorEastAsia" w:eastAsiaTheme="minorEastAsia"/>
          <w:snapToGrid w:val="0"/>
          <w:color w:val="auto"/>
          <w:kern w:val="0"/>
          <w:sz w:val="24"/>
        </w:rPr>
      </w:pPr>
      <w:r>
        <w:rPr>
          <w:rFonts w:hint="eastAsia" w:hAnsiTheme="minorEastAsia" w:eastAsiaTheme="minorEastAsia"/>
          <w:snapToGrid w:val="0"/>
          <w:color w:val="auto"/>
          <w:kern w:val="0"/>
          <w:sz w:val="24"/>
        </w:rPr>
        <w:t>将牛悬挂起来通过</w:t>
      </w:r>
      <w:r>
        <w:rPr>
          <w:rFonts w:hint="eastAsia" w:hAnsiTheme="minorEastAsia" w:eastAsiaTheme="minorEastAsia"/>
          <w:snapToGrid w:val="0"/>
          <w:color w:val="auto"/>
          <w:kern w:val="0"/>
          <w:sz w:val="24"/>
          <w:lang w:eastAsia="zh-CN"/>
        </w:rPr>
        <w:t>剥皮机</w:t>
      </w:r>
      <w:r>
        <w:rPr>
          <w:rFonts w:hint="eastAsia" w:hAnsiTheme="minorEastAsia" w:eastAsiaTheme="minorEastAsia"/>
          <w:snapToGrid w:val="0"/>
          <w:color w:val="auto"/>
          <w:kern w:val="0"/>
          <w:sz w:val="24"/>
        </w:rPr>
        <w:t>将牛皮</w:t>
      </w:r>
      <w:r>
        <w:rPr>
          <w:rFonts w:hint="eastAsia" w:hAnsiTheme="minorEastAsia" w:eastAsiaTheme="minorEastAsia"/>
          <w:snapToGrid w:val="0"/>
          <w:color w:val="auto"/>
          <w:kern w:val="0"/>
          <w:sz w:val="24"/>
          <w:lang w:val="en-US" w:eastAsia="zh-CN"/>
        </w:rPr>
        <w:t>剥</w:t>
      </w:r>
      <w:r>
        <w:rPr>
          <w:rFonts w:hint="eastAsia" w:hAnsiTheme="minorEastAsia" w:eastAsiaTheme="minorEastAsia"/>
          <w:snapToGrid w:val="0"/>
          <w:color w:val="auto"/>
          <w:kern w:val="0"/>
          <w:sz w:val="24"/>
        </w:rPr>
        <w:t>下后外售</w:t>
      </w:r>
      <w:r>
        <w:rPr>
          <w:rFonts w:hAnsiTheme="minorEastAsia" w:eastAsiaTheme="minorEastAsia"/>
          <w:snapToGrid w:val="0"/>
          <w:color w:val="auto"/>
          <w:kern w:val="0"/>
          <w:sz w:val="24"/>
        </w:rPr>
        <w:t>。</w:t>
      </w:r>
    </w:p>
    <w:p>
      <w:pPr>
        <w:spacing w:line="360" w:lineRule="auto"/>
        <w:ind w:firstLine="480" w:firstLineChars="200"/>
        <w:contextualSpacing/>
        <w:rPr>
          <w:rFonts w:hAnsiTheme="minorEastAsia" w:eastAsiaTheme="minorEastAsia"/>
          <w:snapToGrid w:val="0"/>
          <w:color w:val="auto"/>
          <w:kern w:val="0"/>
          <w:sz w:val="24"/>
        </w:rPr>
      </w:pPr>
      <w:r>
        <w:rPr>
          <w:rFonts w:hint="eastAsia" w:hAnsiTheme="minorEastAsia" w:eastAsiaTheme="minorEastAsia"/>
          <w:snapToGrid w:val="0"/>
          <w:color w:val="auto"/>
          <w:kern w:val="0"/>
          <w:sz w:val="24"/>
        </w:rPr>
        <w:t>（8）开膛取内脏</w:t>
      </w:r>
    </w:p>
    <w:p>
      <w:pPr>
        <w:spacing w:line="360" w:lineRule="auto"/>
        <w:ind w:firstLine="480" w:firstLineChars="200"/>
        <w:contextualSpacing/>
        <w:rPr>
          <w:rFonts w:hAnsiTheme="minorEastAsia" w:eastAsiaTheme="minorEastAsia"/>
          <w:snapToGrid w:val="0"/>
          <w:color w:val="auto"/>
          <w:kern w:val="0"/>
          <w:sz w:val="24"/>
        </w:rPr>
      </w:pPr>
      <w:r>
        <w:rPr>
          <w:rFonts w:hint="eastAsia" w:hAnsiTheme="minorEastAsia" w:eastAsiaTheme="minorEastAsia"/>
          <w:snapToGrid w:val="0"/>
          <w:color w:val="auto"/>
          <w:kern w:val="0"/>
          <w:sz w:val="24"/>
        </w:rPr>
        <w:t>胴体采用专用刀具对其进行开膛、剖腹处理，开膛后取出白内脏（肚、肠）及红内脏（心、肝、肺），分类收集后由检疫人员对内脏及胴体进行同步检验，不合格的交由专门无害化处置单位处置，合格的内脏直接由分包商运走加工处理</w:t>
      </w:r>
      <w:r>
        <w:rPr>
          <w:rFonts w:hAnsiTheme="minorEastAsia" w:eastAsiaTheme="minorEastAsia"/>
          <w:snapToGrid w:val="0"/>
          <w:color w:val="auto"/>
          <w:kern w:val="0"/>
          <w:sz w:val="24"/>
        </w:rPr>
        <w:t>。</w:t>
      </w:r>
      <w:r>
        <w:rPr>
          <w:rFonts w:hint="eastAsia" w:hAnsiTheme="minorEastAsia" w:eastAsiaTheme="minorEastAsia"/>
          <w:snapToGrid w:val="0"/>
          <w:color w:val="auto"/>
          <w:kern w:val="0"/>
          <w:sz w:val="24"/>
        </w:rPr>
        <w:t>此过程会产生少量恶臭气体。</w:t>
      </w:r>
    </w:p>
    <w:p>
      <w:pPr>
        <w:spacing w:line="360" w:lineRule="auto"/>
        <w:ind w:firstLine="480" w:firstLineChars="200"/>
        <w:contextualSpacing/>
        <w:rPr>
          <w:rFonts w:hAnsiTheme="minorEastAsia" w:eastAsiaTheme="minorEastAsia"/>
          <w:snapToGrid w:val="0"/>
          <w:color w:val="auto"/>
          <w:kern w:val="0"/>
          <w:sz w:val="24"/>
        </w:rPr>
      </w:pPr>
      <w:r>
        <w:rPr>
          <w:rFonts w:hint="eastAsia" w:hAnsiTheme="minorEastAsia" w:eastAsiaTheme="minorEastAsia"/>
          <w:snapToGrid w:val="0"/>
          <w:color w:val="auto"/>
          <w:kern w:val="0"/>
          <w:sz w:val="24"/>
        </w:rPr>
        <w:t>（9）修整</w:t>
      </w:r>
    </w:p>
    <w:p>
      <w:pPr>
        <w:spacing w:line="360" w:lineRule="auto"/>
        <w:ind w:firstLine="480" w:firstLineChars="200"/>
        <w:contextualSpacing/>
        <w:rPr>
          <w:rFonts w:hAnsiTheme="minorEastAsia" w:eastAsiaTheme="minorEastAsia"/>
          <w:snapToGrid w:val="0"/>
          <w:color w:val="auto"/>
          <w:kern w:val="0"/>
          <w:sz w:val="24"/>
        </w:rPr>
      </w:pPr>
      <w:r>
        <w:rPr>
          <w:rFonts w:hint="eastAsia" w:hAnsiTheme="minorEastAsia" w:eastAsiaTheme="minorEastAsia"/>
          <w:snapToGrid w:val="0"/>
          <w:color w:val="auto"/>
          <w:kern w:val="0"/>
          <w:sz w:val="24"/>
        </w:rPr>
        <w:t>修整范围包括割牛尾、扒下肾脏周围脂肪、除淤血及血凝块，割除体腔内残留的零碎块和脂肪，割除胴体表面污垢</w:t>
      </w:r>
      <w:r>
        <w:rPr>
          <w:rFonts w:hAnsiTheme="minorEastAsia" w:eastAsiaTheme="minorEastAsia"/>
          <w:snapToGrid w:val="0"/>
          <w:color w:val="auto"/>
          <w:kern w:val="0"/>
          <w:sz w:val="24"/>
        </w:rPr>
        <w:t>。</w:t>
      </w:r>
    </w:p>
    <w:p>
      <w:pPr>
        <w:spacing w:line="360" w:lineRule="auto"/>
        <w:ind w:firstLine="480" w:firstLineChars="200"/>
        <w:contextualSpacing/>
        <w:rPr>
          <w:rFonts w:hAnsiTheme="minorEastAsia" w:eastAsiaTheme="minorEastAsia"/>
          <w:snapToGrid w:val="0"/>
          <w:color w:val="auto"/>
          <w:kern w:val="0"/>
          <w:sz w:val="24"/>
        </w:rPr>
      </w:pPr>
      <w:r>
        <w:rPr>
          <w:rFonts w:hint="eastAsia" w:hAnsiTheme="minorEastAsia" w:eastAsiaTheme="minorEastAsia"/>
          <w:snapToGrid w:val="0"/>
          <w:color w:val="auto"/>
          <w:kern w:val="0"/>
          <w:sz w:val="24"/>
        </w:rPr>
        <w:t>（10）冲淋</w:t>
      </w:r>
    </w:p>
    <w:p>
      <w:pPr>
        <w:spacing w:line="360" w:lineRule="auto"/>
        <w:ind w:firstLine="480" w:firstLineChars="200"/>
        <w:contextualSpacing/>
        <w:rPr>
          <w:rFonts w:hAnsiTheme="minorEastAsia" w:eastAsiaTheme="minorEastAsia"/>
          <w:snapToGrid w:val="0"/>
          <w:color w:val="auto"/>
          <w:kern w:val="0"/>
          <w:sz w:val="24"/>
        </w:rPr>
      </w:pPr>
      <w:r>
        <w:rPr>
          <w:rFonts w:hint="eastAsia" w:hAnsiTheme="minorEastAsia" w:eastAsiaTheme="minorEastAsia"/>
          <w:snapToGrid w:val="0"/>
          <w:color w:val="auto"/>
          <w:kern w:val="0"/>
          <w:sz w:val="24"/>
        </w:rPr>
        <w:t>经复检合格的胴体经冲淋洗去残留血渍、骨渣、毛等污物</w:t>
      </w:r>
      <w:r>
        <w:rPr>
          <w:rFonts w:hAnsiTheme="minorEastAsia" w:eastAsiaTheme="minorEastAsia"/>
          <w:snapToGrid w:val="0"/>
          <w:color w:val="auto"/>
          <w:kern w:val="0"/>
          <w:sz w:val="24"/>
        </w:rPr>
        <w:t>。</w:t>
      </w:r>
    </w:p>
    <w:p>
      <w:pPr>
        <w:spacing w:line="360" w:lineRule="auto"/>
        <w:ind w:firstLine="480" w:firstLineChars="200"/>
        <w:contextualSpacing/>
        <w:rPr>
          <w:rFonts w:hAnsiTheme="minorEastAsia" w:eastAsiaTheme="minorEastAsia"/>
          <w:snapToGrid w:val="0"/>
          <w:color w:val="auto"/>
          <w:kern w:val="0"/>
          <w:sz w:val="24"/>
        </w:rPr>
      </w:pPr>
      <w:r>
        <w:rPr>
          <w:rFonts w:hint="eastAsia" w:hAnsiTheme="minorEastAsia" w:eastAsiaTheme="minorEastAsia"/>
          <w:snapToGrid w:val="0"/>
          <w:color w:val="auto"/>
          <w:kern w:val="0"/>
          <w:sz w:val="24"/>
        </w:rPr>
        <w:t>（1</w:t>
      </w:r>
      <w:r>
        <w:rPr>
          <w:rFonts w:hint="eastAsia" w:hAnsiTheme="minorEastAsia" w:eastAsiaTheme="minorEastAsia"/>
          <w:snapToGrid w:val="0"/>
          <w:color w:val="auto"/>
          <w:kern w:val="0"/>
          <w:sz w:val="24"/>
          <w:lang w:val="en-US" w:eastAsia="zh-CN"/>
        </w:rPr>
        <w:t>1</w:t>
      </w:r>
      <w:r>
        <w:rPr>
          <w:rFonts w:hint="eastAsia" w:hAnsiTheme="minorEastAsia" w:eastAsiaTheme="minorEastAsia"/>
          <w:snapToGrid w:val="0"/>
          <w:color w:val="auto"/>
          <w:kern w:val="0"/>
          <w:sz w:val="24"/>
        </w:rPr>
        <w:t>）分割、包装</w:t>
      </w:r>
    </w:p>
    <w:p>
      <w:pPr>
        <w:spacing w:line="360" w:lineRule="auto"/>
        <w:ind w:firstLine="480" w:firstLineChars="200"/>
        <w:contextualSpacing/>
      </w:pPr>
      <w:r>
        <w:rPr>
          <w:rFonts w:hint="eastAsia" w:hAnsiTheme="minorEastAsia" w:eastAsiaTheme="minorEastAsia"/>
          <w:snapToGrid w:val="0"/>
          <w:color w:val="auto"/>
          <w:kern w:val="0"/>
          <w:sz w:val="24"/>
        </w:rPr>
        <w:t>将</w:t>
      </w:r>
      <w:r>
        <w:rPr>
          <w:rFonts w:hint="eastAsia" w:hAnsiTheme="minorEastAsia" w:eastAsiaTheme="minorEastAsia"/>
          <w:snapToGrid w:val="0"/>
          <w:color w:val="auto"/>
          <w:kern w:val="0"/>
          <w:sz w:val="24"/>
          <w:lang w:val="en-US" w:eastAsia="zh-CN"/>
        </w:rPr>
        <w:t>冲淋</w:t>
      </w:r>
      <w:r>
        <w:rPr>
          <w:rFonts w:hint="eastAsia" w:hAnsiTheme="minorEastAsia" w:eastAsiaTheme="minorEastAsia"/>
          <w:snapToGrid w:val="0"/>
          <w:color w:val="auto"/>
          <w:kern w:val="0"/>
          <w:sz w:val="24"/>
        </w:rPr>
        <w:t>后的胴体通过卸肉机从轨道上卸下来，用输送机自动传送至加工车间分割人员的工位，由分割人员分割成各个部位肉，称重后直接发售或塑封包装然后放入速冻机进行速冻，进入冷库保存</w:t>
      </w:r>
      <w:r>
        <w:rPr>
          <w:rFonts w:hAnsiTheme="minorEastAsia" w:eastAsiaTheme="minorEastAsia"/>
          <w:snapToGrid w:val="0"/>
          <w:color w:val="auto"/>
          <w:kern w:val="0"/>
          <w:sz w:val="24"/>
        </w:rPr>
        <w:t>。</w:t>
      </w:r>
    </w:p>
    <w:p>
      <w:pPr>
        <w:spacing w:line="360" w:lineRule="auto"/>
        <w:contextualSpacing/>
        <w:rPr>
          <w:rFonts w:hAnsiTheme="minorEastAsia" w:eastAsiaTheme="minorEastAsia"/>
          <w:snapToGrid w:val="0"/>
          <w:color w:val="auto"/>
          <w:kern w:val="0"/>
          <w:sz w:val="24"/>
        </w:rPr>
      </w:pPr>
      <w:r>
        <w:rPr>
          <w:b/>
          <w:snapToGrid w:val="0"/>
          <w:color w:val="auto"/>
          <w:kern w:val="0"/>
          <w:sz w:val="24"/>
        </w:rPr>
        <w:t>3.2.2.</w:t>
      </w:r>
      <w:r>
        <w:rPr>
          <w:rFonts w:hint="eastAsia"/>
          <w:b/>
          <w:snapToGrid w:val="0"/>
          <w:color w:val="auto"/>
          <w:kern w:val="0"/>
          <w:sz w:val="24"/>
        </w:rPr>
        <w:t>2废水</w:t>
      </w:r>
      <w:r>
        <w:rPr>
          <w:b/>
          <w:snapToGrid w:val="0"/>
          <w:color w:val="auto"/>
          <w:kern w:val="0"/>
          <w:sz w:val="24"/>
        </w:rPr>
        <w:t>污染分析</w:t>
      </w:r>
    </w:p>
    <w:p>
      <w:pPr>
        <w:spacing w:line="360" w:lineRule="auto"/>
        <w:ind w:firstLine="480" w:firstLineChars="200"/>
        <w:contextualSpacing/>
        <w:rPr>
          <w:rFonts w:hAnsiTheme="minorEastAsia" w:eastAsiaTheme="minorEastAsia"/>
          <w:snapToGrid w:val="0"/>
          <w:color w:val="auto"/>
          <w:kern w:val="0"/>
          <w:sz w:val="24"/>
        </w:rPr>
      </w:pPr>
      <w:r>
        <w:rPr>
          <w:rFonts w:hint="eastAsia" w:hAnsiTheme="minorEastAsia" w:eastAsiaTheme="minorEastAsia"/>
          <w:snapToGrid w:val="0"/>
          <w:color w:val="auto"/>
          <w:kern w:val="0"/>
          <w:sz w:val="24"/>
        </w:rPr>
        <w:t>本项目废水分为生活污水和生产废水，生产废水包含</w:t>
      </w:r>
      <w:r>
        <w:rPr>
          <w:rFonts w:hint="eastAsia" w:hAnsiTheme="minorEastAsia" w:eastAsiaTheme="minorEastAsia"/>
          <w:snapToGrid w:val="0"/>
          <w:color w:val="auto"/>
          <w:kern w:val="0"/>
          <w:sz w:val="24"/>
          <w:lang w:val="en-US" w:eastAsia="zh-CN"/>
        </w:rPr>
        <w:t>锅炉废水、</w:t>
      </w:r>
      <w:r>
        <w:rPr>
          <w:rFonts w:hint="eastAsia" w:hAnsiTheme="minorEastAsia" w:eastAsiaTheme="minorEastAsia"/>
          <w:snapToGrid w:val="0"/>
          <w:color w:val="auto"/>
          <w:kern w:val="0"/>
          <w:sz w:val="24"/>
        </w:rPr>
        <w:t>待宰间清洗废水（含尿液）和屠宰车间</w:t>
      </w:r>
      <w:r>
        <w:rPr>
          <w:rFonts w:hint="eastAsia" w:hAnsiTheme="minorEastAsia" w:eastAsiaTheme="minorEastAsia"/>
          <w:snapToGrid w:val="0"/>
          <w:color w:val="auto"/>
          <w:kern w:val="0"/>
          <w:sz w:val="24"/>
          <w:lang w:val="en-US" w:eastAsia="zh-CN"/>
        </w:rPr>
        <w:t>及急宰间</w:t>
      </w:r>
      <w:r>
        <w:rPr>
          <w:rFonts w:hint="eastAsia" w:hAnsiTheme="minorEastAsia" w:eastAsiaTheme="minorEastAsia"/>
          <w:snapToGrid w:val="0"/>
          <w:color w:val="auto"/>
          <w:kern w:val="0"/>
          <w:sz w:val="24"/>
        </w:rPr>
        <w:t>废水，主要污染物为pH、</w:t>
      </w:r>
      <w:r>
        <w:rPr>
          <w:rFonts w:hAnsiTheme="minorEastAsia" w:eastAsiaTheme="minorEastAsia"/>
          <w:snapToGrid w:val="0"/>
          <w:color w:val="auto"/>
          <w:kern w:val="0"/>
          <w:sz w:val="24"/>
        </w:rPr>
        <w:t>COD、</w:t>
      </w:r>
      <w:r>
        <w:rPr>
          <w:rFonts w:hint="eastAsia" w:hAnsiTheme="minorEastAsia" w:eastAsiaTheme="minorEastAsia"/>
          <w:snapToGrid w:val="0"/>
          <w:color w:val="auto"/>
          <w:kern w:val="0"/>
          <w:sz w:val="24"/>
        </w:rPr>
        <w:t>BOD</w:t>
      </w:r>
      <w:r>
        <w:rPr>
          <w:rFonts w:hint="eastAsia" w:hAnsiTheme="minorEastAsia" w:eastAsiaTheme="minorEastAsia"/>
          <w:snapToGrid w:val="0"/>
          <w:color w:val="auto"/>
          <w:kern w:val="0"/>
          <w:sz w:val="24"/>
          <w:vertAlign w:val="subscript"/>
        </w:rPr>
        <w:t>5</w:t>
      </w:r>
      <w:r>
        <w:rPr>
          <w:rFonts w:hint="eastAsia" w:hAnsiTheme="minorEastAsia" w:eastAsiaTheme="minorEastAsia"/>
          <w:snapToGrid w:val="0"/>
          <w:color w:val="auto"/>
          <w:kern w:val="0"/>
          <w:sz w:val="24"/>
        </w:rPr>
        <w:t>、SS、动植物油、</w:t>
      </w:r>
      <w:r>
        <w:rPr>
          <w:rFonts w:hAnsiTheme="minorEastAsia" w:eastAsiaTheme="minorEastAsia"/>
          <w:snapToGrid w:val="0"/>
          <w:color w:val="auto"/>
          <w:kern w:val="0"/>
          <w:sz w:val="24"/>
        </w:rPr>
        <w:t>NH</w:t>
      </w:r>
      <w:r>
        <w:rPr>
          <w:rFonts w:hAnsiTheme="minorEastAsia" w:eastAsiaTheme="minorEastAsia"/>
          <w:snapToGrid w:val="0"/>
          <w:color w:val="auto"/>
          <w:kern w:val="0"/>
          <w:sz w:val="24"/>
          <w:vertAlign w:val="subscript"/>
        </w:rPr>
        <w:t>3</w:t>
      </w:r>
      <w:r>
        <w:rPr>
          <w:rFonts w:hAnsiTheme="minorEastAsia" w:eastAsiaTheme="minorEastAsia"/>
          <w:snapToGrid w:val="0"/>
          <w:color w:val="auto"/>
          <w:kern w:val="0"/>
          <w:sz w:val="24"/>
        </w:rPr>
        <w:t>-N</w:t>
      </w:r>
      <w:r>
        <w:rPr>
          <w:rFonts w:hint="eastAsia" w:hAnsiTheme="minorEastAsia" w:eastAsiaTheme="minorEastAsia"/>
          <w:snapToGrid w:val="0"/>
          <w:color w:val="auto"/>
          <w:kern w:val="0"/>
          <w:sz w:val="24"/>
        </w:rPr>
        <w:t>、</w:t>
      </w:r>
      <w:r>
        <w:rPr>
          <w:rFonts w:hint="eastAsia" w:hAnsiTheme="minorEastAsia" w:eastAsiaTheme="minorEastAsia"/>
          <w:bCs/>
          <w:snapToGrid w:val="0"/>
          <w:color w:val="auto"/>
          <w:kern w:val="0"/>
          <w:sz w:val="24"/>
        </w:rPr>
        <w:t>大肠菌群数</w:t>
      </w:r>
      <w:r>
        <w:rPr>
          <w:rFonts w:hAnsiTheme="minorEastAsia" w:eastAsiaTheme="minorEastAsia"/>
          <w:snapToGrid w:val="0"/>
          <w:color w:val="auto"/>
          <w:kern w:val="0"/>
          <w:sz w:val="24"/>
        </w:rPr>
        <w:t>。</w:t>
      </w:r>
      <w:r>
        <w:rPr>
          <w:rFonts w:hint="eastAsia" w:hAnsiTheme="minorEastAsia" w:eastAsiaTheme="minorEastAsia"/>
          <w:snapToGrid w:val="0"/>
          <w:color w:val="auto"/>
          <w:kern w:val="0"/>
          <w:sz w:val="24"/>
        </w:rPr>
        <w:t>生活污水和生产废水统一排入自建污水处理站处理达标后，</w:t>
      </w:r>
      <w:r>
        <w:rPr>
          <w:rFonts w:hint="eastAsia" w:hAnsiTheme="minorEastAsia" w:eastAsiaTheme="minorEastAsia"/>
          <w:bCs/>
          <w:snapToGrid w:val="0"/>
          <w:color w:val="auto"/>
          <w:kern w:val="0"/>
          <w:sz w:val="24"/>
        </w:rPr>
        <w:t>每天</w:t>
      </w:r>
      <w:r>
        <w:rPr>
          <w:rFonts w:hAnsiTheme="minorEastAsia" w:eastAsiaTheme="minorEastAsia"/>
          <w:bCs/>
          <w:snapToGrid w:val="0"/>
          <w:color w:val="auto"/>
          <w:kern w:val="0"/>
          <w:sz w:val="24"/>
        </w:rPr>
        <w:t>采用专用罐车</w:t>
      </w:r>
      <w:r>
        <w:rPr>
          <w:rFonts w:hint="eastAsia" w:hAnsiTheme="minorEastAsia" w:eastAsiaTheme="minorEastAsia"/>
          <w:bCs/>
          <w:snapToGrid w:val="0"/>
          <w:color w:val="auto"/>
          <w:kern w:val="0"/>
          <w:sz w:val="24"/>
        </w:rPr>
        <w:t>运至</w:t>
      </w:r>
      <w:r>
        <w:rPr>
          <w:rFonts w:hint="eastAsia" w:hAnsiTheme="minorEastAsia" w:eastAsiaTheme="minorEastAsia"/>
          <w:bCs/>
          <w:snapToGrid w:val="0"/>
          <w:color w:val="auto"/>
          <w:kern w:val="0"/>
          <w:sz w:val="24"/>
          <w:lang w:eastAsia="zh-CN"/>
        </w:rPr>
        <w:t>尚志污水处理厂</w:t>
      </w:r>
      <w:r>
        <w:rPr>
          <w:rFonts w:hAnsiTheme="minorEastAsia" w:eastAsiaTheme="minorEastAsia"/>
          <w:bCs/>
          <w:snapToGrid w:val="0"/>
          <w:color w:val="auto"/>
          <w:kern w:val="0"/>
          <w:sz w:val="24"/>
        </w:rPr>
        <w:t>处理</w:t>
      </w:r>
      <w:r>
        <w:rPr>
          <w:rFonts w:hint="eastAsia" w:hAnsiTheme="minorEastAsia" w:eastAsiaTheme="minorEastAsia"/>
          <w:snapToGrid w:val="0"/>
          <w:color w:val="auto"/>
          <w:kern w:val="0"/>
          <w:sz w:val="24"/>
        </w:rPr>
        <w:t>。</w:t>
      </w:r>
    </w:p>
    <w:p>
      <w:pPr>
        <w:spacing w:line="360" w:lineRule="auto"/>
        <w:contextualSpacing/>
        <w:rPr>
          <w:rFonts w:hAnsiTheme="minorEastAsia" w:eastAsiaTheme="minorEastAsia"/>
          <w:snapToGrid w:val="0"/>
          <w:color w:val="auto"/>
          <w:kern w:val="0"/>
          <w:sz w:val="24"/>
        </w:rPr>
      </w:pPr>
      <w:r>
        <w:rPr>
          <w:b/>
          <w:snapToGrid w:val="0"/>
          <w:color w:val="auto"/>
          <w:kern w:val="0"/>
          <w:sz w:val="24"/>
        </w:rPr>
        <w:t>3.2.2.</w:t>
      </w:r>
      <w:r>
        <w:rPr>
          <w:rFonts w:hint="eastAsia"/>
          <w:b/>
          <w:snapToGrid w:val="0"/>
          <w:color w:val="auto"/>
          <w:kern w:val="0"/>
          <w:sz w:val="24"/>
        </w:rPr>
        <w:t>3废气</w:t>
      </w:r>
      <w:r>
        <w:rPr>
          <w:b/>
          <w:snapToGrid w:val="0"/>
          <w:color w:val="auto"/>
          <w:kern w:val="0"/>
          <w:sz w:val="24"/>
        </w:rPr>
        <w:t>污染分析</w:t>
      </w:r>
    </w:p>
    <w:p>
      <w:pPr>
        <w:spacing w:line="360" w:lineRule="auto"/>
        <w:ind w:firstLine="480" w:firstLineChars="200"/>
        <w:contextualSpacing/>
        <w:rPr>
          <w:rFonts w:hAnsiTheme="minorEastAsia" w:eastAsiaTheme="minorEastAsia"/>
          <w:snapToGrid w:val="0"/>
          <w:color w:val="FF0000"/>
          <w:kern w:val="0"/>
          <w:sz w:val="24"/>
        </w:rPr>
      </w:pPr>
      <w:r>
        <w:rPr>
          <w:rFonts w:hint="eastAsia" w:hAnsiTheme="minorEastAsia" w:eastAsiaTheme="minorEastAsia"/>
          <w:snapToGrid w:val="0"/>
          <w:color w:val="auto"/>
          <w:kern w:val="0"/>
          <w:sz w:val="24"/>
        </w:rPr>
        <w:t>本工程废气污染源分有组织排放点源及无组织排放面源两种，其中点源主要有待宰间恶臭、屠宰车间恶臭、污水处理站恶臭、食堂油烟</w:t>
      </w:r>
      <w:r>
        <w:rPr>
          <w:rFonts w:hint="eastAsia" w:hAnsiTheme="minorEastAsia" w:eastAsiaTheme="minorEastAsia"/>
          <w:snapToGrid w:val="0"/>
          <w:color w:val="auto"/>
          <w:kern w:val="0"/>
          <w:sz w:val="24"/>
          <w:lang w:eastAsia="zh-CN"/>
        </w:rPr>
        <w:t>、</w:t>
      </w:r>
      <w:r>
        <w:rPr>
          <w:rFonts w:hint="eastAsia" w:hAnsiTheme="minorEastAsia" w:eastAsiaTheme="minorEastAsia"/>
          <w:snapToGrid w:val="0"/>
          <w:color w:val="auto"/>
          <w:kern w:val="0"/>
          <w:sz w:val="24"/>
          <w:lang w:val="en-US" w:eastAsia="zh-CN"/>
        </w:rPr>
        <w:t>锅炉烟气</w:t>
      </w:r>
      <w:r>
        <w:rPr>
          <w:rFonts w:hint="eastAsia" w:hAnsiTheme="minorEastAsia" w:eastAsiaTheme="minorEastAsia"/>
          <w:snapToGrid w:val="0"/>
          <w:color w:val="auto"/>
          <w:kern w:val="0"/>
          <w:sz w:val="24"/>
        </w:rPr>
        <w:t>，无组织排放面源包括屠宰车间恶臭、待宰间恶臭和污水处理站恶臭，主要污染物为H</w:t>
      </w:r>
      <w:r>
        <w:rPr>
          <w:rFonts w:hint="eastAsia" w:hAnsiTheme="minorEastAsia" w:eastAsiaTheme="minorEastAsia"/>
          <w:snapToGrid w:val="0"/>
          <w:color w:val="auto"/>
          <w:kern w:val="0"/>
          <w:sz w:val="24"/>
          <w:vertAlign w:val="subscript"/>
        </w:rPr>
        <w:t>2</w:t>
      </w:r>
      <w:r>
        <w:rPr>
          <w:rFonts w:hint="eastAsia" w:hAnsiTheme="minorEastAsia" w:eastAsiaTheme="minorEastAsia"/>
          <w:snapToGrid w:val="0"/>
          <w:color w:val="auto"/>
          <w:kern w:val="0"/>
          <w:sz w:val="24"/>
        </w:rPr>
        <w:t>S、氨和臭气浓度。</w:t>
      </w:r>
    </w:p>
    <w:p>
      <w:pPr>
        <w:spacing w:line="360" w:lineRule="auto"/>
        <w:contextualSpacing/>
        <w:rPr>
          <w:rFonts w:hAnsiTheme="minorEastAsia" w:eastAsiaTheme="minorEastAsia"/>
          <w:snapToGrid w:val="0"/>
          <w:color w:val="auto"/>
          <w:kern w:val="0"/>
          <w:sz w:val="24"/>
        </w:rPr>
      </w:pPr>
      <w:r>
        <w:rPr>
          <w:b/>
          <w:snapToGrid w:val="0"/>
          <w:color w:val="auto"/>
          <w:kern w:val="0"/>
          <w:sz w:val="24"/>
        </w:rPr>
        <w:t>3.2.2.</w:t>
      </w:r>
      <w:r>
        <w:rPr>
          <w:rFonts w:hint="eastAsia"/>
          <w:b/>
          <w:snapToGrid w:val="0"/>
          <w:color w:val="auto"/>
          <w:kern w:val="0"/>
          <w:sz w:val="24"/>
        </w:rPr>
        <w:t>4噪声</w:t>
      </w:r>
      <w:r>
        <w:rPr>
          <w:b/>
          <w:snapToGrid w:val="0"/>
          <w:color w:val="auto"/>
          <w:kern w:val="0"/>
          <w:sz w:val="24"/>
        </w:rPr>
        <w:t>污染分析</w:t>
      </w:r>
    </w:p>
    <w:p>
      <w:pPr>
        <w:spacing w:line="360" w:lineRule="auto"/>
        <w:ind w:firstLine="480" w:firstLineChars="200"/>
        <w:contextualSpacing/>
        <w:rPr>
          <w:rFonts w:hAnsiTheme="minorEastAsia" w:eastAsiaTheme="minorEastAsia"/>
          <w:snapToGrid w:val="0"/>
          <w:color w:val="auto"/>
          <w:kern w:val="0"/>
          <w:sz w:val="24"/>
        </w:rPr>
      </w:pPr>
      <w:r>
        <w:rPr>
          <w:rFonts w:hAnsiTheme="minorEastAsia" w:eastAsiaTheme="minorEastAsia"/>
          <w:snapToGrid w:val="0"/>
          <w:color w:val="auto"/>
          <w:kern w:val="0"/>
          <w:sz w:val="24"/>
        </w:rPr>
        <w:t>本项目主要噪声源有制冷压缩机、</w:t>
      </w:r>
      <w:r>
        <w:rPr>
          <w:rFonts w:hint="eastAsia" w:hAnsiTheme="minorEastAsia" w:eastAsiaTheme="minorEastAsia"/>
          <w:snapToGrid w:val="0"/>
          <w:color w:val="auto"/>
          <w:kern w:val="0"/>
          <w:sz w:val="24"/>
        </w:rPr>
        <w:t>屠宰分割设备、给水泵、污泥泵、风机</w:t>
      </w:r>
      <w:r>
        <w:rPr>
          <w:rFonts w:hAnsiTheme="minorEastAsia" w:eastAsiaTheme="minorEastAsia"/>
          <w:snapToGrid w:val="0"/>
          <w:color w:val="auto"/>
          <w:kern w:val="0"/>
          <w:sz w:val="24"/>
        </w:rPr>
        <w:t>等。</w:t>
      </w:r>
    </w:p>
    <w:p>
      <w:pPr>
        <w:spacing w:line="360" w:lineRule="auto"/>
        <w:contextualSpacing/>
        <w:rPr>
          <w:rFonts w:hAnsiTheme="minorEastAsia" w:eastAsiaTheme="minorEastAsia"/>
          <w:snapToGrid w:val="0"/>
          <w:color w:val="auto"/>
          <w:kern w:val="0"/>
          <w:sz w:val="24"/>
        </w:rPr>
      </w:pPr>
      <w:r>
        <w:rPr>
          <w:b/>
          <w:snapToGrid w:val="0"/>
          <w:color w:val="auto"/>
          <w:kern w:val="0"/>
          <w:sz w:val="24"/>
        </w:rPr>
        <w:t>3.2.2.</w:t>
      </w:r>
      <w:r>
        <w:rPr>
          <w:rFonts w:hint="eastAsia"/>
          <w:b/>
          <w:snapToGrid w:val="0"/>
          <w:color w:val="auto"/>
          <w:kern w:val="0"/>
          <w:sz w:val="24"/>
        </w:rPr>
        <w:t>5固体废物</w:t>
      </w:r>
      <w:r>
        <w:rPr>
          <w:b/>
          <w:snapToGrid w:val="0"/>
          <w:color w:val="auto"/>
          <w:kern w:val="0"/>
          <w:sz w:val="24"/>
        </w:rPr>
        <w:t>污染分析</w:t>
      </w:r>
    </w:p>
    <w:p>
      <w:pPr>
        <w:spacing w:line="360" w:lineRule="auto"/>
        <w:ind w:firstLine="480" w:firstLineChars="200"/>
        <w:rPr>
          <w:color w:val="auto"/>
          <w:sz w:val="24"/>
        </w:rPr>
      </w:pPr>
      <w:bookmarkStart w:id="89" w:name="_Toc15991649"/>
      <w:r>
        <w:rPr>
          <w:rFonts w:hint="eastAsia"/>
          <w:snapToGrid w:val="0"/>
          <w:color w:val="auto"/>
          <w:kern w:val="0"/>
          <w:sz w:val="24"/>
        </w:rPr>
        <w:t>本项目</w:t>
      </w:r>
      <w:r>
        <w:rPr>
          <w:rFonts w:hint="eastAsia"/>
          <w:color w:val="auto"/>
          <w:sz w:val="24"/>
        </w:rPr>
        <w:t>固体废物主要为待宰车间产生的牛粪便、</w:t>
      </w:r>
      <w:r>
        <w:rPr>
          <w:rFonts w:hint="eastAsia"/>
          <w:bCs/>
          <w:color w:val="auto"/>
          <w:sz w:val="24"/>
        </w:rPr>
        <w:t>屠宰车间产生的</w:t>
      </w:r>
      <w:r>
        <w:rPr>
          <w:bCs/>
          <w:color w:val="auto"/>
          <w:sz w:val="24"/>
        </w:rPr>
        <w:t>肠胃内容物及不可</w:t>
      </w:r>
      <w:r>
        <w:rPr>
          <w:rFonts w:hint="eastAsia"/>
          <w:bCs/>
          <w:color w:val="auto"/>
          <w:sz w:val="24"/>
        </w:rPr>
        <w:t>食用</w:t>
      </w:r>
      <w:r>
        <w:rPr>
          <w:bCs/>
          <w:color w:val="auto"/>
          <w:sz w:val="24"/>
        </w:rPr>
        <w:t>内脏、</w:t>
      </w:r>
      <w:r>
        <w:rPr>
          <w:rFonts w:hint="eastAsia"/>
          <w:color w:val="auto"/>
          <w:sz w:val="24"/>
        </w:rPr>
        <w:t>污水处理站污泥及栅渣、废活性炭、</w:t>
      </w:r>
      <w:r>
        <w:rPr>
          <w:color w:val="auto"/>
          <w:sz w:val="24"/>
        </w:rPr>
        <w:t>废弃包装物、</w:t>
      </w:r>
      <w:r>
        <w:rPr>
          <w:rFonts w:hint="eastAsia"/>
          <w:color w:val="auto"/>
          <w:sz w:val="24"/>
        </w:rPr>
        <w:t>检疫不合格肉牛及病死牛、检疫废物</w:t>
      </w:r>
      <w:r>
        <w:rPr>
          <w:rFonts w:hint="eastAsia"/>
          <w:bCs/>
          <w:color w:val="auto"/>
          <w:sz w:val="24"/>
        </w:rPr>
        <w:t>（HW01）</w:t>
      </w:r>
      <w:r>
        <w:rPr>
          <w:rFonts w:hint="eastAsia"/>
          <w:color w:val="auto"/>
          <w:sz w:val="24"/>
        </w:rPr>
        <w:t>、</w:t>
      </w:r>
      <w:r>
        <w:rPr>
          <w:color w:val="auto"/>
          <w:sz w:val="24"/>
        </w:rPr>
        <w:t>食堂</w:t>
      </w:r>
      <w:r>
        <w:rPr>
          <w:rFonts w:hint="eastAsia"/>
          <w:color w:val="auto"/>
          <w:sz w:val="24"/>
        </w:rPr>
        <w:t>餐余</w:t>
      </w:r>
      <w:r>
        <w:rPr>
          <w:color w:val="auto"/>
          <w:sz w:val="24"/>
        </w:rPr>
        <w:t>垃圾及废油脂（含</w:t>
      </w:r>
      <w:r>
        <w:rPr>
          <w:rFonts w:hint="eastAsia"/>
          <w:color w:val="auto"/>
          <w:sz w:val="24"/>
        </w:rPr>
        <w:t>污水</w:t>
      </w:r>
      <w:r>
        <w:rPr>
          <w:color w:val="auto"/>
          <w:sz w:val="24"/>
        </w:rPr>
        <w:t>处理站废油脂）</w:t>
      </w:r>
      <w:r>
        <w:rPr>
          <w:rFonts w:hint="eastAsia"/>
          <w:color w:val="auto"/>
          <w:sz w:val="24"/>
        </w:rPr>
        <w:t>、生活垃圾</w:t>
      </w:r>
      <w:r>
        <w:rPr>
          <w:rFonts w:hint="eastAsia"/>
          <w:color w:val="auto"/>
          <w:sz w:val="24"/>
          <w:lang w:eastAsia="zh-CN"/>
        </w:rPr>
        <w:t>、</w:t>
      </w:r>
      <w:r>
        <w:rPr>
          <w:rFonts w:hint="eastAsia"/>
          <w:color w:val="auto"/>
          <w:sz w:val="24"/>
          <w:lang w:val="en-US" w:eastAsia="zh-CN"/>
        </w:rPr>
        <w:t>锅炉软化水制备产生的废离子交换树脂、锅炉灰渣（含布袋除尘器收尘）、废布袋</w:t>
      </w:r>
      <w:r>
        <w:rPr>
          <w:rFonts w:hint="eastAsia"/>
          <w:color w:val="auto"/>
          <w:sz w:val="24"/>
        </w:rPr>
        <w:t>等。</w:t>
      </w:r>
    </w:p>
    <w:p>
      <w:pPr>
        <w:spacing w:line="360" w:lineRule="auto"/>
        <w:jc w:val="left"/>
        <w:outlineLvl w:val="1"/>
        <w:rPr>
          <w:b/>
          <w:bCs/>
          <w:color w:val="auto"/>
          <w:kern w:val="44"/>
          <w:sz w:val="30"/>
          <w:szCs w:val="30"/>
        </w:rPr>
      </w:pPr>
      <w:bookmarkStart w:id="90" w:name="_Toc16600"/>
      <w:r>
        <w:rPr>
          <w:b/>
          <w:bCs/>
          <w:color w:val="auto"/>
          <w:kern w:val="44"/>
          <w:sz w:val="30"/>
          <w:szCs w:val="30"/>
        </w:rPr>
        <w:t>3.3污染源源强核算</w:t>
      </w:r>
      <w:bookmarkEnd w:id="89"/>
      <w:bookmarkEnd w:id="90"/>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3.3.1施工期污染源强核算</w:t>
      </w:r>
    </w:p>
    <w:p>
      <w:pPr>
        <w:spacing w:line="360" w:lineRule="auto"/>
        <w:outlineLvl w:val="3"/>
        <w:rPr>
          <w:b/>
          <w:color w:val="auto"/>
          <w:sz w:val="24"/>
        </w:rPr>
      </w:pPr>
      <w:r>
        <w:rPr>
          <w:b/>
          <w:color w:val="auto"/>
          <w:sz w:val="24"/>
        </w:rPr>
        <w:t>3.3.</w:t>
      </w:r>
      <w:r>
        <w:rPr>
          <w:rFonts w:hint="eastAsia"/>
          <w:b/>
          <w:color w:val="auto"/>
          <w:sz w:val="24"/>
        </w:rPr>
        <w:t>1</w:t>
      </w:r>
      <w:r>
        <w:rPr>
          <w:b/>
          <w:color w:val="auto"/>
          <w:sz w:val="24"/>
        </w:rPr>
        <w:t>.1废水污染分析</w:t>
      </w:r>
    </w:p>
    <w:p>
      <w:pPr>
        <w:widowControl/>
        <w:spacing w:line="360" w:lineRule="auto"/>
        <w:ind w:firstLine="480" w:firstLineChars="200"/>
        <w:rPr>
          <w:color w:val="auto"/>
          <w:kern w:val="0"/>
          <w:sz w:val="24"/>
        </w:rPr>
      </w:pPr>
      <w:r>
        <w:rPr>
          <w:color w:val="auto"/>
          <w:kern w:val="0"/>
          <w:sz w:val="24"/>
        </w:rPr>
        <w:t>项目施工期对水环境造成的影响主要有施工废水和生活污水。本项目施工期使用商品混凝土，不现场搅拌，无混凝土搅拌废水。施工废水主要来源于机械设备及运输车辆冲洗废水，主要污染物为石油类和悬浮物。施工现场设置沉淀池，</w:t>
      </w:r>
      <w:r>
        <w:rPr>
          <w:rFonts w:hint="eastAsia"/>
          <w:color w:val="auto"/>
          <w:kern w:val="0"/>
          <w:sz w:val="24"/>
        </w:rPr>
        <w:t>施工</w:t>
      </w:r>
      <w:r>
        <w:rPr>
          <w:color w:val="auto"/>
          <w:kern w:val="0"/>
          <w:sz w:val="24"/>
        </w:rPr>
        <w:t>废水</w:t>
      </w:r>
      <w:r>
        <w:rPr>
          <w:rFonts w:hint="eastAsia"/>
          <w:color w:val="auto"/>
          <w:kern w:val="0"/>
          <w:sz w:val="24"/>
        </w:rPr>
        <w:t>经</w:t>
      </w:r>
      <w:r>
        <w:rPr>
          <w:color w:val="auto"/>
          <w:kern w:val="0"/>
          <w:sz w:val="24"/>
        </w:rPr>
        <w:t>沉淀后</w:t>
      </w:r>
      <w:r>
        <w:rPr>
          <w:rFonts w:hint="eastAsia"/>
          <w:color w:val="auto"/>
          <w:kern w:val="0"/>
          <w:sz w:val="24"/>
        </w:rPr>
        <w:t>用于</w:t>
      </w:r>
      <w:r>
        <w:rPr>
          <w:color w:val="auto"/>
          <w:kern w:val="0"/>
          <w:sz w:val="24"/>
        </w:rPr>
        <w:t>场地降尘，不外排。</w:t>
      </w:r>
    </w:p>
    <w:p>
      <w:pPr>
        <w:widowControl/>
        <w:spacing w:line="360" w:lineRule="auto"/>
        <w:ind w:firstLine="480" w:firstLineChars="200"/>
        <w:rPr>
          <w:color w:val="auto"/>
          <w:kern w:val="0"/>
          <w:sz w:val="24"/>
        </w:rPr>
      </w:pPr>
      <w:r>
        <w:rPr>
          <w:color w:val="auto"/>
          <w:kern w:val="0"/>
          <w:sz w:val="24"/>
        </w:rPr>
        <w:t>施工期生活污水主要是集中于施工现场的生活污水，其水质和一般的城市</w:t>
      </w:r>
      <w:r>
        <w:rPr>
          <w:rFonts w:hint="eastAsia"/>
          <w:color w:val="auto"/>
          <w:kern w:val="0"/>
          <w:sz w:val="24"/>
          <w:lang w:eastAsia="zh-CN"/>
        </w:rPr>
        <w:t>生活污水</w:t>
      </w:r>
      <w:r>
        <w:rPr>
          <w:color w:val="auto"/>
          <w:kern w:val="0"/>
          <w:sz w:val="24"/>
        </w:rPr>
        <w:t>区别不大，如不采取必要的防治措施，将会对区域水环境产生一定的不利影响</w:t>
      </w:r>
      <w:r>
        <w:rPr>
          <w:rFonts w:hint="eastAsia"/>
          <w:color w:val="auto"/>
          <w:kern w:val="0"/>
          <w:sz w:val="24"/>
        </w:rPr>
        <w:t>。</w:t>
      </w:r>
      <w:r>
        <w:rPr>
          <w:color w:val="auto"/>
          <w:kern w:val="0"/>
          <w:sz w:val="24"/>
        </w:rPr>
        <w:t>施工现场高峰期人数约为</w:t>
      </w:r>
      <w:r>
        <w:rPr>
          <w:rFonts w:hint="eastAsia"/>
          <w:color w:val="auto"/>
          <w:kern w:val="0"/>
          <w:sz w:val="24"/>
        </w:rPr>
        <w:t>20</w:t>
      </w:r>
      <w:r>
        <w:rPr>
          <w:color w:val="auto"/>
          <w:kern w:val="0"/>
          <w:sz w:val="24"/>
        </w:rPr>
        <w:t>人，</w:t>
      </w:r>
      <w:r>
        <w:rPr>
          <w:rFonts w:hint="eastAsia"/>
          <w:color w:val="auto"/>
          <w:kern w:val="0"/>
          <w:sz w:val="24"/>
        </w:rPr>
        <w:t>参照</w:t>
      </w:r>
      <w:r>
        <w:rPr>
          <w:color w:val="auto"/>
          <w:kern w:val="0"/>
          <w:sz w:val="24"/>
        </w:rPr>
        <w:t>《建筑给水排水设计标准》（GB50015—2019），施工人员生活用水采用30L/人•d计，废水排放系数按0.8计，则施工人员产生生活污水约为0.48t/d，施工期约</w:t>
      </w:r>
      <w:r>
        <w:rPr>
          <w:rFonts w:hint="eastAsia"/>
          <w:color w:val="auto"/>
          <w:kern w:val="0"/>
          <w:sz w:val="24"/>
        </w:rPr>
        <w:t>6个月，施工期共产生生活污水86.4t。</w:t>
      </w:r>
      <w:r>
        <w:rPr>
          <w:color w:val="auto"/>
          <w:kern w:val="0"/>
          <w:sz w:val="24"/>
        </w:rPr>
        <w:t>污染物产生情况见下表。施工场地不设置食堂。施工现场设置防渗旱厕收集施工人员如厕废水，定期清掏，外运堆肥，不外排。</w:t>
      </w:r>
    </w:p>
    <w:p>
      <w:pPr>
        <w:pStyle w:val="7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ascii="Times New Roman" w:hAnsi="Times New Roman" w:cs="Times New Roman"/>
          <w:snapToGrid w:val="0"/>
          <w:color w:val="auto"/>
          <w:sz w:val="24"/>
          <w:szCs w:val="24"/>
        </w:rPr>
      </w:pPr>
      <w:r>
        <w:rPr>
          <w:rFonts w:ascii="Times New Roman" w:hAnsi="Times New Roman" w:cs="Times New Roman"/>
          <w:snapToGrid w:val="0"/>
          <w:color w:val="auto"/>
          <w:sz w:val="24"/>
          <w:szCs w:val="24"/>
        </w:rPr>
        <w:t>表3-3-1施工期生活污水排放情况表</w:t>
      </w:r>
    </w:p>
    <w:tbl>
      <w:tblPr>
        <w:tblStyle w:val="4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72"/>
        <w:gridCol w:w="2112"/>
        <w:gridCol w:w="1232"/>
        <w:gridCol w:w="1236"/>
        <w:gridCol w:w="1236"/>
        <w:gridCol w:w="12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 w:hRule="atLeast"/>
        </w:trPr>
        <w:tc>
          <w:tcPr>
            <w:tcW w:w="864"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废水量（t/d）</w:t>
            </w:r>
          </w:p>
        </w:tc>
        <w:tc>
          <w:tcPr>
            <w:tcW w:w="1239"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水质</w:t>
            </w:r>
          </w:p>
        </w:tc>
        <w:tc>
          <w:tcPr>
            <w:tcW w:w="723"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CODcr</w:t>
            </w:r>
          </w:p>
        </w:tc>
        <w:tc>
          <w:tcPr>
            <w:tcW w:w="725"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BOD</w:t>
            </w:r>
            <w:r>
              <w:rPr>
                <w:rFonts w:hAnsi="Times New Roman"/>
                <w:snapToGrid w:val="0"/>
                <w:color w:val="auto"/>
                <w:szCs w:val="22"/>
                <w:vertAlign w:val="subscript"/>
              </w:rPr>
              <w:t>5</w:t>
            </w:r>
          </w:p>
        </w:tc>
        <w:tc>
          <w:tcPr>
            <w:tcW w:w="725"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SS</w:t>
            </w:r>
          </w:p>
        </w:tc>
        <w:tc>
          <w:tcPr>
            <w:tcW w:w="724"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氨氮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864" w:type="pct"/>
            <w:vMerge w:val="restar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0.48</w:t>
            </w:r>
          </w:p>
        </w:tc>
        <w:tc>
          <w:tcPr>
            <w:tcW w:w="1239"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产生浓度（mg/L）</w:t>
            </w:r>
          </w:p>
        </w:tc>
        <w:tc>
          <w:tcPr>
            <w:tcW w:w="723"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300</w:t>
            </w:r>
          </w:p>
        </w:tc>
        <w:tc>
          <w:tcPr>
            <w:tcW w:w="725"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200</w:t>
            </w:r>
          </w:p>
        </w:tc>
        <w:tc>
          <w:tcPr>
            <w:tcW w:w="725"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200</w:t>
            </w:r>
          </w:p>
        </w:tc>
        <w:tc>
          <w:tcPr>
            <w:tcW w:w="724"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0" w:type="auto"/>
            <w:vMerge w:val="continue"/>
            <w:shd w:val="clear" w:color="auto" w:fill="auto"/>
            <w:vAlign w:val="center"/>
          </w:tcPr>
          <w:p>
            <w:pPr>
              <w:pStyle w:val="84"/>
              <w:spacing w:line="0" w:lineRule="atLeast"/>
              <w:rPr>
                <w:rFonts w:hAnsi="Times New Roman"/>
                <w:snapToGrid w:val="0"/>
                <w:color w:val="auto"/>
              </w:rPr>
            </w:pPr>
          </w:p>
        </w:tc>
        <w:tc>
          <w:tcPr>
            <w:tcW w:w="1239" w:type="pct"/>
            <w:shd w:val="clear" w:color="auto" w:fill="auto"/>
            <w:vAlign w:val="center"/>
          </w:tcPr>
          <w:p>
            <w:pPr>
              <w:pStyle w:val="84"/>
              <w:spacing w:line="0" w:lineRule="atLeast"/>
              <w:rPr>
                <w:rFonts w:hAnsi="Times New Roman"/>
                <w:b/>
                <w:snapToGrid w:val="0"/>
                <w:color w:val="auto"/>
                <w:szCs w:val="22"/>
              </w:rPr>
            </w:pPr>
            <w:r>
              <w:rPr>
                <w:rFonts w:hAnsi="Times New Roman"/>
                <w:snapToGrid w:val="0"/>
                <w:color w:val="auto"/>
                <w:szCs w:val="22"/>
              </w:rPr>
              <w:t>产生量（kg/d）</w:t>
            </w:r>
          </w:p>
        </w:tc>
        <w:tc>
          <w:tcPr>
            <w:tcW w:w="723"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0.144</w:t>
            </w:r>
          </w:p>
        </w:tc>
        <w:tc>
          <w:tcPr>
            <w:tcW w:w="725"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0.096</w:t>
            </w:r>
          </w:p>
        </w:tc>
        <w:tc>
          <w:tcPr>
            <w:tcW w:w="725"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0.096</w:t>
            </w:r>
          </w:p>
        </w:tc>
        <w:tc>
          <w:tcPr>
            <w:tcW w:w="724"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0.0144</w:t>
            </w:r>
          </w:p>
        </w:tc>
      </w:tr>
    </w:tbl>
    <w:p>
      <w:pPr>
        <w:spacing w:line="360" w:lineRule="auto"/>
        <w:outlineLvl w:val="3"/>
        <w:rPr>
          <w:b/>
          <w:color w:val="auto"/>
          <w:sz w:val="24"/>
        </w:rPr>
      </w:pPr>
      <w:r>
        <w:rPr>
          <w:b/>
          <w:color w:val="auto"/>
          <w:sz w:val="24"/>
        </w:rPr>
        <w:t>3.3.</w:t>
      </w:r>
      <w:r>
        <w:rPr>
          <w:rFonts w:hint="eastAsia"/>
          <w:b/>
          <w:color w:val="auto"/>
          <w:sz w:val="24"/>
        </w:rPr>
        <w:t>1</w:t>
      </w:r>
      <w:r>
        <w:rPr>
          <w:b/>
          <w:color w:val="auto"/>
          <w:sz w:val="24"/>
        </w:rPr>
        <w:t>.</w:t>
      </w:r>
      <w:r>
        <w:rPr>
          <w:rFonts w:hint="eastAsia"/>
          <w:b/>
          <w:color w:val="auto"/>
          <w:sz w:val="24"/>
        </w:rPr>
        <w:t>2废气</w:t>
      </w:r>
      <w:r>
        <w:rPr>
          <w:b/>
          <w:color w:val="auto"/>
          <w:sz w:val="24"/>
        </w:rPr>
        <w:t>污染分析</w:t>
      </w:r>
    </w:p>
    <w:p>
      <w:pPr>
        <w:pStyle w:val="74"/>
        <w:adjustRightInd/>
        <w:snapToGrid/>
        <w:jc w:val="both"/>
        <w:rPr>
          <w:rFonts w:ascii="Times New Roman" w:hAnsi="Times New Roman" w:eastAsia="宋体" w:cs="Times New Roman"/>
          <w:snapToGrid w:val="0"/>
          <w:color w:val="auto"/>
        </w:rPr>
      </w:pPr>
      <w:r>
        <w:rPr>
          <w:rFonts w:ascii="Times New Roman" w:hAnsi="Times New Roman" w:eastAsia="宋体" w:cs="Times New Roman"/>
          <w:snapToGrid w:val="0"/>
          <w:color w:val="auto"/>
        </w:rPr>
        <w:t>施工期大气污染物主要为施工机械、运输车辆尾气，施工环节产生的扬尘。施工期扬尘主要产生于</w:t>
      </w:r>
      <w:r>
        <w:rPr>
          <w:rFonts w:hint="eastAsia" w:ascii="Times New Roman" w:hAnsi="Times New Roman" w:eastAsia="宋体" w:cs="Times New Roman"/>
          <w:snapToGrid w:val="0"/>
          <w:color w:val="auto"/>
          <w:lang w:val="en-US" w:eastAsia="zh-CN"/>
        </w:rPr>
        <w:t>屠宰车间、待宰间、急宰间</w:t>
      </w:r>
      <w:r>
        <w:rPr>
          <w:rFonts w:ascii="Times New Roman" w:hAnsi="Times New Roman" w:eastAsia="宋体" w:cs="Times New Roman"/>
          <w:snapToGrid w:val="0"/>
          <w:color w:val="auto"/>
        </w:rPr>
        <w:t>、平整土地、建材装卸以及车辆行使等作业环节。根据类比调查，施工作业场地近地面扬尘浓度可达1.5mg/m</w:t>
      </w:r>
      <w:r>
        <w:rPr>
          <w:rFonts w:ascii="Times New Roman" w:hAnsi="Times New Roman" w:eastAsia="宋体" w:cs="Times New Roman"/>
          <w:snapToGrid w:val="0"/>
          <w:color w:val="auto"/>
          <w:vertAlign w:val="superscript"/>
        </w:rPr>
        <w:t>3</w:t>
      </w:r>
      <w:r>
        <w:rPr>
          <w:rFonts w:ascii="Times New Roman" w:hAnsi="Times New Roman" w:eastAsia="宋体" w:cs="Times New Roman"/>
          <w:snapToGrid w:val="0"/>
          <w:color w:val="auto"/>
        </w:rPr>
        <w:t>～30mg/m</w:t>
      </w:r>
      <w:r>
        <w:rPr>
          <w:rFonts w:ascii="Times New Roman" w:hAnsi="Times New Roman" w:eastAsia="宋体" w:cs="Times New Roman"/>
          <w:snapToGrid w:val="0"/>
          <w:color w:val="auto"/>
          <w:vertAlign w:val="superscript"/>
        </w:rPr>
        <w:t>3</w:t>
      </w:r>
      <w:r>
        <w:rPr>
          <w:rFonts w:ascii="Times New Roman" w:hAnsi="Times New Roman" w:eastAsia="宋体" w:cs="Times New Roman"/>
          <w:snapToGrid w:val="0"/>
          <w:color w:val="auto"/>
        </w:rPr>
        <w:t>，将对项目周边产生一定的不利影响。考虑到施工期产生扬尘颗粒粒径较大，受自然沉降作用明显。由于施工机械数量少且较分散，施工期不长，其污染程度相对较轻。</w:t>
      </w:r>
    </w:p>
    <w:p>
      <w:pPr>
        <w:pStyle w:val="74"/>
        <w:adjustRightInd/>
        <w:snapToGrid/>
        <w:jc w:val="both"/>
        <w:rPr>
          <w:rFonts w:ascii="Times New Roman" w:hAnsi="Times New Roman" w:eastAsia="宋体" w:cs="Times New Roman"/>
          <w:snapToGrid w:val="0"/>
          <w:color w:val="auto"/>
        </w:rPr>
      </w:pPr>
      <w:r>
        <w:rPr>
          <w:rFonts w:ascii="Times New Roman" w:hAnsi="Times New Roman" w:eastAsia="宋体" w:cs="Times New Roman"/>
          <w:snapToGrid w:val="0"/>
          <w:color w:val="auto"/>
        </w:rPr>
        <w:t>根据有关资料显示，施工现场扬尘的另一个主要来源是车辆运输造成的，约占扬尘总量的60%。扬尘量的大小与天气干燥程度、道路路况、车辆行驶速度、风速大小等有关。一般情况下，在自然风作用下道路扬尘影响范围在100m以内，在大风天气，扬尘量及影响范围将有所扩大。对于施工中的挖方、填方作业及施工场地，采用洒水降尘湿法作业抑制扬尘，以降低对大气环境影响。</w:t>
      </w:r>
    </w:p>
    <w:p>
      <w:pPr>
        <w:spacing w:line="360" w:lineRule="auto"/>
        <w:outlineLvl w:val="3"/>
        <w:rPr>
          <w:b/>
          <w:color w:val="auto"/>
          <w:sz w:val="24"/>
        </w:rPr>
      </w:pPr>
      <w:r>
        <w:rPr>
          <w:b/>
          <w:color w:val="auto"/>
          <w:sz w:val="24"/>
        </w:rPr>
        <w:t>3.3.</w:t>
      </w:r>
      <w:r>
        <w:rPr>
          <w:rFonts w:hint="eastAsia"/>
          <w:b/>
          <w:color w:val="auto"/>
          <w:sz w:val="24"/>
        </w:rPr>
        <w:t>1</w:t>
      </w:r>
      <w:r>
        <w:rPr>
          <w:b/>
          <w:color w:val="auto"/>
          <w:sz w:val="24"/>
        </w:rPr>
        <w:t>.</w:t>
      </w:r>
      <w:r>
        <w:rPr>
          <w:rFonts w:hint="eastAsia"/>
          <w:b/>
          <w:color w:val="auto"/>
          <w:sz w:val="24"/>
        </w:rPr>
        <w:t>3噪声</w:t>
      </w:r>
      <w:r>
        <w:rPr>
          <w:b/>
          <w:color w:val="auto"/>
          <w:sz w:val="24"/>
        </w:rPr>
        <w:t>污染分析</w:t>
      </w:r>
    </w:p>
    <w:p>
      <w:pPr>
        <w:spacing w:line="360" w:lineRule="auto"/>
        <w:ind w:firstLine="480" w:firstLineChars="200"/>
        <w:contextualSpacing/>
        <w:rPr>
          <w:color w:val="auto"/>
          <w:sz w:val="24"/>
        </w:rPr>
      </w:pPr>
      <w:r>
        <w:rPr>
          <w:color w:val="auto"/>
          <w:sz w:val="24"/>
        </w:rPr>
        <w:t>不同施工阶段的噪声源和物性不同可分为：</w:t>
      </w:r>
    </w:p>
    <w:p>
      <w:pPr>
        <w:spacing w:line="360" w:lineRule="auto"/>
        <w:ind w:firstLine="480" w:firstLineChars="200"/>
        <w:contextualSpacing/>
        <w:rPr>
          <w:color w:val="auto"/>
          <w:sz w:val="24"/>
        </w:rPr>
      </w:pPr>
      <w:r>
        <w:rPr>
          <w:rFonts w:hint="eastAsia" w:ascii="宋体" w:hAnsi="宋体" w:cs="宋体"/>
          <w:color w:val="auto"/>
          <w:sz w:val="24"/>
        </w:rPr>
        <w:t>①</w:t>
      </w:r>
      <w:r>
        <w:rPr>
          <w:color w:val="auto"/>
          <w:sz w:val="24"/>
        </w:rPr>
        <w:t>基础施工阶段：主要噪声源是装载机、挖掘机、推土机等，大部分为移动声源。该阶段占整个施工期比例较小，但噪声大；</w:t>
      </w:r>
    </w:p>
    <w:p>
      <w:pPr>
        <w:spacing w:line="360" w:lineRule="auto"/>
        <w:ind w:firstLine="480" w:firstLineChars="200"/>
        <w:contextualSpacing/>
        <w:rPr>
          <w:color w:val="auto"/>
          <w:sz w:val="24"/>
        </w:rPr>
      </w:pPr>
      <w:r>
        <w:rPr>
          <w:rFonts w:hint="eastAsia" w:ascii="宋体" w:hAnsi="宋体" w:cs="宋体"/>
          <w:color w:val="auto"/>
          <w:sz w:val="24"/>
        </w:rPr>
        <w:t>②</w:t>
      </w:r>
      <w:r>
        <w:rPr>
          <w:color w:val="auto"/>
          <w:sz w:val="24"/>
        </w:rPr>
        <w:t>建筑结构施工阶段：主要噪声源是塔式起重机、钢筋调直机、电渣焊机、电焊机、石料切割机、机械振捣器和电锯等，此阶段占整个施工期比例最大。声源有固定的也有移动的；</w:t>
      </w:r>
    </w:p>
    <w:p>
      <w:pPr>
        <w:spacing w:line="360" w:lineRule="auto"/>
        <w:ind w:firstLine="480" w:firstLineChars="200"/>
        <w:contextualSpacing/>
        <w:rPr>
          <w:color w:val="auto"/>
          <w:sz w:val="24"/>
        </w:rPr>
      </w:pPr>
      <w:r>
        <w:rPr>
          <w:rFonts w:hint="eastAsia" w:ascii="宋体" w:hAnsi="宋体" w:cs="宋体"/>
          <w:color w:val="auto"/>
          <w:sz w:val="24"/>
        </w:rPr>
        <w:t>③</w:t>
      </w:r>
      <w:r>
        <w:rPr>
          <w:color w:val="auto"/>
          <w:sz w:val="24"/>
        </w:rPr>
        <w:t>设备安装阶段：主要噪声源有电锯、电锤、电刨、塔吊、套丝切管机、多功能木工刨等。此阶段占施工期的比例也较大，但大部分在</w:t>
      </w:r>
      <w:r>
        <w:rPr>
          <w:rFonts w:hint="eastAsia"/>
          <w:color w:val="auto"/>
          <w:sz w:val="24"/>
        </w:rPr>
        <w:t>厂房</w:t>
      </w:r>
      <w:r>
        <w:rPr>
          <w:color w:val="auto"/>
          <w:sz w:val="24"/>
        </w:rPr>
        <w:t>内部使用，对环境影响不大。</w:t>
      </w:r>
    </w:p>
    <w:p>
      <w:pPr>
        <w:spacing w:line="360" w:lineRule="auto"/>
        <w:ind w:firstLine="480" w:firstLineChars="200"/>
        <w:rPr>
          <w:color w:val="auto"/>
          <w:sz w:val="24"/>
        </w:rPr>
      </w:pPr>
      <w:r>
        <w:rPr>
          <w:color w:val="auto"/>
          <w:sz w:val="24"/>
        </w:rPr>
        <w:t>各施工阶段主要噪声源强详见表3-</w:t>
      </w:r>
      <w:r>
        <w:rPr>
          <w:rFonts w:hint="eastAsia"/>
          <w:color w:val="auto"/>
          <w:sz w:val="24"/>
        </w:rPr>
        <w:t>3</w:t>
      </w:r>
      <w:r>
        <w:rPr>
          <w:color w:val="auto"/>
          <w:sz w:val="24"/>
        </w:rPr>
        <w:t>-</w:t>
      </w:r>
      <w:r>
        <w:rPr>
          <w:rFonts w:hint="eastAsia"/>
          <w:color w:val="auto"/>
          <w:sz w:val="24"/>
        </w:rPr>
        <w:t>2</w:t>
      </w:r>
      <w:r>
        <w:rPr>
          <w:color w:val="auto"/>
          <w:sz w:val="24"/>
        </w:rPr>
        <w:t>。</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sz w:val="24"/>
        </w:rPr>
      </w:pPr>
      <w:r>
        <w:rPr>
          <w:b/>
          <w:color w:val="auto"/>
          <w:sz w:val="24"/>
        </w:rPr>
        <w:t>表3-</w:t>
      </w:r>
      <w:r>
        <w:rPr>
          <w:rFonts w:hint="eastAsia"/>
          <w:b/>
          <w:color w:val="auto"/>
          <w:sz w:val="24"/>
        </w:rPr>
        <w:t>3</w:t>
      </w:r>
      <w:r>
        <w:rPr>
          <w:b/>
          <w:color w:val="auto"/>
          <w:sz w:val="24"/>
        </w:rPr>
        <w:t>-</w:t>
      </w:r>
      <w:r>
        <w:rPr>
          <w:rFonts w:hint="eastAsia"/>
          <w:b/>
          <w:color w:val="auto"/>
          <w:sz w:val="24"/>
        </w:rPr>
        <w:t>2</w:t>
      </w:r>
      <w:r>
        <w:rPr>
          <w:b/>
          <w:color w:val="auto"/>
          <w:sz w:val="24"/>
        </w:rPr>
        <w:t>各施工阶段主要噪声源强及周围环境噪声情况</w:t>
      </w:r>
    </w:p>
    <w:tbl>
      <w:tblPr>
        <w:tblStyle w:val="46"/>
        <w:tblW w:w="843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844"/>
        <w:gridCol w:w="2030"/>
        <w:gridCol w:w="1272"/>
        <w:gridCol w:w="328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5" w:hRule="atLeast"/>
          <w:tblHeader/>
          <w:jc w:val="center"/>
        </w:trPr>
        <w:tc>
          <w:tcPr>
            <w:tcW w:w="1844" w:type="dxa"/>
            <w:vAlign w:val="center"/>
          </w:tcPr>
          <w:p>
            <w:pPr>
              <w:widowControl/>
              <w:spacing w:line="240" w:lineRule="atLeast"/>
              <w:jc w:val="center"/>
              <w:rPr>
                <w:color w:val="auto"/>
                <w:kern w:val="0"/>
                <w:szCs w:val="21"/>
              </w:rPr>
            </w:pPr>
            <w:r>
              <w:rPr>
                <w:color w:val="auto"/>
                <w:kern w:val="0"/>
                <w:szCs w:val="21"/>
              </w:rPr>
              <w:t>施工阶段</w:t>
            </w:r>
          </w:p>
        </w:tc>
        <w:tc>
          <w:tcPr>
            <w:tcW w:w="2030" w:type="dxa"/>
            <w:vAlign w:val="center"/>
          </w:tcPr>
          <w:p>
            <w:pPr>
              <w:widowControl/>
              <w:spacing w:line="240" w:lineRule="atLeast"/>
              <w:jc w:val="center"/>
              <w:rPr>
                <w:color w:val="auto"/>
                <w:kern w:val="0"/>
                <w:szCs w:val="21"/>
              </w:rPr>
            </w:pPr>
            <w:r>
              <w:rPr>
                <w:color w:val="auto"/>
                <w:kern w:val="0"/>
                <w:szCs w:val="21"/>
              </w:rPr>
              <w:t>声源</w:t>
            </w:r>
          </w:p>
        </w:tc>
        <w:tc>
          <w:tcPr>
            <w:tcW w:w="1272" w:type="dxa"/>
            <w:vAlign w:val="center"/>
          </w:tcPr>
          <w:p>
            <w:pPr>
              <w:widowControl/>
              <w:spacing w:line="240" w:lineRule="atLeast"/>
              <w:jc w:val="center"/>
              <w:rPr>
                <w:color w:val="auto"/>
                <w:kern w:val="0"/>
                <w:szCs w:val="21"/>
              </w:rPr>
            </w:pPr>
            <w:r>
              <w:rPr>
                <w:color w:val="auto"/>
                <w:kern w:val="0"/>
                <w:szCs w:val="21"/>
              </w:rPr>
              <w:t>型号规格</w:t>
            </w:r>
          </w:p>
        </w:tc>
        <w:tc>
          <w:tcPr>
            <w:tcW w:w="3284" w:type="dxa"/>
            <w:vAlign w:val="center"/>
          </w:tcPr>
          <w:p>
            <w:pPr>
              <w:widowControl/>
              <w:spacing w:line="240" w:lineRule="atLeast"/>
              <w:jc w:val="center"/>
              <w:rPr>
                <w:color w:val="auto"/>
                <w:kern w:val="0"/>
                <w:szCs w:val="21"/>
              </w:rPr>
            </w:pPr>
            <w:r>
              <w:rPr>
                <w:color w:val="auto"/>
                <w:kern w:val="0"/>
                <w:szCs w:val="21"/>
              </w:rPr>
              <w:t>噪声源强dB(A)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blHeader/>
          <w:jc w:val="center"/>
        </w:trPr>
        <w:tc>
          <w:tcPr>
            <w:tcW w:w="1844" w:type="dxa"/>
            <w:vMerge w:val="restart"/>
            <w:vAlign w:val="center"/>
          </w:tcPr>
          <w:p>
            <w:pPr>
              <w:widowControl/>
              <w:spacing w:line="240" w:lineRule="atLeast"/>
              <w:jc w:val="center"/>
              <w:rPr>
                <w:color w:val="auto"/>
                <w:kern w:val="0"/>
                <w:szCs w:val="21"/>
              </w:rPr>
            </w:pPr>
            <w:r>
              <w:rPr>
                <w:color w:val="auto"/>
                <w:kern w:val="0"/>
                <w:szCs w:val="21"/>
              </w:rPr>
              <w:t>基础阶段</w:t>
            </w:r>
          </w:p>
        </w:tc>
        <w:tc>
          <w:tcPr>
            <w:tcW w:w="2030" w:type="dxa"/>
            <w:vAlign w:val="center"/>
          </w:tcPr>
          <w:p>
            <w:pPr>
              <w:widowControl/>
              <w:spacing w:line="240" w:lineRule="atLeast"/>
              <w:jc w:val="center"/>
              <w:rPr>
                <w:color w:val="auto"/>
                <w:kern w:val="0"/>
                <w:szCs w:val="21"/>
              </w:rPr>
            </w:pPr>
            <w:r>
              <w:rPr>
                <w:color w:val="auto"/>
                <w:kern w:val="0"/>
                <w:szCs w:val="21"/>
              </w:rPr>
              <w:t>装载机</w:t>
            </w:r>
          </w:p>
        </w:tc>
        <w:tc>
          <w:tcPr>
            <w:tcW w:w="1272" w:type="dxa"/>
            <w:vAlign w:val="center"/>
          </w:tcPr>
          <w:p>
            <w:pPr>
              <w:widowControl/>
              <w:spacing w:line="240" w:lineRule="atLeast"/>
              <w:jc w:val="center"/>
              <w:rPr>
                <w:color w:val="auto"/>
                <w:kern w:val="0"/>
                <w:szCs w:val="21"/>
              </w:rPr>
            </w:pPr>
            <w:r>
              <w:rPr>
                <w:color w:val="auto"/>
                <w:kern w:val="0"/>
                <w:szCs w:val="21"/>
              </w:rPr>
              <w:t>/</w:t>
            </w:r>
          </w:p>
        </w:tc>
        <w:tc>
          <w:tcPr>
            <w:tcW w:w="3284" w:type="dxa"/>
            <w:vAlign w:val="center"/>
          </w:tcPr>
          <w:p>
            <w:pPr>
              <w:widowControl/>
              <w:spacing w:line="240" w:lineRule="atLeast"/>
              <w:jc w:val="center"/>
              <w:rPr>
                <w:color w:val="auto"/>
                <w:kern w:val="0"/>
                <w:szCs w:val="21"/>
              </w:rPr>
            </w:pPr>
            <w:r>
              <w:rPr>
                <w:color w:val="auto"/>
                <w:kern w:val="0"/>
                <w:szCs w:val="21"/>
              </w:rPr>
              <w:t>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blHeader/>
          <w:jc w:val="center"/>
        </w:trPr>
        <w:tc>
          <w:tcPr>
            <w:tcW w:w="1844" w:type="dxa"/>
            <w:vMerge w:val="continue"/>
            <w:vAlign w:val="center"/>
          </w:tcPr>
          <w:p>
            <w:pPr>
              <w:widowControl/>
              <w:jc w:val="left"/>
              <w:rPr>
                <w:color w:val="auto"/>
                <w:kern w:val="0"/>
                <w:szCs w:val="21"/>
              </w:rPr>
            </w:pPr>
          </w:p>
        </w:tc>
        <w:tc>
          <w:tcPr>
            <w:tcW w:w="2030" w:type="dxa"/>
            <w:vAlign w:val="center"/>
          </w:tcPr>
          <w:p>
            <w:pPr>
              <w:widowControl/>
              <w:spacing w:line="240" w:lineRule="atLeast"/>
              <w:jc w:val="center"/>
              <w:rPr>
                <w:color w:val="auto"/>
                <w:kern w:val="0"/>
                <w:szCs w:val="21"/>
              </w:rPr>
            </w:pPr>
            <w:r>
              <w:rPr>
                <w:color w:val="auto"/>
                <w:kern w:val="0"/>
                <w:szCs w:val="21"/>
              </w:rPr>
              <w:t>挖掘机</w:t>
            </w:r>
          </w:p>
        </w:tc>
        <w:tc>
          <w:tcPr>
            <w:tcW w:w="1272" w:type="dxa"/>
            <w:vAlign w:val="center"/>
          </w:tcPr>
          <w:p>
            <w:pPr>
              <w:widowControl/>
              <w:spacing w:line="240" w:lineRule="atLeast"/>
              <w:jc w:val="center"/>
              <w:rPr>
                <w:color w:val="auto"/>
                <w:kern w:val="0"/>
                <w:szCs w:val="21"/>
              </w:rPr>
            </w:pPr>
            <w:r>
              <w:rPr>
                <w:color w:val="auto"/>
                <w:kern w:val="0"/>
                <w:szCs w:val="21"/>
              </w:rPr>
              <w:t>A12-201</w:t>
            </w:r>
          </w:p>
        </w:tc>
        <w:tc>
          <w:tcPr>
            <w:tcW w:w="3284" w:type="dxa"/>
            <w:vAlign w:val="center"/>
          </w:tcPr>
          <w:p>
            <w:pPr>
              <w:widowControl/>
              <w:spacing w:line="240" w:lineRule="atLeast"/>
              <w:jc w:val="center"/>
              <w:rPr>
                <w:color w:val="auto"/>
                <w:kern w:val="0"/>
                <w:szCs w:val="21"/>
              </w:rPr>
            </w:pPr>
            <w:r>
              <w:rPr>
                <w:color w:val="auto"/>
                <w:kern w:val="0"/>
                <w:szCs w:val="21"/>
              </w:rPr>
              <w:t>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blHeader/>
          <w:jc w:val="center"/>
        </w:trPr>
        <w:tc>
          <w:tcPr>
            <w:tcW w:w="1844" w:type="dxa"/>
            <w:vMerge w:val="continue"/>
            <w:vAlign w:val="center"/>
          </w:tcPr>
          <w:p>
            <w:pPr>
              <w:widowControl/>
              <w:jc w:val="left"/>
              <w:rPr>
                <w:color w:val="auto"/>
                <w:kern w:val="0"/>
                <w:szCs w:val="21"/>
              </w:rPr>
            </w:pPr>
          </w:p>
        </w:tc>
        <w:tc>
          <w:tcPr>
            <w:tcW w:w="2030" w:type="dxa"/>
            <w:vAlign w:val="center"/>
          </w:tcPr>
          <w:p>
            <w:pPr>
              <w:widowControl/>
              <w:spacing w:line="240" w:lineRule="atLeast"/>
              <w:jc w:val="center"/>
              <w:rPr>
                <w:color w:val="auto"/>
                <w:kern w:val="0"/>
                <w:szCs w:val="21"/>
              </w:rPr>
            </w:pPr>
            <w:r>
              <w:rPr>
                <w:color w:val="auto"/>
                <w:kern w:val="0"/>
                <w:szCs w:val="21"/>
              </w:rPr>
              <w:t>推土机</w:t>
            </w:r>
          </w:p>
        </w:tc>
        <w:tc>
          <w:tcPr>
            <w:tcW w:w="1272" w:type="dxa"/>
            <w:vAlign w:val="center"/>
          </w:tcPr>
          <w:p>
            <w:pPr>
              <w:widowControl/>
              <w:spacing w:line="240" w:lineRule="atLeast"/>
              <w:jc w:val="center"/>
              <w:rPr>
                <w:color w:val="auto"/>
                <w:kern w:val="0"/>
                <w:szCs w:val="21"/>
              </w:rPr>
            </w:pPr>
            <w:r>
              <w:rPr>
                <w:color w:val="auto"/>
                <w:kern w:val="0"/>
                <w:szCs w:val="21"/>
              </w:rPr>
              <w:t>/</w:t>
            </w:r>
          </w:p>
        </w:tc>
        <w:tc>
          <w:tcPr>
            <w:tcW w:w="3284" w:type="dxa"/>
            <w:vAlign w:val="center"/>
          </w:tcPr>
          <w:p>
            <w:pPr>
              <w:widowControl/>
              <w:spacing w:line="240" w:lineRule="atLeast"/>
              <w:jc w:val="center"/>
              <w:rPr>
                <w:color w:val="auto"/>
                <w:kern w:val="0"/>
                <w:szCs w:val="21"/>
              </w:rPr>
            </w:pPr>
            <w:r>
              <w:rPr>
                <w:color w:val="auto"/>
                <w:kern w:val="0"/>
                <w:szCs w:val="21"/>
              </w:rPr>
              <w:t>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blHeader/>
          <w:jc w:val="center"/>
        </w:trPr>
        <w:tc>
          <w:tcPr>
            <w:tcW w:w="1844" w:type="dxa"/>
            <w:vMerge w:val="restart"/>
            <w:vAlign w:val="center"/>
          </w:tcPr>
          <w:p>
            <w:pPr>
              <w:jc w:val="center"/>
              <w:rPr>
                <w:color w:val="auto"/>
                <w:kern w:val="0"/>
                <w:szCs w:val="21"/>
              </w:rPr>
            </w:pPr>
            <w:r>
              <w:rPr>
                <w:color w:val="auto"/>
                <w:kern w:val="0"/>
                <w:szCs w:val="21"/>
              </w:rPr>
              <w:t>结构阶段</w:t>
            </w:r>
          </w:p>
        </w:tc>
        <w:tc>
          <w:tcPr>
            <w:tcW w:w="2030" w:type="dxa"/>
            <w:vAlign w:val="center"/>
          </w:tcPr>
          <w:p>
            <w:pPr>
              <w:widowControl/>
              <w:spacing w:line="240" w:lineRule="atLeast"/>
              <w:jc w:val="center"/>
              <w:rPr>
                <w:color w:val="auto"/>
                <w:kern w:val="0"/>
                <w:szCs w:val="21"/>
              </w:rPr>
            </w:pPr>
            <w:r>
              <w:rPr>
                <w:color w:val="auto"/>
                <w:kern w:val="0"/>
                <w:szCs w:val="21"/>
              </w:rPr>
              <w:t>塔式起重机</w:t>
            </w:r>
          </w:p>
        </w:tc>
        <w:tc>
          <w:tcPr>
            <w:tcW w:w="1272" w:type="dxa"/>
            <w:vAlign w:val="center"/>
          </w:tcPr>
          <w:p>
            <w:pPr>
              <w:widowControl/>
              <w:spacing w:line="240" w:lineRule="atLeast"/>
              <w:jc w:val="center"/>
              <w:rPr>
                <w:color w:val="auto"/>
                <w:kern w:val="0"/>
                <w:szCs w:val="21"/>
              </w:rPr>
            </w:pPr>
            <w:r>
              <w:rPr>
                <w:color w:val="auto"/>
                <w:kern w:val="0"/>
                <w:szCs w:val="21"/>
              </w:rPr>
              <w:t>HC03215</w:t>
            </w:r>
          </w:p>
        </w:tc>
        <w:tc>
          <w:tcPr>
            <w:tcW w:w="3284" w:type="dxa"/>
            <w:vAlign w:val="center"/>
          </w:tcPr>
          <w:p>
            <w:pPr>
              <w:widowControl/>
              <w:spacing w:line="240" w:lineRule="atLeast"/>
              <w:jc w:val="center"/>
              <w:rPr>
                <w:color w:val="auto"/>
                <w:kern w:val="0"/>
                <w:szCs w:val="21"/>
              </w:rPr>
            </w:pPr>
            <w:r>
              <w:rPr>
                <w:color w:val="auto"/>
                <w:kern w:val="0"/>
                <w:szCs w:val="21"/>
              </w:rPr>
              <w:t>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blHeader/>
          <w:jc w:val="center"/>
        </w:trPr>
        <w:tc>
          <w:tcPr>
            <w:tcW w:w="1844" w:type="dxa"/>
            <w:vMerge w:val="continue"/>
            <w:vAlign w:val="center"/>
          </w:tcPr>
          <w:p>
            <w:pPr>
              <w:widowControl/>
              <w:jc w:val="center"/>
              <w:rPr>
                <w:color w:val="auto"/>
                <w:kern w:val="0"/>
                <w:szCs w:val="21"/>
              </w:rPr>
            </w:pPr>
          </w:p>
        </w:tc>
        <w:tc>
          <w:tcPr>
            <w:tcW w:w="2030" w:type="dxa"/>
            <w:vAlign w:val="center"/>
          </w:tcPr>
          <w:p>
            <w:pPr>
              <w:widowControl/>
              <w:spacing w:line="240" w:lineRule="atLeast"/>
              <w:jc w:val="center"/>
              <w:rPr>
                <w:color w:val="auto"/>
                <w:kern w:val="0"/>
                <w:szCs w:val="21"/>
              </w:rPr>
            </w:pPr>
            <w:r>
              <w:rPr>
                <w:color w:val="auto"/>
                <w:kern w:val="0"/>
                <w:szCs w:val="21"/>
              </w:rPr>
              <w:t>钢筋调直机</w:t>
            </w:r>
          </w:p>
        </w:tc>
        <w:tc>
          <w:tcPr>
            <w:tcW w:w="1272" w:type="dxa"/>
            <w:vAlign w:val="center"/>
          </w:tcPr>
          <w:p>
            <w:pPr>
              <w:widowControl/>
              <w:spacing w:line="240" w:lineRule="atLeast"/>
              <w:jc w:val="center"/>
              <w:rPr>
                <w:color w:val="auto"/>
                <w:kern w:val="0"/>
                <w:szCs w:val="21"/>
              </w:rPr>
            </w:pPr>
            <w:r>
              <w:rPr>
                <w:color w:val="auto"/>
                <w:kern w:val="0"/>
                <w:szCs w:val="21"/>
              </w:rPr>
              <w:t>SP150</w:t>
            </w:r>
          </w:p>
        </w:tc>
        <w:tc>
          <w:tcPr>
            <w:tcW w:w="3284" w:type="dxa"/>
            <w:vAlign w:val="center"/>
          </w:tcPr>
          <w:p>
            <w:pPr>
              <w:widowControl/>
              <w:spacing w:line="240" w:lineRule="atLeast"/>
              <w:jc w:val="center"/>
              <w:rPr>
                <w:color w:val="auto"/>
                <w:kern w:val="0"/>
                <w:szCs w:val="21"/>
              </w:rPr>
            </w:pPr>
            <w:r>
              <w:rPr>
                <w:color w:val="auto"/>
                <w:kern w:val="0"/>
                <w:szCs w:val="21"/>
              </w:rPr>
              <w:t>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blHeader/>
          <w:jc w:val="center"/>
        </w:trPr>
        <w:tc>
          <w:tcPr>
            <w:tcW w:w="1844" w:type="dxa"/>
            <w:vMerge w:val="continue"/>
            <w:vAlign w:val="center"/>
          </w:tcPr>
          <w:p>
            <w:pPr>
              <w:widowControl/>
              <w:jc w:val="left"/>
              <w:rPr>
                <w:color w:val="auto"/>
                <w:kern w:val="0"/>
                <w:szCs w:val="21"/>
              </w:rPr>
            </w:pPr>
          </w:p>
        </w:tc>
        <w:tc>
          <w:tcPr>
            <w:tcW w:w="2030" w:type="dxa"/>
            <w:vAlign w:val="center"/>
          </w:tcPr>
          <w:p>
            <w:pPr>
              <w:widowControl/>
              <w:spacing w:line="240" w:lineRule="atLeast"/>
              <w:jc w:val="center"/>
              <w:rPr>
                <w:color w:val="auto"/>
                <w:kern w:val="0"/>
                <w:szCs w:val="21"/>
              </w:rPr>
            </w:pPr>
            <w:r>
              <w:rPr>
                <w:color w:val="auto"/>
                <w:kern w:val="0"/>
                <w:szCs w:val="21"/>
              </w:rPr>
              <w:t>电渣焊机</w:t>
            </w:r>
          </w:p>
        </w:tc>
        <w:tc>
          <w:tcPr>
            <w:tcW w:w="1272" w:type="dxa"/>
            <w:vAlign w:val="center"/>
          </w:tcPr>
          <w:p>
            <w:pPr>
              <w:widowControl/>
              <w:spacing w:line="240" w:lineRule="atLeast"/>
              <w:jc w:val="center"/>
              <w:rPr>
                <w:color w:val="auto"/>
                <w:kern w:val="0"/>
                <w:szCs w:val="21"/>
              </w:rPr>
            </w:pPr>
            <w:r>
              <w:rPr>
                <w:color w:val="auto"/>
                <w:kern w:val="0"/>
                <w:szCs w:val="21"/>
              </w:rPr>
              <w:t>YT300</w:t>
            </w:r>
          </w:p>
        </w:tc>
        <w:tc>
          <w:tcPr>
            <w:tcW w:w="3284" w:type="dxa"/>
            <w:vAlign w:val="center"/>
          </w:tcPr>
          <w:p>
            <w:pPr>
              <w:widowControl/>
              <w:spacing w:line="240" w:lineRule="atLeast"/>
              <w:jc w:val="center"/>
              <w:rPr>
                <w:color w:val="auto"/>
                <w:kern w:val="0"/>
                <w:szCs w:val="21"/>
              </w:rPr>
            </w:pPr>
            <w:r>
              <w:rPr>
                <w:color w:val="auto"/>
                <w:kern w:val="0"/>
                <w:szCs w:val="21"/>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blHeader/>
          <w:jc w:val="center"/>
        </w:trPr>
        <w:tc>
          <w:tcPr>
            <w:tcW w:w="1844" w:type="dxa"/>
            <w:vMerge w:val="continue"/>
            <w:vAlign w:val="center"/>
          </w:tcPr>
          <w:p>
            <w:pPr>
              <w:widowControl/>
              <w:jc w:val="left"/>
              <w:rPr>
                <w:color w:val="auto"/>
                <w:kern w:val="0"/>
                <w:szCs w:val="21"/>
              </w:rPr>
            </w:pPr>
          </w:p>
        </w:tc>
        <w:tc>
          <w:tcPr>
            <w:tcW w:w="2030" w:type="dxa"/>
            <w:vAlign w:val="center"/>
          </w:tcPr>
          <w:p>
            <w:pPr>
              <w:widowControl/>
              <w:spacing w:line="240" w:lineRule="atLeast"/>
              <w:jc w:val="center"/>
              <w:rPr>
                <w:color w:val="auto"/>
                <w:kern w:val="0"/>
                <w:szCs w:val="21"/>
              </w:rPr>
            </w:pPr>
            <w:r>
              <w:rPr>
                <w:color w:val="auto"/>
                <w:kern w:val="0"/>
                <w:szCs w:val="21"/>
              </w:rPr>
              <w:t>交流电焊机</w:t>
            </w:r>
          </w:p>
        </w:tc>
        <w:tc>
          <w:tcPr>
            <w:tcW w:w="1272" w:type="dxa"/>
            <w:vAlign w:val="center"/>
          </w:tcPr>
          <w:p>
            <w:pPr>
              <w:widowControl/>
              <w:spacing w:line="240" w:lineRule="atLeast"/>
              <w:jc w:val="center"/>
              <w:rPr>
                <w:color w:val="auto"/>
                <w:kern w:val="0"/>
                <w:szCs w:val="21"/>
              </w:rPr>
            </w:pPr>
            <w:r>
              <w:rPr>
                <w:color w:val="auto"/>
                <w:kern w:val="0"/>
                <w:szCs w:val="21"/>
              </w:rPr>
              <w:t>QL150</w:t>
            </w:r>
          </w:p>
        </w:tc>
        <w:tc>
          <w:tcPr>
            <w:tcW w:w="3284" w:type="dxa"/>
            <w:vAlign w:val="center"/>
          </w:tcPr>
          <w:p>
            <w:pPr>
              <w:widowControl/>
              <w:spacing w:line="240" w:lineRule="atLeast"/>
              <w:jc w:val="center"/>
              <w:rPr>
                <w:color w:val="auto"/>
                <w:kern w:val="0"/>
                <w:szCs w:val="21"/>
              </w:rPr>
            </w:pPr>
            <w:r>
              <w:rPr>
                <w:color w:val="auto"/>
                <w:kern w:val="0"/>
                <w:szCs w:val="21"/>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blHeader/>
          <w:jc w:val="center"/>
        </w:trPr>
        <w:tc>
          <w:tcPr>
            <w:tcW w:w="1844" w:type="dxa"/>
            <w:vMerge w:val="continue"/>
            <w:vAlign w:val="center"/>
          </w:tcPr>
          <w:p>
            <w:pPr>
              <w:widowControl/>
              <w:jc w:val="center"/>
              <w:rPr>
                <w:color w:val="auto"/>
                <w:kern w:val="0"/>
                <w:szCs w:val="21"/>
              </w:rPr>
            </w:pPr>
          </w:p>
        </w:tc>
        <w:tc>
          <w:tcPr>
            <w:tcW w:w="2030" w:type="dxa"/>
            <w:vAlign w:val="center"/>
          </w:tcPr>
          <w:p>
            <w:pPr>
              <w:widowControl/>
              <w:spacing w:line="240" w:lineRule="atLeast"/>
              <w:jc w:val="center"/>
              <w:rPr>
                <w:color w:val="auto"/>
                <w:kern w:val="0"/>
                <w:szCs w:val="21"/>
              </w:rPr>
            </w:pPr>
            <w:r>
              <w:rPr>
                <w:color w:val="auto"/>
                <w:kern w:val="0"/>
                <w:szCs w:val="21"/>
              </w:rPr>
              <w:t>直流电焊机</w:t>
            </w:r>
          </w:p>
        </w:tc>
        <w:tc>
          <w:tcPr>
            <w:tcW w:w="1272" w:type="dxa"/>
            <w:vAlign w:val="center"/>
          </w:tcPr>
          <w:p>
            <w:pPr>
              <w:widowControl/>
              <w:spacing w:line="240" w:lineRule="atLeast"/>
              <w:jc w:val="center"/>
              <w:rPr>
                <w:color w:val="auto"/>
                <w:kern w:val="0"/>
                <w:szCs w:val="21"/>
              </w:rPr>
            </w:pPr>
            <w:r>
              <w:rPr>
                <w:color w:val="auto"/>
                <w:kern w:val="0"/>
                <w:szCs w:val="21"/>
              </w:rPr>
              <w:t>S-150</w:t>
            </w:r>
          </w:p>
        </w:tc>
        <w:tc>
          <w:tcPr>
            <w:tcW w:w="3284" w:type="dxa"/>
            <w:vAlign w:val="center"/>
          </w:tcPr>
          <w:p>
            <w:pPr>
              <w:widowControl/>
              <w:spacing w:line="240" w:lineRule="atLeast"/>
              <w:jc w:val="center"/>
              <w:rPr>
                <w:color w:val="auto"/>
                <w:kern w:val="0"/>
                <w:szCs w:val="21"/>
              </w:rPr>
            </w:pPr>
            <w:r>
              <w:rPr>
                <w:color w:val="auto"/>
                <w:kern w:val="0"/>
                <w:szCs w:val="21"/>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blHeader/>
          <w:jc w:val="center"/>
        </w:trPr>
        <w:tc>
          <w:tcPr>
            <w:tcW w:w="1844" w:type="dxa"/>
            <w:vMerge w:val="continue"/>
            <w:vAlign w:val="center"/>
          </w:tcPr>
          <w:p>
            <w:pPr>
              <w:widowControl/>
              <w:jc w:val="left"/>
              <w:rPr>
                <w:color w:val="auto"/>
                <w:kern w:val="0"/>
                <w:szCs w:val="21"/>
              </w:rPr>
            </w:pPr>
          </w:p>
        </w:tc>
        <w:tc>
          <w:tcPr>
            <w:tcW w:w="2030" w:type="dxa"/>
            <w:vAlign w:val="center"/>
          </w:tcPr>
          <w:p>
            <w:pPr>
              <w:widowControl/>
              <w:spacing w:line="240" w:lineRule="atLeast"/>
              <w:jc w:val="center"/>
              <w:rPr>
                <w:color w:val="auto"/>
                <w:kern w:val="0"/>
                <w:szCs w:val="21"/>
              </w:rPr>
            </w:pPr>
            <w:r>
              <w:rPr>
                <w:color w:val="auto"/>
                <w:kern w:val="0"/>
                <w:szCs w:val="21"/>
              </w:rPr>
              <w:t>石料切割机</w:t>
            </w:r>
          </w:p>
        </w:tc>
        <w:tc>
          <w:tcPr>
            <w:tcW w:w="1272" w:type="dxa"/>
            <w:vAlign w:val="center"/>
          </w:tcPr>
          <w:p>
            <w:pPr>
              <w:widowControl/>
              <w:spacing w:line="240" w:lineRule="atLeast"/>
              <w:jc w:val="center"/>
              <w:rPr>
                <w:color w:val="auto"/>
                <w:kern w:val="0"/>
                <w:szCs w:val="21"/>
              </w:rPr>
            </w:pPr>
            <w:r>
              <w:rPr>
                <w:color w:val="auto"/>
                <w:kern w:val="0"/>
                <w:szCs w:val="21"/>
              </w:rPr>
              <w:t>LK50</w:t>
            </w:r>
          </w:p>
        </w:tc>
        <w:tc>
          <w:tcPr>
            <w:tcW w:w="3284" w:type="dxa"/>
            <w:vAlign w:val="center"/>
          </w:tcPr>
          <w:p>
            <w:pPr>
              <w:widowControl/>
              <w:spacing w:line="240" w:lineRule="atLeast"/>
              <w:jc w:val="center"/>
              <w:rPr>
                <w:color w:val="auto"/>
                <w:kern w:val="0"/>
                <w:szCs w:val="21"/>
              </w:rPr>
            </w:pPr>
            <w:r>
              <w:rPr>
                <w:color w:val="auto"/>
                <w:kern w:val="0"/>
                <w:szCs w:val="21"/>
              </w:rPr>
              <w:t>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blHeader/>
          <w:jc w:val="center"/>
        </w:trPr>
        <w:tc>
          <w:tcPr>
            <w:tcW w:w="1844" w:type="dxa"/>
            <w:vMerge w:val="continue"/>
            <w:vAlign w:val="center"/>
          </w:tcPr>
          <w:p>
            <w:pPr>
              <w:widowControl/>
              <w:jc w:val="left"/>
              <w:rPr>
                <w:color w:val="auto"/>
                <w:kern w:val="0"/>
                <w:szCs w:val="21"/>
              </w:rPr>
            </w:pPr>
          </w:p>
        </w:tc>
        <w:tc>
          <w:tcPr>
            <w:tcW w:w="2030" w:type="dxa"/>
            <w:vAlign w:val="center"/>
          </w:tcPr>
          <w:p>
            <w:pPr>
              <w:widowControl/>
              <w:spacing w:line="240" w:lineRule="atLeast"/>
              <w:jc w:val="center"/>
              <w:rPr>
                <w:color w:val="auto"/>
                <w:kern w:val="0"/>
                <w:szCs w:val="21"/>
              </w:rPr>
            </w:pPr>
            <w:r>
              <w:rPr>
                <w:color w:val="auto"/>
                <w:kern w:val="0"/>
                <w:szCs w:val="21"/>
              </w:rPr>
              <w:t>机械振捣器</w:t>
            </w:r>
          </w:p>
        </w:tc>
        <w:tc>
          <w:tcPr>
            <w:tcW w:w="1272" w:type="dxa"/>
            <w:vAlign w:val="center"/>
          </w:tcPr>
          <w:p>
            <w:pPr>
              <w:widowControl/>
              <w:spacing w:line="240" w:lineRule="atLeast"/>
              <w:jc w:val="center"/>
              <w:rPr>
                <w:color w:val="auto"/>
                <w:kern w:val="0"/>
                <w:szCs w:val="21"/>
              </w:rPr>
            </w:pPr>
            <w:r>
              <w:rPr>
                <w:color w:val="auto"/>
                <w:kern w:val="0"/>
                <w:szCs w:val="21"/>
              </w:rPr>
              <w:t>HZB50</w:t>
            </w:r>
          </w:p>
        </w:tc>
        <w:tc>
          <w:tcPr>
            <w:tcW w:w="3284" w:type="dxa"/>
            <w:vAlign w:val="center"/>
          </w:tcPr>
          <w:p>
            <w:pPr>
              <w:widowControl/>
              <w:spacing w:line="240" w:lineRule="atLeast"/>
              <w:jc w:val="center"/>
              <w:rPr>
                <w:color w:val="auto"/>
                <w:kern w:val="0"/>
                <w:szCs w:val="21"/>
              </w:rPr>
            </w:pPr>
            <w:r>
              <w:rPr>
                <w:color w:val="auto"/>
                <w:kern w:val="0"/>
                <w:szCs w:val="21"/>
              </w:rPr>
              <w:t>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blHeader/>
          <w:jc w:val="center"/>
        </w:trPr>
        <w:tc>
          <w:tcPr>
            <w:tcW w:w="1844" w:type="dxa"/>
            <w:vMerge w:val="continue"/>
            <w:vAlign w:val="center"/>
          </w:tcPr>
          <w:p>
            <w:pPr>
              <w:widowControl/>
              <w:jc w:val="left"/>
              <w:rPr>
                <w:color w:val="auto"/>
                <w:kern w:val="0"/>
                <w:szCs w:val="21"/>
              </w:rPr>
            </w:pPr>
          </w:p>
        </w:tc>
        <w:tc>
          <w:tcPr>
            <w:tcW w:w="2030" w:type="dxa"/>
            <w:vAlign w:val="center"/>
          </w:tcPr>
          <w:p>
            <w:pPr>
              <w:widowControl/>
              <w:spacing w:line="240" w:lineRule="atLeast"/>
              <w:jc w:val="center"/>
              <w:rPr>
                <w:color w:val="auto"/>
                <w:kern w:val="0"/>
                <w:szCs w:val="21"/>
              </w:rPr>
            </w:pPr>
            <w:r>
              <w:rPr>
                <w:color w:val="auto"/>
                <w:kern w:val="0"/>
                <w:szCs w:val="21"/>
              </w:rPr>
              <w:t>电锯</w:t>
            </w:r>
          </w:p>
        </w:tc>
        <w:tc>
          <w:tcPr>
            <w:tcW w:w="1272" w:type="dxa"/>
            <w:vAlign w:val="center"/>
          </w:tcPr>
          <w:p>
            <w:pPr>
              <w:widowControl/>
              <w:spacing w:line="240" w:lineRule="atLeast"/>
              <w:jc w:val="center"/>
              <w:rPr>
                <w:color w:val="auto"/>
                <w:kern w:val="0"/>
                <w:szCs w:val="21"/>
              </w:rPr>
            </w:pPr>
            <w:r>
              <w:rPr>
                <w:color w:val="auto"/>
                <w:kern w:val="0"/>
                <w:szCs w:val="21"/>
              </w:rPr>
              <w:t>/</w:t>
            </w:r>
          </w:p>
        </w:tc>
        <w:tc>
          <w:tcPr>
            <w:tcW w:w="3284" w:type="dxa"/>
            <w:vAlign w:val="center"/>
          </w:tcPr>
          <w:p>
            <w:pPr>
              <w:widowControl/>
              <w:spacing w:line="240" w:lineRule="atLeast"/>
              <w:jc w:val="center"/>
              <w:rPr>
                <w:color w:val="auto"/>
                <w:kern w:val="0"/>
                <w:szCs w:val="21"/>
              </w:rPr>
            </w:pPr>
            <w:r>
              <w:rPr>
                <w:color w:val="auto"/>
                <w:kern w:val="0"/>
                <w:szCs w:val="21"/>
              </w:rPr>
              <w:t>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blHeader/>
          <w:jc w:val="center"/>
        </w:trPr>
        <w:tc>
          <w:tcPr>
            <w:tcW w:w="1844" w:type="dxa"/>
            <w:vMerge w:val="restart"/>
            <w:vAlign w:val="center"/>
          </w:tcPr>
          <w:p>
            <w:pPr>
              <w:widowControl/>
              <w:spacing w:line="240" w:lineRule="atLeast"/>
              <w:jc w:val="center"/>
              <w:rPr>
                <w:color w:val="auto"/>
                <w:kern w:val="0"/>
                <w:szCs w:val="21"/>
              </w:rPr>
            </w:pPr>
            <w:r>
              <w:rPr>
                <w:color w:val="auto"/>
                <w:kern w:val="0"/>
                <w:szCs w:val="21"/>
              </w:rPr>
              <w:t>装修阶段</w:t>
            </w:r>
          </w:p>
        </w:tc>
        <w:tc>
          <w:tcPr>
            <w:tcW w:w="2030" w:type="dxa"/>
            <w:vAlign w:val="center"/>
          </w:tcPr>
          <w:p>
            <w:pPr>
              <w:widowControl/>
              <w:spacing w:line="240" w:lineRule="atLeast"/>
              <w:jc w:val="center"/>
              <w:rPr>
                <w:color w:val="auto"/>
                <w:kern w:val="0"/>
                <w:szCs w:val="21"/>
              </w:rPr>
            </w:pPr>
            <w:r>
              <w:rPr>
                <w:color w:val="auto"/>
                <w:kern w:val="0"/>
                <w:szCs w:val="21"/>
              </w:rPr>
              <w:t>电锯</w:t>
            </w:r>
          </w:p>
        </w:tc>
        <w:tc>
          <w:tcPr>
            <w:tcW w:w="1272" w:type="dxa"/>
            <w:vAlign w:val="center"/>
          </w:tcPr>
          <w:p>
            <w:pPr>
              <w:widowControl/>
              <w:spacing w:line="240" w:lineRule="atLeast"/>
              <w:jc w:val="center"/>
              <w:rPr>
                <w:color w:val="auto"/>
                <w:kern w:val="0"/>
                <w:szCs w:val="21"/>
              </w:rPr>
            </w:pPr>
            <w:r>
              <w:rPr>
                <w:color w:val="auto"/>
                <w:kern w:val="0"/>
                <w:szCs w:val="21"/>
              </w:rPr>
              <w:t>/</w:t>
            </w:r>
          </w:p>
        </w:tc>
        <w:tc>
          <w:tcPr>
            <w:tcW w:w="3284" w:type="dxa"/>
            <w:vAlign w:val="center"/>
          </w:tcPr>
          <w:p>
            <w:pPr>
              <w:widowControl/>
              <w:spacing w:line="240" w:lineRule="atLeast"/>
              <w:jc w:val="center"/>
              <w:rPr>
                <w:color w:val="auto"/>
                <w:kern w:val="0"/>
                <w:szCs w:val="21"/>
              </w:rPr>
            </w:pPr>
            <w:r>
              <w:rPr>
                <w:color w:val="auto"/>
                <w:kern w:val="0"/>
                <w:szCs w:val="21"/>
              </w:rPr>
              <w:t>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blHeader/>
          <w:jc w:val="center"/>
        </w:trPr>
        <w:tc>
          <w:tcPr>
            <w:tcW w:w="1844" w:type="dxa"/>
            <w:vMerge w:val="continue"/>
            <w:vAlign w:val="center"/>
          </w:tcPr>
          <w:p>
            <w:pPr>
              <w:widowControl/>
              <w:jc w:val="left"/>
              <w:rPr>
                <w:color w:val="auto"/>
                <w:kern w:val="0"/>
                <w:szCs w:val="21"/>
              </w:rPr>
            </w:pPr>
          </w:p>
        </w:tc>
        <w:tc>
          <w:tcPr>
            <w:tcW w:w="2030" w:type="dxa"/>
            <w:vAlign w:val="center"/>
          </w:tcPr>
          <w:p>
            <w:pPr>
              <w:widowControl/>
              <w:spacing w:line="240" w:lineRule="atLeast"/>
              <w:jc w:val="center"/>
              <w:rPr>
                <w:color w:val="auto"/>
                <w:kern w:val="0"/>
                <w:szCs w:val="21"/>
              </w:rPr>
            </w:pPr>
            <w:r>
              <w:rPr>
                <w:color w:val="auto"/>
                <w:kern w:val="0"/>
                <w:szCs w:val="21"/>
              </w:rPr>
              <w:t>电锤</w:t>
            </w:r>
          </w:p>
        </w:tc>
        <w:tc>
          <w:tcPr>
            <w:tcW w:w="1272" w:type="dxa"/>
            <w:vAlign w:val="center"/>
          </w:tcPr>
          <w:p>
            <w:pPr>
              <w:widowControl/>
              <w:spacing w:line="240" w:lineRule="atLeast"/>
              <w:jc w:val="center"/>
              <w:rPr>
                <w:color w:val="auto"/>
                <w:kern w:val="0"/>
                <w:szCs w:val="21"/>
              </w:rPr>
            </w:pPr>
            <w:r>
              <w:rPr>
                <w:color w:val="auto"/>
                <w:kern w:val="0"/>
                <w:szCs w:val="21"/>
              </w:rPr>
              <w:t>/</w:t>
            </w:r>
          </w:p>
        </w:tc>
        <w:tc>
          <w:tcPr>
            <w:tcW w:w="3284" w:type="dxa"/>
            <w:vAlign w:val="center"/>
          </w:tcPr>
          <w:p>
            <w:pPr>
              <w:widowControl/>
              <w:spacing w:line="240" w:lineRule="atLeast"/>
              <w:jc w:val="center"/>
              <w:rPr>
                <w:color w:val="auto"/>
                <w:kern w:val="0"/>
                <w:szCs w:val="21"/>
              </w:rPr>
            </w:pPr>
            <w:r>
              <w:rPr>
                <w:color w:val="auto"/>
                <w:kern w:val="0"/>
                <w:szCs w:val="21"/>
              </w:rPr>
              <w:t>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blHeader/>
          <w:jc w:val="center"/>
        </w:trPr>
        <w:tc>
          <w:tcPr>
            <w:tcW w:w="1844" w:type="dxa"/>
            <w:vMerge w:val="continue"/>
            <w:vAlign w:val="center"/>
          </w:tcPr>
          <w:p>
            <w:pPr>
              <w:widowControl/>
              <w:jc w:val="left"/>
              <w:rPr>
                <w:color w:val="auto"/>
                <w:kern w:val="0"/>
                <w:szCs w:val="21"/>
              </w:rPr>
            </w:pPr>
          </w:p>
        </w:tc>
        <w:tc>
          <w:tcPr>
            <w:tcW w:w="2030" w:type="dxa"/>
            <w:vAlign w:val="center"/>
          </w:tcPr>
          <w:p>
            <w:pPr>
              <w:widowControl/>
              <w:spacing w:line="240" w:lineRule="atLeast"/>
              <w:jc w:val="center"/>
              <w:rPr>
                <w:color w:val="auto"/>
                <w:kern w:val="0"/>
                <w:szCs w:val="21"/>
              </w:rPr>
            </w:pPr>
            <w:r>
              <w:rPr>
                <w:color w:val="auto"/>
                <w:kern w:val="0"/>
                <w:szCs w:val="21"/>
              </w:rPr>
              <w:t>电刨</w:t>
            </w:r>
          </w:p>
        </w:tc>
        <w:tc>
          <w:tcPr>
            <w:tcW w:w="1272" w:type="dxa"/>
            <w:vAlign w:val="center"/>
          </w:tcPr>
          <w:p>
            <w:pPr>
              <w:widowControl/>
              <w:spacing w:line="240" w:lineRule="atLeast"/>
              <w:jc w:val="center"/>
              <w:rPr>
                <w:color w:val="auto"/>
                <w:kern w:val="0"/>
                <w:szCs w:val="21"/>
              </w:rPr>
            </w:pPr>
            <w:r>
              <w:rPr>
                <w:color w:val="auto"/>
                <w:kern w:val="0"/>
                <w:szCs w:val="21"/>
              </w:rPr>
              <w:t>/</w:t>
            </w:r>
          </w:p>
        </w:tc>
        <w:tc>
          <w:tcPr>
            <w:tcW w:w="3284" w:type="dxa"/>
            <w:vAlign w:val="center"/>
          </w:tcPr>
          <w:p>
            <w:pPr>
              <w:widowControl/>
              <w:spacing w:line="240" w:lineRule="atLeast"/>
              <w:jc w:val="center"/>
              <w:rPr>
                <w:color w:val="auto"/>
                <w:kern w:val="0"/>
                <w:szCs w:val="21"/>
              </w:rPr>
            </w:pPr>
            <w:r>
              <w:rPr>
                <w:color w:val="auto"/>
                <w:kern w:val="0"/>
                <w:szCs w:val="21"/>
              </w:rPr>
              <w:t>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blHeader/>
          <w:jc w:val="center"/>
        </w:trPr>
        <w:tc>
          <w:tcPr>
            <w:tcW w:w="1844" w:type="dxa"/>
            <w:vMerge w:val="restart"/>
            <w:vAlign w:val="center"/>
          </w:tcPr>
          <w:p>
            <w:pPr>
              <w:widowControl/>
              <w:jc w:val="center"/>
              <w:rPr>
                <w:color w:val="auto"/>
                <w:kern w:val="0"/>
                <w:szCs w:val="21"/>
              </w:rPr>
            </w:pPr>
            <w:r>
              <w:rPr>
                <w:color w:val="auto"/>
                <w:kern w:val="0"/>
                <w:szCs w:val="21"/>
              </w:rPr>
              <w:t>装修阶段</w:t>
            </w:r>
          </w:p>
        </w:tc>
        <w:tc>
          <w:tcPr>
            <w:tcW w:w="2030" w:type="dxa"/>
            <w:vAlign w:val="center"/>
          </w:tcPr>
          <w:p>
            <w:pPr>
              <w:widowControl/>
              <w:spacing w:line="240" w:lineRule="atLeast"/>
              <w:jc w:val="center"/>
              <w:rPr>
                <w:color w:val="auto"/>
                <w:kern w:val="0"/>
                <w:szCs w:val="21"/>
              </w:rPr>
            </w:pPr>
            <w:r>
              <w:rPr>
                <w:color w:val="auto"/>
                <w:kern w:val="0"/>
                <w:szCs w:val="21"/>
              </w:rPr>
              <w:t>塔吊</w:t>
            </w:r>
          </w:p>
        </w:tc>
        <w:tc>
          <w:tcPr>
            <w:tcW w:w="1272" w:type="dxa"/>
            <w:vAlign w:val="center"/>
          </w:tcPr>
          <w:p>
            <w:pPr>
              <w:widowControl/>
              <w:spacing w:line="240" w:lineRule="atLeast"/>
              <w:jc w:val="center"/>
              <w:rPr>
                <w:color w:val="auto"/>
                <w:kern w:val="0"/>
                <w:szCs w:val="21"/>
              </w:rPr>
            </w:pPr>
            <w:r>
              <w:rPr>
                <w:color w:val="auto"/>
                <w:kern w:val="0"/>
                <w:szCs w:val="21"/>
              </w:rPr>
              <w:t>/</w:t>
            </w:r>
          </w:p>
        </w:tc>
        <w:tc>
          <w:tcPr>
            <w:tcW w:w="3284" w:type="dxa"/>
            <w:vAlign w:val="center"/>
          </w:tcPr>
          <w:p>
            <w:pPr>
              <w:widowControl/>
              <w:spacing w:line="240" w:lineRule="atLeast"/>
              <w:jc w:val="center"/>
              <w:rPr>
                <w:color w:val="auto"/>
                <w:kern w:val="0"/>
                <w:szCs w:val="21"/>
              </w:rPr>
            </w:pPr>
            <w:r>
              <w:rPr>
                <w:color w:val="auto"/>
                <w:kern w:val="0"/>
                <w:szCs w:val="21"/>
              </w:rPr>
              <w:t>60（地面测试）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blHeader/>
          <w:jc w:val="center"/>
        </w:trPr>
        <w:tc>
          <w:tcPr>
            <w:tcW w:w="1844" w:type="dxa"/>
            <w:vMerge w:val="continue"/>
            <w:vAlign w:val="center"/>
          </w:tcPr>
          <w:p>
            <w:pPr>
              <w:widowControl/>
              <w:jc w:val="left"/>
              <w:rPr>
                <w:color w:val="auto"/>
                <w:kern w:val="0"/>
                <w:szCs w:val="21"/>
              </w:rPr>
            </w:pPr>
          </w:p>
        </w:tc>
        <w:tc>
          <w:tcPr>
            <w:tcW w:w="2030" w:type="dxa"/>
            <w:vAlign w:val="center"/>
          </w:tcPr>
          <w:p>
            <w:pPr>
              <w:widowControl/>
              <w:spacing w:line="240" w:lineRule="atLeast"/>
              <w:jc w:val="center"/>
              <w:rPr>
                <w:color w:val="auto"/>
                <w:kern w:val="0"/>
                <w:szCs w:val="21"/>
              </w:rPr>
            </w:pPr>
            <w:r>
              <w:rPr>
                <w:color w:val="auto"/>
                <w:kern w:val="0"/>
                <w:szCs w:val="21"/>
              </w:rPr>
              <w:t>套丝切管机</w:t>
            </w:r>
          </w:p>
        </w:tc>
        <w:tc>
          <w:tcPr>
            <w:tcW w:w="1272" w:type="dxa"/>
            <w:vAlign w:val="center"/>
          </w:tcPr>
          <w:p>
            <w:pPr>
              <w:widowControl/>
              <w:spacing w:line="240" w:lineRule="atLeast"/>
              <w:jc w:val="center"/>
              <w:rPr>
                <w:color w:val="auto"/>
                <w:kern w:val="0"/>
                <w:szCs w:val="21"/>
              </w:rPr>
            </w:pPr>
            <w:r>
              <w:rPr>
                <w:color w:val="auto"/>
                <w:kern w:val="0"/>
                <w:szCs w:val="21"/>
              </w:rPr>
              <w:t>100mm</w:t>
            </w:r>
          </w:p>
        </w:tc>
        <w:tc>
          <w:tcPr>
            <w:tcW w:w="3284" w:type="dxa"/>
            <w:vAlign w:val="center"/>
          </w:tcPr>
          <w:p>
            <w:pPr>
              <w:widowControl/>
              <w:spacing w:line="240" w:lineRule="atLeast"/>
              <w:jc w:val="center"/>
              <w:rPr>
                <w:color w:val="auto"/>
                <w:kern w:val="0"/>
                <w:szCs w:val="21"/>
              </w:rPr>
            </w:pPr>
            <w:r>
              <w:rPr>
                <w:color w:val="auto"/>
                <w:kern w:val="0"/>
                <w:szCs w:val="21"/>
              </w:rPr>
              <w:t>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blHeader/>
          <w:jc w:val="center"/>
        </w:trPr>
        <w:tc>
          <w:tcPr>
            <w:tcW w:w="1844" w:type="dxa"/>
            <w:vMerge w:val="continue"/>
            <w:vAlign w:val="center"/>
          </w:tcPr>
          <w:p>
            <w:pPr>
              <w:widowControl/>
              <w:jc w:val="left"/>
              <w:rPr>
                <w:color w:val="auto"/>
                <w:kern w:val="0"/>
                <w:szCs w:val="21"/>
              </w:rPr>
            </w:pPr>
          </w:p>
        </w:tc>
        <w:tc>
          <w:tcPr>
            <w:tcW w:w="2030" w:type="dxa"/>
            <w:vAlign w:val="center"/>
          </w:tcPr>
          <w:p>
            <w:pPr>
              <w:widowControl/>
              <w:spacing w:line="240" w:lineRule="atLeast"/>
              <w:jc w:val="center"/>
              <w:rPr>
                <w:color w:val="auto"/>
                <w:kern w:val="0"/>
                <w:szCs w:val="21"/>
              </w:rPr>
            </w:pPr>
            <w:r>
              <w:rPr>
                <w:color w:val="auto"/>
                <w:kern w:val="0"/>
                <w:szCs w:val="21"/>
              </w:rPr>
              <w:t>多功能木工刨</w:t>
            </w:r>
          </w:p>
        </w:tc>
        <w:tc>
          <w:tcPr>
            <w:tcW w:w="1272" w:type="dxa"/>
            <w:vAlign w:val="center"/>
          </w:tcPr>
          <w:p>
            <w:pPr>
              <w:widowControl/>
              <w:spacing w:line="240" w:lineRule="atLeast"/>
              <w:jc w:val="center"/>
              <w:rPr>
                <w:color w:val="auto"/>
                <w:kern w:val="0"/>
                <w:szCs w:val="21"/>
              </w:rPr>
            </w:pPr>
            <w:r>
              <w:rPr>
                <w:color w:val="auto"/>
                <w:kern w:val="0"/>
                <w:szCs w:val="21"/>
              </w:rPr>
              <w:t>/</w:t>
            </w:r>
          </w:p>
        </w:tc>
        <w:tc>
          <w:tcPr>
            <w:tcW w:w="3284" w:type="dxa"/>
            <w:vAlign w:val="center"/>
          </w:tcPr>
          <w:p>
            <w:pPr>
              <w:widowControl/>
              <w:spacing w:line="240" w:lineRule="atLeast"/>
              <w:jc w:val="center"/>
              <w:rPr>
                <w:color w:val="auto"/>
                <w:kern w:val="0"/>
                <w:szCs w:val="21"/>
              </w:rPr>
            </w:pPr>
            <w:r>
              <w:rPr>
                <w:color w:val="auto"/>
                <w:kern w:val="0"/>
                <w:szCs w:val="21"/>
              </w:rPr>
              <w:t>100</w:t>
            </w:r>
          </w:p>
        </w:tc>
      </w:tr>
    </w:tbl>
    <w:p>
      <w:pPr>
        <w:spacing w:line="360" w:lineRule="auto"/>
        <w:outlineLvl w:val="3"/>
        <w:rPr>
          <w:b/>
          <w:color w:val="auto"/>
          <w:sz w:val="24"/>
        </w:rPr>
      </w:pPr>
      <w:bookmarkStart w:id="91" w:name="_Toc15991650"/>
      <w:r>
        <w:rPr>
          <w:b/>
          <w:color w:val="auto"/>
          <w:sz w:val="24"/>
        </w:rPr>
        <w:t>3.3.</w:t>
      </w:r>
      <w:r>
        <w:rPr>
          <w:rFonts w:hint="eastAsia"/>
          <w:b/>
          <w:color w:val="auto"/>
          <w:sz w:val="24"/>
        </w:rPr>
        <w:t>1</w:t>
      </w:r>
      <w:r>
        <w:rPr>
          <w:b/>
          <w:color w:val="auto"/>
          <w:sz w:val="24"/>
        </w:rPr>
        <w:t>.</w:t>
      </w:r>
      <w:r>
        <w:rPr>
          <w:rFonts w:hint="eastAsia"/>
          <w:b/>
          <w:color w:val="auto"/>
          <w:sz w:val="24"/>
        </w:rPr>
        <w:t>4固废</w:t>
      </w:r>
      <w:r>
        <w:rPr>
          <w:b/>
          <w:color w:val="auto"/>
          <w:sz w:val="24"/>
        </w:rPr>
        <w:t>污染分析</w:t>
      </w:r>
    </w:p>
    <w:p>
      <w:pPr>
        <w:pStyle w:val="74"/>
        <w:adjustRightInd/>
        <w:snapToGrid/>
        <w:contextualSpacing/>
        <w:jc w:val="both"/>
        <w:rPr>
          <w:rFonts w:ascii="Times New Roman" w:hAnsi="Times New Roman" w:cs="Times New Roman"/>
          <w:snapToGrid w:val="0"/>
          <w:color w:val="auto"/>
        </w:rPr>
      </w:pPr>
      <w:r>
        <w:rPr>
          <w:rFonts w:ascii="Times New Roman" w:cs="Times New Roman" w:hAnsiTheme="minorEastAsia"/>
          <w:snapToGrid w:val="0"/>
          <w:color w:val="auto"/>
        </w:rPr>
        <w:t>施工期固体废物主要包括建筑垃圾、施工弃土弃渣和生活垃圾。建筑垃圾有废建材、废钢材、包装袋等。对可再利用的建筑废料，应进行回收利用，以节省资源。多余废弃的砂、砾石可结合修路利用；除可回收利用外建筑垃圾应运输到环境保护管理部门指定的地点进行填埋，最大程度减小对环境的影响。本项目产生的土方主要为土地平整及</w:t>
      </w:r>
      <w:r>
        <w:rPr>
          <w:rFonts w:hint="eastAsia" w:ascii="Times New Roman" w:cs="Times New Roman" w:hAnsiTheme="minorEastAsia"/>
          <w:snapToGrid w:val="0"/>
          <w:color w:val="auto"/>
          <w:lang w:val="en-US" w:eastAsia="zh-CN"/>
        </w:rPr>
        <w:t>车间</w:t>
      </w:r>
      <w:r>
        <w:rPr>
          <w:rFonts w:ascii="Times New Roman" w:cs="Times New Roman" w:hAnsiTheme="minorEastAsia"/>
          <w:snapToGrid w:val="0"/>
          <w:color w:val="auto"/>
        </w:rPr>
        <w:t>修建时产生的少许土方，除回填</w:t>
      </w:r>
      <w:r>
        <w:rPr>
          <w:rFonts w:hint="eastAsia" w:ascii="Times New Roman" w:cs="Times New Roman" w:hAnsiTheme="minorEastAsia"/>
          <w:snapToGrid w:val="0"/>
          <w:color w:val="auto"/>
        </w:rPr>
        <w:t>、</w:t>
      </w:r>
      <w:r>
        <w:rPr>
          <w:rFonts w:ascii="Times New Roman" w:cs="Times New Roman" w:hAnsiTheme="minorEastAsia"/>
          <w:snapToGrid w:val="0"/>
          <w:color w:val="auto"/>
        </w:rPr>
        <w:t>平整场地外，挖方的表土用于场区绿化，无弃土产生。</w:t>
      </w:r>
    </w:p>
    <w:p>
      <w:pPr>
        <w:pStyle w:val="74"/>
        <w:adjustRightInd/>
        <w:snapToGrid/>
        <w:contextualSpacing/>
        <w:jc w:val="both"/>
        <w:rPr>
          <w:rFonts w:ascii="Times New Roman" w:cs="Times New Roman" w:hAnsiTheme="minorEastAsia"/>
          <w:snapToGrid w:val="0"/>
          <w:color w:val="auto"/>
        </w:rPr>
      </w:pPr>
      <w:r>
        <w:rPr>
          <w:rFonts w:ascii="Times New Roman" w:cs="Times New Roman" w:hAnsiTheme="minorEastAsia"/>
          <w:snapToGrid w:val="0"/>
          <w:color w:val="auto"/>
        </w:rPr>
        <w:t>施工期生活垃圾按照每天每人产生</w:t>
      </w:r>
      <w:r>
        <w:rPr>
          <w:rFonts w:ascii="Times New Roman" w:hAnsi="Times New Roman" w:cs="Times New Roman"/>
          <w:snapToGrid w:val="0"/>
          <w:color w:val="auto"/>
        </w:rPr>
        <w:t>0.5kg</w:t>
      </w:r>
      <w:r>
        <w:rPr>
          <w:rFonts w:ascii="Times New Roman" w:cs="Times New Roman" w:hAnsiTheme="minorEastAsia"/>
          <w:snapToGrid w:val="0"/>
          <w:color w:val="auto"/>
        </w:rPr>
        <w:t>计算，预计一天产生</w:t>
      </w:r>
      <w:r>
        <w:rPr>
          <w:rFonts w:ascii="Times New Roman" w:hAnsi="Times New Roman" w:cs="Times New Roman"/>
          <w:snapToGrid w:val="0"/>
          <w:color w:val="auto"/>
        </w:rPr>
        <w:t>1</w:t>
      </w:r>
      <w:r>
        <w:rPr>
          <w:rFonts w:hint="eastAsia" w:ascii="Times New Roman" w:hAnsi="Times New Roman" w:cs="Times New Roman"/>
          <w:snapToGrid w:val="0"/>
          <w:color w:val="auto"/>
        </w:rPr>
        <w:t>0</w:t>
      </w:r>
      <w:r>
        <w:rPr>
          <w:rFonts w:ascii="Times New Roman" w:hAnsi="Times New Roman" w:cs="Times New Roman"/>
          <w:snapToGrid w:val="0"/>
          <w:color w:val="auto"/>
        </w:rPr>
        <w:t>kg</w:t>
      </w:r>
      <w:r>
        <w:rPr>
          <w:rFonts w:hint="eastAsia" w:ascii="Times New Roman" w:cs="Times New Roman" w:hAnsiTheme="minorEastAsia"/>
          <w:snapToGrid w:val="0"/>
          <w:color w:val="auto"/>
        </w:rPr>
        <w:t>生活垃圾，施工期共产生1.8t</w:t>
      </w:r>
      <w:r>
        <w:rPr>
          <w:rFonts w:ascii="Times New Roman" w:cs="Times New Roman" w:hAnsiTheme="minorEastAsia"/>
          <w:snapToGrid w:val="0"/>
          <w:color w:val="auto"/>
        </w:rPr>
        <w:t>。施工人员产生的生活垃圾若随意堆放，不仅影响施工区环境景观，而且影响施工区环境卫生。在施工现场设置垃圾收集箱，集中收集后应由市政环卫部门统一清运处置。</w:t>
      </w:r>
    </w:p>
    <w:p>
      <w:pPr>
        <w:spacing w:line="360" w:lineRule="auto"/>
        <w:outlineLvl w:val="3"/>
        <w:rPr>
          <w:b/>
          <w:color w:val="auto"/>
          <w:sz w:val="24"/>
        </w:rPr>
      </w:pPr>
      <w:r>
        <w:rPr>
          <w:b/>
          <w:color w:val="auto"/>
          <w:sz w:val="24"/>
        </w:rPr>
        <w:t>3.3.</w:t>
      </w:r>
      <w:r>
        <w:rPr>
          <w:rFonts w:hint="eastAsia"/>
          <w:b/>
          <w:color w:val="auto"/>
          <w:sz w:val="24"/>
        </w:rPr>
        <w:t>1</w:t>
      </w:r>
      <w:r>
        <w:rPr>
          <w:b/>
          <w:color w:val="auto"/>
          <w:sz w:val="24"/>
        </w:rPr>
        <w:t>.</w:t>
      </w:r>
      <w:r>
        <w:rPr>
          <w:rFonts w:hint="eastAsia"/>
          <w:b/>
          <w:color w:val="auto"/>
          <w:sz w:val="24"/>
        </w:rPr>
        <w:t>5生态</w:t>
      </w:r>
      <w:r>
        <w:rPr>
          <w:b/>
          <w:color w:val="auto"/>
          <w:sz w:val="24"/>
        </w:rPr>
        <w:t>污染分析</w:t>
      </w:r>
    </w:p>
    <w:p>
      <w:pPr>
        <w:pStyle w:val="74"/>
        <w:adjustRightInd/>
        <w:snapToGrid/>
        <w:contextualSpacing/>
        <w:jc w:val="both"/>
        <w:rPr>
          <w:rFonts w:ascii="Times New Roman" w:cs="Times New Roman" w:hAnsiTheme="minorEastAsia"/>
          <w:snapToGrid w:val="0"/>
          <w:color w:val="auto"/>
        </w:rPr>
      </w:pPr>
      <w:r>
        <w:rPr>
          <w:rFonts w:ascii="Times New Roman" w:cs="Times New Roman" w:hAnsiTheme="minorEastAsia"/>
          <w:snapToGrid w:val="0"/>
          <w:color w:val="auto"/>
        </w:rPr>
        <w:t>本项目占地类型为工业用地，施工期利用</w:t>
      </w:r>
      <w:r>
        <w:rPr>
          <w:rFonts w:hint="eastAsia" w:ascii="Times New Roman" w:cs="Times New Roman" w:hAnsiTheme="minorEastAsia"/>
          <w:snapToGrid w:val="0"/>
          <w:color w:val="auto"/>
          <w:lang w:val="en-US" w:eastAsia="zh-CN"/>
        </w:rPr>
        <w:t>厂区现有空地</w:t>
      </w:r>
      <w:r>
        <w:rPr>
          <w:rFonts w:ascii="Times New Roman" w:cs="Times New Roman" w:hAnsiTheme="minorEastAsia"/>
          <w:snapToGrid w:val="0"/>
          <w:color w:val="auto"/>
        </w:rPr>
        <w:t>进行建设，不涉及临时占地，施工过程中对土方加盖苫布，挖方表土用于场区绿化，可最大程度降低水土流失，对生态环境影响不大。</w:t>
      </w:r>
    </w:p>
    <w:bookmarkEnd w:id="91"/>
    <w:p>
      <w:pPr>
        <w:pStyle w:val="5"/>
        <w:spacing w:before="0" w:after="0" w:line="360" w:lineRule="auto"/>
        <w:ind w:firstLine="0" w:firstLineChars="0"/>
        <w:rPr>
          <w:rFonts w:ascii="Times New Roman" w:hAnsi="Times New Roman" w:cs="Times New Roman"/>
          <w:b/>
          <w:color w:val="auto"/>
          <w:sz w:val="28"/>
          <w:szCs w:val="28"/>
        </w:rPr>
      </w:pPr>
      <w:bookmarkStart w:id="92" w:name="_Toc15991651"/>
      <w:r>
        <w:rPr>
          <w:rFonts w:ascii="Times New Roman" w:hAnsi="Times New Roman" w:cs="Times New Roman"/>
          <w:b/>
          <w:color w:val="auto"/>
          <w:sz w:val="28"/>
          <w:szCs w:val="28"/>
        </w:rPr>
        <w:t>3.3.2营运期污染源源强</w:t>
      </w:r>
      <w:bookmarkEnd w:id="92"/>
    </w:p>
    <w:p>
      <w:pPr>
        <w:spacing w:line="360" w:lineRule="auto"/>
        <w:outlineLvl w:val="3"/>
        <w:rPr>
          <w:b/>
          <w:color w:val="auto"/>
          <w:sz w:val="24"/>
        </w:rPr>
      </w:pPr>
      <w:r>
        <w:rPr>
          <w:b/>
          <w:color w:val="auto"/>
          <w:sz w:val="24"/>
        </w:rPr>
        <w:t>3.3.2.1废水污染分析</w:t>
      </w:r>
    </w:p>
    <w:p>
      <w:pPr>
        <w:spacing w:line="360" w:lineRule="auto"/>
        <w:ind w:firstLine="480" w:firstLineChars="200"/>
        <w:rPr>
          <w:color w:val="auto"/>
          <w:sz w:val="24"/>
        </w:rPr>
      </w:pPr>
      <w:r>
        <w:rPr>
          <w:rFonts w:hint="eastAsia"/>
          <w:color w:val="auto"/>
          <w:sz w:val="24"/>
        </w:rPr>
        <w:t>本项目生产</w:t>
      </w:r>
      <w:r>
        <w:rPr>
          <w:color w:val="auto"/>
          <w:sz w:val="24"/>
        </w:rPr>
        <w:t>废水</w:t>
      </w:r>
      <w:r>
        <w:rPr>
          <w:rFonts w:hint="eastAsia"/>
          <w:color w:val="auto"/>
          <w:sz w:val="24"/>
        </w:rPr>
        <w:t>和生活污水（含食堂废水）一起</w:t>
      </w:r>
      <w:r>
        <w:rPr>
          <w:color w:val="auto"/>
          <w:sz w:val="24"/>
        </w:rPr>
        <w:t>排入</w:t>
      </w:r>
      <w:r>
        <w:rPr>
          <w:rFonts w:hint="eastAsia"/>
          <w:color w:val="auto"/>
          <w:sz w:val="24"/>
        </w:rPr>
        <w:t>厂区</w:t>
      </w:r>
      <w:r>
        <w:rPr>
          <w:color w:val="auto"/>
          <w:sz w:val="24"/>
        </w:rPr>
        <w:t>自建污水处理站，经厂区污水处理站处理达到</w:t>
      </w:r>
      <w:r>
        <w:rPr>
          <w:bCs/>
          <w:color w:val="auto"/>
          <w:sz w:val="24"/>
        </w:rPr>
        <w:t>《肉类加工工业水污染物排放标准》（GB13457-92）表3三级畜类屠宰加工标准限值，</w:t>
      </w:r>
      <w:r>
        <w:rPr>
          <w:rFonts w:hint="eastAsia"/>
          <w:bCs/>
          <w:color w:val="auto"/>
          <w:sz w:val="24"/>
        </w:rPr>
        <w:t>暂存</w:t>
      </w:r>
      <w:r>
        <w:rPr>
          <w:bCs/>
          <w:color w:val="auto"/>
          <w:sz w:val="24"/>
        </w:rPr>
        <w:t>于贮水池，</w:t>
      </w:r>
      <w:r>
        <w:rPr>
          <w:rFonts w:hint="eastAsia"/>
          <w:bCs/>
          <w:color w:val="auto"/>
          <w:sz w:val="24"/>
        </w:rPr>
        <w:t>每天</w:t>
      </w:r>
      <w:r>
        <w:rPr>
          <w:bCs/>
          <w:color w:val="auto"/>
          <w:sz w:val="24"/>
        </w:rPr>
        <w:t>采用专用罐车</w:t>
      </w:r>
      <w:r>
        <w:rPr>
          <w:rFonts w:hint="eastAsia"/>
          <w:bCs/>
          <w:color w:val="auto"/>
          <w:sz w:val="24"/>
        </w:rPr>
        <w:t>运至</w:t>
      </w:r>
      <w:r>
        <w:rPr>
          <w:rFonts w:hint="eastAsia"/>
          <w:bCs/>
          <w:color w:val="auto"/>
          <w:sz w:val="24"/>
          <w:lang w:eastAsia="zh-CN"/>
        </w:rPr>
        <w:t>尚志污水处理厂</w:t>
      </w:r>
      <w:r>
        <w:rPr>
          <w:bCs/>
          <w:color w:val="auto"/>
          <w:sz w:val="24"/>
        </w:rPr>
        <w:t>，经处理后排入</w:t>
      </w:r>
      <w:r>
        <w:rPr>
          <w:rFonts w:hint="eastAsia"/>
          <w:bCs/>
          <w:color w:val="auto"/>
          <w:sz w:val="24"/>
          <w:lang w:eastAsia="zh-CN"/>
        </w:rPr>
        <w:t>乌珠河</w:t>
      </w:r>
      <w:r>
        <w:rPr>
          <w:bCs/>
          <w:color w:val="auto"/>
          <w:sz w:val="24"/>
        </w:rPr>
        <w:t>，最终进入</w:t>
      </w:r>
      <w:r>
        <w:rPr>
          <w:rFonts w:hint="eastAsia"/>
          <w:bCs/>
          <w:color w:val="auto"/>
          <w:sz w:val="24"/>
          <w:lang w:val="en-US" w:eastAsia="zh-CN"/>
        </w:rPr>
        <w:t>蚂蚁河</w:t>
      </w:r>
      <w:r>
        <w:rPr>
          <w:bCs/>
          <w:color w:val="auto"/>
          <w:sz w:val="24"/>
        </w:rPr>
        <w:t>。</w:t>
      </w:r>
    </w:p>
    <w:p>
      <w:pPr>
        <w:spacing w:line="360" w:lineRule="auto"/>
        <w:ind w:firstLine="480" w:firstLineChars="200"/>
        <w:contextualSpacing/>
        <w:rPr>
          <w:color w:val="auto"/>
          <w:sz w:val="24"/>
        </w:rPr>
      </w:pPr>
      <w:r>
        <w:rPr>
          <w:rFonts w:hint="eastAsia"/>
          <w:color w:val="auto"/>
          <w:sz w:val="24"/>
        </w:rPr>
        <w:t>1、生活污水</w:t>
      </w:r>
    </w:p>
    <w:p>
      <w:pPr>
        <w:spacing w:line="360" w:lineRule="auto"/>
        <w:ind w:firstLine="480" w:firstLineChars="200"/>
        <w:contextualSpacing/>
        <w:rPr>
          <w:color w:val="FF0000"/>
          <w:sz w:val="24"/>
        </w:rPr>
      </w:pPr>
      <w:r>
        <w:rPr>
          <w:color w:val="auto"/>
          <w:sz w:val="24"/>
        </w:rPr>
        <w:t>根据《水工业工程设计手册-建筑和小区给排水》中“12.2.2污水水量和水质”中给出的住宅、各类公共建筑污水水质平均浓度，并结合项目特点，本项目生活污水COD排放浓度取值350mg/L，氨氮排放浓度取值35mg/L</w:t>
      </w:r>
      <w:r>
        <w:rPr>
          <w:rFonts w:hint="eastAsia"/>
          <w:color w:val="auto"/>
          <w:sz w:val="24"/>
        </w:rPr>
        <w:t>，BOD</w:t>
      </w:r>
      <w:r>
        <w:rPr>
          <w:rFonts w:hint="eastAsia"/>
          <w:color w:val="auto"/>
          <w:sz w:val="24"/>
          <w:vertAlign w:val="subscript"/>
        </w:rPr>
        <w:t>5</w:t>
      </w:r>
      <w:r>
        <w:rPr>
          <w:rFonts w:hint="eastAsia"/>
          <w:color w:val="auto"/>
          <w:sz w:val="24"/>
        </w:rPr>
        <w:t>排放浓度取值180</w:t>
      </w:r>
      <w:r>
        <w:rPr>
          <w:color w:val="auto"/>
          <w:sz w:val="24"/>
        </w:rPr>
        <w:t>mg/L，</w:t>
      </w:r>
      <w:r>
        <w:rPr>
          <w:rFonts w:hint="eastAsia"/>
          <w:color w:val="auto"/>
          <w:sz w:val="24"/>
        </w:rPr>
        <w:t>SS排放浓度取值200</w:t>
      </w:r>
      <w:r>
        <w:rPr>
          <w:color w:val="auto"/>
          <w:sz w:val="24"/>
        </w:rPr>
        <w:t>mg/L，p</w:t>
      </w:r>
      <w:r>
        <w:rPr>
          <w:rFonts w:hint="eastAsia"/>
          <w:color w:val="auto"/>
          <w:sz w:val="24"/>
        </w:rPr>
        <w:t>H排放取值6.5~7.5。本项目生活污水（含食堂废水）产生量为</w:t>
      </w:r>
      <w:r>
        <w:rPr>
          <w:rFonts w:hint="eastAsia"/>
          <w:color w:val="auto"/>
          <w:sz w:val="24"/>
          <w:lang w:eastAsia="zh-CN"/>
        </w:rPr>
        <w:t>1152</w:t>
      </w:r>
      <w:r>
        <w:rPr>
          <w:rFonts w:hint="eastAsia"/>
          <w:color w:val="auto"/>
          <w:sz w:val="24"/>
        </w:rPr>
        <w:t>t/a，故COD产生量为</w:t>
      </w:r>
      <w:r>
        <w:rPr>
          <w:rFonts w:hint="eastAsia"/>
          <w:color w:val="auto"/>
          <w:sz w:val="24"/>
          <w:lang w:val="en-US" w:eastAsia="zh-CN"/>
        </w:rPr>
        <w:t>0.4</w:t>
      </w:r>
      <w:r>
        <w:rPr>
          <w:rFonts w:hint="eastAsia"/>
          <w:color w:val="auto"/>
          <w:sz w:val="24"/>
        </w:rPr>
        <w:t>t/a、氨氮产生量为</w:t>
      </w:r>
      <w:r>
        <w:rPr>
          <w:rFonts w:hint="eastAsia"/>
          <w:color w:val="auto"/>
          <w:sz w:val="24"/>
          <w:lang w:val="en-US" w:eastAsia="zh-CN"/>
        </w:rPr>
        <w:t>0.04</w:t>
      </w:r>
      <w:r>
        <w:rPr>
          <w:rFonts w:hint="eastAsia"/>
          <w:color w:val="auto"/>
          <w:sz w:val="24"/>
        </w:rPr>
        <w:t>t/a、BOD</w:t>
      </w:r>
      <w:r>
        <w:rPr>
          <w:rFonts w:hint="eastAsia"/>
          <w:color w:val="auto"/>
          <w:sz w:val="24"/>
          <w:vertAlign w:val="subscript"/>
        </w:rPr>
        <w:t>5</w:t>
      </w:r>
      <w:r>
        <w:rPr>
          <w:rFonts w:hint="eastAsia"/>
          <w:color w:val="auto"/>
          <w:sz w:val="24"/>
        </w:rPr>
        <w:t>产生量为</w:t>
      </w:r>
      <w:r>
        <w:rPr>
          <w:rFonts w:hint="eastAsia"/>
          <w:color w:val="auto"/>
          <w:sz w:val="24"/>
          <w:lang w:val="en-US" w:eastAsia="zh-CN"/>
        </w:rPr>
        <w:t>0.21</w:t>
      </w:r>
      <w:r>
        <w:rPr>
          <w:rFonts w:hint="eastAsia"/>
          <w:color w:val="auto"/>
          <w:sz w:val="24"/>
        </w:rPr>
        <w:t>t/a、SS产生量</w:t>
      </w:r>
      <w:r>
        <w:rPr>
          <w:rFonts w:hint="eastAsia"/>
          <w:color w:val="auto"/>
          <w:sz w:val="24"/>
          <w:lang w:val="en-US" w:eastAsia="zh-CN"/>
        </w:rPr>
        <w:t>0.23</w:t>
      </w:r>
      <w:r>
        <w:rPr>
          <w:rFonts w:hint="eastAsia"/>
          <w:color w:val="auto"/>
          <w:sz w:val="24"/>
        </w:rPr>
        <w:t>t/a、</w:t>
      </w:r>
      <w:r>
        <w:rPr>
          <w:color w:val="auto"/>
          <w:sz w:val="24"/>
        </w:rPr>
        <w:t>p</w:t>
      </w:r>
      <w:r>
        <w:rPr>
          <w:rFonts w:hint="eastAsia"/>
          <w:color w:val="auto"/>
          <w:sz w:val="24"/>
        </w:rPr>
        <w:t>H产生值为6.5~7.5（无量纲）。</w:t>
      </w:r>
    </w:p>
    <w:p>
      <w:pPr>
        <w:spacing w:line="360" w:lineRule="auto"/>
        <w:ind w:firstLine="480" w:firstLineChars="200"/>
        <w:contextualSpacing/>
        <w:rPr>
          <w:color w:val="auto"/>
          <w:sz w:val="24"/>
        </w:rPr>
      </w:pPr>
      <w:r>
        <w:rPr>
          <w:rFonts w:hint="eastAsia"/>
          <w:color w:val="auto"/>
          <w:sz w:val="24"/>
        </w:rPr>
        <w:t>2、生产废水</w:t>
      </w:r>
    </w:p>
    <w:p>
      <w:pPr>
        <w:spacing w:line="360" w:lineRule="auto"/>
        <w:ind w:firstLine="480" w:firstLineChars="200"/>
        <w:contextualSpacing/>
        <w:rPr>
          <w:rFonts w:hAnsiTheme="minorEastAsia" w:eastAsiaTheme="minorEastAsia"/>
          <w:bCs/>
          <w:snapToGrid w:val="0"/>
          <w:color w:val="auto"/>
          <w:kern w:val="0"/>
          <w:sz w:val="24"/>
        </w:rPr>
      </w:pPr>
      <w:r>
        <w:rPr>
          <w:color w:val="auto"/>
          <w:sz w:val="24"/>
        </w:rPr>
        <w:t>生产废水包括</w:t>
      </w:r>
      <w:r>
        <w:rPr>
          <w:rFonts w:hint="eastAsia"/>
          <w:color w:val="auto"/>
          <w:sz w:val="24"/>
        </w:rPr>
        <w:t>待宰间清洗废水（含尿液）、屠宰车间</w:t>
      </w:r>
      <w:r>
        <w:rPr>
          <w:rFonts w:hint="eastAsia"/>
          <w:color w:val="auto"/>
          <w:sz w:val="24"/>
          <w:lang w:val="en-US" w:eastAsia="zh-CN"/>
        </w:rPr>
        <w:t>及急宰间</w:t>
      </w:r>
      <w:r>
        <w:rPr>
          <w:rFonts w:hint="eastAsia"/>
          <w:color w:val="auto"/>
          <w:sz w:val="24"/>
        </w:rPr>
        <w:t>废水</w:t>
      </w:r>
      <w:r>
        <w:rPr>
          <w:rFonts w:hint="eastAsia"/>
          <w:color w:val="auto"/>
          <w:sz w:val="24"/>
          <w:lang w:eastAsia="zh-CN"/>
        </w:rPr>
        <w:t>、</w:t>
      </w:r>
      <w:r>
        <w:rPr>
          <w:rFonts w:hint="eastAsia"/>
          <w:color w:val="auto"/>
          <w:sz w:val="24"/>
          <w:lang w:val="en-US" w:eastAsia="zh-CN"/>
        </w:rPr>
        <w:t>锅炉排污水、</w:t>
      </w:r>
      <w:r>
        <w:rPr>
          <w:rFonts w:hint="eastAsia"/>
          <w:color w:val="auto"/>
          <w:sz w:val="24"/>
          <w:highlight w:val="none"/>
          <w:lang w:val="en-US" w:eastAsia="zh-CN"/>
        </w:rPr>
        <w:t>软水制备排污水</w:t>
      </w:r>
      <w:r>
        <w:rPr>
          <w:rFonts w:hint="eastAsia"/>
          <w:color w:val="auto"/>
          <w:sz w:val="24"/>
        </w:rPr>
        <w:t>，污染因子主要为</w:t>
      </w:r>
      <w:r>
        <w:rPr>
          <w:rFonts w:hint="eastAsia" w:hAnsiTheme="minorEastAsia" w:eastAsiaTheme="minorEastAsia"/>
          <w:snapToGrid w:val="0"/>
          <w:color w:val="auto"/>
          <w:kern w:val="0"/>
          <w:sz w:val="24"/>
        </w:rPr>
        <w:t>pH、</w:t>
      </w:r>
      <w:r>
        <w:rPr>
          <w:rFonts w:hAnsiTheme="minorEastAsia" w:eastAsiaTheme="minorEastAsia"/>
          <w:snapToGrid w:val="0"/>
          <w:color w:val="auto"/>
          <w:kern w:val="0"/>
          <w:sz w:val="24"/>
        </w:rPr>
        <w:t>COD、</w:t>
      </w:r>
      <w:r>
        <w:rPr>
          <w:rFonts w:hint="eastAsia" w:hAnsiTheme="minorEastAsia" w:eastAsiaTheme="minorEastAsia"/>
          <w:snapToGrid w:val="0"/>
          <w:color w:val="auto"/>
          <w:kern w:val="0"/>
          <w:sz w:val="24"/>
        </w:rPr>
        <w:t>BOD</w:t>
      </w:r>
      <w:r>
        <w:rPr>
          <w:rFonts w:hint="eastAsia" w:hAnsiTheme="minorEastAsia" w:eastAsiaTheme="minorEastAsia"/>
          <w:snapToGrid w:val="0"/>
          <w:color w:val="auto"/>
          <w:kern w:val="0"/>
          <w:sz w:val="24"/>
          <w:vertAlign w:val="subscript"/>
        </w:rPr>
        <w:t>5</w:t>
      </w:r>
      <w:r>
        <w:rPr>
          <w:rFonts w:hint="eastAsia" w:hAnsiTheme="minorEastAsia" w:eastAsiaTheme="minorEastAsia"/>
          <w:snapToGrid w:val="0"/>
          <w:color w:val="auto"/>
          <w:kern w:val="0"/>
          <w:sz w:val="24"/>
        </w:rPr>
        <w:t>、SS、动植物油、</w:t>
      </w:r>
      <w:r>
        <w:rPr>
          <w:rFonts w:hAnsiTheme="minorEastAsia" w:eastAsiaTheme="minorEastAsia"/>
          <w:snapToGrid w:val="0"/>
          <w:color w:val="auto"/>
          <w:kern w:val="0"/>
          <w:sz w:val="24"/>
        </w:rPr>
        <w:t>NH</w:t>
      </w:r>
      <w:r>
        <w:rPr>
          <w:rFonts w:hAnsiTheme="minorEastAsia" w:eastAsiaTheme="minorEastAsia"/>
          <w:snapToGrid w:val="0"/>
          <w:color w:val="auto"/>
          <w:kern w:val="0"/>
          <w:sz w:val="24"/>
          <w:vertAlign w:val="subscript"/>
        </w:rPr>
        <w:t>3</w:t>
      </w:r>
      <w:r>
        <w:rPr>
          <w:rFonts w:hAnsiTheme="minorEastAsia" w:eastAsiaTheme="minorEastAsia"/>
          <w:snapToGrid w:val="0"/>
          <w:color w:val="auto"/>
          <w:kern w:val="0"/>
          <w:sz w:val="24"/>
        </w:rPr>
        <w:t>-N</w:t>
      </w:r>
      <w:r>
        <w:rPr>
          <w:rFonts w:hint="eastAsia" w:hAnsiTheme="minorEastAsia" w:eastAsiaTheme="minorEastAsia"/>
          <w:snapToGrid w:val="0"/>
          <w:color w:val="auto"/>
          <w:kern w:val="0"/>
          <w:sz w:val="24"/>
        </w:rPr>
        <w:t>、</w:t>
      </w:r>
      <w:r>
        <w:rPr>
          <w:rFonts w:hint="eastAsia" w:hAnsiTheme="minorEastAsia" w:eastAsiaTheme="minorEastAsia"/>
          <w:bCs/>
          <w:snapToGrid w:val="0"/>
          <w:color w:val="auto"/>
          <w:kern w:val="0"/>
          <w:sz w:val="24"/>
        </w:rPr>
        <w:t>大肠菌群数，废水产生量为</w:t>
      </w:r>
      <w:r>
        <w:rPr>
          <w:rFonts w:hint="eastAsia" w:hAnsiTheme="minorEastAsia" w:eastAsiaTheme="minorEastAsia"/>
          <w:bCs/>
          <w:snapToGrid w:val="0"/>
          <w:color w:val="auto"/>
          <w:kern w:val="0"/>
          <w:sz w:val="24"/>
          <w:lang w:eastAsia="zh-CN"/>
        </w:rPr>
        <w:t>16366.608</w:t>
      </w:r>
      <w:r>
        <w:rPr>
          <w:rFonts w:hint="eastAsia" w:hAnsiTheme="minorEastAsia" w:eastAsiaTheme="minorEastAsia"/>
          <w:bCs/>
          <w:snapToGrid w:val="0"/>
          <w:color w:val="auto"/>
          <w:kern w:val="0"/>
          <w:sz w:val="24"/>
        </w:rPr>
        <w:t>t/a。源强参照《屠宰与肉类加工废水治理工程技术规范》（HJ2004-2010）表3屠宰废水水质设计取值，大肠菌群数取值参考《环境工程技术手册废水污染控制技术手册》中国内大型肉类联合加工企业生产废水水质大肠菌群数平均值3.83×10</w:t>
      </w:r>
      <w:r>
        <w:rPr>
          <w:rFonts w:hint="eastAsia" w:hAnsiTheme="minorEastAsia" w:eastAsiaTheme="minorEastAsia"/>
          <w:bCs/>
          <w:snapToGrid w:val="0"/>
          <w:color w:val="auto"/>
          <w:kern w:val="0"/>
          <w:sz w:val="24"/>
          <w:vertAlign w:val="superscript"/>
        </w:rPr>
        <w:t>5</w:t>
      </w:r>
      <w:r>
        <w:rPr>
          <w:rFonts w:hint="eastAsia" w:hAnsiTheme="minorEastAsia" w:eastAsiaTheme="minorEastAsia"/>
          <w:bCs/>
          <w:snapToGrid w:val="0"/>
          <w:color w:val="auto"/>
          <w:kern w:val="0"/>
          <w:sz w:val="24"/>
        </w:rPr>
        <w:t>个/L。本项目生产</w:t>
      </w:r>
      <w:r>
        <w:rPr>
          <w:rFonts w:hAnsiTheme="minorEastAsia" w:eastAsiaTheme="minorEastAsia"/>
          <w:bCs/>
          <w:snapToGrid w:val="0"/>
          <w:color w:val="auto"/>
          <w:kern w:val="0"/>
          <w:sz w:val="24"/>
        </w:rPr>
        <w:t>废水中各污染物浓度及产生量见下表</w:t>
      </w:r>
      <w:r>
        <w:rPr>
          <w:rFonts w:hint="eastAsia" w:hAnsiTheme="minorEastAsia" w:eastAsiaTheme="minorEastAsia"/>
          <w:bCs/>
          <w:snapToGrid w:val="0"/>
          <w:color w:val="auto"/>
          <w:kern w:val="0"/>
          <w:sz w:val="24"/>
        </w:rPr>
        <w:t>3-3-3</w:t>
      </w:r>
      <w:r>
        <w:rPr>
          <w:rFonts w:hAnsiTheme="minorEastAsia" w:eastAsiaTheme="minorEastAsia"/>
          <w:bCs/>
          <w:snapToGrid w:val="0"/>
          <w:color w:val="auto"/>
          <w:kern w:val="0"/>
          <w:sz w:val="24"/>
        </w:rPr>
        <w:t>。</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color w:val="auto"/>
          <w:sz w:val="24"/>
        </w:rPr>
      </w:pPr>
      <w:r>
        <w:rPr>
          <w:b/>
          <w:bCs/>
          <w:color w:val="auto"/>
          <w:sz w:val="24"/>
        </w:rPr>
        <w:t xml:space="preserve">表3-3-3  </w:t>
      </w:r>
      <w:r>
        <w:rPr>
          <w:rFonts w:hint="eastAsia"/>
          <w:b/>
          <w:bCs/>
          <w:color w:val="auto"/>
          <w:sz w:val="24"/>
        </w:rPr>
        <w:t>本</w:t>
      </w:r>
      <w:r>
        <w:rPr>
          <w:b/>
          <w:bCs/>
          <w:color w:val="auto"/>
          <w:sz w:val="24"/>
        </w:rPr>
        <w:t>项目生产废水水质情况一览表</w:t>
      </w:r>
    </w:p>
    <w:tbl>
      <w:tblPr>
        <w:tblStyle w:val="46"/>
        <w:tblW w:w="8311" w:type="dxa"/>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0" w:type="dxa"/>
          <w:bottom w:w="0" w:type="dxa"/>
          <w:right w:w="0" w:type="dxa"/>
        </w:tblCellMar>
      </w:tblPr>
      <w:tblGrid>
        <w:gridCol w:w="1148"/>
        <w:gridCol w:w="982"/>
        <w:gridCol w:w="992"/>
        <w:gridCol w:w="992"/>
        <w:gridCol w:w="984"/>
        <w:gridCol w:w="1001"/>
        <w:gridCol w:w="1134"/>
        <w:gridCol w:w="1078"/>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51" w:hRule="atLeast"/>
          <w:jc w:val="center"/>
        </w:trPr>
        <w:tc>
          <w:tcPr>
            <w:tcW w:w="1148" w:type="dxa"/>
            <w:tcBorders>
              <w:bottom w:val="single" w:color="auto" w:sz="6" w:space="0"/>
              <w:right w:val="single" w:color="auto" w:sz="6" w:space="0"/>
            </w:tcBorders>
            <w:vAlign w:val="center"/>
          </w:tcPr>
          <w:p>
            <w:pPr>
              <w:jc w:val="center"/>
              <w:rPr>
                <w:color w:val="auto"/>
                <w:szCs w:val="21"/>
              </w:rPr>
            </w:pPr>
            <w:r>
              <w:rPr>
                <w:color w:val="auto"/>
                <w:szCs w:val="21"/>
              </w:rPr>
              <w:t>污染物</w:t>
            </w:r>
          </w:p>
        </w:tc>
        <w:tc>
          <w:tcPr>
            <w:tcW w:w="982" w:type="dxa"/>
            <w:tcBorders>
              <w:left w:val="single" w:color="auto" w:sz="6" w:space="0"/>
              <w:bottom w:val="single" w:color="auto" w:sz="6" w:space="0"/>
              <w:right w:val="single" w:color="auto" w:sz="6" w:space="0"/>
            </w:tcBorders>
            <w:vAlign w:val="center"/>
          </w:tcPr>
          <w:p>
            <w:pPr>
              <w:jc w:val="center"/>
              <w:rPr>
                <w:color w:val="auto"/>
                <w:szCs w:val="21"/>
              </w:rPr>
            </w:pPr>
            <w:r>
              <w:rPr>
                <w:color w:val="auto"/>
                <w:szCs w:val="21"/>
              </w:rPr>
              <w:t>pH（无量纲）</w:t>
            </w:r>
          </w:p>
        </w:tc>
        <w:tc>
          <w:tcPr>
            <w:tcW w:w="992" w:type="dxa"/>
            <w:tcBorders>
              <w:left w:val="single" w:color="auto" w:sz="6" w:space="0"/>
              <w:bottom w:val="single" w:color="auto" w:sz="6" w:space="0"/>
              <w:right w:val="single" w:color="auto" w:sz="6" w:space="0"/>
            </w:tcBorders>
            <w:vAlign w:val="center"/>
          </w:tcPr>
          <w:p>
            <w:pPr>
              <w:jc w:val="center"/>
              <w:rPr>
                <w:color w:val="auto"/>
                <w:szCs w:val="21"/>
              </w:rPr>
            </w:pPr>
            <w:r>
              <w:rPr>
                <w:color w:val="auto"/>
                <w:szCs w:val="21"/>
              </w:rPr>
              <w:t>COD</w:t>
            </w:r>
          </w:p>
        </w:tc>
        <w:tc>
          <w:tcPr>
            <w:tcW w:w="992" w:type="dxa"/>
            <w:tcBorders>
              <w:left w:val="single" w:color="auto" w:sz="6" w:space="0"/>
              <w:bottom w:val="single" w:color="auto" w:sz="6" w:space="0"/>
              <w:right w:val="single" w:color="auto" w:sz="6" w:space="0"/>
            </w:tcBorders>
            <w:vAlign w:val="center"/>
          </w:tcPr>
          <w:p>
            <w:pPr>
              <w:jc w:val="center"/>
              <w:rPr>
                <w:color w:val="auto"/>
                <w:szCs w:val="21"/>
              </w:rPr>
            </w:pPr>
            <w:r>
              <w:rPr>
                <w:color w:val="auto"/>
                <w:szCs w:val="21"/>
              </w:rPr>
              <w:t>BOD</w:t>
            </w:r>
            <w:r>
              <w:rPr>
                <w:color w:val="auto"/>
                <w:szCs w:val="21"/>
                <w:vertAlign w:val="subscript"/>
              </w:rPr>
              <w:t>5</w:t>
            </w:r>
          </w:p>
        </w:tc>
        <w:tc>
          <w:tcPr>
            <w:tcW w:w="984" w:type="dxa"/>
            <w:tcBorders>
              <w:left w:val="single" w:color="auto" w:sz="6" w:space="0"/>
              <w:bottom w:val="single" w:color="auto" w:sz="6" w:space="0"/>
              <w:right w:val="single" w:color="auto" w:sz="6" w:space="0"/>
            </w:tcBorders>
            <w:vAlign w:val="center"/>
          </w:tcPr>
          <w:p>
            <w:pPr>
              <w:jc w:val="center"/>
              <w:rPr>
                <w:color w:val="auto"/>
                <w:szCs w:val="21"/>
              </w:rPr>
            </w:pPr>
            <w:r>
              <w:rPr>
                <w:color w:val="auto"/>
                <w:szCs w:val="21"/>
              </w:rPr>
              <w:t>SS</w:t>
            </w:r>
          </w:p>
        </w:tc>
        <w:tc>
          <w:tcPr>
            <w:tcW w:w="1001" w:type="dxa"/>
            <w:tcBorders>
              <w:left w:val="single" w:color="auto" w:sz="6" w:space="0"/>
              <w:bottom w:val="single" w:color="auto" w:sz="6" w:space="0"/>
              <w:right w:val="single" w:color="auto" w:sz="6" w:space="0"/>
            </w:tcBorders>
            <w:vAlign w:val="center"/>
          </w:tcPr>
          <w:p>
            <w:pPr>
              <w:jc w:val="center"/>
              <w:rPr>
                <w:color w:val="auto"/>
                <w:szCs w:val="21"/>
              </w:rPr>
            </w:pPr>
            <w:r>
              <w:rPr>
                <w:color w:val="auto"/>
                <w:szCs w:val="21"/>
              </w:rPr>
              <w:t>氨氮</w:t>
            </w:r>
          </w:p>
        </w:tc>
        <w:tc>
          <w:tcPr>
            <w:tcW w:w="1134" w:type="dxa"/>
            <w:tcBorders>
              <w:left w:val="single" w:color="auto" w:sz="6" w:space="0"/>
              <w:bottom w:val="single" w:color="auto" w:sz="6" w:space="0"/>
              <w:right w:val="single" w:color="auto" w:sz="6" w:space="0"/>
            </w:tcBorders>
            <w:vAlign w:val="center"/>
          </w:tcPr>
          <w:p>
            <w:pPr>
              <w:jc w:val="center"/>
              <w:rPr>
                <w:color w:val="auto"/>
                <w:szCs w:val="21"/>
              </w:rPr>
            </w:pPr>
            <w:r>
              <w:rPr>
                <w:color w:val="auto"/>
                <w:szCs w:val="21"/>
              </w:rPr>
              <w:t>动植物油</w:t>
            </w:r>
          </w:p>
        </w:tc>
        <w:tc>
          <w:tcPr>
            <w:tcW w:w="1078" w:type="dxa"/>
            <w:tcBorders>
              <w:left w:val="single" w:color="auto" w:sz="6" w:space="0"/>
              <w:bottom w:val="single" w:color="auto" w:sz="6" w:space="0"/>
              <w:right w:val="nil"/>
            </w:tcBorders>
            <w:vAlign w:val="center"/>
          </w:tcPr>
          <w:p>
            <w:pPr>
              <w:jc w:val="center"/>
              <w:rPr>
                <w:color w:val="auto"/>
                <w:szCs w:val="21"/>
              </w:rPr>
            </w:pPr>
            <w:r>
              <w:rPr>
                <w:color w:val="auto"/>
                <w:szCs w:val="21"/>
              </w:rPr>
              <w:t>大肠菌群数（个</w:t>
            </w:r>
            <w:r>
              <w:rPr>
                <w:rFonts w:hint="eastAsia"/>
                <w:color w:val="auto"/>
                <w:szCs w:val="21"/>
              </w:rPr>
              <w:t>/L</w:t>
            </w: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03" w:hRule="atLeast"/>
          <w:jc w:val="center"/>
        </w:trPr>
        <w:tc>
          <w:tcPr>
            <w:tcW w:w="1148" w:type="dxa"/>
            <w:tcBorders>
              <w:top w:val="single" w:color="auto" w:sz="6" w:space="0"/>
              <w:bottom w:val="single" w:color="auto" w:sz="6" w:space="0"/>
              <w:right w:val="single" w:color="auto" w:sz="6" w:space="0"/>
            </w:tcBorders>
            <w:vAlign w:val="center"/>
          </w:tcPr>
          <w:p>
            <w:pPr>
              <w:jc w:val="center"/>
              <w:rPr>
                <w:color w:val="auto"/>
                <w:szCs w:val="21"/>
              </w:rPr>
            </w:pPr>
            <w:r>
              <w:rPr>
                <w:color w:val="auto"/>
                <w:szCs w:val="21"/>
              </w:rPr>
              <w:t>屠宰废水（mg</w:t>
            </w:r>
            <w:r>
              <w:rPr>
                <w:rFonts w:hint="eastAsia"/>
                <w:color w:val="auto"/>
                <w:szCs w:val="21"/>
              </w:rPr>
              <w:t>/L</w:t>
            </w:r>
            <w:r>
              <w:rPr>
                <w:color w:val="auto"/>
                <w:szCs w:val="21"/>
              </w:rPr>
              <w:t>）</w:t>
            </w:r>
          </w:p>
        </w:tc>
        <w:tc>
          <w:tcPr>
            <w:tcW w:w="982" w:type="dxa"/>
            <w:tcBorders>
              <w:top w:val="single" w:color="auto" w:sz="6" w:space="0"/>
              <w:left w:val="single" w:color="auto" w:sz="6" w:space="0"/>
              <w:bottom w:val="single" w:color="auto" w:sz="6" w:space="0"/>
              <w:right w:val="single" w:color="auto" w:sz="6" w:space="0"/>
            </w:tcBorders>
            <w:vAlign w:val="center"/>
          </w:tcPr>
          <w:p>
            <w:pPr>
              <w:jc w:val="center"/>
              <w:rPr>
                <w:color w:val="auto"/>
                <w:szCs w:val="21"/>
              </w:rPr>
            </w:pPr>
            <w:r>
              <w:rPr>
                <w:color w:val="auto"/>
                <w:szCs w:val="21"/>
              </w:rPr>
              <w:t>6.5-7.5</w:t>
            </w:r>
          </w:p>
        </w:tc>
        <w:tc>
          <w:tcPr>
            <w:tcW w:w="992" w:type="dxa"/>
            <w:tcBorders>
              <w:top w:val="single" w:color="auto" w:sz="6" w:space="0"/>
              <w:left w:val="single" w:color="auto" w:sz="6" w:space="0"/>
              <w:bottom w:val="single" w:color="auto" w:sz="6" w:space="0"/>
              <w:right w:val="single" w:color="auto" w:sz="6" w:space="0"/>
            </w:tcBorders>
            <w:vAlign w:val="center"/>
          </w:tcPr>
          <w:p>
            <w:pPr>
              <w:jc w:val="center"/>
              <w:rPr>
                <w:color w:val="auto"/>
                <w:szCs w:val="21"/>
              </w:rPr>
            </w:pPr>
            <w:r>
              <w:rPr>
                <w:rFonts w:hint="eastAsia"/>
                <w:color w:val="auto"/>
                <w:szCs w:val="21"/>
              </w:rPr>
              <w:t>1500-2000</w:t>
            </w:r>
          </w:p>
        </w:tc>
        <w:tc>
          <w:tcPr>
            <w:tcW w:w="992" w:type="dxa"/>
            <w:tcBorders>
              <w:top w:val="single" w:color="auto" w:sz="6" w:space="0"/>
              <w:left w:val="single" w:color="auto" w:sz="6" w:space="0"/>
              <w:bottom w:val="single" w:color="auto" w:sz="6" w:space="0"/>
              <w:right w:val="single" w:color="auto" w:sz="6" w:space="0"/>
            </w:tcBorders>
            <w:vAlign w:val="center"/>
          </w:tcPr>
          <w:p>
            <w:pPr>
              <w:jc w:val="center"/>
              <w:rPr>
                <w:color w:val="auto"/>
                <w:szCs w:val="21"/>
              </w:rPr>
            </w:pPr>
            <w:r>
              <w:rPr>
                <w:color w:val="auto"/>
                <w:szCs w:val="21"/>
              </w:rPr>
              <w:t>750-1000</w:t>
            </w:r>
          </w:p>
        </w:tc>
        <w:tc>
          <w:tcPr>
            <w:tcW w:w="984" w:type="dxa"/>
            <w:tcBorders>
              <w:top w:val="single" w:color="auto" w:sz="6" w:space="0"/>
              <w:left w:val="single" w:color="auto" w:sz="6" w:space="0"/>
              <w:bottom w:val="single" w:color="auto" w:sz="6" w:space="0"/>
              <w:right w:val="single" w:color="auto" w:sz="6" w:space="0"/>
            </w:tcBorders>
            <w:vAlign w:val="center"/>
          </w:tcPr>
          <w:p>
            <w:pPr>
              <w:jc w:val="center"/>
              <w:rPr>
                <w:color w:val="auto"/>
                <w:szCs w:val="21"/>
              </w:rPr>
            </w:pPr>
            <w:r>
              <w:rPr>
                <w:color w:val="auto"/>
                <w:szCs w:val="21"/>
              </w:rPr>
              <w:t>750-1000</w:t>
            </w:r>
          </w:p>
        </w:tc>
        <w:tc>
          <w:tcPr>
            <w:tcW w:w="1001" w:type="dxa"/>
            <w:tcBorders>
              <w:top w:val="single" w:color="auto" w:sz="6" w:space="0"/>
              <w:left w:val="single" w:color="auto" w:sz="6" w:space="0"/>
              <w:bottom w:val="single" w:color="auto" w:sz="6" w:space="0"/>
              <w:right w:val="single" w:color="auto" w:sz="6" w:space="0"/>
            </w:tcBorders>
            <w:vAlign w:val="center"/>
          </w:tcPr>
          <w:p>
            <w:pPr>
              <w:jc w:val="center"/>
              <w:rPr>
                <w:color w:val="auto"/>
                <w:szCs w:val="21"/>
              </w:rPr>
            </w:pPr>
            <w:r>
              <w:rPr>
                <w:rFonts w:hint="eastAsia"/>
                <w:color w:val="auto"/>
                <w:szCs w:val="21"/>
              </w:rPr>
              <w:t>50-150</w:t>
            </w:r>
          </w:p>
        </w:tc>
        <w:tc>
          <w:tcPr>
            <w:tcW w:w="1134" w:type="dxa"/>
            <w:tcBorders>
              <w:top w:val="single" w:color="auto" w:sz="6" w:space="0"/>
              <w:left w:val="single" w:color="auto" w:sz="6" w:space="0"/>
              <w:bottom w:val="single" w:color="auto" w:sz="6" w:space="0"/>
              <w:right w:val="single" w:color="auto" w:sz="6" w:space="0"/>
            </w:tcBorders>
            <w:vAlign w:val="center"/>
          </w:tcPr>
          <w:p>
            <w:pPr>
              <w:jc w:val="center"/>
              <w:rPr>
                <w:color w:val="auto"/>
                <w:szCs w:val="21"/>
              </w:rPr>
            </w:pPr>
            <w:r>
              <w:rPr>
                <w:color w:val="auto"/>
                <w:szCs w:val="21"/>
              </w:rPr>
              <w:t>50-200</w:t>
            </w:r>
          </w:p>
        </w:tc>
        <w:tc>
          <w:tcPr>
            <w:tcW w:w="1078" w:type="dxa"/>
            <w:tcBorders>
              <w:top w:val="single" w:color="auto" w:sz="6" w:space="0"/>
              <w:left w:val="single" w:color="auto" w:sz="6" w:space="0"/>
              <w:bottom w:val="single" w:color="auto" w:sz="6" w:space="0"/>
              <w:right w:val="nil"/>
            </w:tcBorders>
            <w:vAlign w:val="center"/>
          </w:tcPr>
          <w:p>
            <w:pPr>
              <w:jc w:val="center"/>
              <w:rPr>
                <w:color w:val="auto"/>
                <w:szCs w:val="21"/>
              </w:rPr>
            </w:pPr>
            <w:r>
              <w:rPr>
                <w:rFonts w:hint="eastAsia"/>
                <w:bCs/>
                <w:color w:val="auto"/>
                <w:szCs w:val="21"/>
              </w:rPr>
              <w:t>3.83×10</w:t>
            </w:r>
            <w:r>
              <w:rPr>
                <w:rFonts w:hint="eastAsia"/>
                <w:bCs/>
                <w:color w:val="auto"/>
                <w:szCs w:val="21"/>
                <w:vertAlign w:val="superscript"/>
              </w:rPr>
              <w:t>5</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03" w:hRule="atLeast"/>
          <w:jc w:val="center"/>
        </w:trPr>
        <w:tc>
          <w:tcPr>
            <w:tcW w:w="1148" w:type="dxa"/>
            <w:tcBorders>
              <w:top w:val="single" w:color="auto" w:sz="6" w:space="0"/>
              <w:bottom w:val="single" w:color="auto" w:sz="6" w:space="0"/>
              <w:right w:val="single" w:color="auto" w:sz="6" w:space="0"/>
            </w:tcBorders>
            <w:vAlign w:val="center"/>
          </w:tcPr>
          <w:p>
            <w:pPr>
              <w:jc w:val="center"/>
              <w:rPr>
                <w:color w:val="auto"/>
                <w:szCs w:val="21"/>
              </w:rPr>
            </w:pPr>
            <w:r>
              <w:rPr>
                <w:color w:val="auto"/>
                <w:szCs w:val="21"/>
              </w:rPr>
              <w:t>本项目取值（mg</w:t>
            </w:r>
            <w:r>
              <w:rPr>
                <w:rFonts w:hint="eastAsia"/>
                <w:color w:val="auto"/>
                <w:szCs w:val="21"/>
              </w:rPr>
              <w:t>/L</w:t>
            </w:r>
            <w:r>
              <w:rPr>
                <w:color w:val="auto"/>
                <w:szCs w:val="21"/>
              </w:rPr>
              <w:t>）</w:t>
            </w:r>
          </w:p>
        </w:tc>
        <w:tc>
          <w:tcPr>
            <w:tcW w:w="982" w:type="dxa"/>
            <w:tcBorders>
              <w:top w:val="single" w:color="auto" w:sz="6" w:space="0"/>
              <w:left w:val="single" w:color="auto" w:sz="6" w:space="0"/>
              <w:bottom w:val="single" w:color="auto" w:sz="6" w:space="0"/>
              <w:right w:val="single" w:color="auto" w:sz="6" w:space="0"/>
            </w:tcBorders>
            <w:vAlign w:val="center"/>
          </w:tcPr>
          <w:p>
            <w:pPr>
              <w:jc w:val="center"/>
              <w:rPr>
                <w:color w:val="auto"/>
                <w:szCs w:val="21"/>
              </w:rPr>
            </w:pPr>
            <w:r>
              <w:rPr>
                <w:color w:val="auto"/>
                <w:szCs w:val="21"/>
              </w:rPr>
              <w:t>6.5-7.5</w:t>
            </w:r>
          </w:p>
        </w:tc>
        <w:tc>
          <w:tcPr>
            <w:tcW w:w="992" w:type="dxa"/>
            <w:tcBorders>
              <w:top w:val="single" w:color="auto" w:sz="6" w:space="0"/>
              <w:left w:val="single" w:color="auto" w:sz="6" w:space="0"/>
              <w:bottom w:val="single" w:color="auto" w:sz="6" w:space="0"/>
              <w:right w:val="single" w:color="auto" w:sz="6" w:space="0"/>
            </w:tcBorders>
            <w:vAlign w:val="center"/>
          </w:tcPr>
          <w:p>
            <w:pPr>
              <w:jc w:val="center"/>
              <w:rPr>
                <w:color w:val="auto"/>
                <w:szCs w:val="21"/>
              </w:rPr>
            </w:pPr>
            <w:r>
              <w:rPr>
                <w:rFonts w:hint="eastAsia"/>
                <w:color w:val="auto"/>
                <w:szCs w:val="21"/>
              </w:rPr>
              <w:t>2000</w:t>
            </w:r>
          </w:p>
        </w:tc>
        <w:tc>
          <w:tcPr>
            <w:tcW w:w="992" w:type="dxa"/>
            <w:tcBorders>
              <w:top w:val="single" w:color="auto" w:sz="6" w:space="0"/>
              <w:left w:val="single" w:color="auto" w:sz="6" w:space="0"/>
              <w:bottom w:val="single" w:color="auto" w:sz="6" w:space="0"/>
              <w:right w:val="single" w:color="auto" w:sz="6" w:space="0"/>
            </w:tcBorders>
            <w:vAlign w:val="center"/>
          </w:tcPr>
          <w:p>
            <w:pPr>
              <w:jc w:val="center"/>
              <w:rPr>
                <w:color w:val="auto"/>
                <w:szCs w:val="21"/>
              </w:rPr>
            </w:pPr>
            <w:r>
              <w:rPr>
                <w:color w:val="auto"/>
                <w:szCs w:val="21"/>
              </w:rPr>
              <w:t>1000</w:t>
            </w:r>
          </w:p>
        </w:tc>
        <w:tc>
          <w:tcPr>
            <w:tcW w:w="984" w:type="dxa"/>
            <w:tcBorders>
              <w:top w:val="single" w:color="auto" w:sz="6" w:space="0"/>
              <w:left w:val="single" w:color="auto" w:sz="6" w:space="0"/>
              <w:bottom w:val="single" w:color="auto" w:sz="6" w:space="0"/>
              <w:right w:val="single" w:color="auto" w:sz="6" w:space="0"/>
            </w:tcBorders>
            <w:vAlign w:val="center"/>
          </w:tcPr>
          <w:p>
            <w:pPr>
              <w:jc w:val="center"/>
              <w:rPr>
                <w:color w:val="auto"/>
                <w:szCs w:val="21"/>
              </w:rPr>
            </w:pPr>
            <w:r>
              <w:rPr>
                <w:color w:val="auto"/>
                <w:szCs w:val="21"/>
              </w:rPr>
              <w:t>1000</w:t>
            </w:r>
          </w:p>
        </w:tc>
        <w:tc>
          <w:tcPr>
            <w:tcW w:w="1001" w:type="dxa"/>
            <w:tcBorders>
              <w:top w:val="single" w:color="auto" w:sz="6" w:space="0"/>
              <w:left w:val="single" w:color="auto" w:sz="6" w:space="0"/>
              <w:bottom w:val="single" w:color="auto" w:sz="6" w:space="0"/>
              <w:right w:val="single" w:color="auto" w:sz="6" w:space="0"/>
            </w:tcBorders>
            <w:vAlign w:val="center"/>
          </w:tcPr>
          <w:p>
            <w:pPr>
              <w:jc w:val="center"/>
              <w:rPr>
                <w:color w:val="auto"/>
                <w:szCs w:val="21"/>
              </w:rPr>
            </w:pPr>
            <w:r>
              <w:rPr>
                <w:rFonts w:hint="eastAsia"/>
                <w:color w:val="auto"/>
                <w:szCs w:val="21"/>
              </w:rPr>
              <w:t>150</w:t>
            </w:r>
          </w:p>
        </w:tc>
        <w:tc>
          <w:tcPr>
            <w:tcW w:w="1134" w:type="dxa"/>
            <w:tcBorders>
              <w:top w:val="single" w:color="auto" w:sz="6" w:space="0"/>
              <w:left w:val="single" w:color="auto" w:sz="6" w:space="0"/>
              <w:bottom w:val="single" w:color="auto" w:sz="6" w:space="0"/>
              <w:right w:val="single" w:color="auto" w:sz="6" w:space="0"/>
            </w:tcBorders>
            <w:vAlign w:val="center"/>
          </w:tcPr>
          <w:p>
            <w:pPr>
              <w:jc w:val="center"/>
              <w:rPr>
                <w:color w:val="auto"/>
                <w:szCs w:val="21"/>
              </w:rPr>
            </w:pPr>
            <w:r>
              <w:rPr>
                <w:color w:val="auto"/>
                <w:szCs w:val="21"/>
              </w:rPr>
              <w:t>200</w:t>
            </w:r>
          </w:p>
        </w:tc>
        <w:tc>
          <w:tcPr>
            <w:tcW w:w="1078" w:type="dxa"/>
            <w:tcBorders>
              <w:top w:val="single" w:color="auto" w:sz="6" w:space="0"/>
              <w:left w:val="single" w:color="auto" w:sz="6" w:space="0"/>
              <w:bottom w:val="single" w:color="auto" w:sz="6" w:space="0"/>
              <w:right w:val="nil"/>
            </w:tcBorders>
            <w:vAlign w:val="center"/>
          </w:tcPr>
          <w:p>
            <w:pPr>
              <w:jc w:val="center"/>
              <w:rPr>
                <w:color w:val="auto"/>
                <w:szCs w:val="21"/>
              </w:rPr>
            </w:pPr>
            <w:r>
              <w:rPr>
                <w:rFonts w:hint="eastAsia"/>
                <w:bCs/>
                <w:color w:val="auto"/>
                <w:szCs w:val="21"/>
              </w:rPr>
              <w:t>3.83×10</w:t>
            </w:r>
            <w:r>
              <w:rPr>
                <w:rFonts w:hint="eastAsia"/>
                <w:bCs/>
                <w:color w:val="auto"/>
                <w:szCs w:val="21"/>
                <w:vertAlign w:val="superscript"/>
              </w:rPr>
              <w:t>5</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03" w:hRule="atLeast"/>
          <w:jc w:val="center"/>
        </w:trPr>
        <w:tc>
          <w:tcPr>
            <w:tcW w:w="1148" w:type="dxa"/>
            <w:tcBorders>
              <w:top w:val="single" w:color="auto" w:sz="6" w:space="0"/>
              <w:right w:val="single" w:color="auto" w:sz="6" w:space="0"/>
            </w:tcBorders>
            <w:vAlign w:val="center"/>
          </w:tcPr>
          <w:p>
            <w:pPr>
              <w:jc w:val="center"/>
              <w:rPr>
                <w:color w:val="auto"/>
                <w:szCs w:val="21"/>
              </w:rPr>
            </w:pPr>
            <w:r>
              <w:rPr>
                <w:rFonts w:hint="eastAsia"/>
                <w:color w:val="auto"/>
                <w:szCs w:val="21"/>
              </w:rPr>
              <w:t>污染物</w:t>
            </w:r>
            <w:r>
              <w:rPr>
                <w:color w:val="auto"/>
                <w:szCs w:val="21"/>
              </w:rPr>
              <w:t>产生量（t</w:t>
            </w:r>
            <w:r>
              <w:rPr>
                <w:rFonts w:hint="eastAsia"/>
                <w:color w:val="auto"/>
                <w:szCs w:val="21"/>
              </w:rPr>
              <w:t>/a</w:t>
            </w:r>
            <w:r>
              <w:rPr>
                <w:color w:val="auto"/>
                <w:szCs w:val="21"/>
              </w:rPr>
              <w:t>）</w:t>
            </w:r>
          </w:p>
        </w:tc>
        <w:tc>
          <w:tcPr>
            <w:tcW w:w="982" w:type="dxa"/>
            <w:tcBorders>
              <w:top w:val="single" w:color="auto" w:sz="6" w:space="0"/>
              <w:left w:val="single" w:color="auto" w:sz="6" w:space="0"/>
              <w:right w:val="single" w:color="auto" w:sz="6" w:space="0"/>
            </w:tcBorders>
            <w:vAlign w:val="center"/>
          </w:tcPr>
          <w:p>
            <w:pPr>
              <w:jc w:val="center"/>
              <w:rPr>
                <w:color w:val="auto"/>
                <w:szCs w:val="21"/>
              </w:rPr>
            </w:pPr>
            <w:r>
              <w:rPr>
                <w:color w:val="auto"/>
                <w:szCs w:val="21"/>
              </w:rPr>
              <w:t>6.5-7.5</w:t>
            </w:r>
          </w:p>
        </w:tc>
        <w:tc>
          <w:tcPr>
            <w:tcW w:w="992" w:type="dxa"/>
            <w:tcBorders>
              <w:top w:val="single" w:color="auto" w:sz="6" w:space="0"/>
              <w:left w:val="single" w:color="auto" w:sz="6" w:space="0"/>
              <w:right w:val="single" w:color="auto" w:sz="6" w:space="0"/>
            </w:tcBorders>
            <w:vAlign w:val="center"/>
          </w:tcPr>
          <w:p>
            <w:pPr>
              <w:jc w:val="center"/>
              <w:rPr>
                <w:rFonts w:hint="default" w:eastAsia="宋体"/>
                <w:color w:val="auto"/>
                <w:szCs w:val="21"/>
                <w:lang w:val="en-US" w:eastAsia="zh-CN"/>
              </w:rPr>
            </w:pPr>
            <w:r>
              <w:rPr>
                <w:rFonts w:hint="eastAsia"/>
                <w:color w:val="auto"/>
                <w:szCs w:val="21"/>
                <w:lang w:val="en-US" w:eastAsia="zh-CN"/>
              </w:rPr>
              <w:t>32.73</w:t>
            </w:r>
          </w:p>
        </w:tc>
        <w:tc>
          <w:tcPr>
            <w:tcW w:w="992" w:type="dxa"/>
            <w:tcBorders>
              <w:top w:val="single" w:color="auto" w:sz="6" w:space="0"/>
              <w:left w:val="single" w:color="auto" w:sz="6" w:space="0"/>
              <w:right w:val="single" w:color="auto" w:sz="6" w:space="0"/>
            </w:tcBorders>
            <w:vAlign w:val="center"/>
          </w:tcPr>
          <w:p>
            <w:pPr>
              <w:jc w:val="center"/>
              <w:rPr>
                <w:rFonts w:hint="default" w:eastAsia="宋体"/>
                <w:color w:val="auto"/>
                <w:szCs w:val="21"/>
                <w:lang w:val="en-US" w:eastAsia="zh-CN"/>
              </w:rPr>
            </w:pPr>
            <w:r>
              <w:rPr>
                <w:rFonts w:hint="eastAsia"/>
                <w:color w:val="auto"/>
                <w:szCs w:val="21"/>
                <w:lang w:val="en-US" w:eastAsia="zh-CN"/>
              </w:rPr>
              <w:t>16.37</w:t>
            </w:r>
          </w:p>
        </w:tc>
        <w:tc>
          <w:tcPr>
            <w:tcW w:w="984" w:type="dxa"/>
            <w:tcBorders>
              <w:top w:val="single" w:color="auto" w:sz="6" w:space="0"/>
              <w:left w:val="single" w:color="auto" w:sz="6" w:space="0"/>
              <w:right w:val="single" w:color="auto" w:sz="6" w:space="0"/>
            </w:tcBorders>
            <w:vAlign w:val="center"/>
          </w:tcPr>
          <w:p>
            <w:pPr>
              <w:jc w:val="center"/>
              <w:rPr>
                <w:rFonts w:hint="default" w:eastAsia="宋体"/>
                <w:color w:val="auto"/>
                <w:szCs w:val="21"/>
                <w:lang w:val="en-US" w:eastAsia="zh-CN"/>
              </w:rPr>
            </w:pPr>
            <w:r>
              <w:rPr>
                <w:rFonts w:hint="eastAsia"/>
                <w:color w:val="auto"/>
                <w:szCs w:val="21"/>
                <w:lang w:val="en-US" w:eastAsia="zh-CN"/>
              </w:rPr>
              <w:t>16.37</w:t>
            </w:r>
          </w:p>
        </w:tc>
        <w:tc>
          <w:tcPr>
            <w:tcW w:w="1001" w:type="dxa"/>
            <w:tcBorders>
              <w:top w:val="single" w:color="auto" w:sz="6" w:space="0"/>
              <w:left w:val="single" w:color="auto" w:sz="6" w:space="0"/>
              <w:right w:val="single" w:color="auto" w:sz="6" w:space="0"/>
            </w:tcBorders>
            <w:vAlign w:val="center"/>
          </w:tcPr>
          <w:p>
            <w:pPr>
              <w:jc w:val="center"/>
              <w:rPr>
                <w:rFonts w:hint="default" w:eastAsia="宋体"/>
                <w:color w:val="auto"/>
                <w:szCs w:val="21"/>
                <w:lang w:val="en-US" w:eastAsia="zh-CN"/>
              </w:rPr>
            </w:pPr>
            <w:r>
              <w:rPr>
                <w:rFonts w:hint="eastAsia"/>
                <w:color w:val="auto"/>
                <w:szCs w:val="21"/>
                <w:lang w:val="en-US" w:eastAsia="zh-CN"/>
              </w:rPr>
              <w:t>2.45</w:t>
            </w:r>
          </w:p>
        </w:tc>
        <w:tc>
          <w:tcPr>
            <w:tcW w:w="1134" w:type="dxa"/>
            <w:tcBorders>
              <w:top w:val="single" w:color="auto" w:sz="6" w:space="0"/>
              <w:left w:val="single" w:color="auto" w:sz="6" w:space="0"/>
              <w:right w:val="single" w:color="auto" w:sz="6" w:space="0"/>
            </w:tcBorders>
            <w:vAlign w:val="center"/>
          </w:tcPr>
          <w:p>
            <w:pPr>
              <w:jc w:val="center"/>
              <w:rPr>
                <w:rFonts w:hint="default" w:eastAsia="宋体"/>
                <w:color w:val="auto"/>
                <w:szCs w:val="21"/>
                <w:lang w:val="en-US" w:eastAsia="zh-CN"/>
              </w:rPr>
            </w:pPr>
            <w:r>
              <w:rPr>
                <w:rFonts w:hint="eastAsia"/>
                <w:color w:val="auto"/>
                <w:szCs w:val="21"/>
                <w:lang w:val="en-US" w:eastAsia="zh-CN"/>
              </w:rPr>
              <w:t>3.27</w:t>
            </w:r>
          </w:p>
        </w:tc>
        <w:tc>
          <w:tcPr>
            <w:tcW w:w="1078" w:type="dxa"/>
            <w:tcBorders>
              <w:top w:val="single" w:color="auto" w:sz="6" w:space="0"/>
              <w:left w:val="single" w:color="auto" w:sz="6" w:space="0"/>
              <w:right w:val="nil"/>
            </w:tcBorders>
            <w:vAlign w:val="center"/>
          </w:tcPr>
          <w:p>
            <w:pPr>
              <w:jc w:val="center"/>
              <w:rPr>
                <w:rFonts w:hint="default" w:eastAsia="宋体"/>
                <w:color w:val="FF0000"/>
                <w:szCs w:val="21"/>
                <w:lang w:val="en-US" w:eastAsia="zh-CN"/>
              </w:rPr>
            </w:pPr>
            <w:r>
              <w:rPr>
                <w:rFonts w:hint="eastAsia"/>
                <w:color w:val="auto"/>
                <w:szCs w:val="21"/>
                <w:lang w:val="en-US" w:eastAsia="zh-CN"/>
              </w:rPr>
              <w:t>6.27</w:t>
            </w:r>
            <w:r>
              <w:rPr>
                <w:rFonts w:hint="eastAsia"/>
                <w:bCs/>
                <w:color w:val="auto"/>
                <w:szCs w:val="21"/>
              </w:rPr>
              <w:t>×10</w:t>
            </w:r>
            <w:r>
              <w:rPr>
                <w:rFonts w:hint="eastAsia"/>
                <w:bCs/>
                <w:color w:val="auto"/>
                <w:szCs w:val="21"/>
                <w:vertAlign w:val="superscript"/>
                <w:lang w:val="en-US" w:eastAsia="zh-CN"/>
              </w:rPr>
              <w:t>12</w:t>
            </w:r>
          </w:p>
        </w:tc>
      </w:tr>
    </w:tbl>
    <w:p>
      <w:pPr>
        <w:spacing w:line="360" w:lineRule="auto"/>
        <w:ind w:firstLine="480" w:firstLineChars="200"/>
        <w:contextualSpacing/>
        <w:rPr>
          <w:color w:val="auto"/>
          <w:sz w:val="24"/>
        </w:rPr>
      </w:pPr>
      <w:r>
        <w:rPr>
          <w:rFonts w:hint="eastAsia"/>
          <w:color w:val="auto"/>
          <w:sz w:val="24"/>
        </w:rPr>
        <w:t>综上，本项目废水合计排放量为</w:t>
      </w:r>
      <w:r>
        <w:rPr>
          <w:rFonts w:hint="eastAsia"/>
          <w:color w:val="auto"/>
          <w:sz w:val="24"/>
          <w:lang w:eastAsia="zh-CN"/>
        </w:rPr>
        <w:t>17518.608</w:t>
      </w:r>
      <w:r>
        <w:rPr>
          <w:rFonts w:hint="eastAsia"/>
          <w:color w:val="auto"/>
          <w:sz w:val="24"/>
        </w:rPr>
        <w:t>t/a，项目废水水质见下表3-3-4。</w:t>
      </w:r>
    </w:p>
    <w:p>
      <w:pPr>
        <w:spacing w:line="360" w:lineRule="auto"/>
        <w:ind w:firstLine="480" w:firstLineChars="200"/>
        <w:contextualSpacing/>
        <w:rPr>
          <w:color w:val="auto"/>
          <w:sz w:val="24"/>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color w:val="auto"/>
          <w:sz w:val="24"/>
        </w:rPr>
      </w:pPr>
      <w:r>
        <w:rPr>
          <w:b/>
          <w:bCs/>
          <w:color w:val="auto"/>
          <w:sz w:val="24"/>
        </w:rPr>
        <w:t>表3-3-4  本项目废水水质一览表</w:t>
      </w:r>
    </w:p>
    <w:tbl>
      <w:tblPr>
        <w:tblStyle w:val="46"/>
        <w:tblW w:w="465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55"/>
        <w:gridCol w:w="815"/>
        <w:gridCol w:w="2043"/>
        <w:gridCol w:w="1336"/>
        <w:gridCol w:w="1093"/>
        <w:gridCol w:w="1225"/>
        <w:gridCol w:w="1072"/>
        <w:gridCol w:w="1077"/>
        <w:gridCol w:w="990"/>
        <w:gridCol w:w="1175"/>
        <w:gridCol w:w="13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 w:hRule="atLeast"/>
          <w:jc w:val="center"/>
        </w:trPr>
        <w:tc>
          <w:tcPr>
            <w:tcW w:w="1483" w:type="pct"/>
            <w:gridSpan w:val="3"/>
            <w:vMerge w:val="restart"/>
            <w:vAlign w:val="center"/>
          </w:tcPr>
          <w:p>
            <w:pPr>
              <w:jc w:val="center"/>
              <w:rPr>
                <w:color w:val="auto"/>
                <w:szCs w:val="21"/>
              </w:rPr>
            </w:pPr>
            <w:r>
              <w:rPr>
                <w:color w:val="auto"/>
                <w:szCs w:val="21"/>
              </w:rPr>
              <w:t>废水产生环节</w:t>
            </w:r>
          </w:p>
        </w:tc>
        <w:tc>
          <w:tcPr>
            <w:tcW w:w="506" w:type="pct"/>
            <w:vMerge w:val="restart"/>
            <w:vAlign w:val="center"/>
          </w:tcPr>
          <w:p>
            <w:pPr>
              <w:jc w:val="center"/>
              <w:rPr>
                <w:color w:val="auto"/>
                <w:szCs w:val="21"/>
              </w:rPr>
            </w:pPr>
            <w:r>
              <w:rPr>
                <w:color w:val="auto"/>
                <w:szCs w:val="21"/>
              </w:rPr>
              <w:t>排水量</w:t>
            </w:r>
          </w:p>
          <w:p>
            <w:pPr>
              <w:jc w:val="center"/>
              <w:rPr>
                <w:color w:val="auto"/>
                <w:szCs w:val="21"/>
              </w:rPr>
            </w:pPr>
            <w:r>
              <w:rPr>
                <w:color w:val="auto"/>
                <w:szCs w:val="21"/>
              </w:rPr>
              <w:t>（</w:t>
            </w:r>
            <w:r>
              <w:rPr>
                <w:rFonts w:hint="eastAsia"/>
                <w:color w:val="auto"/>
                <w:szCs w:val="21"/>
              </w:rPr>
              <w:t>t</w:t>
            </w:r>
            <w:r>
              <w:rPr>
                <w:color w:val="auto"/>
                <w:szCs w:val="21"/>
              </w:rPr>
              <w:t>/</w:t>
            </w:r>
            <w:r>
              <w:rPr>
                <w:rFonts w:hint="eastAsia"/>
                <w:color w:val="auto"/>
                <w:szCs w:val="21"/>
              </w:rPr>
              <w:t>a</w:t>
            </w:r>
            <w:r>
              <w:rPr>
                <w:color w:val="auto"/>
                <w:szCs w:val="21"/>
              </w:rPr>
              <w:t>）</w:t>
            </w:r>
          </w:p>
        </w:tc>
        <w:tc>
          <w:tcPr>
            <w:tcW w:w="3009" w:type="pct"/>
            <w:gridSpan w:val="7"/>
            <w:vAlign w:val="center"/>
          </w:tcPr>
          <w:p>
            <w:pPr>
              <w:jc w:val="center"/>
              <w:rPr>
                <w:color w:val="auto"/>
                <w:szCs w:val="21"/>
              </w:rPr>
            </w:pPr>
            <w:r>
              <w:rPr>
                <w:color w:val="auto"/>
                <w:szCs w:val="21"/>
              </w:rPr>
              <w:t>主要污染物浓度（mg/L）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 w:hRule="atLeast"/>
          <w:jc w:val="center"/>
        </w:trPr>
        <w:tc>
          <w:tcPr>
            <w:tcW w:w="1483" w:type="pct"/>
            <w:gridSpan w:val="3"/>
            <w:vMerge w:val="continue"/>
            <w:vAlign w:val="center"/>
          </w:tcPr>
          <w:p>
            <w:pPr>
              <w:jc w:val="center"/>
              <w:rPr>
                <w:color w:val="auto"/>
                <w:szCs w:val="21"/>
              </w:rPr>
            </w:pPr>
          </w:p>
        </w:tc>
        <w:tc>
          <w:tcPr>
            <w:tcW w:w="506" w:type="pct"/>
            <w:vMerge w:val="continue"/>
            <w:vAlign w:val="center"/>
          </w:tcPr>
          <w:p>
            <w:pPr>
              <w:jc w:val="center"/>
              <w:rPr>
                <w:color w:val="auto"/>
                <w:szCs w:val="21"/>
              </w:rPr>
            </w:pPr>
          </w:p>
        </w:tc>
        <w:tc>
          <w:tcPr>
            <w:tcW w:w="414" w:type="pct"/>
            <w:vAlign w:val="center"/>
          </w:tcPr>
          <w:p>
            <w:pPr>
              <w:widowControl/>
              <w:jc w:val="center"/>
              <w:rPr>
                <w:color w:val="auto"/>
                <w:szCs w:val="21"/>
              </w:rPr>
            </w:pPr>
            <w:r>
              <w:rPr>
                <w:color w:val="auto"/>
                <w:szCs w:val="21"/>
              </w:rPr>
              <w:t>pH（无量纲）</w:t>
            </w:r>
          </w:p>
        </w:tc>
        <w:tc>
          <w:tcPr>
            <w:tcW w:w="464" w:type="pct"/>
            <w:vAlign w:val="center"/>
          </w:tcPr>
          <w:p>
            <w:pPr>
              <w:widowControl/>
              <w:jc w:val="center"/>
              <w:rPr>
                <w:color w:val="auto"/>
                <w:szCs w:val="21"/>
              </w:rPr>
            </w:pPr>
            <w:r>
              <w:rPr>
                <w:color w:val="auto"/>
                <w:szCs w:val="21"/>
              </w:rPr>
              <w:t>COD</w:t>
            </w:r>
          </w:p>
        </w:tc>
        <w:tc>
          <w:tcPr>
            <w:tcW w:w="406" w:type="pct"/>
            <w:vAlign w:val="center"/>
          </w:tcPr>
          <w:p>
            <w:pPr>
              <w:widowControl/>
              <w:jc w:val="center"/>
              <w:rPr>
                <w:color w:val="auto"/>
                <w:szCs w:val="21"/>
              </w:rPr>
            </w:pPr>
            <w:r>
              <w:rPr>
                <w:color w:val="auto"/>
                <w:szCs w:val="21"/>
              </w:rPr>
              <w:t>BOD</w:t>
            </w:r>
            <w:r>
              <w:rPr>
                <w:color w:val="auto"/>
                <w:szCs w:val="21"/>
                <w:vertAlign w:val="subscript"/>
              </w:rPr>
              <w:t>5</w:t>
            </w:r>
          </w:p>
        </w:tc>
        <w:tc>
          <w:tcPr>
            <w:tcW w:w="408" w:type="pct"/>
            <w:vAlign w:val="center"/>
          </w:tcPr>
          <w:p>
            <w:pPr>
              <w:widowControl/>
              <w:jc w:val="center"/>
              <w:rPr>
                <w:color w:val="auto"/>
                <w:szCs w:val="21"/>
              </w:rPr>
            </w:pPr>
            <w:r>
              <w:rPr>
                <w:color w:val="auto"/>
                <w:szCs w:val="21"/>
              </w:rPr>
              <w:t>SS</w:t>
            </w:r>
          </w:p>
        </w:tc>
        <w:tc>
          <w:tcPr>
            <w:tcW w:w="375" w:type="pct"/>
            <w:vAlign w:val="center"/>
          </w:tcPr>
          <w:p>
            <w:pPr>
              <w:widowControl/>
              <w:jc w:val="center"/>
              <w:rPr>
                <w:color w:val="auto"/>
                <w:szCs w:val="21"/>
              </w:rPr>
            </w:pPr>
            <w:r>
              <w:rPr>
                <w:color w:val="auto"/>
                <w:szCs w:val="21"/>
              </w:rPr>
              <w:t>氨氮</w:t>
            </w:r>
          </w:p>
        </w:tc>
        <w:tc>
          <w:tcPr>
            <w:tcW w:w="445" w:type="pct"/>
            <w:vAlign w:val="center"/>
          </w:tcPr>
          <w:p>
            <w:pPr>
              <w:widowControl/>
              <w:jc w:val="center"/>
              <w:rPr>
                <w:color w:val="auto"/>
                <w:szCs w:val="21"/>
              </w:rPr>
            </w:pPr>
            <w:r>
              <w:rPr>
                <w:color w:val="auto"/>
                <w:szCs w:val="21"/>
              </w:rPr>
              <w:t>动植物油</w:t>
            </w:r>
          </w:p>
        </w:tc>
        <w:tc>
          <w:tcPr>
            <w:tcW w:w="493" w:type="pct"/>
            <w:vAlign w:val="center"/>
          </w:tcPr>
          <w:p>
            <w:pPr>
              <w:jc w:val="center"/>
              <w:rPr>
                <w:color w:val="auto"/>
                <w:szCs w:val="21"/>
              </w:rPr>
            </w:pPr>
            <w:r>
              <w:rPr>
                <w:color w:val="auto"/>
                <w:szCs w:val="21"/>
              </w:rPr>
              <w:t>大肠菌群数（个</w:t>
            </w:r>
            <w:r>
              <w:rPr>
                <w:rFonts w:hint="eastAsia"/>
                <w:color w:val="auto"/>
                <w:szCs w:val="21"/>
              </w:rPr>
              <w:t>/L</w:t>
            </w: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400" w:type="pct"/>
            <w:vMerge w:val="restart"/>
            <w:vAlign w:val="center"/>
          </w:tcPr>
          <w:p>
            <w:pPr>
              <w:jc w:val="center"/>
              <w:rPr>
                <w:color w:val="auto"/>
                <w:szCs w:val="21"/>
              </w:rPr>
            </w:pPr>
            <w:r>
              <w:rPr>
                <w:color w:val="auto"/>
                <w:szCs w:val="21"/>
              </w:rPr>
              <w:t>污水处理站废水</w:t>
            </w:r>
          </w:p>
        </w:tc>
        <w:tc>
          <w:tcPr>
            <w:tcW w:w="309" w:type="pct"/>
            <w:vAlign w:val="center"/>
          </w:tcPr>
          <w:p>
            <w:pPr>
              <w:jc w:val="center"/>
              <w:rPr>
                <w:color w:val="auto"/>
                <w:szCs w:val="21"/>
              </w:rPr>
            </w:pPr>
            <w:r>
              <w:rPr>
                <w:color w:val="auto"/>
                <w:szCs w:val="21"/>
              </w:rPr>
              <w:t>生产</w:t>
            </w:r>
          </w:p>
          <w:p>
            <w:pPr>
              <w:jc w:val="center"/>
              <w:rPr>
                <w:color w:val="auto"/>
                <w:szCs w:val="21"/>
              </w:rPr>
            </w:pPr>
            <w:r>
              <w:rPr>
                <w:color w:val="auto"/>
                <w:szCs w:val="21"/>
              </w:rPr>
              <w:t>废水</w:t>
            </w:r>
          </w:p>
        </w:tc>
        <w:tc>
          <w:tcPr>
            <w:tcW w:w="772" w:type="pct"/>
            <w:vAlign w:val="center"/>
          </w:tcPr>
          <w:p>
            <w:pPr>
              <w:jc w:val="center"/>
              <w:rPr>
                <w:rFonts w:hint="default" w:eastAsia="宋体"/>
                <w:color w:val="auto"/>
                <w:szCs w:val="21"/>
                <w:lang w:val="en-US" w:eastAsia="zh-CN"/>
              </w:rPr>
            </w:pPr>
            <w:r>
              <w:rPr>
                <w:rFonts w:hint="eastAsia"/>
                <w:color w:val="auto"/>
                <w:szCs w:val="21"/>
              </w:rPr>
              <w:t>待宰间清洗废水（含尿液）、屠宰车间</w:t>
            </w:r>
            <w:r>
              <w:rPr>
                <w:rFonts w:hint="eastAsia"/>
                <w:color w:val="auto"/>
                <w:szCs w:val="21"/>
                <w:lang w:val="en-US" w:eastAsia="zh-CN"/>
              </w:rPr>
              <w:t>及急宰间</w:t>
            </w:r>
            <w:r>
              <w:rPr>
                <w:rFonts w:hint="eastAsia"/>
                <w:color w:val="auto"/>
                <w:szCs w:val="21"/>
              </w:rPr>
              <w:t>废水</w:t>
            </w:r>
            <w:r>
              <w:rPr>
                <w:rFonts w:hint="eastAsia"/>
                <w:color w:val="auto"/>
                <w:szCs w:val="21"/>
                <w:lang w:eastAsia="zh-CN"/>
              </w:rPr>
              <w:t>、</w:t>
            </w:r>
            <w:r>
              <w:rPr>
                <w:rFonts w:hint="eastAsia"/>
                <w:color w:val="auto"/>
                <w:szCs w:val="21"/>
                <w:lang w:val="en-US" w:eastAsia="zh-CN"/>
              </w:rPr>
              <w:t>锅炉排污水、软水制备排污水</w:t>
            </w:r>
          </w:p>
        </w:tc>
        <w:tc>
          <w:tcPr>
            <w:tcW w:w="506" w:type="pct"/>
            <w:vAlign w:val="center"/>
          </w:tcPr>
          <w:p>
            <w:pPr>
              <w:jc w:val="center"/>
              <w:rPr>
                <w:rFonts w:hint="eastAsia" w:eastAsia="宋体"/>
                <w:color w:val="auto"/>
                <w:szCs w:val="21"/>
                <w:lang w:eastAsia="zh-CN"/>
              </w:rPr>
            </w:pPr>
            <w:r>
              <w:rPr>
                <w:rFonts w:hint="eastAsia"/>
                <w:bCs/>
                <w:color w:val="auto"/>
                <w:szCs w:val="21"/>
                <w:lang w:eastAsia="zh-CN"/>
              </w:rPr>
              <w:t>16366.608</w:t>
            </w:r>
          </w:p>
        </w:tc>
        <w:tc>
          <w:tcPr>
            <w:tcW w:w="414" w:type="pct"/>
            <w:vAlign w:val="center"/>
          </w:tcPr>
          <w:p>
            <w:pPr>
              <w:jc w:val="center"/>
              <w:rPr>
                <w:color w:val="auto"/>
                <w:szCs w:val="21"/>
              </w:rPr>
            </w:pPr>
            <w:r>
              <w:rPr>
                <w:color w:val="auto"/>
                <w:szCs w:val="21"/>
              </w:rPr>
              <w:t>6.5-7.5</w:t>
            </w:r>
          </w:p>
        </w:tc>
        <w:tc>
          <w:tcPr>
            <w:tcW w:w="464" w:type="pct"/>
            <w:vAlign w:val="center"/>
          </w:tcPr>
          <w:p>
            <w:pPr>
              <w:jc w:val="center"/>
              <w:rPr>
                <w:color w:val="auto"/>
                <w:szCs w:val="21"/>
              </w:rPr>
            </w:pPr>
            <w:r>
              <w:rPr>
                <w:rFonts w:hint="eastAsia"/>
                <w:color w:val="auto"/>
                <w:szCs w:val="21"/>
              </w:rPr>
              <w:t>2000</w:t>
            </w:r>
          </w:p>
        </w:tc>
        <w:tc>
          <w:tcPr>
            <w:tcW w:w="406" w:type="pct"/>
            <w:vAlign w:val="center"/>
          </w:tcPr>
          <w:p>
            <w:pPr>
              <w:jc w:val="center"/>
              <w:rPr>
                <w:color w:val="auto"/>
                <w:szCs w:val="21"/>
              </w:rPr>
            </w:pPr>
            <w:r>
              <w:rPr>
                <w:rFonts w:hint="eastAsia"/>
                <w:color w:val="auto"/>
                <w:szCs w:val="21"/>
              </w:rPr>
              <w:t>1000</w:t>
            </w:r>
          </w:p>
        </w:tc>
        <w:tc>
          <w:tcPr>
            <w:tcW w:w="408" w:type="pct"/>
            <w:vAlign w:val="center"/>
          </w:tcPr>
          <w:p>
            <w:pPr>
              <w:jc w:val="center"/>
              <w:rPr>
                <w:color w:val="auto"/>
                <w:szCs w:val="21"/>
              </w:rPr>
            </w:pPr>
            <w:r>
              <w:rPr>
                <w:rFonts w:hint="eastAsia"/>
                <w:color w:val="auto"/>
                <w:szCs w:val="21"/>
              </w:rPr>
              <w:t>1000</w:t>
            </w:r>
          </w:p>
        </w:tc>
        <w:tc>
          <w:tcPr>
            <w:tcW w:w="375" w:type="pct"/>
            <w:vAlign w:val="center"/>
          </w:tcPr>
          <w:p>
            <w:pPr>
              <w:jc w:val="center"/>
              <w:rPr>
                <w:color w:val="auto"/>
                <w:szCs w:val="21"/>
              </w:rPr>
            </w:pPr>
            <w:r>
              <w:rPr>
                <w:rFonts w:hint="eastAsia"/>
                <w:color w:val="auto"/>
                <w:szCs w:val="21"/>
              </w:rPr>
              <w:t>150</w:t>
            </w:r>
          </w:p>
        </w:tc>
        <w:tc>
          <w:tcPr>
            <w:tcW w:w="445" w:type="pct"/>
            <w:vAlign w:val="center"/>
          </w:tcPr>
          <w:p>
            <w:pPr>
              <w:jc w:val="center"/>
              <w:rPr>
                <w:color w:val="auto"/>
                <w:szCs w:val="21"/>
              </w:rPr>
            </w:pPr>
            <w:r>
              <w:rPr>
                <w:rFonts w:hint="eastAsia"/>
                <w:color w:val="auto"/>
                <w:szCs w:val="21"/>
              </w:rPr>
              <w:t>200</w:t>
            </w:r>
          </w:p>
        </w:tc>
        <w:tc>
          <w:tcPr>
            <w:tcW w:w="493" w:type="pct"/>
            <w:vAlign w:val="center"/>
          </w:tcPr>
          <w:p>
            <w:pPr>
              <w:jc w:val="center"/>
              <w:rPr>
                <w:color w:val="auto"/>
                <w:szCs w:val="21"/>
              </w:rPr>
            </w:pPr>
            <w:r>
              <w:rPr>
                <w:rFonts w:hint="eastAsia"/>
                <w:bCs/>
                <w:color w:val="auto"/>
                <w:szCs w:val="21"/>
              </w:rPr>
              <w:t>3.83×10</w:t>
            </w:r>
            <w:r>
              <w:rPr>
                <w:rFonts w:hint="eastAsia"/>
                <w:bCs/>
                <w:color w:val="auto"/>
                <w:szCs w:val="21"/>
                <w:vertAlign w:val="superscript"/>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400" w:type="pct"/>
            <w:vMerge w:val="continue"/>
            <w:vAlign w:val="center"/>
          </w:tcPr>
          <w:p>
            <w:pPr>
              <w:jc w:val="center"/>
              <w:rPr>
                <w:color w:val="auto"/>
                <w:szCs w:val="21"/>
              </w:rPr>
            </w:pPr>
          </w:p>
        </w:tc>
        <w:tc>
          <w:tcPr>
            <w:tcW w:w="309" w:type="pct"/>
            <w:vAlign w:val="center"/>
          </w:tcPr>
          <w:p>
            <w:pPr>
              <w:jc w:val="center"/>
              <w:rPr>
                <w:color w:val="auto"/>
                <w:szCs w:val="21"/>
              </w:rPr>
            </w:pPr>
            <w:r>
              <w:rPr>
                <w:color w:val="auto"/>
                <w:szCs w:val="21"/>
              </w:rPr>
              <w:t>生活污水</w:t>
            </w:r>
          </w:p>
        </w:tc>
        <w:tc>
          <w:tcPr>
            <w:tcW w:w="772" w:type="pct"/>
            <w:vAlign w:val="center"/>
          </w:tcPr>
          <w:p>
            <w:pPr>
              <w:jc w:val="center"/>
              <w:rPr>
                <w:rFonts w:hint="eastAsia" w:eastAsia="宋体"/>
                <w:color w:val="auto"/>
                <w:szCs w:val="21"/>
                <w:lang w:eastAsia="zh-CN"/>
              </w:rPr>
            </w:pPr>
            <w:r>
              <w:rPr>
                <w:rFonts w:hint="eastAsia"/>
                <w:color w:val="auto"/>
                <w:szCs w:val="21"/>
                <w:lang w:eastAsia="zh-CN"/>
              </w:rPr>
              <w:t>生活污水</w:t>
            </w:r>
          </w:p>
        </w:tc>
        <w:tc>
          <w:tcPr>
            <w:tcW w:w="506" w:type="pct"/>
            <w:vAlign w:val="center"/>
          </w:tcPr>
          <w:p>
            <w:pPr>
              <w:jc w:val="center"/>
              <w:rPr>
                <w:rFonts w:hint="eastAsia" w:eastAsia="宋体"/>
                <w:color w:val="auto"/>
                <w:szCs w:val="21"/>
                <w:lang w:eastAsia="zh-CN"/>
              </w:rPr>
            </w:pPr>
            <w:r>
              <w:rPr>
                <w:rFonts w:hint="eastAsia"/>
                <w:color w:val="auto"/>
                <w:szCs w:val="21"/>
                <w:lang w:eastAsia="zh-CN"/>
              </w:rPr>
              <w:t>1152</w:t>
            </w:r>
          </w:p>
        </w:tc>
        <w:tc>
          <w:tcPr>
            <w:tcW w:w="414" w:type="pct"/>
            <w:vAlign w:val="center"/>
          </w:tcPr>
          <w:p>
            <w:pPr>
              <w:jc w:val="center"/>
              <w:rPr>
                <w:color w:val="auto"/>
                <w:szCs w:val="21"/>
              </w:rPr>
            </w:pPr>
            <w:r>
              <w:rPr>
                <w:color w:val="auto"/>
                <w:szCs w:val="21"/>
              </w:rPr>
              <w:t>6.5-7.5</w:t>
            </w:r>
          </w:p>
        </w:tc>
        <w:tc>
          <w:tcPr>
            <w:tcW w:w="464" w:type="pct"/>
            <w:vAlign w:val="center"/>
          </w:tcPr>
          <w:p>
            <w:pPr>
              <w:jc w:val="center"/>
              <w:rPr>
                <w:color w:val="auto"/>
                <w:szCs w:val="21"/>
              </w:rPr>
            </w:pPr>
            <w:r>
              <w:rPr>
                <w:color w:val="auto"/>
                <w:szCs w:val="21"/>
              </w:rPr>
              <w:t>350</w:t>
            </w:r>
          </w:p>
        </w:tc>
        <w:tc>
          <w:tcPr>
            <w:tcW w:w="406" w:type="pct"/>
            <w:vAlign w:val="center"/>
          </w:tcPr>
          <w:p>
            <w:pPr>
              <w:jc w:val="center"/>
              <w:rPr>
                <w:color w:val="auto"/>
                <w:szCs w:val="21"/>
              </w:rPr>
            </w:pPr>
            <w:r>
              <w:rPr>
                <w:rFonts w:hint="eastAsia"/>
                <w:color w:val="auto"/>
                <w:szCs w:val="21"/>
              </w:rPr>
              <w:t>180</w:t>
            </w:r>
          </w:p>
        </w:tc>
        <w:tc>
          <w:tcPr>
            <w:tcW w:w="408" w:type="pct"/>
            <w:vAlign w:val="center"/>
          </w:tcPr>
          <w:p>
            <w:pPr>
              <w:jc w:val="center"/>
              <w:rPr>
                <w:color w:val="auto"/>
                <w:szCs w:val="21"/>
              </w:rPr>
            </w:pPr>
            <w:r>
              <w:rPr>
                <w:color w:val="auto"/>
                <w:szCs w:val="21"/>
              </w:rPr>
              <w:t>200</w:t>
            </w:r>
          </w:p>
        </w:tc>
        <w:tc>
          <w:tcPr>
            <w:tcW w:w="375" w:type="pct"/>
            <w:vAlign w:val="center"/>
          </w:tcPr>
          <w:p>
            <w:pPr>
              <w:jc w:val="center"/>
              <w:rPr>
                <w:color w:val="auto"/>
                <w:szCs w:val="21"/>
              </w:rPr>
            </w:pPr>
            <w:r>
              <w:rPr>
                <w:color w:val="auto"/>
                <w:szCs w:val="21"/>
              </w:rPr>
              <w:t>35</w:t>
            </w:r>
          </w:p>
        </w:tc>
        <w:tc>
          <w:tcPr>
            <w:tcW w:w="445" w:type="pct"/>
            <w:vAlign w:val="center"/>
          </w:tcPr>
          <w:p>
            <w:pPr>
              <w:jc w:val="center"/>
              <w:rPr>
                <w:color w:val="auto"/>
                <w:szCs w:val="21"/>
              </w:rPr>
            </w:pPr>
            <w:r>
              <w:rPr>
                <w:color w:val="auto"/>
                <w:szCs w:val="21"/>
              </w:rPr>
              <w:t>—</w:t>
            </w:r>
          </w:p>
        </w:tc>
        <w:tc>
          <w:tcPr>
            <w:tcW w:w="493" w:type="pct"/>
            <w:vAlign w:val="center"/>
          </w:tcPr>
          <w:p>
            <w:pPr>
              <w:jc w:val="center"/>
              <w:rPr>
                <w:color w:val="auto"/>
                <w:szCs w:val="21"/>
              </w:rPr>
            </w:pP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400" w:type="pct"/>
            <w:vMerge w:val="continue"/>
            <w:vAlign w:val="center"/>
          </w:tcPr>
          <w:p>
            <w:pPr>
              <w:jc w:val="center"/>
              <w:rPr>
                <w:color w:val="FF0000"/>
                <w:szCs w:val="21"/>
              </w:rPr>
            </w:pPr>
          </w:p>
        </w:tc>
        <w:tc>
          <w:tcPr>
            <w:tcW w:w="1082" w:type="pct"/>
            <w:gridSpan w:val="2"/>
            <w:vAlign w:val="center"/>
          </w:tcPr>
          <w:p>
            <w:pPr>
              <w:jc w:val="center"/>
              <w:rPr>
                <w:color w:val="auto"/>
                <w:szCs w:val="21"/>
              </w:rPr>
            </w:pPr>
            <w:r>
              <w:rPr>
                <w:color w:val="auto"/>
                <w:szCs w:val="21"/>
              </w:rPr>
              <w:t>混合废水浓度mg/L</w:t>
            </w:r>
          </w:p>
        </w:tc>
        <w:tc>
          <w:tcPr>
            <w:tcW w:w="506" w:type="pct"/>
            <w:vAlign w:val="center"/>
          </w:tcPr>
          <w:p>
            <w:pPr>
              <w:jc w:val="center"/>
              <w:rPr>
                <w:color w:val="auto"/>
                <w:szCs w:val="21"/>
              </w:rPr>
            </w:pPr>
            <w:r>
              <w:rPr>
                <w:color w:val="auto"/>
                <w:szCs w:val="21"/>
              </w:rPr>
              <w:t>—</w:t>
            </w:r>
          </w:p>
        </w:tc>
        <w:tc>
          <w:tcPr>
            <w:tcW w:w="414" w:type="pct"/>
            <w:vAlign w:val="center"/>
          </w:tcPr>
          <w:p>
            <w:pPr>
              <w:widowControl/>
              <w:jc w:val="center"/>
              <w:textAlignment w:val="center"/>
              <w:rPr>
                <w:color w:val="auto"/>
                <w:szCs w:val="21"/>
              </w:rPr>
            </w:pPr>
            <w:r>
              <w:rPr>
                <w:color w:val="auto"/>
                <w:szCs w:val="21"/>
              </w:rPr>
              <w:t>6.5-7.5</w:t>
            </w:r>
          </w:p>
        </w:tc>
        <w:tc>
          <w:tcPr>
            <w:tcW w:w="464" w:type="pct"/>
            <w:vAlign w:val="center"/>
          </w:tcPr>
          <w:p>
            <w:pPr>
              <w:jc w:val="center"/>
              <w:rPr>
                <w:rFonts w:hint="default" w:eastAsia="宋体"/>
                <w:color w:val="auto"/>
                <w:szCs w:val="21"/>
                <w:lang w:val="en-US" w:eastAsia="zh-CN"/>
              </w:rPr>
            </w:pPr>
            <w:r>
              <w:rPr>
                <w:rFonts w:hint="eastAsia"/>
                <w:color w:val="auto"/>
                <w:szCs w:val="21"/>
                <w:lang w:val="en-US" w:eastAsia="zh-CN"/>
              </w:rPr>
              <w:t>1891.13</w:t>
            </w:r>
          </w:p>
        </w:tc>
        <w:tc>
          <w:tcPr>
            <w:tcW w:w="406" w:type="pct"/>
            <w:vAlign w:val="center"/>
          </w:tcPr>
          <w:p>
            <w:pPr>
              <w:jc w:val="center"/>
              <w:rPr>
                <w:rFonts w:hint="default" w:eastAsia="宋体"/>
                <w:color w:val="auto"/>
                <w:szCs w:val="21"/>
                <w:lang w:val="en-US" w:eastAsia="zh-CN"/>
              </w:rPr>
            </w:pPr>
            <w:r>
              <w:rPr>
                <w:rFonts w:hint="eastAsia"/>
                <w:color w:val="auto"/>
                <w:szCs w:val="21"/>
                <w:lang w:val="en-US" w:eastAsia="zh-CN"/>
              </w:rPr>
              <w:t>946.42</w:t>
            </w:r>
          </w:p>
        </w:tc>
        <w:tc>
          <w:tcPr>
            <w:tcW w:w="408" w:type="pct"/>
            <w:vAlign w:val="center"/>
          </w:tcPr>
          <w:p>
            <w:pPr>
              <w:jc w:val="center"/>
              <w:rPr>
                <w:rFonts w:hint="default" w:eastAsia="宋体"/>
                <w:color w:val="auto"/>
                <w:szCs w:val="21"/>
                <w:lang w:val="en-US" w:eastAsia="zh-CN"/>
              </w:rPr>
            </w:pPr>
            <w:r>
              <w:rPr>
                <w:rFonts w:hint="eastAsia"/>
                <w:color w:val="auto"/>
                <w:szCs w:val="21"/>
                <w:lang w:val="en-US" w:eastAsia="zh-CN"/>
              </w:rPr>
              <w:t>947.56</w:t>
            </w:r>
          </w:p>
        </w:tc>
        <w:tc>
          <w:tcPr>
            <w:tcW w:w="375" w:type="pct"/>
            <w:vAlign w:val="center"/>
          </w:tcPr>
          <w:p>
            <w:pPr>
              <w:jc w:val="center"/>
              <w:rPr>
                <w:rFonts w:hint="default" w:eastAsia="宋体"/>
                <w:color w:val="auto"/>
                <w:szCs w:val="21"/>
                <w:lang w:val="en-US" w:eastAsia="zh-CN"/>
              </w:rPr>
            </w:pPr>
            <w:r>
              <w:rPr>
                <w:rFonts w:hint="eastAsia"/>
                <w:color w:val="auto"/>
                <w:szCs w:val="21"/>
                <w:lang w:val="en-US" w:eastAsia="zh-CN"/>
              </w:rPr>
              <w:t>142.13</w:t>
            </w:r>
          </w:p>
        </w:tc>
        <w:tc>
          <w:tcPr>
            <w:tcW w:w="445" w:type="pct"/>
            <w:vAlign w:val="center"/>
          </w:tcPr>
          <w:p>
            <w:pPr>
              <w:jc w:val="center"/>
              <w:rPr>
                <w:rFonts w:hint="default" w:eastAsia="宋体"/>
                <w:color w:val="auto"/>
                <w:szCs w:val="21"/>
                <w:lang w:val="en-US" w:eastAsia="zh-CN"/>
              </w:rPr>
            </w:pPr>
            <w:r>
              <w:rPr>
                <w:rFonts w:hint="eastAsia"/>
                <w:color w:val="auto"/>
                <w:szCs w:val="21"/>
                <w:lang w:val="en-US" w:eastAsia="zh-CN"/>
              </w:rPr>
              <w:t>186.66</w:t>
            </w:r>
          </w:p>
        </w:tc>
        <w:tc>
          <w:tcPr>
            <w:tcW w:w="493" w:type="pct"/>
            <w:vAlign w:val="center"/>
          </w:tcPr>
          <w:p>
            <w:pPr>
              <w:widowControl/>
              <w:jc w:val="center"/>
              <w:textAlignment w:val="center"/>
              <w:rPr>
                <w:rFonts w:hint="default" w:eastAsia="宋体"/>
                <w:color w:val="auto"/>
                <w:szCs w:val="21"/>
                <w:lang w:val="en-US" w:eastAsia="zh-CN"/>
              </w:rPr>
            </w:pPr>
            <w:r>
              <w:rPr>
                <w:rFonts w:hint="eastAsia"/>
                <w:color w:val="auto"/>
                <w:szCs w:val="21"/>
                <w:lang w:val="en-US" w:eastAsia="zh-CN"/>
              </w:rPr>
              <w:t>3.58</w:t>
            </w:r>
            <w:r>
              <w:rPr>
                <w:rFonts w:hint="eastAsia"/>
                <w:bCs/>
                <w:color w:val="auto"/>
                <w:szCs w:val="21"/>
              </w:rPr>
              <w:t>×10</w:t>
            </w:r>
            <w:r>
              <w:rPr>
                <w:rFonts w:hint="eastAsia"/>
                <w:bCs/>
                <w:color w:val="auto"/>
                <w:szCs w:val="21"/>
                <w:vertAlign w:val="superscript"/>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400" w:type="pct"/>
            <w:vMerge w:val="continue"/>
            <w:vAlign w:val="center"/>
          </w:tcPr>
          <w:p>
            <w:pPr>
              <w:jc w:val="center"/>
              <w:rPr>
                <w:color w:val="FF0000"/>
                <w:szCs w:val="21"/>
              </w:rPr>
            </w:pPr>
          </w:p>
        </w:tc>
        <w:tc>
          <w:tcPr>
            <w:tcW w:w="1082" w:type="pct"/>
            <w:gridSpan w:val="2"/>
            <w:vAlign w:val="center"/>
          </w:tcPr>
          <w:p>
            <w:pPr>
              <w:jc w:val="center"/>
              <w:rPr>
                <w:color w:val="auto"/>
                <w:szCs w:val="21"/>
              </w:rPr>
            </w:pPr>
            <w:r>
              <w:rPr>
                <w:color w:val="auto"/>
                <w:szCs w:val="21"/>
              </w:rPr>
              <w:t>混合废水量（t</w:t>
            </w:r>
            <w:r>
              <w:rPr>
                <w:rFonts w:hint="eastAsia"/>
                <w:color w:val="auto"/>
                <w:szCs w:val="21"/>
              </w:rPr>
              <w:t>/a</w:t>
            </w:r>
            <w:r>
              <w:rPr>
                <w:color w:val="auto"/>
                <w:szCs w:val="21"/>
              </w:rPr>
              <w:t>）</w:t>
            </w:r>
          </w:p>
        </w:tc>
        <w:tc>
          <w:tcPr>
            <w:tcW w:w="506" w:type="pct"/>
            <w:vAlign w:val="center"/>
          </w:tcPr>
          <w:p>
            <w:pPr>
              <w:jc w:val="center"/>
              <w:rPr>
                <w:rFonts w:hint="eastAsia" w:eastAsia="宋体"/>
                <w:color w:val="auto"/>
                <w:szCs w:val="21"/>
                <w:lang w:eastAsia="zh-CN"/>
              </w:rPr>
            </w:pPr>
            <w:r>
              <w:rPr>
                <w:rFonts w:hint="eastAsia"/>
                <w:color w:val="auto"/>
                <w:spacing w:val="12"/>
                <w:szCs w:val="21"/>
                <w:lang w:eastAsia="zh-CN"/>
              </w:rPr>
              <w:t>17518.608</w:t>
            </w:r>
          </w:p>
        </w:tc>
        <w:tc>
          <w:tcPr>
            <w:tcW w:w="414" w:type="pct"/>
            <w:vAlign w:val="center"/>
          </w:tcPr>
          <w:p>
            <w:pPr>
              <w:widowControl/>
              <w:jc w:val="center"/>
              <w:textAlignment w:val="center"/>
              <w:rPr>
                <w:color w:val="auto"/>
                <w:szCs w:val="21"/>
              </w:rPr>
            </w:pPr>
            <w:r>
              <w:rPr>
                <w:color w:val="auto"/>
                <w:szCs w:val="21"/>
              </w:rPr>
              <w:t>—</w:t>
            </w:r>
          </w:p>
        </w:tc>
        <w:tc>
          <w:tcPr>
            <w:tcW w:w="464" w:type="pct"/>
            <w:vAlign w:val="center"/>
          </w:tcPr>
          <w:p>
            <w:pPr>
              <w:widowControl/>
              <w:jc w:val="center"/>
              <w:textAlignment w:val="center"/>
              <w:rPr>
                <w:rFonts w:hint="default" w:eastAsia="宋体"/>
                <w:color w:val="auto"/>
                <w:szCs w:val="21"/>
                <w:lang w:val="en-US" w:eastAsia="zh-CN"/>
              </w:rPr>
            </w:pPr>
            <w:r>
              <w:rPr>
                <w:rFonts w:hint="eastAsia"/>
                <w:color w:val="auto"/>
                <w:szCs w:val="21"/>
                <w:lang w:val="en-US" w:eastAsia="zh-CN"/>
              </w:rPr>
              <w:t>33.13</w:t>
            </w:r>
          </w:p>
        </w:tc>
        <w:tc>
          <w:tcPr>
            <w:tcW w:w="406" w:type="pct"/>
            <w:vAlign w:val="center"/>
          </w:tcPr>
          <w:p>
            <w:pPr>
              <w:widowControl/>
              <w:jc w:val="center"/>
              <w:textAlignment w:val="center"/>
              <w:rPr>
                <w:rFonts w:hint="default" w:eastAsia="宋体"/>
                <w:color w:val="auto"/>
                <w:szCs w:val="21"/>
                <w:lang w:val="en-US" w:eastAsia="zh-CN"/>
              </w:rPr>
            </w:pPr>
            <w:r>
              <w:rPr>
                <w:rFonts w:hint="eastAsia"/>
                <w:color w:val="auto"/>
                <w:szCs w:val="21"/>
                <w:lang w:val="en-US" w:eastAsia="zh-CN"/>
              </w:rPr>
              <w:t>16.58</w:t>
            </w:r>
          </w:p>
        </w:tc>
        <w:tc>
          <w:tcPr>
            <w:tcW w:w="408" w:type="pct"/>
            <w:vAlign w:val="center"/>
          </w:tcPr>
          <w:p>
            <w:pPr>
              <w:widowControl/>
              <w:jc w:val="center"/>
              <w:textAlignment w:val="center"/>
              <w:rPr>
                <w:rFonts w:hint="default" w:eastAsia="宋体"/>
                <w:color w:val="auto"/>
                <w:szCs w:val="21"/>
                <w:lang w:val="en-US" w:eastAsia="zh-CN"/>
              </w:rPr>
            </w:pPr>
            <w:r>
              <w:rPr>
                <w:rFonts w:hint="eastAsia"/>
                <w:color w:val="auto"/>
                <w:szCs w:val="21"/>
                <w:lang w:val="en-US" w:eastAsia="zh-CN"/>
              </w:rPr>
              <w:t>16.6</w:t>
            </w:r>
          </w:p>
        </w:tc>
        <w:tc>
          <w:tcPr>
            <w:tcW w:w="375" w:type="pct"/>
            <w:vAlign w:val="center"/>
          </w:tcPr>
          <w:p>
            <w:pPr>
              <w:widowControl/>
              <w:jc w:val="center"/>
              <w:textAlignment w:val="center"/>
              <w:rPr>
                <w:rFonts w:hint="default" w:eastAsia="宋体"/>
                <w:color w:val="auto"/>
                <w:szCs w:val="21"/>
                <w:lang w:val="en-US" w:eastAsia="zh-CN"/>
              </w:rPr>
            </w:pPr>
            <w:r>
              <w:rPr>
                <w:rFonts w:hint="eastAsia"/>
                <w:color w:val="auto"/>
                <w:szCs w:val="21"/>
                <w:lang w:val="en-US" w:eastAsia="zh-CN"/>
              </w:rPr>
              <w:t>2.49</w:t>
            </w:r>
          </w:p>
        </w:tc>
        <w:tc>
          <w:tcPr>
            <w:tcW w:w="445" w:type="pct"/>
            <w:vAlign w:val="center"/>
          </w:tcPr>
          <w:p>
            <w:pPr>
              <w:widowControl/>
              <w:jc w:val="center"/>
              <w:textAlignment w:val="center"/>
              <w:rPr>
                <w:rFonts w:hint="default" w:eastAsia="宋体"/>
                <w:color w:val="auto"/>
                <w:szCs w:val="21"/>
                <w:lang w:val="en-US" w:eastAsia="zh-CN"/>
              </w:rPr>
            </w:pPr>
            <w:r>
              <w:rPr>
                <w:rFonts w:hint="eastAsia"/>
                <w:color w:val="auto"/>
                <w:szCs w:val="21"/>
                <w:lang w:val="en-US" w:eastAsia="zh-CN"/>
              </w:rPr>
              <w:t>3.27</w:t>
            </w:r>
          </w:p>
        </w:tc>
        <w:tc>
          <w:tcPr>
            <w:tcW w:w="493" w:type="pct"/>
            <w:vAlign w:val="center"/>
          </w:tcPr>
          <w:p>
            <w:pPr>
              <w:jc w:val="center"/>
              <w:rPr>
                <w:color w:val="auto"/>
                <w:szCs w:val="21"/>
              </w:rPr>
            </w:pPr>
            <w:r>
              <w:rPr>
                <w:rFonts w:hint="eastAsia"/>
                <w:color w:val="auto"/>
                <w:szCs w:val="21"/>
                <w:lang w:val="en-US" w:eastAsia="zh-CN"/>
              </w:rPr>
              <w:t>6.27</w:t>
            </w:r>
            <w:r>
              <w:rPr>
                <w:rFonts w:hint="eastAsia"/>
                <w:bCs/>
                <w:color w:val="auto"/>
                <w:szCs w:val="21"/>
              </w:rPr>
              <w:t>×10</w:t>
            </w:r>
            <w:r>
              <w:rPr>
                <w:rFonts w:hint="eastAsia"/>
                <w:bCs/>
                <w:color w:val="auto"/>
                <w:szCs w:val="21"/>
                <w:vertAlign w:val="superscript"/>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0" w:type="pct"/>
            <w:vMerge w:val="continue"/>
            <w:vAlign w:val="center"/>
          </w:tcPr>
          <w:p>
            <w:pPr>
              <w:jc w:val="center"/>
              <w:rPr>
                <w:color w:val="FF0000"/>
                <w:szCs w:val="21"/>
              </w:rPr>
            </w:pPr>
          </w:p>
        </w:tc>
        <w:tc>
          <w:tcPr>
            <w:tcW w:w="1082" w:type="pct"/>
            <w:gridSpan w:val="2"/>
            <w:vAlign w:val="center"/>
          </w:tcPr>
          <w:p>
            <w:pPr>
              <w:jc w:val="center"/>
              <w:rPr>
                <w:color w:val="auto"/>
                <w:szCs w:val="21"/>
              </w:rPr>
            </w:pPr>
            <w:r>
              <w:rPr>
                <w:color w:val="auto"/>
                <w:szCs w:val="21"/>
              </w:rPr>
              <w:t>处理措施</w:t>
            </w:r>
          </w:p>
        </w:tc>
        <w:tc>
          <w:tcPr>
            <w:tcW w:w="3516" w:type="pct"/>
            <w:gridSpan w:val="8"/>
            <w:vAlign w:val="center"/>
          </w:tcPr>
          <w:p>
            <w:pPr>
              <w:jc w:val="center"/>
              <w:rPr>
                <w:color w:val="auto"/>
                <w:szCs w:val="21"/>
              </w:rPr>
            </w:pPr>
            <w:r>
              <w:rPr>
                <w:color w:val="auto"/>
                <w:szCs w:val="21"/>
              </w:rPr>
              <w:t>污水处理站采用“</w:t>
            </w:r>
            <w:r>
              <w:rPr>
                <w:bCs/>
                <w:color w:val="auto"/>
                <w:szCs w:val="21"/>
              </w:rPr>
              <w:t>格栅+</w:t>
            </w:r>
            <w:r>
              <w:rPr>
                <w:color w:val="auto"/>
                <w:szCs w:val="21"/>
              </w:rPr>
              <w:t>隔油沉砂+气浮+水解酸化+生物接触氧化+二沉池+消毒”工艺，设计处理能力为</w:t>
            </w:r>
            <w:r>
              <w:rPr>
                <w:rFonts w:hint="eastAsia"/>
                <w:color w:val="auto"/>
                <w:szCs w:val="21"/>
                <w:lang w:val="en-US" w:eastAsia="zh-CN"/>
              </w:rPr>
              <w:t>7</w:t>
            </w:r>
            <w:r>
              <w:rPr>
                <w:rFonts w:hint="eastAsia"/>
                <w:color w:val="auto"/>
                <w:szCs w:val="21"/>
              </w:rPr>
              <w:t>0</w:t>
            </w:r>
            <w:r>
              <w:rPr>
                <w:color w:val="auto"/>
                <w:szCs w:val="21"/>
              </w:rPr>
              <w:t>m</w:t>
            </w:r>
            <w:r>
              <w:rPr>
                <w:color w:val="auto"/>
                <w:szCs w:val="21"/>
                <w:vertAlign w:val="superscript"/>
              </w:rPr>
              <w:t>3</w:t>
            </w:r>
            <w:r>
              <w:rPr>
                <w:color w:val="auto"/>
                <w:szCs w:val="21"/>
              </w:rPr>
              <w:t>/d</w:t>
            </w:r>
          </w:p>
        </w:tc>
      </w:tr>
    </w:tbl>
    <w:p>
      <w:pPr>
        <w:spacing w:line="360" w:lineRule="auto"/>
        <w:ind w:firstLine="480" w:firstLineChars="200"/>
        <w:contextualSpacing/>
        <w:rPr>
          <w:color w:val="FF0000"/>
          <w:sz w:val="24"/>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pacing w:line="360" w:lineRule="auto"/>
        <w:ind w:firstLine="480" w:firstLineChars="200"/>
        <w:contextualSpacing/>
        <w:rPr>
          <w:color w:val="auto"/>
          <w:sz w:val="24"/>
        </w:rPr>
      </w:pPr>
      <w:r>
        <w:rPr>
          <w:color w:val="auto"/>
          <w:sz w:val="24"/>
        </w:rPr>
        <w:t>本项目废水产生量为</w:t>
      </w:r>
      <w:r>
        <w:rPr>
          <w:rFonts w:hint="eastAsia"/>
          <w:color w:val="auto"/>
          <w:sz w:val="24"/>
          <w:lang w:eastAsia="zh-CN"/>
        </w:rPr>
        <w:t>17518.608</w:t>
      </w:r>
      <w:r>
        <w:rPr>
          <w:rFonts w:hint="eastAsia"/>
          <w:color w:val="auto"/>
          <w:sz w:val="24"/>
        </w:rPr>
        <w:t>t</w:t>
      </w:r>
      <w:r>
        <w:rPr>
          <w:color w:val="auto"/>
          <w:sz w:val="24"/>
        </w:rPr>
        <w:t>/a，厂区污水处理站设计处理污水规模为</w:t>
      </w:r>
      <w:r>
        <w:rPr>
          <w:rFonts w:hint="eastAsia"/>
          <w:color w:val="auto"/>
          <w:sz w:val="24"/>
          <w:lang w:val="en-US" w:eastAsia="zh-CN"/>
        </w:rPr>
        <w:t>70</w:t>
      </w:r>
      <w:r>
        <w:rPr>
          <w:color w:val="auto"/>
          <w:sz w:val="24"/>
        </w:rPr>
        <w:t>m</w:t>
      </w:r>
      <w:r>
        <w:rPr>
          <w:color w:val="auto"/>
          <w:sz w:val="24"/>
          <w:vertAlign w:val="superscript"/>
        </w:rPr>
        <w:t>3</w:t>
      </w:r>
      <w:r>
        <w:rPr>
          <w:color w:val="auto"/>
          <w:sz w:val="24"/>
        </w:rPr>
        <w:t>/d，能够满足本项目最大产生废水</w:t>
      </w:r>
      <w:r>
        <w:rPr>
          <w:rFonts w:hint="eastAsia"/>
          <w:color w:val="auto"/>
          <w:sz w:val="24"/>
          <w:lang w:eastAsia="zh-CN"/>
        </w:rPr>
        <w:t>59.0356</w:t>
      </w:r>
      <w:r>
        <w:rPr>
          <w:rFonts w:hint="eastAsia"/>
          <w:color w:val="auto"/>
          <w:sz w:val="24"/>
        </w:rPr>
        <w:t>t</w:t>
      </w:r>
      <w:r>
        <w:rPr>
          <w:color w:val="auto"/>
          <w:sz w:val="24"/>
        </w:rPr>
        <w:t>/d的处理需要。本项目</w:t>
      </w:r>
      <w:r>
        <w:rPr>
          <w:rFonts w:hint="eastAsia"/>
          <w:color w:val="auto"/>
          <w:sz w:val="24"/>
        </w:rPr>
        <w:t>污水处理</w:t>
      </w:r>
      <w:r>
        <w:rPr>
          <w:color w:val="auto"/>
          <w:sz w:val="24"/>
        </w:rPr>
        <w:t>站采用</w:t>
      </w:r>
      <w:r>
        <w:rPr>
          <w:bCs/>
          <w:color w:val="auto"/>
          <w:sz w:val="24"/>
        </w:rPr>
        <w:t>格栅+</w:t>
      </w:r>
      <w:r>
        <w:rPr>
          <w:color w:val="auto"/>
          <w:sz w:val="24"/>
        </w:rPr>
        <w:t>隔油沉砂+气浮+水解酸化+生物接触氧化+二沉池+消毒池处理工艺。</w:t>
      </w:r>
    </w:p>
    <w:p>
      <w:pPr>
        <w:spacing w:line="360" w:lineRule="auto"/>
        <w:ind w:firstLine="480" w:firstLineChars="200"/>
        <w:contextualSpacing/>
        <w:rPr>
          <w:color w:val="auto"/>
          <w:sz w:val="24"/>
        </w:rPr>
      </w:pPr>
      <w:r>
        <w:rPr>
          <w:rFonts w:hint="eastAsia"/>
          <w:color w:val="auto"/>
          <w:sz w:val="24"/>
        </w:rPr>
        <w:t>五常市</w:t>
      </w:r>
      <w:r>
        <w:rPr>
          <w:color w:val="auto"/>
          <w:sz w:val="24"/>
        </w:rPr>
        <w:t>红日联升大牲畜屠宰厂建设项目</w:t>
      </w:r>
      <w:r>
        <w:rPr>
          <w:rFonts w:hint="eastAsia"/>
          <w:color w:val="auto"/>
          <w:sz w:val="24"/>
        </w:rPr>
        <w:t>污水处理站处理规模为50</w:t>
      </w:r>
      <w:r>
        <w:rPr>
          <w:color w:val="auto"/>
          <w:sz w:val="24"/>
        </w:rPr>
        <w:t>m</w:t>
      </w:r>
      <w:r>
        <w:rPr>
          <w:color w:val="auto"/>
          <w:sz w:val="24"/>
          <w:vertAlign w:val="superscript"/>
        </w:rPr>
        <w:t>3</w:t>
      </w:r>
      <w:r>
        <w:rPr>
          <w:rFonts w:hint="eastAsia"/>
          <w:color w:val="auto"/>
          <w:sz w:val="24"/>
        </w:rPr>
        <w:t>/d，采用的工艺为格栅+隔油+调节+气浮+水解酸化+接触氧化+沉淀+消毒池，</w:t>
      </w:r>
      <w:r>
        <w:rPr>
          <w:color w:val="auto"/>
          <w:sz w:val="24"/>
        </w:rPr>
        <w:t>根据《五常市红日联升大牲畜屠宰厂建设项目竣工环境保护验收监测报告》（20</w:t>
      </w:r>
      <w:r>
        <w:rPr>
          <w:rFonts w:hint="eastAsia"/>
          <w:color w:val="auto"/>
          <w:sz w:val="24"/>
        </w:rPr>
        <w:t>22</w:t>
      </w:r>
      <w:r>
        <w:rPr>
          <w:color w:val="auto"/>
          <w:sz w:val="24"/>
        </w:rPr>
        <w:t>年</w:t>
      </w:r>
      <w:r>
        <w:rPr>
          <w:rFonts w:hint="eastAsia"/>
          <w:color w:val="auto"/>
          <w:sz w:val="24"/>
        </w:rPr>
        <w:t>10</w:t>
      </w:r>
      <w:r>
        <w:rPr>
          <w:color w:val="auto"/>
          <w:sz w:val="24"/>
        </w:rPr>
        <w:t>月）</w:t>
      </w:r>
      <w:r>
        <w:rPr>
          <w:rFonts w:hint="eastAsia"/>
          <w:color w:val="auto"/>
          <w:sz w:val="24"/>
        </w:rPr>
        <w:t>可知，SS去除效率91.08%，BOD</w:t>
      </w:r>
      <w:r>
        <w:rPr>
          <w:rFonts w:hint="eastAsia"/>
          <w:color w:val="auto"/>
          <w:sz w:val="24"/>
          <w:vertAlign w:val="subscript"/>
        </w:rPr>
        <w:t>5</w:t>
      </w:r>
      <w:r>
        <w:rPr>
          <w:rFonts w:hint="eastAsia"/>
          <w:color w:val="auto"/>
          <w:sz w:val="24"/>
        </w:rPr>
        <w:t>去除效率92.96%，COD去除效率90.6%，氨氮去除效率79.38%，动植物油去除效率94.26%，大肠菌群去除效率95.37%。本项目污水处理规模和处理工艺与其基本一致，处理效率具有可类比性，则本项目污水处理效果保守起见，取SS去除效率90%，BOD</w:t>
      </w:r>
      <w:r>
        <w:rPr>
          <w:rFonts w:hint="eastAsia"/>
          <w:color w:val="auto"/>
          <w:sz w:val="24"/>
          <w:vertAlign w:val="subscript"/>
        </w:rPr>
        <w:t>5</w:t>
      </w:r>
      <w:r>
        <w:rPr>
          <w:rFonts w:hint="eastAsia"/>
          <w:color w:val="auto"/>
          <w:sz w:val="24"/>
        </w:rPr>
        <w:t>去除效率90%，COD去除效率90%，氨氮去除效率78%，动植物油去除效率93%，大肠菌群去除效率95%。</w:t>
      </w:r>
    </w:p>
    <w:p>
      <w:pPr>
        <w:spacing w:line="360" w:lineRule="auto"/>
        <w:ind w:firstLine="480" w:firstLineChars="200"/>
        <w:contextualSpacing/>
        <w:rPr>
          <w:color w:val="FF0000"/>
          <w:sz w:val="24"/>
        </w:rPr>
      </w:pPr>
      <w:r>
        <w:rPr>
          <w:rFonts w:hint="eastAsia"/>
          <w:color w:val="auto"/>
          <w:sz w:val="24"/>
        </w:rPr>
        <w:t>本项目污水处理站处理效果见下表3-3-5，排放情况见表3-3-6及表3-3-7。</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color w:val="auto"/>
          <w:sz w:val="24"/>
        </w:rPr>
      </w:pPr>
      <w:bookmarkStart w:id="93" w:name="_Ref259880834"/>
      <w:r>
        <w:rPr>
          <w:b/>
          <w:bCs/>
          <w:color w:val="auto"/>
          <w:sz w:val="24"/>
        </w:rPr>
        <w:t>表</w:t>
      </w:r>
      <w:bookmarkEnd w:id="93"/>
      <w:r>
        <w:rPr>
          <w:b/>
          <w:bCs/>
          <w:color w:val="auto"/>
          <w:sz w:val="24"/>
        </w:rPr>
        <w:t>3-3-5   本项目污水处理站进出水水质</w:t>
      </w:r>
    </w:p>
    <w:tbl>
      <w:tblPr>
        <w:tblStyle w:val="46"/>
        <w:tblW w:w="93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0"/>
        <w:gridCol w:w="1309"/>
        <w:gridCol w:w="791"/>
        <w:gridCol w:w="698"/>
        <w:gridCol w:w="1020"/>
        <w:gridCol w:w="1035"/>
        <w:gridCol w:w="1020"/>
        <w:gridCol w:w="990"/>
        <w:gridCol w:w="1080"/>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9" w:type="dxa"/>
            <w:gridSpan w:val="2"/>
            <w:tcBorders>
              <w:top w:val="single" w:color="auto" w:sz="12" w:space="0"/>
              <w:left w:val="nil"/>
              <w:right w:val="single" w:color="auto" w:sz="6" w:space="0"/>
            </w:tcBorders>
            <w:vAlign w:val="center"/>
          </w:tcPr>
          <w:p>
            <w:pPr>
              <w:jc w:val="center"/>
              <w:rPr>
                <w:color w:val="auto"/>
                <w:szCs w:val="21"/>
              </w:rPr>
            </w:pPr>
            <w:r>
              <w:rPr>
                <w:color w:val="auto"/>
                <w:szCs w:val="21"/>
              </w:rPr>
              <w:t>指标</w:t>
            </w:r>
          </w:p>
        </w:tc>
        <w:tc>
          <w:tcPr>
            <w:tcW w:w="791" w:type="dxa"/>
            <w:tcBorders>
              <w:top w:val="single" w:color="auto" w:sz="12" w:space="0"/>
              <w:left w:val="single" w:color="auto" w:sz="6" w:space="0"/>
              <w:right w:val="single" w:color="auto" w:sz="6" w:space="0"/>
            </w:tcBorders>
            <w:vAlign w:val="center"/>
          </w:tcPr>
          <w:p>
            <w:pPr>
              <w:jc w:val="center"/>
              <w:rPr>
                <w:color w:val="auto"/>
                <w:szCs w:val="21"/>
              </w:rPr>
            </w:pPr>
            <w:r>
              <w:rPr>
                <w:color w:val="auto"/>
                <w:szCs w:val="21"/>
              </w:rPr>
              <w:t>水量</w:t>
            </w:r>
          </w:p>
          <w:p>
            <w:pPr>
              <w:jc w:val="center"/>
              <w:rPr>
                <w:color w:val="auto"/>
                <w:szCs w:val="21"/>
              </w:rPr>
            </w:pPr>
            <w:r>
              <w:rPr>
                <w:color w:val="auto"/>
                <w:szCs w:val="21"/>
              </w:rPr>
              <w:t>（</w:t>
            </w:r>
            <w:r>
              <w:rPr>
                <w:rFonts w:hint="eastAsia"/>
                <w:color w:val="auto"/>
                <w:szCs w:val="21"/>
              </w:rPr>
              <w:t>t</w:t>
            </w:r>
            <w:r>
              <w:rPr>
                <w:color w:val="auto"/>
                <w:szCs w:val="21"/>
              </w:rPr>
              <w:t>/a）</w:t>
            </w:r>
          </w:p>
        </w:tc>
        <w:tc>
          <w:tcPr>
            <w:tcW w:w="698" w:type="dxa"/>
            <w:tcBorders>
              <w:top w:val="single" w:color="auto" w:sz="12" w:space="0"/>
              <w:left w:val="single" w:color="auto" w:sz="6" w:space="0"/>
              <w:right w:val="single" w:color="auto" w:sz="6" w:space="0"/>
            </w:tcBorders>
            <w:vAlign w:val="center"/>
          </w:tcPr>
          <w:p>
            <w:pPr>
              <w:jc w:val="center"/>
              <w:rPr>
                <w:color w:val="auto"/>
                <w:szCs w:val="21"/>
              </w:rPr>
            </w:pPr>
            <w:r>
              <w:rPr>
                <w:color w:val="auto"/>
                <w:szCs w:val="21"/>
              </w:rPr>
              <w:t>pH</w:t>
            </w:r>
          </w:p>
        </w:tc>
        <w:tc>
          <w:tcPr>
            <w:tcW w:w="1020" w:type="dxa"/>
            <w:tcBorders>
              <w:top w:val="single" w:color="auto" w:sz="12" w:space="0"/>
              <w:left w:val="single" w:color="auto" w:sz="6" w:space="0"/>
              <w:right w:val="single" w:color="auto" w:sz="6" w:space="0"/>
            </w:tcBorders>
            <w:vAlign w:val="center"/>
          </w:tcPr>
          <w:p>
            <w:pPr>
              <w:jc w:val="center"/>
              <w:rPr>
                <w:color w:val="auto"/>
                <w:szCs w:val="21"/>
              </w:rPr>
            </w:pPr>
            <w:r>
              <w:rPr>
                <w:color w:val="auto"/>
                <w:szCs w:val="21"/>
              </w:rPr>
              <w:t>COD</w:t>
            </w:r>
          </w:p>
          <w:p>
            <w:pPr>
              <w:jc w:val="center"/>
              <w:rPr>
                <w:color w:val="auto"/>
                <w:szCs w:val="21"/>
              </w:rPr>
            </w:pPr>
            <w:r>
              <w:rPr>
                <w:color w:val="auto"/>
                <w:szCs w:val="21"/>
              </w:rPr>
              <w:t>（mg/L）</w:t>
            </w:r>
          </w:p>
        </w:tc>
        <w:tc>
          <w:tcPr>
            <w:tcW w:w="1035" w:type="dxa"/>
            <w:tcBorders>
              <w:top w:val="single" w:color="auto" w:sz="12" w:space="0"/>
              <w:left w:val="single" w:color="auto" w:sz="6" w:space="0"/>
              <w:right w:val="single" w:color="auto" w:sz="6" w:space="0"/>
            </w:tcBorders>
            <w:vAlign w:val="center"/>
          </w:tcPr>
          <w:p>
            <w:pPr>
              <w:jc w:val="center"/>
              <w:rPr>
                <w:color w:val="auto"/>
                <w:szCs w:val="21"/>
              </w:rPr>
            </w:pPr>
            <w:r>
              <w:rPr>
                <w:color w:val="auto"/>
                <w:szCs w:val="21"/>
              </w:rPr>
              <w:t>BOD</w:t>
            </w:r>
            <w:r>
              <w:rPr>
                <w:color w:val="auto"/>
                <w:szCs w:val="21"/>
                <w:vertAlign w:val="subscript"/>
              </w:rPr>
              <w:t>5</w:t>
            </w:r>
          </w:p>
          <w:p>
            <w:pPr>
              <w:jc w:val="center"/>
              <w:rPr>
                <w:color w:val="auto"/>
                <w:szCs w:val="21"/>
              </w:rPr>
            </w:pPr>
            <w:r>
              <w:rPr>
                <w:color w:val="auto"/>
                <w:szCs w:val="21"/>
              </w:rPr>
              <w:t>（mg/L）</w:t>
            </w:r>
          </w:p>
        </w:tc>
        <w:tc>
          <w:tcPr>
            <w:tcW w:w="1020" w:type="dxa"/>
            <w:tcBorders>
              <w:top w:val="single" w:color="auto" w:sz="12" w:space="0"/>
              <w:left w:val="single" w:color="auto" w:sz="6" w:space="0"/>
              <w:right w:val="single" w:color="auto" w:sz="6" w:space="0"/>
            </w:tcBorders>
            <w:vAlign w:val="center"/>
          </w:tcPr>
          <w:p>
            <w:pPr>
              <w:jc w:val="center"/>
              <w:rPr>
                <w:color w:val="auto"/>
                <w:szCs w:val="21"/>
              </w:rPr>
            </w:pPr>
            <w:r>
              <w:rPr>
                <w:color w:val="auto"/>
                <w:szCs w:val="21"/>
              </w:rPr>
              <w:t>SS</w:t>
            </w:r>
          </w:p>
          <w:p>
            <w:pPr>
              <w:jc w:val="center"/>
              <w:rPr>
                <w:color w:val="auto"/>
                <w:szCs w:val="21"/>
              </w:rPr>
            </w:pPr>
            <w:r>
              <w:rPr>
                <w:color w:val="auto"/>
                <w:szCs w:val="21"/>
              </w:rPr>
              <w:t>（mg/L）</w:t>
            </w:r>
          </w:p>
        </w:tc>
        <w:tc>
          <w:tcPr>
            <w:tcW w:w="990" w:type="dxa"/>
            <w:tcBorders>
              <w:top w:val="single" w:color="auto" w:sz="12" w:space="0"/>
              <w:left w:val="single" w:color="auto" w:sz="6" w:space="0"/>
              <w:right w:val="single" w:color="auto" w:sz="6" w:space="0"/>
            </w:tcBorders>
            <w:vAlign w:val="center"/>
          </w:tcPr>
          <w:p>
            <w:pPr>
              <w:jc w:val="center"/>
              <w:rPr>
                <w:color w:val="auto"/>
                <w:szCs w:val="21"/>
              </w:rPr>
            </w:pPr>
            <w:r>
              <w:rPr>
                <w:color w:val="auto"/>
                <w:szCs w:val="21"/>
              </w:rPr>
              <w:t>氨氮</w:t>
            </w:r>
          </w:p>
          <w:p>
            <w:pPr>
              <w:jc w:val="center"/>
              <w:rPr>
                <w:color w:val="auto"/>
                <w:szCs w:val="21"/>
              </w:rPr>
            </w:pPr>
            <w:r>
              <w:rPr>
                <w:color w:val="auto"/>
                <w:szCs w:val="21"/>
              </w:rPr>
              <w:t>（mg/L）</w:t>
            </w:r>
          </w:p>
        </w:tc>
        <w:tc>
          <w:tcPr>
            <w:tcW w:w="1080" w:type="dxa"/>
            <w:tcBorders>
              <w:top w:val="single" w:color="auto" w:sz="12" w:space="0"/>
              <w:left w:val="single" w:color="auto" w:sz="6" w:space="0"/>
              <w:right w:val="single" w:color="auto" w:sz="6" w:space="0"/>
            </w:tcBorders>
            <w:vAlign w:val="center"/>
          </w:tcPr>
          <w:p>
            <w:pPr>
              <w:jc w:val="center"/>
              <w:rPr>
                <w:color w:val="auto"/>
                <w:szCs w:val="21"/>
              </w:rPr>
            </w:pPr>
            <w:r>
              <w:rPr>
                <w:color w:val="auto"/>
                <w:szCs w:val="21"/>
              </w:rPr>
              <w:t>动植物油</w:t>
            </w:r>
          </w:p>
          <w:p>
            <w:pPr>
              <w:jc w:val="center"/>
              <w:rPr>
                <w:color w:val="auto"/>
                <w:szCs w:val="21"/>
              </w:rPr>
            </w:pPr>
            <w:r>
              <w:rPr>
                <w:color w:val="auto"/>
                <w:szCs w:val="21"/>
              </w:rPr>
              <w:t>（mg/L）</w:t>
            </w:r>
          </w:p>
        </w:tc>
        <w:tc>
          <w:tcPr>
            <w:tcW w:w="1060" w:type="dxa"/>
            <w:tcBorders>
              <w:top w:val="single" w:color="auto" w:sz="12" w:space="0"/>
              <w:left w:val="single" w:color="auto" w:sz="6" w:space="0"/>
              <w:right w:val="nil"/>
            </w:tcBorders>
            <w:vAlign w:val="center"/>
          </w:tcPr>
          <w:p>
            <w:pPr>
              <w:jc w:val="left"/>
              <w:rPr>
                <w:color w:val="auto"/>
                <w:szCs w:val="21"/>
              </w:rPr>
            </w:pPr>
            <w:r>
              <w:rPr>
                <w:color w:val="auto"/>
                <w:szCs w:val="21"/>
              </w:rPr>
              <w:t>大肠菌群数（个/L）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9" w:type="dxa"/>
            <w:gridSpan w:val="2"/>
            <w:tcBorders>
              <w:left w:val="nil"/>
              <w:right w:val="single" w:color="auto" w:sz="6" w:space="0"/>
            </w:tcBorders>
            <w:vAlign w:val="center"/>
          </w:tcPr>
          <w:p>
            <w:pPr>
              <w:jc w:val="center"/>
              <w:rPr>
                <w:color w:val="auto"/>
                <w:szCs w:val="21"/>
              </w:rPr>
            </w:pPr>
            <w:r>
              <w:rPr>
                <w:color w:val="auto"/>
                <w:szCs w:val="21"/>
              </w:rPr>
              <w:t>进水</w:t>
            </w:r>
          </w:p>
        </w:tc>
        <w:tc>
          <w:tcPr>
            <w:tcW w:w="791" w:type="dxa"/>
            <w:tcBorders>
              <w:left w:val="single" w:color="auto" w:sz="6" w:space="0"/>
              <w:right w:val="single" w:color="auto" w:sz="6" w:space="0"/>
            </w:tcBorders>
            <w:vAlign w:val="center"/>
          </w:tcPr>
          <w:p>
            <w:pPr>
              <w:jc w:val="center"/>
              <w:rPr>
                <w:rFonts w:hint="eastAsia" w:eastAsia="宋体"/>
                <w:color w:val="auto"/>
                <w:szCs w:val="21"/>
                <w:lang w:eastAsia="zh-CN"/>
              </w:rPr>
            </w:pPr>
            <w:r>
              <w:rPr>
                <w:rFonts w:hint="eastAsia"/>
                <w:color w:val="auto"/>
                <w:spacing w:val="12"/>
                <w:szCs w:val="21"/>
                <w:lang w:eastAsia="zh-CN"/>
              </w:rPr>
              <w:t>17518.608</w:t>
            </w:r>
          </w:p>
        </w:tc>
        <w:tc>
          <w:tcPr>
            <w:tcW w:w="698" w:type="dxa"/>
            <w:tcBorders>
              <w:left w:val="single" w:color="auto" w:sz="6" w:space="0"/>
              <w:right w:val="single" w:color="auto" w:sz="6" w:space="0"/>
            </w:tcBorders>
            <w:vAlign w:val="center"/>
          </w:tcPr>
          <w:p>
            <w:pPr>
              <w:widowControl/>
              <w:jc w:val="center"/>
              <w:rPr>
                <w:color w:val="auto"/>
                <w:szCs w:val="21"/>
              </w:rPr>
            </w:pPr>
            <w:r>
              <w:rPr>
                <w:color w:val="auto"/>
                <w:szCs w:val="21"/>
              </w:rPr>
              <w:t>6.5～7.5</w:t>
            </w:r>
          </w:p>
        </w:tc>
        <w:tc>
          <w:tcPr>
            <w:tcW w:w="1020" w:type="dxa"/>
            <w:tcBorders>
              <w:left w:val="single" w:color="auto" w:sz="6" w:space="0"/>
              <w:right w:val="single" w:color="auto" w:sz="6" w:space="0"/>
            </w:tcBorders>
            <w:vAlign w:val="center"/>
          </w:tcPr>
          <w:p>
            <w:pPr>
              <w:jc w:val="center"/>
              <w:rPr>
                <w:color w:val="auto"/>
                <w:szCs w:val="21"/>
              </w:rPr>
            </w:pPr>
            <w:r>
              <w:rPr>
                <w:rFonts w:hint="eastAsia"/>
                <w:color w:val="auto"/>
                <w:szCs w:val="21"/>
                <w:lang w:val="en-US" w:eastAsia="zh-CN"/>
              </w:rPr>
              <w:t>1891.13</w:t>
            </w:r>
          </w:p>
        </w:tc>
        <w:tc>
          <w:tcPr>
            <w:tcW w:w="1035" w:type="dxa"/>
            <w:tcBorders>
              <w:left w:val="single" w:color="auto" w:sz="6" w:space="0"/>
              <w:right w:val="single" w:color="auto" w:sz="6" w:space="0"/>
            </w:tcBorders>
            <w:vAlign w:val="center"/>
          </w:tcPr>
          <w:p>
            <w:pPr>
              <w:jc w:val="center"/>
              <w:rPr>
                <w:color w:val="auto"/>
                <w:szCs w:val="21"/>
              </w:rPr>
            </w:pPr>
            <w:r>
              <w:rPr>
                <w:rFonts w:hint="eastAsia"/>
                <w:color w:val="auto"/>
                <w:szCs w:val="21"/>
                <w:lang w:val="en-US" w:eastAsia="zh-CN"/>
              </w:rPr>
              <w:t>946.42</w:t>
            </w:r>
          </w:p>
        </w:tc>
        <w:tc>
          <w:tcPr>
            <w:tcW w:w="1020" w:type="dxa"/>
            <w:tcBorders>
              <w:left w:val="single" w:color="auto" w:sz="6" w:space="0"/>
              <w:right w:val="single" w:color="auto" w:sz="6" w:space="0"/>
            </w:tcBorders>
            <w:vAlign w:val="center"/>
          </w:tcPr>
          <w:p>
            <w:pPr>
              <w:jc w:val="center"/>
              <w:rPr>
                <w:color w:val="auto"/>
                <w:szCs w:val="21"/>
              </w:rPr>
            </w:pPr>
            <w:r>
              <w:rPr>
                <w:rFonts w:hint="eastAsia"/>
                <w:color w:val="auto"/>
                <w:szCs w:val="21"/>
                <w:lang w:val="en-US" w:eastAsia="zh-CN"/>
              </w:rPr>
              <w:t>947.56</w:t>
            </w:r>
          </w:p>
        </w:tc>
        <w:tc>
          <w:tcPr>
            <w:tcW w:w="990" w:type="dxa"/>
            <w:tcBorders>
              <w:left w:val="single" w:color="auto" w:sz="6" w:space="0"/>
              <w:right w:val="single" w:color="auto" w:sz="6" w:space="0"/>
            </w:tcBorders>
            <w:vAlign w:val="center"/>
          </w:tcPr>
          <w:p>
            <w:pPr>
              <w:jc w:val="center"/>
              <w:rPr>
                <w:color w:val="auto"/>
                <w:szCs w:val="21"/>
              </w:rPr>
            </w:pPr>
            <w:r>
              <w:rPr>
                <w:rFonts w:hint="eastAsia"/>
                <w:color w:val="auto"/>
                <w:szCs w:val="21"/>
                <w:lang w:val="en-US" w:eastAsia="zh-CN"/>
              </w:rPr>
              <w:t>142.13</w:t>
            </w:r>
          </w:p>
        </w:tc>
        <w:tc>
          <w:tcPr>
            <w:tcW w:w="1080" w:type="dxa"/>
            <w:tcBorders>
              <w:left w:val="single" w:color="auto" w:sz="6" w:space="0"/>
              <w:right w:val="single" w:color="auto" w:sz="6" w:space="0"/>
            </w:tcBorders>
            <w:vAlign w:val="center"/>
          </w:tcPr>
          <w:p>
            <w:pPr>
              <w:jc w:val="center"/>
              <w:rPr>
                <w:color w:val="auto"/>
                <w:szCs w:val="21"/>
              </w:rPr>
            </w:pPr>
            <w:r>
              <w:rPr>
                <w:rFonts w:hint="eastAsia"/>
                <w:color w:val="auto"/>
                <w:szCs w:val="21"/>
                <w:lang w:val="en-US" w:eastAsia="zh-CN"/>
              </w:rPr>
              <w:t>186.66</w:t>
            </w:r>
          </w:p>
        </w:tc>
        <w:tc>
          <w:tcPr>
            <w:tcW w:w="1060" w:type="dxa"/>
            <w:tcBorders>
              <w:left w:val="single" w:color="auto" w:sz="6" w:space="0"/>
              <w:right w:val="nil"/>
            </w:tcBorders>
            <w:vAlign w:val="center"/>
          </w:tcPr>
          <w:p>
            <w:pPr>
              <w:widowControl/>
              <w:jc w:val="center"/>
              <w:textAlignment w:val="center"/>
              <w:rPr>
                <w:color w:val="auto"/>
                <w:szCs w:val="21"/>
              </w:rPr>
            </w:pPr>
            <w:r>
              <w:rPr>
                <w:rFonts w:hint="eastAsia"/>
                <w:color w:val="auto"/>
                <w:szCs w:val="21"/>
                <w:lang w:val="en-US" w:eastAsia="zh-CN"/>
              </w:rPr>
              <w:t>3.58</w:t>
            </w:r>
            <w:r>
              <w:rPr>
                <w:rFonts w:hint="eastAsia"/>
                <w:bCs/>
                <w:color w:val="auto"/>
                <w:szCs w:val="21"/>
              </w:rPr>
              <w:t>×10</w:t>
            </w:r>
            <w:r>
              <w:rPr>
                <w:rFonts w:hint="eastAsia"/>
                <w:bCs/>
                <w:color w:val="auto"/>
                <w:szCs w:val="21"/>
                <w:vertAlign w:val="superscript"/>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9" w:type="dxa"/>
            <w:gridSpan w:val="2"/>
            <w:tcBorders>
              <w:left w:val="nil"/>
              <w:right w:val="single" w:color="auto" w:sz="6" w:space="0"/>
            </w:tcBorders>
            <w:vAlign w:val="center"/>
          </w:tcPr>
          <w:p>
            <w:pPr>
              <w:jc w:val="center"/>
              <w:rPr>
                <w:color w:val="auto"/>
                <w:szCs w:val="21"/>
              </w:rPr>
            </w:pPr>
            <w:r>
              <w:rPr>
                <w:color w:val="auto"/>
                <w:szCs w:val="21"/>
              </w:rPr>
              <w:t>出水</w:t>
            </w:r>
          </w:p>
        </w:tc>
        <w:tc>
          <w:tcPr>
            <w:tcW w:w="791" w:type="dxa"/>
            <w:tcBorders>
              <w:left w:val="single" w:color="auto" w:sz="6" w:space="0"/>
              <w:right w:val="single" w:color="auto" w:sz="6" w:space="0"/>
            </w:tcBorders>
            <w:vAlign w:val="center"/>
          </w:tcPr>
          <w:p>
            <w:pPr>
              <w:jc w:val="center"/>
              <w:rPr>
                <w:rFonts w:hint="eastAsia" w:eastAsia="宋体"/>
                <w:color w:val="auto"/>
                <w:szCs w:val="21"/>
                <w:lang w:eastAsia="zh-CN"/>
              </w:rPr>
            </w:pPr>
            <w:r>
              <w:rPr>
                <w:rFonts w:hint="eastAsia"/>
                <w:color w:val="auto"/>
                <w:spacing w:val="12"/>
                <w:szCs w:val="21"/>
                <w:lang w:eastAsia="zh-CN"/>
              </w:rPr>
              <w:t>17518.608</w:t>
            </w:r>
          </w:p>
        </w:tc>
        <w:tc>
          <w:tcPr>
            <w:tcW w:w="698" w:type="dxa"/>
            <w:tcBorders>
              <w:left w:val="single" w:color="auto" w:sz="6" w:space="0"/>
              <w:right w:val="single" w:color="auto" w:sz="6" w:space="0"/>
            </w:tcBorders>
            <w:vAlign w:val="center"/>
          </w:tcPr>
          <w:p>
            <w:pPr>
              <w:jc w:val="center"/>
              <w:rPr>
                <w:color w:val="auto"/>
                <w:szCs w:val="21"/>
              </w:rPr>
            </w:pPr>
            <w:r>
              <w:rPr>
                <w:color w:val="auto"/>
                <w:szCs w:val="21"/>
              </w:rPr>
              <w:t>6.5～7.5</w:t>
            </w:r>
          </w:p>
        </w:tc>
        <w:tc>
          <w:tcPr>
            <w:tcW w:w="1020" w:type="dxa"/>
            <w:tcBorders>
              <w:left w:val="single" w:color="auto" w:sz="6" w:space="0"/>
              <w:right w:val="single" w:color="auto" w:sz="6" w:space="0"/>
            </w:tcBorders>
            <w:vAlign w:val="center"/>
          </w:tcPr>
          <w:p>
            <w:pPr>
              <w:widowControl/>
              <w:jc w:val="center"/>
              <w:rPr>
                <w:rFonts w:hint="default" w:eastAsia="宋体"/>
                <w:color w:val="auto"/>
                <w:szCs w:val="21"/>
                <w:lang w:val="en-US" w:eastAsia="zh-CN"/>
              </w:rPr>
            </w:pPr>
            <w:r>
              <w:rPr>
                <w:rFonts w:hint="eastAsia"/>
                <w:color w:val="auto"/>
                <w:szCs w:val="21"/>
                <w:lang w:val="en-US" w:eastAsia="zh-CN"/>
              </w:rPr>
              <w:t>189.11</w:t>
            </w:r>
          </w:p>
        </w:tc>
        <w:tc>
          <w:tcPr>
            <w:tcW w:w="1035" w:type="dxa"/>
            <w:tcBorders>
              <w:left w:val="single" w:color="auto" w:sz="6" w:space="0"/>
              <w:right w:val="single" w:color="auto" w:sz="6" w:space="0"/>
            </w:tcBorders>
            <w:vAlign w:val="center"/>
          </w:tcPr>
          <w:p>
            <w:pPr>
              <w:widowControl/>
              <w:jc w:val="center"/>
              <w:rPr>
                <w:rFonts w:hint="default" w:eastAsia="宋体"/>
                <w:color w:val="auto"/>
                <w:szCs w:val="21"/>
                <w:lang w:val="en-US" w:eastAsia="zh-CN"/>
              </w:rPr>
            </w:pPr>
            <w:r>
              <w:rPr>
                <w:rFonts w:hint="eastAsia"/>
                <w:color w:val="auto"/>
                <w:szCs w:val="21"/>
                <w:lang w:val="en-US" w:eastAsia="zh-CN"/>
              </w:rPr>
              <w:t>94.64</w:t>
            </w:r>
          </w:p>
        </w:tc>
        <w:tc>
          <w:tcPr>
            <w:tcW w:w="1020" w:type="dxa"/>
            <w:tcBorders>
              <w:left w:val="single" w:color="auto" w:sz="6" w:space="0"/>
              <w:right w:val="single" w:color="auto" w:sz="6" w:space="0"/>
            </w:tcBorders>
            <w:vAlign w:val="center"/>
          </w:tcPr>
          <w:p>
            <w:pPr>
              <w:widowControl/>
              <w:jc w:val="center"/>
              <w:rPr>
                <w:rFonts w:hint="default" w:eastAsia="宋体"/>
                <w:color w:val="auto"/>
                <w:szCs w:val="21"/>
                <w:lang w:val="en-US" w:eastAsia="zh-CN"/>
              </w:rPr>
            </w:pPr>
            <w:r>
              <w:rPr>
                <w:rFonts w:hint="eastAsia"/>
                <w:color w:val="auto"/>
                <w:szCs w:val="21"/>
                <w:lang w:val="en-US" w:eastAsia="zh-CN"/>
              </w:rPr>
              <w:t>94.76</w:t>
            </w:r>
          </w:p>
        </w:tc>
        <w:tc>
          <w:tcPr>
            <w:tcW w:w="990" w:type="dxa"/>
            <w:tcBorders>
              <w:left w:val="single" w:color="auto" w:sz="6" w:space="0"/>
              <w:right w:val="single" w:color="auto" w:sz="6" w:space="0"/>
            </w:tcBorders>
            <w:vAlign w:val="center"/>
          </w:tcPr>
          <w:p>
            <w:pPr>
              <w:widowControl/>
              <w:jc w:val="center"/>
              <w:rPr>
                <w:rFonts w:hint="default" w:eastAsia="宋体"/>
                <w:color w:val="auto"/>
                <w:szCs w:val="21"/>
                <w:lang w:val="en-US" w:eastAsia="zh-CN"/>
              </w:rPr>
            </w:pPr>
            <w:r>
              <w:rPr>
                <w:rFonts w:hint="eastAsia"/>
                <w:color w:val="auto"/>
                <w:szCs w:val="21"/>
                <w:lang w:val="en-US" w:eastAsia="zh-CN"/>
              </w:rPr>
              <w:t>31.27</w:t>
            </w:r>
          </w:p>
        </w:tc>
        <w:tc>
          <w:tcPr>
            <w:tcW w:w="1080" w:type="dxa"/>
            <w:tcBorders>
              <w:left w:val="single" w:color="auto" w:sz="6" w:space="0"/>
              <w:right w:val="single" w:color="auto" w:sz="6" w:space="0"/>
            </w:tcBorders>
            <w:vAlign w:val="center"/>
          </w:tcPr>
          <w:p>
            <w:pPr>
              <w:widowControl/>
              <w:jc w:val="center"/>
              <w:rPr>
                <w:rFonts w:hint="default" w:eastAsia="宋体"/>
                <w:color w:val="auto"/>
                <w:szCs w:val="21"/>
                <w:lang w:val="en-US" w:eastAsia="zh-CN"/>
              </w:rPr>
            </w:pPr>
            <w:r>
              <w:rPr>
                <w:rFonts w:hint="eastAsia"/>
                <w:color w:val="auto"/>
                <w:szCs w:val="21"/>
                <w:lang w:val="en-US" w:eastAsia="zh-CN"/>
              </w:rPr>
              <w:t>13.07</w:t>
            </w:r>
          </w:p>
        </w:tc>
        <w:tc>
          <w:tcPr>
            <w:tcW w:w="1060" w:type="dxa"/>
            <w:tcBorders>
              <w:left w:val="single" w:color="auto" w:sz="6" w:space="0"/>
              <w:right w:val="nil"/>
            </w:tcBorders>
            <w:vAlign w:val="center"/>
          </w:tcPr>
          <w:p>
            <w:pPr>
              <w:widowControl/>
              <w:jc w:val="center"/>
              <w:rPr>
                <w:rFonts w:hint="default" w:eastAsia="宋体"/>
                <w:color w:val="auto"/>
                <w:szCs w:val="21"/>
                <w:lang w:val="en-US" w:eastAsia="zh-CN"/>
              </w:rPr>
            </w:pPr>
            <w:r>
              <w:rPr>
                <w:rFonts w:hint="eastAsia"/>
                <w:color w:val="auto"/>
                <w:szCs w:val="21"/>
                <w:lang w:val="en-US" w:eastAsia="zh-CN"/>
              </w:rPr>
              <w:t>19150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dxa"/>
            <w:vMerge w:val="restart"/>
            <w:tcBorders>
              <w:left w:val="nil"/>
              <w:right w:val="single" w:color="auto" w:sz="6" w:space="0"/>
            </w:tcBorders>
            <w:vAlign w:val="center"/>
          </w:tcPr>
          <w:p>
            <w:pPr>
              <w:jc w:val="center"/>
              <w:rPr>
                <w:color w:val="auto"/>
                <w:szCs w:val="21"/>
              </w:rPr>
            </w:pPr>
            <w:r>
              <w:rPr>
                <w:color w:val="auto"/>
                <w:szCs w:val="21"/>
              </w:rPr>
              <w:t>去除率%</w:t>
            </w:r>
          </w:p>
        </w:tc>
        <w:tc>
          <w:tcPr>
            <w:tcW w:w="1309" w:type="dxa"/>
            <w:tcBorders>
              <w:left w:val="single" w:color="auto" w:sz="6" w:space="0"/>
              <w:right w:val="single" w:color="auto" w:sz="6" w:space="0"/>
            </w:tcBorders>
            <w:vAlign w:val="center"/>
          </w:tcPr>
          <w:p>
            <w:pPr>
              <w:jc w:val="center"/>
              <w:rPr>
                <w:color w:val="auto"/>
                <w:szCs w:val="21"/>
              </w:rPr>
            </w:pPr>
            <w:r>
              <w:rPr>
                <w:color w:val="auto"/>
                <w:szCs w:val="21"/>
              </w:rPr>
              <w:t>格栅</w:t>
            </w:r>
          </w:p>
        </w:tc>
        <w:tc>
          <w:tcPr>
            <w:tcW w:w="791"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698"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1020" w:type="dxa"/>
            <w:tcBorders>
              <w:left w:val="single" w:color="auto" w:sz="6" w:space="0"/>
              <w:right w:val="single" w:color="auto" w:sz="6" w:space="0"/>
            </w:tcBorders>
            <w:vAlign w:val="center"/>
          </w:tcPr>
          <w:p>
            <w:pPr>
              <w:widowControl/>
              <w:jc w:val="center"/>
              <w:rPr>
                <w:color w:val="auto"/>
                <w:szCs w:val="21"/>
              </w:rPr>
            </w:pPr>
            <w:r>
              <w:rPr>
                <w:color w:val="auto"/>
                <w:szCs w:val="21"/>
              </w:rPr>
              <w:t>--</w:t>
            </w:r>
          </w:p>
        </w:tc>
        <w:tc>
          <w:tcPr>
            <w:tcW w:w="1035" w:type="dxa"/>
            <w:tcBorders>
              <w:left w:val="single" w:color="auto" w:sz="6" w:space="0"/>
              <w:right w:val="single" w:color="auto" w:sz="6" w:space="0"/>
            </w:tcBorders>
            <w:vAlign w:val="center"/>
          </w:tcPr>
          <w:p>
            <w:pPr>
              <w:widowControl/>
              <w:jc w:val="center"/>
              <w:rPr>
                <w:color w:val="auto"/>
                <w:szCs w:val="21"/>
              </w:rPr>
            </w:pPr>
            <w:r>
              <w:rPr>
                <w:color w:val="auto"/>
                <w:szCs w:val="21"/>
              </w:rPr>
              <w:t>--</w:t>
            </w:r>
          </w:p>
        </w:tc>
        <w:tc>
          <w:tcPr>
            <w:tcW w:w="1020" w:type="dxa"/>
            <w:tcBorders>
              <w:left w:val="single" w:color="auto" w:sz="6" w:space="0"/>
              <w:right w:val="single" w:color="auto" w:sz="6" w:space="0"/>
            </w:tcBorders>
            <w:vAlign w:val="center"/>
          </w:tcPr>
          <w:p>
            <w:pPr>
              <w:widowControl/>
              <w:jc w:val="center"/>
              <w:rPr>
                <w:color w:val="auto"/>
                <w:szCs w:val="21"/>
              </w:rPr>
            </w:pPr>
            <w:r>
              <w:rPr>
                <w:color w:val="auto"/>
                <w:szCs w:val="21"/>
              </w:rPr>
              <w:t>8</w:t>
            </w:r>
            <w:r>
              <w:rPr>
                <w:rFonts w:hint="eastAsia"/>
                <w:color w:val="auto"/>
                <w:szCs w:val="21"/>
              </w:rPr>
              <w:t>0</w:t>
            </w:r>
            <w:r>
              <w:rPr>
                <w:color w:val="auto"/>
                <w:szCs w:val="21"/>
              </w:rPr>
              <w:t>%</w:t>
            </w:r>
          </w:p>
        </w:tc>
        <w:tc>
          <w:tcPr>
            <w:tcW w:w="990" w:type="dxa"/>
            <w:tcBorders>
              <w:left w:val="single" w:color="auto" w:sz="6" w:space="0"/>
              <w:right w:val="single" w:color="auto" w:sz="6" w:space="0"/>
            </w:tcBorders>
            <w:vAlign w:val="center"/>
          </w:tcPr>
          <w:p>
            <w:pPr>
              <w:widowControl/>
              <w:jc w:val="center"/>
              <w:rPr>
                <w:color w:val="auto"/>
                <w:szCs w:val="21"/>
              </w:rPr>
            </w:pPr>
            <w:r>
              <w:rPr>
                <w:color w:val="auto"/>
                <w:szCs w:val="21"/>
              </w:rPr>
              <w:t>--</w:t>
            </w:r>
          </w:p>
        </w:tc>
        <w:tc>
          <w:tcPr>
            <w:tcW w:w="1080"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rPr>
              <w:t>15</w:t>
            </w:r>
            <w:r>
              <w:rPr>
                <w:color w:val="auto"/>
                <w:szCs w:val="21"/>
              </w:rPr>
              <w:t>%</w:t>
            </w:r>
          </w:p>
        </w:tc>
        <w:tc>
          <w:tcPr>
            <w:tcW w:w="1060" w:type="dxa"/>
            <w:tcBorders>
              <w:left w:val="single" w:color="auto" w:sz="6" w:space="0"/>
              <w:right w:val="nil"/>
            </w:tcBorders>
            <w:vAlign w:val="center"/>
          </w:tcPr>
          <w:p>
            <w:pPr>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320" w:type="dxa"/>
            <w:vMerge w:val="continue"/>
            <w:tcBorders>
              <w:left w:val="nil"/>
              <w:right w:val="single" w:color="auto" w:sz="6" w:space="0"/>
            </w:tcBorders>
            <w:vAlign w:val="center"/>
          </w:tcPr>
          <w:p>
            <w:pPr>
              <w:jc w:val="center"/>
              <w:rPr>
                <w:color w:val="auto"/>
                <w:szCs w:val="21"/>
              </w:rPr>
            </w:pPr>
          </w:p>
        </w:tc>
        <w:tc>
          <w:tcPr>
            <w:tcW w:w="1309" w:type="dxa"/>
            <w:tcBorders>
              <w:left w:val="single" w:color="auto" w:sz="6" w:space="0"/>
              <w:right w:val="single" w:color="auto" w:sz="6" w:space="0"/>
            </w:tcBorders>
            <w:vAlign w:val="center"/>
          </w:tcPr>
          <w:p>
            <w:pPr>
              <w:jc w:val="center"/>
              <w:rPr>
                <w:color w:val="auto"/>
                <w:szCs w:val="21"/>
              </w:rPr>
            </w:pPr>
            <w:r>
              <w:rPr>
                <w:color w:val="auto"/>
                <w:szCs w:val="21"/>
              </w:rPr>
              <w:t>隔油池</w:t>
            </w:r>
          </w:p>
        </w:tc>
        <w:tc>
          <w:tcPr>
            <w:tcW w:w="791"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698"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1020" w:type="dxa"/>
            <w:tcBorders>
              <w:left w:val="single" w:color="auto" w:sz="6" w:space="0"/>
              <w:right w:val="single" w:color="auto" w:sz="6" w:space="0"/>
            </w:tcBorders>
            <w:vAlign w:val="center"/>
          </w:tcPr>
          <w:p>
            <w:pPr>
              <w:widowControl/>
              <w:jc w:val="center"/>
              <w:rPr>
                <w:color w:val="auto"/>
                <w:szCs w:val="21"/>
              </w:rPr>
            </w:pPr>
            <w:r>
              <w:rPr>
                <w:color w:val="auto"/>
                <w:szCs w:val="21"/>
              </w:rPr>
              <w:t>--</w:t>
            </w:r>
          </w:p>
        </w:tc>
        <w:tc>
          <w:tcPr>
            <w:tcW w:w="1035" w:type="dxa"/>
            <w:tcBorders>
              <w:left w:val="single" w:color="auto" w:sz="6" w:space="0"/>
              <w:right w:val="single" w:color="auto" w:sz="6" w:space="0"/>
            </w:tcBorders>
            <w:vAlign w:val="center"/>
          </w:tcPr>
          <w:p>
            <w:pPr>
              <w:widowControl/>
              <w:jc w:val="center"/>
              <w:rPr>
                <w:color w:val="auto"/>
                <w:szCs w:val="21"/>
              </w:rPr>
            </w:pPr>
            <w:r>
              <w:rPr>
                <w:color w:val="auto"/>
                <w:szCs w:val="21"/>
              </w:rPr>
              <w:t>--</w:t>
            </w:r>
          </w:p>
        </w:tc>
        <w:tc>
          <w:tcPr>
            <w:tcW w:w="1020" w:type="dxa"/>
            <w:tcBorders>
              <w:left w:val="single" w:color="auto" w:sz="6" w:space="0"/>
              <w:right w:val="single" w:color="auto" w:sz="6" w:space="0"/>
            </w:tcBorders>
            <w:vAlign w:val="center"/>
          </w:tcPr>
          <w:p>
            <w:pPr>
              <w:widowControl/>
              <w:jc w:val="center"/>
              <w:rPr>
                <w:color w:val="auto"/>
                <w:szCs w:val="21"/>
              </w:rPr>
            </w:pPr>
            <w:r>
              <w:rPr>
                <w:color w:val="auto"/>
                <w:szCs w:val="21"/>
              </w:rPr>
              <w:t>--</w:t>
            </w:r>
          </w:p>
        </w:tc>
        <w:tc>
          <w:tcPr>
            <w:tcW w:w="990" w:type="dxa"/>
            <w:tcBorders>
              <w:left w:val="single" w:color="auto" w:sz="6" w:space="0"/>
              <w:right w:val="single" w:color="auto" w:sz="6" w:space="0"/>
            </w:tcBorders>
            <w:vAlign w:val="center"/>
          </w:tcPr>
          <w:p>
            <w:pPr>
              <w:widowControl/>
              <w:jc w:val="center"/>
              <w:rPr>
                <w:color w:val="auto"/>
                <w:szCs w:val="21"/>
              </w:rPr>
            </w:pPr>
            <w:r>
              <w:rPr>
                <w:color w:val="auto"/>
                <w:szCs w:val="21"/>
              </w:rPr>
              <w:t>--</w:t>
            </w:r>
          </w:p>
        </w:tc>
        <w:tc>
          <w:tcPr>
            <w:tcW w:w="1080"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rPr>
              <w:t>90.36</w:t>
            </w:r>
            <w:r>
              <w:rPr>
                <w:color w:val="auto"/>
                <w:szCs w:val="21"/>
              </w:rPr>
              <w:t>%</w:t>
            </w:r>
          </w:p>
        </w:tc>
        <w:tc>
          <w:tcPr>
            <w:tcW w:w="1060" w:type="dxa"/>
            <w:tcBorders>
              <w:left w:val="single" w:color="auto" w:sz="6" w:space="0"/>
              <w:right w:val="nil"/>
            </w:tcBorders>
            <w:vAlign w:val="center"/>
          </w:tcPr>
          <w:p>
            <w:pPr>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dxa"/>
            <w:vMerge w:val="continue"/>
            <w:tcBorders>
              <w:left w:val="nil"/>
              <w:right w:val="single" w:color="auto" w:sz="6" w:space="0"/>
            </w:tcBorders>
            <w:vAlign w:val="center"/>
          </w:tcPr>
          <w:p>
            <w:pPr>
              <w:jc w:val="center"/>
              <w:rPr>
                <w:color w:val="auto"/>
                <w:szCs w:val="21"/>
              </w:rPr>
            </w:pPr>
          </w:p>
        </w:tc>
        <w:tc>
          <w:tcPr>
            <w:tcW w:w="1309" w:type="dxa"/>
            <w:tcBorders>
              <w:left w:val="single" w:color="auto" w:sz="6" w:space="0"/>
              <w:right w:val="single" w:color="auto" w:sz="6" w:space="0"/>
            </w:tcBorders>
            <w:vAlign w:val="center"/>
          </w:tcPr>
          <w:p>
            <w:pPr>
              <w:jc w:val="center"/>
              <w:rPr>
                <w:color w:val="auto"/>
                <w:szCs w:val="21"/>
              </w:rPr>
            </w:pPr>
            <w:r>
              <w:rPr>
                <w:color w:val="auto"/>
                <w:szCs w:val="21"/>
              </w:rPr>
              <w:t>水解酸化池</w:t>
            </w:r>
          </w:p>
        </w:tc>
        <w:tc>
          <w:tcPr>
            <w:tcW w:w="791"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698"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1020"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rPr>
              <w:t>30</w:t>
            </w:r>
            <w:r>
              <w:rPr>
                <w:color w:val="auto"/>
                <w:szCs w:val="21"/>
              </w:rPr>
              <w:t>%</w:t>
            </w:r>
          </w:p>
        </w:tc>
        <w:tc>
          <w:tcPr>
            <w:tcW w:w="1035"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rPr>
              <w:t>20</w:t>
            </w:r>
            <w:r>
              <w:rPr>
                <w:color w:val="auto"/>
                <w:szCs w:val="21"/>
              </w:rPr>
              <w:t>%</w:t>
            </w:r>
          </w:p>
        </w:tc>
        <w:tc>
          <w:tcPr>
            <w:tcW w:w="1020"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rPr>
              <w:t>30</w:t>
            </w:r>
            <w:r>
              <w:rPr>
                <w:color w:val="auto"/>
                <w:szCs w:val="21"/>
              </w:rPr>
              <w:t>%</w:t>
            </w:r>
          </w:p>
        </w:tc>
        <w:tc>
          <w:tcPr>
            <w:tcW w:w="990"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rPr>
              <w:t>26</w:t>
            </w:r>
            <w:r>
              <w:rPr>
                <w:color w:val="auto"/>
                <w:szCs w:val="21"/>
              </w:rPr>
              <w:t>%</w:t>
            </w:r>
          </w:p>
        </w:tc>
        <w:tc>
          <w:tcPr>
            <w:tcW w:w="1080" w:type="dxa"/>
            <w:tcBorders>
              <w:left w:val="single" w:color="auto" w:sz="6" w:space="0"/>
              <w:right w:val="single" w:color="auto" w:sz="6" w:space="0"/>
            </w:tcBorders>
            <w:vAlign w:val="center"/>
          </w:tcPr>
          <w:p>
            <w:pPr>
              <w:widowControl/>
              <w:jc w:val="center"/>
              <w:rPr>
                <w:color w:val="auto"/>
                <w:szCs w:val="21"/>
              </w:rPr>
            </w:pPr>
            <w:r>
              <w:rPr>
                <w:color w:val="auto"/>
                <w:szCs w:val="21"/>
              </w:rPr>
              <w:t>1</w:t>
            </w:r>
            <w:r>
              <w:rPr>
                <w:rFonts w:hint="eastAsia"/>
                <w:color w:val="auto"/>
                <w:szCs w:val="21"/>
              </w:rPr>
              <w:t>0</w:t>
            </w:r>
            <w:r>
              <w:rPr>
                <w:color w:val="auto"/>
                <w:szCs w:val="21"/>
              </w:rPr>
              <w:t>%</w:t>
            </w:r>
          </w:p>
        </w:tc>
        <w:tc>
          <w:tcPr>
            <w:tcW w:w="1060" w:type="dxa"/>
            <w:tcBorders>
              <w:left w:val="single" w:color="auto" w:sz="6" w:space="0"/>
              <w:right w:val="nil"/>
            </w:tcBorders>
            <w:vAlign w:val="center"/>
          </w:tcPr>
          <w:p>
            <w:pPr>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dxa"/>
            <w:vMerge w:val="continue"/>
            <w:tcBorders>
              <w:left w:val="nil"/>
              <w:right w:val="single" w:color="auto" w:sz="6" w:space="0"/>
            </w:tcBorders>
            <w:vAlign w:val="center"/>
          </w:tcPr>
          <w:p>
            <w:pPr>
              <w:jc w:val="center"/>
              <w:rPr>
                <w:color w:val="auto"/>
                <w:szCs w:val="21"/>
              </w:rPr>
            </w:pPr>
          </w:p>
        </w:tc>
        <w:tc>
          <w:tcPr>
            <w:tcW w:w="1309" w:type="dxa"/>
            <w:tcBorders>
              <w:left w:val="single" w:color="auto" w:sz="6" w:space="0"/>
              <w:right w:val="single" w:color="auto" w:sz="6" w:space="0"/>
            </w:tcBorders>
            <w:vAlign w:val="center"/>
          </w:tcPr>
          <w:p>
            <w:pPr>
              <w:jc w:val="center"/>
              <w:rPr>
                <w:color w:val="auto"/>
                <w:szCs w:val="21"/>
              </w:rPr>
            </w:pPr>
            <w:r>
              <w:rPr>
                <w:color w:val="auto"/>
                <w:szCs w:val="21"/>
              </w:rPr>
              <w:t>生物接触氧化池+二沉池</w:t>
            </w:r>
          </w:p>
        </w:tc>
        <w:tc>
          <w:tcPr>
            <w:tcW w:w="791"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698"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1020"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rPr>
              <w:t>85.71</w:t>
            </w:r>
            <w:r>
              <w:rPr>
                <w:color w:val="auto"/>
                <w:szCs w:val="21"/>
              </w:rPr>
              <w:t>%</w:t>
            </w:r>
          </w:p>
        </w:tc>
        <w:tc>
          <w:tcPr>
            <w:tcW w:w="1035"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rPr>
              <w:t>87.5</w:t>
            </w:r>
            <w:r>
              <w:rPr>
                <w:color w:val="auto"/>
                <w:szCs w:val="21"/>
              </w:rPr>
              <w:t>%</w:t>
            </w:r>
          </w:p>
        </w:tc>
        <w:tc>
          <w:tcPr>
            <w:tcW w:w="1020"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rPr>
              <w:t>28.57</w:t>
            </w:r>
            <w:r>
              <w:rPr>
                <w:color w:val="auto"/>
                <w:szCs w:val="21"/>
              </w:rPr>
              <w:t>%</w:t>
            </w:r>
          </w:p>
        </w:tc>
        <w:tc>
          <w:tcPr>
            <w:tcW w:w="990"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rPr>
              <w:t>70.27</w:t>
            </w:r>
            <w:r>
              <w:rPr>
                <w:color w:val="auto"/>
                <w:szCs w:val="21"/>
              </w:rPr>
              <w:t>%</w:t>
            </w:r>
          </w:p>
        </w:tc>
        <w:tc>
          <w:tcPr>
            <w:tcW w:w="1080"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rPr>
              <w:t>5</w:t>
            </w:r>
            <w:r>
              <w:rPr>
                <w:color w:val="auto"/>
                <w:szCs w:val="21"/>
              </w:rPr>
              <w:t>%</w:t>
            </w:r>
          </w:p>
        </w:tc>
        <w:tc>
          <w:tcPr>
            <w:tcW w:w="1060" w:type="dxa"/>
            <w:tcBorders>
              <w:left w:val="single" w:color="auto" w:sz="6" w:space="0"/>
              <w:right w:val="nil"/>
            </w:tcBorders>
            <w:vAlign w:val="center"/>
          </w:tcPr>
          <w:p>
            <w:pPr>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dxa"/>
            <w:vMerge w:val="continue"/>
            <w:tcBorders>
              <w:left w:val="nil"/>
              <w:right w:val="single" w:color="auto" w:sz="6" w:space="0"/>
            </w:tcBorders>
            <w:vAlign w:val="center"/>
          </w:tcPr>
          <w:p>
            <w:pPr>
              <w:jc w:val="center"/>
              <w:rPr>
                <w:color w:val="auto"/>
                <w:szCs w:val="21"/>
              </w:rPr>
            </w:pPr>
          </w:p>
        </w:tc>
        <w:tc>
          <w:tcPr>
            <w:tcW w:w="1309" w:type="dxa"/>
            <w:tcBorders>
              <w:left w:val="single" w:color="auto" w:sz="6" w:space="0"/>
              <w:right w:val="single" w:color="auto" w:sz="6" w:space="0"/>
            </w:tcBorders>
            <w:vAlign w:val="center"/>
          </w:tcPr>
          <w:p>
            <w:pPr>
              <w:jc w:val="center"/>
              <w:rPr>
                <w:color w:val="auto"/>
                <w:szCs w:val="21"/>
              </w:rPr>
            </w:pPr>
            <w:r>
              <w:rPr>
                <w:color w:val="auto"/>
                <w:szCs w:val="21"/>
              </w:rPr>
              <w:t>消毒</w:t>
            </w:r>
          </w:p>
        </w:tc>
        <w:tc>
          <w:tcPr>
            <w:tcW w:w="791"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698"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1020"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1035"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1020"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990"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1080"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1060" w:type="dxa"/>
            <w:tcBorders>
              <w:left w:val="single" w:color="auto" w:sz="6" w:space="0"/>
              <w:right w:val="nil"/>
            </w:tcBorders>
            <w:vAlign w:val="center"/>
          </w:tcPr>
          <w:p>
            <w:pPr>
              <w:jc w:val="center"/>
              <w:rPr>
                <w:color w:val="auto"/>
                <w:szCs w:val="21"/>
              </w:rPr>
            </w:pPr>
            <w:r>
              <w:rPr>
                <w:color w:val="auto"/>
                <w:szCs w:val="21"/>
              </w:rPr>
              <w:t>9</w:t>
            </w:r>
            <w:r>
              <w:rPr>
                <w:rFonts w:hint="eastAsia"/>
                <w:color w:val="auto"/>
                <w:szCs w:val="21"/>
              </w:rPr>
              <w:t>5</w:t>
            </w: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9" w:type="dxa"/>
            <w:gridSpan w:val="2"/>
            <w:tcBorders>
              <w:left w:val="nil"/>
              <w:right w:val="single" w:color="auto" w:sz="6" w:space="0"/>
            </w:tcBorders>
            <w:vAlign w:val="center"/>
          </w:tcPr>
          <w:p>
            <w:pPr>
              <w:jc w:val="center"/>
              <w:rPr>
                <w:color w:val="auto"/>
                <w:szCs w:val="21"/>
              </w:rPr>
            </w:pPr>
            <w:r>
              <w:rPr>
                <w:color w:val="auto"/>
                <w:szCs w:val="21"/>
              </w:rPr>
              <w:t>总去除率%</w:t>
            </w:r>
          </w:p>
        </w:tc>
        <w:tc>
          <w:tcPr>
            <w:tcW w:w="791"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698"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1020" w:type="dxa"/>
            <w:tcBorders>
              <w:left w:val="single" w:color="auto" w:sz="6" w:space="0"/>
              <w:right w:val="single" w:color="auto" w:sz="6" w:space="0"/>
            </w:tcBorders>
            <w:vAlign w:val="center"/>
          </w:tcPr>
          <w:p>
            <w:pPr>
              <w:jc w:val="center"/>
              <w:rPr>
                <w:color w:val="auto"/>
                <w:szCs w:val="21"/>
              </w:rPr>
            </w:pPr>
            <w:r>
              <w:rPr>
                <w:color w:val="auto"/>
                <w:szCs w:val="21"/>
              </w:rPr>
              <w:t>9</w:t>
            </w:r>
            <w:r>
              <w:rPr>
                <w:rFonts w:hint="eastAsia"/>
                <w:color w:val="auto"/>
                <w:szCs w:val="21"/>
              </w:rPr>
              <w:t>0</w:t>
            </w:r>
            <w:r>
              <w:rPr>
                <w:color w:val="auto"/>
                <w:szCs w:val="21"/>
              </w:rPr>
              <w:t>%</w:t>
            </w:r>
          </w:p>
        </w:tc>
        <w:tc>
          <w:tcPr>
            <w:tcW w:w="1035" w:type="dxa"/>
            <w:tcBorders>
              <w:left w:val="single" w:color="auto" w:sz="6" w:space="0"/>
              <w:right w:val="single" w:color="auto" w:sz="6" w:space="0"/>
            </w:tcBorders>
            <w:vAlign w:val="center"/>
          </w:tcPr>
          <w:p>
            <w:pPr>
              <w:jc w:val="center"/>
              <w:rPr>
                <w:color w:val="auto"/>
                <w:szCs w:val="21"/>
              </w:rPr>
            </w:pPr>
            <w:r>
              <w:rPr>
                <w:rFonts w:hint="eastAsia"/>
                <w:color w:val="auto"/>
                <w:szCs w:val="21"/>
              </w:rPr>
              <w:t>90</w:t>
            </w:r>
            <w:r>
              <w:rPr>
                <w:color w:val="auto"/>
                <w:szCs w:val="21"/>
              </w:rPr>
              <w:t>%</w:t>
            </w:r>
          </w:p>
        </w:tc>
        <w:tc>
          <w:tcPr>
            <w:tcW w:w="1020" w:type="dxa"/>
            <w:tcBorders>
              <w:left w:val="single" w:color="auto" w:sz="6" w:space="0"/>
              <w:right w:val="single" w:color="auto" w:sz="6" w:space="0"/>
            </w:tcBorders>
            <w:vAlign w:val="center"/>
          </w:tcPr>
          <w:p>
            <w:pPr>
              <w:jc w:val="center"/>
              <w:rPr>
                <w:color w:val="auto"/>
                <w:szCs w:val="21"/>
              </w:rPr>
            </w:pPr>
            <w:r>
              <w:rPr>
                <w:rFonts w:hint="eastAsia"/>
                <w:color w:val="auto"/>
                <w:szCs w:val="21"/>
              </w:rPr>
              <w:t>90</w:t>
            </w:r>
            <w:r>
              <w:rPr>
                <w:color w:val="auto"/>
                <w:szCs w:val="21"/>
              </w:rPr>
              <w:t>%</w:t>
            </w:r>
          </w:p>
        </w:tc>
        <w:tc>
          <w:tcPr>
            <w:tcW w:w="990" w:type="dxa"/>
            <w:tcBorders>
              <w:left w:val="single" w:color="auto" w:sz="6" w:space="0"/>
              <w:right w:val="single" w:color="auto" w:sz="6" w:space="0"/>
            </w:tcBorders>
            <w:vAlign w:val="center"/>
          </w:tcPr>
          <w:p>
            <w:pPr>
              <w:jc w:val="center"/>
              <w:rPr>
                <w:color w:val="auto"/>
                <w:szCs w:val="21"/>
              </w:rPr>
            </w:pPr>
            <w:r>
              <w:rPr>
                <w:rFonts w:hint="eastAsia"/>
                <w:color w:val="auto"/>
                <w:szCs w:val="21"/>
              </w:rPr>
              <w:t>78</w:t>
            </w:r>
            <w:r>
              <w:rPr>
                <w:color w:val="auto"/>
                <w:szCs w:val="21"/>
              </w:rPr>
              <w:t>%</w:t>
            </w:r>
          </w:p>
        </w:tc>
        <w:tc>
          <w:tcPr>
            <w:tcW w:w="1080" w:type="dxa"/>
            <w:tcBorders>
              <w:left w:val="single" w:color="auto" w:sz="6" w:space="0"/>
              <w:right w:val="single" w:color="auto" w:sz="6" w:space="0"/>
            </w:tcBorders>
            <w:vAlign w:val="center"/>
          </w:tcPr>
          <w:p>
            <w:pPr>
              <w:jc w:val="center"/>
              <w:rPr>
                <w:color w:val="auto"/>
                <w:szCs w:val="21"/>
              </w:rPr>
            </w:pPr>
            <w:r>
              <w:rPr>
                <w:rFonts w:hint="eastAsia"/>
                <w:color w:val="auto"/>
                <w:szCs w:val="21"/>
              </w:rPr>
              <w:t>93</w:t>
            </w:r>
            <w:r>
              <w:rPr>
                <w:color w:val="auto"/>
                <w:szCs w:val="21"/>
              </w:rPr>
              <w:t>%</w:t>
            </w:r>
          </w:p>
        </w:tc>
        <w:tc>
          <w:tcPr>
            <w:tcW w:w="1060" w:type="dxa"/>
            <w:tcBorders>
              <w:left w:val="single" w:color="auto" w:sz="6" w:space="0"/>
              <w:right w:val="nil"/>
            </w:tcBorders>
            <w:vAlign w:val="center"/>
          </w:tcPr>
          <w:p>
            <w:pPr>
              <w:jc w:val="center"/>
              <w:rPr>
                <w:color w:val="auto"/>
                <w:szCs w:val="21"/>
              </w:rPr>
            </w:pPr>
            <w:r>
              <w:rPr>
                <w:color w:val="auto"/>
                <w:szCs w:val="21"/>
              </w:rPr>
              <w:t>9</w:t>
            </w:r>
            <w:r>
              <w:rPr>
                <w:rFonts w:hint="eastAsia"/>
                <w:color w:val="auto"/>
                <w:szCs w:val="21"/>
              </w:rPr>
              <w:t>5</w:t>
            </w: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20" w:type="dxa"/>
            <w:gridSpan w:val="3"/>
            <w:tcBorders>
              <w:left w:val="nil"/>
              <w:right w:val="single" w:color="auto" w:sz="6" w:space="0"/>
            </w:tcBorders>
            <w:vAlign w:val="center"/>
          </w:tcPr>
          <w:p>
            <w:pPr>
              <w:jc w:val="center"/>
              <w:rPr>
                <w:color w:val="auto"/>
                <w:szCs w:val="21"/>
              </w:rPr>
            </w:pPr>
            <w:r>
              <w:rPr>
                <w:color w:val="auto"/>
                <w:szCs w:val="21"/>
              </w:rPr>
              <w:t>《肉类加工工业水污染物排放标准》（GB13457-92）畜类屠宰加工三级标准</w:t>
            </w:r>
          </w:p>
        </w:tc>
        <w:tc>
          <w:tcPr>
            <w:tcW w:w="698" w:type="dxa"/>
            <w:tcBorders>
              <w:left w:val="single" w:color="auto" w:sz="6" w:space="0"/>
              <w:right w:val="single" w:color="auto" w:sz="6" w:space="0"/>
            </w:tcBorders>
            <w:vAlign w:val="center"/>
          </w:tcPr>
          <w:p>
            <w:pPr>
              <w:jc w:val="center"/>
              <w:rPr>
                <w:color w:val="auto"/>
                <w:szCs w:val="21"/>
              </w:rPr>
            </w:pPr>
            <w:r>
              <w:rPr>
                <w:color w:val="auto"/>
                <w:szCs w:val="21"/>
              </w:rPr>
              <w:t>6.</w:t>
            </w:r>
            <w:r>
              <w:rPr>
                <w:rFonts w:hint="eastAsia"/>
                <w:color w:val="auto"/>
                <w:szCs w:val="21"/>
              </w:rPr>
              <w:t>0</w:t>
            </w:r>
            <w:r>
              <w:rPr>
                <w:color w:val="auto"/>
                <w:szCs w:val="21"/>
              </w:rPr>
              <w:t>～8.5</w:t>
            </w:r>
          </w:p>
        </w:tc>
        <w:tc>
          <w:tcPr>
            <w:tcW w:w="1020" w:type="dxa"/>
            <w:tcBorders>
              <w:left w:val="single" w:color="auto" w:sz="6" w:space="0"/>
              <w:right w:val="single" w:color="auto" w:sz="6" w:space="0"/>
            </w:tcBorders>
            <w:vAlign w:val="center"/>
          </w:tcPr>
          <w:p>
            <w:pPr>
              <w:jc w:val="center"/>
              <w:rPr>
                <w:color w:val="auto"/>
                <w:szCs w:val="21"/>
              </w:rPr>
            </w:pPr>
            <w:r>
              <w:rPr>
                <w:color w:val="auto"/>
                <w:spacing w:val="-6"/>
                <w:szCs w:val="21"/>
              </w:rPr>
              <w:t>500</w:t>
            </w:r>
          </w:p>
        </w:tc>
        <w:tc>
          <w:tcPr>
            <w:tcW w:w="1035" w:type="dxa"/>
            <w:tcBorders>
              <w:left w:val="single" w:color="auto" w:sz="6" w:space="0"/>
              <w:right w:val="single" w:color="auto" w:sz="6" w:space="0"/>
            </w:tcBorders>
            <w:vAlign w:val="center"/>
          </w:tcPr>
          <w:p>
            <w:pPr>
              <w:jc w:val="center"/>
              <w:rPr>
                <w:color w:val="auto"/>
                <w:szCs w:val="21"/>
              </w:rPr>
            </w:pPr>
            <w:r>
              <w:rPr>
                <w:color w:val="auto"/>
                <w:szCs w:val="21"/>
              </w:rPr>
              <w:t>300</w:t>
            </w:r>
          </w:p>
        </w:tc>
        <w:tc>
          <w:tcPr>
            <w:tcW w:w="1020" w:type="dxa"/>
            <w:tcBorders>
              <w:left w:val="single" w:color="auto" w:sz="6" w:space="0"/>
              <w:right w:val="single" w:color="auto" w:sz="6" w:space="0"/>
            </w:tcBorders>
            <w:vAlign w:val="center"/>
          </w:tcPr>
          <w:p>
            <w:pPr>
              <w:jc w:val="center"/>
              <w:rPr>
                <w:color w:val="auto"/>
                <w:szCs w:val="21"/>
              </w:rPr>
            </w:pPr>
            <w:r>
              <w:rPr>
                <w:color w:val="auto"/>
                <w:szCs w:val="21"/>
              </w:rPr>
              <w:t>400</w:t>
            </w:r>
          </w:p>
        </w:tc>
        <w:tc>
          <w:tcPr>
            <w:tcW w:w="990"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1080" w:type="dxa"/>
            <w:tcBorders>
              <w:left w:val="single" w:color="auto" w:sz="6" w:space="0"/>
              <w:right w:val="single" w:color="auto" w:sz="6" w:space="0"/>
            </w:tcBorders>
            <w:vAlign w:val="center"/>
          </w:tcPr>
          <w:p>
            <w:pPr>
              <w:jc w:val="center"/>
              <w:rPr>
                <w:color w:val="auto"/>
                <w:szCs w:val="21"/>
              </w:rPr>
            </w:pPr>
            <w:r>
              <w:rPr>
                <w:color w:val="auto"/>
                <w:szCs w:val="21"/>
              </w:rPr>
              <w:t>60</w:t>
            </w:r>
          </w:p>
        </w:tc>
        <w:tc>
          <w:tcPr>
            <w:tcW w:w="1060" w:type="dxa"/>
            <w:tcBorders>
              <w:left w:val="single" w:color="auto" w:sz="6" w:space="0"/>
              <w:right w:val="nil"/>
            </w:tcBorders>
            <w:vAlign w:val="center"/>
          </w:tcPr>
          <w:p>
            <w:pPr>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20" w:type="dxa"/>
            <w:gridSpan w:val="3"/>
            <w:tcBorders>
              <w:left w:val="nil"/>
              <w:right w:val="single" w:color="auto" w:sz="6" w:space="0"/>
            </w:tcBorders>
            <w:vAlign w:val="center"/>
          </w:tcPr>
          <w:p>
            <w:pPr>
              <w:jc w:val="center"/>
              <w:rPr>
                <w:color w:val="auto"/>
                <w:szCs w:val="21"/>
              </w:rPr>
            </w:pPr>
            <w:r>
              <w:rPr>
                <w:rFonts w:hint="eastAsia"/>
                <w:color w:val="auto"/>
                <w:kern w:val="0"/>
                <w:szCs w:val="21"/>
                <w:lang w:eastAsia="zh-CN"/>
              </w:rPr>
              <w:t>尚志污水处理厂</w:t>
            </w:r>
            <w:r>
              <w:rPr>
                <w:color w:val="auto"/>
                <w:kern w:val="0"/>
                <w:szCs w:val="21"/>
              </w:rPr>
              <w:t>设计进水水质指标</w:t>
            </w:r>
          </w:p>
        </w:tc>
        <w:tc>
          <w:tcPr>
            <w:tcW w:w="698" w:type="dxa"/>
            <w:tcBorders>
              <w:left w:val="single" w:color="auto" w:sz="6" w:space="0"/>
              <w:right w:val="single" w:color="auto" w:sz="6" w:space="0"/>
            </w:tcBorders>
            <w:vAlign w:val="center"/>
          </w:tcPr>
          <w:p>
            <w:pPr>
              <w:jc w:val="center"/>
              <w:rPr>
                <w:rFonts w:hint="eastAsia" w:eastAsia="宋体"/>
                <w:color w:val="auto"/>
                <w:szCs w:val="21"/>
                <w:lang w:eastAsia="zh-CN"/>
              </w:rPr>
            </w:pPr>
            <w:r>
              <w:rPr>
                <w:color w:val="auto"/>
                <w:szCs w:val="21"/>
              </w:rPr>
              <w:t>6～</w:t>
            </w:r>
            <w:r>
              <w:rPr>
                <w:rFonts w:hint="eastAsia"/>
                <w:color w:val="auto"/>
                <w:szCs w:val="21"/>
                <w:lang w:val="en-US" w:eastAsia="zh-CN"/>
              </w:rPr>
              <w:t>9</w:t>
            </w:r>
          </w:p>
        </w:tc>
        <w:tc>
          <w:tcPr>
            <w:tcW w:w="1020" w:type="dxa"/>
            <w:tcBorders>
              <w:left w:val="single" w:color="auto" w:sz="6" w:space="0"/>
              <w:right w:val="single" w:color="auto" w:sz="6" w:space="0"/>
            </w:tcBorders>
            <w:vAlign w:val="center"/>
          </w:tcPr>
          <w:p>
            <w:pPr>
              <w:jc w:val="center"/>
              <w:rPr>
                <w:rFonts w:hint="default" w:eastAsia="宋体"/>
                <w:color w:val="auto"/>
                <w:szCs w:val="21"/>
                <w:lang w:val="en-US" w:eastAsia="zh-CN"/>
              </w:rPr>
            </w:pPr>
            <w:r>
              <w:rPr>
                <w:rFonts w:hint="eastAsia"/>
                <w:color w:val="auto"/>
                <w:spacing w:val="-6"/>
                <w:szCs w:val="21"/>
                <w:lang w:val="en-US" w:eastAsia="zh-CN"/>
              </w:rPr>
              <w:t>500</w:t>
            </w:r>
          </w:p>
        </w:tc>
        <w:tc>
          <w:tcPr>
            <w:tcW w:w="1035" w:type="dxa"/>
            <w:tcBorders>
              <w:left w:val="single" w:color="auto" w:sz="6" w:space="0"/>
              <w:right w:val="single" w:color="auto" w:sz="6" w:space="0"/>
            </w:tcBorders>
            <w:vAlign w:val="center"/>
          </w:tcPr>
          <w:p>
            <w:pPr>
              <w:jc w:val="center"/>
              <w:rPr>
                <w:rFonts w:hint="default" w:eastAsia="宋体"/>
                <w:color w:val="auto"/>
                <w:szCs w:val="21"/>
                <w:lang w:val="en-US" w:eastAsia="zh-CN"/>
              </w:rPr>
            </w:pPr>
            <w:r>
              <w:rPr>
                <w:rFonts w:hint="eastAsia"/>
                <w:color w:val="auto"/>
                <w:szCs w:val="21"/>
                <w:lang w:val="en-US" w:eastAsia="zh-CN"/>
              </w:rPr>
              <w:t>300</w:t>
            </w:r>
          </w:p>
        </w:tc>
        <w:tc>
          <w:tcPr>
            <w:tcW w:w="1020" w:type="dxa"/>
            <w:tcBorders>
              <w:left w:val="single" w:color="auto" w:sz="6" w:space="0"/>
              <w:right w:val="single" w:color="auto" w:sz="6" w:space="0"/>
            </w:tcBorders>
            <w:vAlign w:val="center"/>
          </w:tcPr>
          <w:p>
            <w:pPr>
              <w:jc w:val="center"/>
              <w:rPr>
                <w:rFonts w:hint="default" w:eastAsia="宋体"/>
                <w:color w:val="auto"/>
                <w:szCs w:val="21"/>
                <w:lang w:val="en-US" w:eastAsia="zh-CN"/>
              </w:rPr>
            </w:pPr>
            <w:r>
              <w:rPr>
                <w:rFonts w:hint="eastAsia"/>
                <w:color w:val="auto"/>
                <w:szCs w:val="21"/>
                <w:lang w:val="en-US" w:eastAsia="zh-CN"/>
              </w:rPr>
              <w:t>400</w:t>
            </w:r>
          </w:p>
        </w:tc>
        <w:tc>
          <w:tcPr>
            <w:tcW w:w="990" w:type="dxa"/>
            <w:tcBorders>
              <w:left w:val="single" w:color="auto" w:sz="6" w:space="0"/>
              <w:right w:val="single" w:color="auto" w:sz="6" w:space="0"/>
            </w:tcBorders>
            <w:vAlign w:val="center"/>
          </w:tcPr>
          <w:p>
            <w:pPr>
              <w:jc w:val="center"/>
              <w:rPr>
                <w:rFonts w:hint="default" w:eastAsia="宋体"/>
                <w:color w:val="auto"/>
                <w:szCs w:val="21"/>
                <w:lang w:val="en-US" w:eastAsia="zh-CN"/>
              </w:rPr>
            </w:pPr>
            <w:r>
              <w:rPr>
                <w:rFonts w:hint="eastAsia"/>
                <w:color w:val="auto"/>
                <w:szCs w:val="21"/>
                <w:lang w:val="en-US" w:eastAsia="zh-CN"/>
              </w:rPr>
              <w:t>/</w:t>
            </w:r>
          </w:p>
        </w:tc>
        <w:tc>
          <w:tcPr>
            <w:tcW w:w="1080" w:type="dxa"/>
            <w:tcBorders>
              <w:left w:val="single" w:color="auto" w:sz="6" w:space="0"/>
              <w:right w:val="single" w:color="auto" w:sz="6" w:space="0"/>
            </w:tcBorders>
            <w:vAlign w:val="center"/>
          </w:tcPr>
          <w:p>
            <w:pPr>
              <w:jc w:val="center"/>
              <w:rPr>
                <w:rFonts w:hint="default" w:eastAsia="宋体"/>
                <w:color w:val="auto"/>
                <w:szCs w:val="21"/>
                <w:lang w:val="en-US" w:eastAsia="zh-CN"/>
              </w:rPr>
            </w:pPr>
            <w:r>
              <w:rPr>
                <w:rFonts w:hint="eastAsia"/>
                <w:color w:val="auto"/>
                <w:szCs w:val="21"/>
                <w:lang w:val="en-US" w:eastAsia="zh-CN"/>
              </w:rPr>
              <w:t>100</w:t>
            </w:r>
          </w:p>
        </w:tc>
        <w:tc>
          <w:tcPr>
            <w:tcW w:w="1060" w:type="dxa"/>
            <w:tcBorders>
              <w:left w:val="single" w:color="auto" w:sz="6" w:space="0"/>
              <w:right w:val="nil"/>
            </w:tcBorders>
            <w:vAlign w:val="center"/>
          </w:tcPr>
          <w:p>
            <w:pPr>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20" w:type="dxa"/>
            <w:gridSpan w:val="3"/>
            <w:tcBorders>
              <w:left w:val="nil"/>
              <w:bottom w:val="single" w:color="auto" w:sz="12" w:space="0"/>
              <w:right w:val="single" w:color="auto" w:sz="6" w:space="0"/>
            </w:tcBorders>
            <w:vAlign w:val="center"/>
          </w:tcPr>
          <w:p>
            <w:pPr>
              <w:jc w:val="center"/>
              <w:rPr>
                <w:color w:val="auto"/>
                <w:spacing w:val="-6"/>
                <w:szCs w:val="21"/>
              </w:rPr>
            </w:pPr>
            <w:r>
              <w:rPr>
                <w:color w:val="auto"/>
                <w:kern w:val="0"/>
                <w:szCs w:val="21"/>
              </w:rPr>
              <w:t>排放标准</w:t>
            </w:r>
          </w:p>
        </w:tc>
        <w:tc>
          <w:tcPr>
            <w:tcW w:w="698" w:type="dxa"/>
            <w:tcBorders>
              <w:left w:val="single" w:color="auto" w:sz="6" w:space="0"/>
              <w:bottom w:val="single" w:color="auto" w:sz="12" w:space="0"/>
              <w:right w:val="single" w:color="auto" w:sz="6" w:space="0"/>
            </w:tcBorders>
            <w:vAlign w:val="center"/>
          </w:tcPr>
          <w:p>
            <w:pPr>
              <w:jc w:val="center"/>
              <w:rPr>
                <w:color w:val="auto"/>
                <w:spacing w:val="-6"/>
                <w:szCs w:val="21"/>
              </w:rPr>
            </w:pPr>
            <w:r>
              <w:rPr>
                <w:color w:val="auto"/>
                <w:szCs w:val="21"/>
              </w:rPr>
              <w:t>6.5～8.5</w:t>
            </w:r>
          </w:p>
        </w:tc>
        <w:tc>
          <w:tcPr>
            <w:tcW w:w="1020" w:type="dxa"/>
            <w:tcBorders>
              <w:left w:val="single" w:color="auto" w:sz="6" w:space="0"/>
              <w:bottom w:val="single" w:color="auto" w:sz="12" w:space="0"/>
              <w:right w:val="single" w:color="auto" w:sz="6" w:space="0"/>
            </w:tcBorders>
            <w:vAlign w:val="center"/>
          </w:tcPr>
          <w:p>
            <w:pPr>
              <w:jc w:val="center"/>
              <w:rPr>
                <w:rFonts w:hint="default" w:eastAsia="宋体"/>
                <w:color w:val="auto"/>
                <w:spacing w:val="-6"/>
                <w:szCs w:val="21"/>
                <w:lang w:val="en-US" w:eastAsia="zh-CN"/>
              </w:rPr>
            </w:pPr>
            <w:r>
              <w:rPr>
                <w:rFonts w:hint="eastAsia"/>
                <w:color w:val="auto"/>
                <w:spacing w:val="-6"/>
                <w:szCs w:val="21"/>
                <w:lang w:val="en-US" w:eastAsia="zh-CN"/>
              </w:rPr>
              <w:t>500</w:t>
            </w:r>
          </w:p>
        </w:tc>
        <w:tc>
          <w:tcPr>
            <w:tcW w:w="1035" w:type="dxa"/>
            <w:tcBorders>
              <w:left w:val="single" w:color="auto" w:sz="6" w:space="0"/>
              <w:bottom w:val="single" w:color="auto" w:sz="12" w:space="0"/>
              <w:right w:val="single" w:color="auto" w:sz="6" w:space="0"/>
            </w:tcBorders>
            <w:vAlign w:val="center"/>
          </w:tcPr>
          <w:p>
            <w:pPr>
              <w:jc w:val="center"/>
              <w:rPr>
                <w:rFonts w:hint="default" w:eastAsia="宋体"/>
                <w:color w:val="auto"/>
                <w:szCs w:val="21"/>
                <w:lang w:val="en-US" w:eastAsia="zh-CN"/>
              </w:rPr>
            </w:pPr>
            <w:r>
              <w:rPr>
                <w:rFonts w:hint="eastAsia"/>
                <w:color w:val="auto"/>
                <w:szCs w:val="21"/>
                <w:lang w:val="en-US" w:eastAsia="zh-CN"/>
              </w:rPr>
              <w:t>300</w:t>
            </w:r>
          </w:p>
        </w:tc>
        <w:tc>
          <w:tcPr>
            <w:tcW w:w="1020" w:type="dxa"/>
            <w:tcBorders>
              <w:left w:val="single" w:color="auto" w:sz="6" w:space="0"/>
              <w:bottom w:val="single" w:color="auto" w:sz="12" w:space="0"/>
              <w:right w:val="single" w:color="auto" w:sz="6" w:space="0"/>
            </w:tcBorders>
            <w:vAlign w:val="center"/>
          </w:tcPr>
          <w:p>
            <w:pPr>
              <w:jc w:val="center"/>
              <w:rPr>
                <w:rFonts w:hint="default" w:eastAsia="宋体"/>
                <w:color w:val="auto"/>
                <w:szCs w:val="21"/>
                <w:lang w:val="en-US" w:eastAsia="zh-CN"/>
              </w:rPr>
            </w:pPr>
            <w:r>
              <w:rPr>
                <w:rFonts w:hint="eastAsia"/>
                <w:color w:val="auto"/>
                <w:szCs w:val="21"/>
                <w:lang w:val="en-US" w:eastAsia="zh-CN"/>
              </w:rPr>
              <w:t>400</w:t>
            </w:r>
          </w:p>
        </w:tc>
        <w:tc>
          <w:tcPr>
            <w:tcW w:w="990" w:type="dxa"/>
            <w:tcBorders>
              <w:left w:val="single" w:color="auto" w:sz="6" w:space="0"/>
              <w:bottom w:val="single" w:color="auto" w:sz="12" w:space="0"/>
              <w:right w:val="single" w:color="auto" w:sz="6" w:space="0"/>
            </w:tcBorders>
            <w:vAlign w:val="center"/>
          </w:tcPr>
          <w:p>
            <w:pPr>
              <w:jc w:val="center"/>
              <w:rPr>
                <w:rFonts w:hint="eastAsia" w:eastAsia="宋体"/>
                <w:color w:val="auto"/>
                <w:szCs w:val="21"/>
                <w:lang w:eastAsia="zh-CN"/>
              </w:rPr>
            </w:pPr>
            <w:r>
              <w:rPr>
                <w:rFonts w:hint="eastAsia"/>
                <w:color w:val="auto"/>
                <w:szCs w:val="21"/>
                <w:lang w:val="en-US" w:eastAsia="zh-CN"/>
              </w:rPr>
              <w:t>/</w:t>
            </w:r>
          </w:p>
        </w:tc>
        <w:tc>
          <w:tcPr>
            <w:tcW w:w="1080" w:type="dxa"/>
            <w:tcBorders>
              <w:left w:val="single" w:color="auto" w:sz="6" w:space="0"/>
              <w:bottom w:val="single" w:color="auto" w:sz="12" w:space="0"/>
              <w:right w:val="single" w:color="auto" w:sz="6" w:space="0"/>
            </w:tcBorders>
            <w:vAlign w:val="center"/>
          </w:tcPr>
          <w:p>
            <w:pPr>
              <w:jc w:val="center"/>
              <w:rPr>
                <w:color w:val="auto"/>
                <w:szCs w:val="21"/>
              </w:rPr>
            </w:pPr>
            <w:r>
              <w:rPr>
                <w:color w:val="auto"/>
                <w:szCs w:val="21"/>
              </w:rPr>
              <w:t>60</w:t>
            </w:r>
          </w:p>
        </w:tc>
        <w:tc>
          <w:tcPr>
            <w:tcW w:w="1060" w:type="dxa"/>
            <w:tcBorders>
              <w:left w:val="single" w:color="auto" w:sz="6" w:space="0"/>
              <w:bottom w:val="single" w:color="auto" w:sz="12" w:space="0"/>
              <w:right w:val="nil"/>
            </w:tcBorders>
            <w:vAlign w:val="center"/>
          </w:tcPr>
          <w:p>
            <w:pPr>
              <w:jc w:val="center"/>
              <w:rPr>
                <w:color w:val="auto"/>
                <w:kern w:val="0"/>
                <w:szCs w:val="21"/>
              </w:rPr>
            </w:pPr>
            <w:r>
              <w:rPr>
                <w:color w:val="auto"/>
                <w:kern w:val="0"/>
                <w:szCs w:val="21"/>
              </w:rPr>
              <w:t>/</w:t>
            </w:r>
          </w:p>
        </w:tc>
      </w:tr>
    </w:tbl>
    <w:p>
      <w:pPr>
        <w:spacing w:line="360" w:lineRule="auto"/>
        <w:jc w:val="center"/>
        <w:rPr>
          <w:b/>
          <w:bCs/>
          <w:color w:val="FF0000"/>
          <w:sz w:val="24"/>
        </w:rPr>
      </w:pPr>
      <w:bookmarkStart w:id="94" w:name="_Ref259880839"/>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color w:val="auto"/>
          <w:sz w:val="24"/>
        </w:rPr>
      </w:pPr>
      <w:r>
        <w:rPr>
          <w:b/>
          <w:bCs/>
          <w:color w:val="auto"/>
          <w:sz w:val="24"/>
        </w:rPr>
        <w:t>表</w:t>
      </w:r>
      <w:bookmarkEnd w:id="94"/>
      <w:r>
        <w:rPr>
          <w:b/>
          <w:bCs/>
          <w:color w:val="auto"/>
          <w:sz w:val="24"/>
        </w:rPr>
        <w:t>3-3-6  本项目全厂总排污口出水水质及污染物排放量</w:t>
      </w:r>
    </w:p>
    <w:tbl>
      <w:tblPr>
        <w:tblStyle w:val="46"/>
        <w:tblW w:w="546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0"/>
        <w:gridCol w:w="937"/>
        <w:gridCol w:w="851"/>
        <w:gridCol w:w="572"/>
        <w:gridCol w:w="980"/>
        <w:gridCol w:w="1092"/>
        <w:gridCol w:w="1000"/>
        <w:gridCol w:w="999"/>
        <w:gridCol w:w="1099"/>
        <w:gridCol w:w="10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vMerge w:val="restart"/>
            <w:tcBorders>
              <w:top w:val="single" w:color="auto" w:sz="12" w:space="0"/>
              <w:left w:val="nil"/>
              <w:right w:val="single" w:color="auto" w:sz="6" w:space="0"/>
            </w:tcBorders>
            <w:vAlign w:val="center"/>
          </w:tcPr>
          <w:p>
            <w:pPr>
              <w:pStyle w:val="271"/>
              <w:spacing w:line="240" w:lineRule="auto"/>
              <w:ind w:firstLine="0" w:firstLineChars="0"/>
              <w:rPr>
                <w:color w:val="auto"/>
                <w:sz w:val="21"/>
                <w:szCs w:val="21"/>
              </w:rPr>
            </w:pPr>
            <w:r>
              <w:rPr>
                <w:color w:val="auto"/>
                <w:sz w:val="21"/>
                <w:szCs w:val="21"/>
              </w:rPr>
              <w:t>总排污口</w:t>
            </w:r>
          </w:p>
          <w:p>
            <w:pPr>
              <w:pStyle w:val="271"/>
              <w:spacing w:line="240" w:lineRule="auto"/>
              <w:ind w:firstLine="0" w:firstLineChars="0"/>
              <w:rPr>
                <w:color w:val="auto"/>
                <w:sz w:val="21"/>
                <w:szCs w:val="21"/>
              </w:rPr>
            </w:pPr>
            <w:r>
              <w:rPr>
                <w:color w:val="auto"/>
                <w:sz w:val="21"/>
                <w:szCs w:val="21"/>
              </w:rPr>
              <w:t>出水水质</w:t>
            </w:r>
          </w:p>
        </w:tc>
        <w:tc>
          <w:tcPr>
            <w:tcW w:w="502" w:type="pct"/>
            <w:tcBorders>
              <w:top w:val="single" w:color="auto" w:sz="12" w:space="0"/>
              <w:left w:val="single" w:color="auto" w:sz="6" w:space="0"/>
              <w:right w:val="single" w:color="auto" w:sz="6" w:space="0"/>
            </w:tcBorders>
            <w:vAlign w:val="center"/>
          </w:tcPr>
          <w:p>
            <w:pPr>
              <w:pStyle w:val="271"/>
              <w:spacing w:line="240" w:lineRule="auto"/>
              <w:ind w:firstLine="0" w:firstLineChars="0"/>
              <w:rPr>
                <w:color w:val="auto"/>
                <w:sz w:val="21"/>
                <w:szCs w:val="21"/>
              </w:rPr>
            </w:pPr>
            <w:r>
              <w:rPr>
                <w:color w:val="auto"/>
                <w:sz w:val="21"/>
                <w:szCs w:val="21"/>
              </w:rPr>
              <w:t>名称</w:t>
            </w:r>
          </w:p>
        </w:tc>
        <w:tc>
          <w:tcPr>
            <w:tcW w:w="456" w:type="pct"/>
            <w:tcBorders>
              <w:top w:val="single" w:color="auto" w:sz="12" w:space="0"/>
              <w:left w:val="single" w:color="auto" w:sz="6" w:space="0"/>
              <w:right w:val="single" w:color="auto" w:sz="6" w:space="0"/>
            </w:tcBorders>
            <w:vAlign w:val="center"/>
          </w:tcPr>
          <w:p>
            <w:pPr>
              <w:pStyle w:val="271"/>
              <w:spacing w:line="240" w:lineRule="auto"/>
              <w:ind w:firstLine="0" w:firstLineChars="0"/>
              <w:rPr>
                <w:color w:val="auto"/>
                <w:sz w:val="21"/>
                <w:szCs w:val="21"/>
              </w:rPr>
            </w:pPr>
            <w:r>
              <w:rPr>
                <w:color w:val="auto"/>
                <w:sz w:val="21"/>
                <w:szCs w:val="21"/>
              </w:rPr>
              <w:t>水量</w:t>
            </w:r>
          </w:p>
          <w:p>
            <w:pPr>
              <w:pStyle w:val="271"/>
              <w:spacing w:line="240" w:lineRule="auto"/>
              <w:ind w:firstLine="0" w:firstLineChars="0"/>
              <w:rPr>
                <w:color w:val="auto"/>
                <w:sz w:val="21"/>
                <w:szCs w:val="21"/>
              </w:rPr>
            </w:pPr>
            <w:r>
              <w:rPr>
                <w:color w:val="auto"/>
                <w:sz w:val="21"/>
                <w:szCs w:val="21"/>
              </w:rPr>
              <w:t>（</w:t>
            </w:r>
            <w:r>
              <w:rPr>
                <w:rFonts w:hint="eastAsia"/>
                <w:color w:val="auto"/>
                <w:sz w:val="21"/>
                <w:szCs w:val="21"/>
              </w:rPr>
              <w:t>t</w:t>
            </w:r>
            <w:r>
              <w:rPr>
                <w:color w:val="auto"/>
                <w:sz w:val="21"/>
                <w:szCs w:val="21"/>
              </w:rPr>
              <w:t>/a）</w:t>
            </w:r>
          </w:p>
        </w:tc>
        <w:tc>
          <w:tcPr>
            <w:tcW w:w="307" w:type="pct"/>
            <w:tcBorders>
              <w:top w:val="single" w:color="auto" w:sz="12" w:space="0"/>
              <w:left w:val="single" w:color="auto" w:sz="6" w:space="0"/>
              <w:right w:val="single" w:color="auto" w:sz="6" w:space="0"/>
            </w:tcBorders>
            <w:vAlign w:val="center"/>
          </w:tcPr>
          <w:p>
            <w:pPr>
              <w:pStyle w:val="271"/>
              <w:spacing w:line="240" w:lineRule="auto"/>
              <w:ind w:firstLine="0" w:firstLineChars="0"/>
              <w:rPr>
                <w:color w:val="auto"/>
                <w:sz w:val="21"/>
                <w:szCs w:val="21"/>
              </w:rPr>
            </w:pPr>
            <w:r>
              <w:rPr>
                <w:color w:val="auto"/>
                <w:sz w:val="21"/>
                <w:szCs w:val="21"/>
              </w:rPr>
              <w:t>pH</w:t>
            </w:r>
          </w:p>
        </w:tc>
        <w:tc>
          <w:tcPr>
            <w:tcW w:w="526" w:type="pct"/>
            <w:tcBorders>
              <w:top w:val="single" w:color="auto" w:sz="12" w:space="0"/>
              <w:left w:val="single" w:color="auto" w:sz="6" w:space="0"/>
              <w:right w:val="single" w:color="auto" w:sz="6" w:space="0"/>
            </w:tcBorders>
            <w:vAlign w:val="center"/>
          </w:tcPr>
          <w:p>
            <w:pPr>
              <w:pStyle w:val="271"/>
              <w:spacing w:line="240" w:lineRule="auto"/>
              <w:ind w:firstLine="0" w:firstLineChars="0"/>
              <w:rPr>
                <w:color w:val="auto"/>
                <w:sz w:val="21"/>
                <w:szCs w:val="21"/>
              </w:rPr>
            </w:pPr>
            <w:r>
              <w:rPr>
                <w:color w:val="auto"/>
                <w:sz w:val="21"/>
                <w:szCs w:val="21"/>
              </w:rPr>
              <w:t>COD</w:t>
            </w:r>
          </w:p>
          <w:p>
            <w:pPr>
              <w:pStyle w:val="271"/>
              <w:spacing w:line="240" w:lineRule="auto"/>
              <w:ind w:firstLine="0" w:firstLineChars="0"/>
              <w:rPr>
                <w:color w:val="auto"/>
                <w:sz w:val="21"/>
                <w:szCs w:val="21"/>
              </w:rPr>
            </w:pPr>
            <w:r>
              <w:rPr>
                <w:color w:val="auto"/>
                <w:sz w:val="21"/>
                <w:szCs w:val="21"/>
              </w:rPr>
              <w:t>（mg/L）</w:t>
            </w:r>
          </w:p>
        </w:tc>
        <w:tc>
          <w:tcPr>
            <w:tcW w:w="586" w:type="pct"/>
            <w:tcBorders>
              <w:top w:val="single" w:color="auto" w:sz="12" w:space="0"/>
              <w:left w:val="single" w:color="auto" w:sz="6" w:space="0"/>
              <w:right w:val="single" w:color="auto" w:sz="6" w:space="0"/>
            </w:tcBorders>
            <w:vAlign w:val="center"/>
          </w:tcPr>
          <w:p>
            <w:pPr>
              <w:pStyle w:val="271"/>
              <w:spacing w:line="240" w:lineRule="auto"/>
              <w:ind w:firstLine="0" w:firstLineChars="0"/>
              <w:rPr>
                <w:color w:val="auto"/>
                <w:sz w:val="21"/>
                <w:szCs w:val="21"/>
              </w:rPr>
            </w:pPr>
            <w:r>
              <w:rPr>
                <w:color w:val="auto"/>
                <w:sz w:val="21"/>
                <w:szCs w:val="21"/>
              </w:rPr>
              <w:t>BOD</w:t>
            </w:r>
            <w:r>
              <w:rPr>
                <w:color w:val="auto"/>
                <w:sz w:val="21"/>
                <w:szCs w:val="21"/>
                <w:vertAlign w:val="subscript"/>
              </w:rPr>
              <w:t>5</w:t>
            </w:r>
          </w:p>
          <w:p>
            <w:pPr>
              <w:pStyle w:val="271"/>
              <w:spacing w:line="240" w:lineRule="auto"/>
              <w:ind w:firstLine="0" w:firstLineChars="0"/>
              <w:rPr>
                <w:color w:val="auto"/>
                <w:sz w:val="21"/>
                <w:szCs w:val="21"/>
              </w:rPr>
            </w:pPr>
            <w:r>
              <w:rPr>
                <w:color w:val="auto"/>
                <w:sz w:val="21"/>
                <w:szCs w:val="21"/>
              </w:rPr>
              <w:t>（mg/L）</w:t>
            </w:r>
          </w:p>
        </w:tc>
        <w:tc>
          <w:tcPr>
            <w:tcW w:w="536" w:type="pct"/>
            <w:tcBorders>
              <w:top w:val="single" w:color="auto" w:sz="12" w:space="0"/>
              <w:left w:val="single" w:color="auto" w:sz="6" w:space="0"/>
              <w:right w:val="single" w:color="auto" w:sz="6" w:space="0"/>
            </w:tcBorders>
            <w:vAlign w:val="center"/>
          </w:tcPr>
          <w:p>
            <w:pPr>
              <w:pStyle w:val="271"/>
              <w:spacing w:line="240" w:lineRule="auto"/>
              <w:ind w:firstLine="0" w:firstLineChars="0"/>
              <w:rPr>
                <w:color w:val="auto"/>
                <w:sz w:val="21"/>
                <w:szCs w:val="21"/>
              </w:rPr>
            </w:pPr>
            <w:r>
              <w:rPr>
                <w:color w:val="auto"/>
                <w:sz w:val="21"/>
                <w:szCs w:val="21"/>
              </w:rPr>
              <w:t>SS</w:t>
            </w:r>
          </w:p>
          <w:p>
            <w:pPr>
              <w:pStyle w:val="271"/>
              <w:spacing w:line="240" w:lineRule="auto"/>
              <w:ind w:firstLine="0" w:firstLineChars="0"/>
              <w:rPr>
                <w:color w:val="auto"/>
                <w:sz w:val="21"/>
                <w:szCs w:val="21"/>
              </w:rPr>
            </w:pPr>
            <w:r>
              <w:rPr>
                <w:color w:val="auto"/>
                <w:sz w:val="21"/>
                <w:szCs w:val="21"/>
              </w:rPr>
              <w:t>（mg/L）</w:t>
            </w:r>
          </w:p>
        </w:tc>
        <w:tc>
          <w:tcPr>
            <w:tcW w:w="536" w:type="pct"/>
            <w:tcBorders>
              <w:top w:val="single" w:color="auto" w:sz="12" w:space="0"/>
              <w:left w:val="single" w:color="auto" w:sz="6" w:space="0"/>
              <w:right w:val="single" w:color="auto" w:sz="6" w:space="0"/>
            </w:tcBorders>
            <w:vAlign w:val="center"/>
          </w:tcPr>
          <w:p>
            <w:pPr>
              <w:pStyle w:val="271"/>
              <w:spacing w:line="240" w:lineRule="auto"/>
              <w:ind w:firstLine="0" w:firstLineChars="0"/>
              <w:rPr>
                <w:color w:val="auto"/>
                <w:sz w:val="21"/>
                <w:szCs w:val="21"/>
              </w:rPr>
            </w:pPr>
            <w:r>
              <w:rPr>
                <w:color w:val="auto"/>
                <w:sz w:val="21"/>
                <w:szCs w:val="21"/>
              </w:rPr>
              <w:t>氨氮</w:t>
            </w:r>
          </w:p>
          <w:p>
            <w:pPr>
              <w:pStyle w:val="271"/>
              <w:spacing w:line="240" w:lineRule="auto"/>
              <w:ind w:firstLine="0" w:firstLineChars="0"/>
              <w:rPr>
                <w:color w:val="auto"/>
                <w:sz w:val="21"/>
                <w:szCs w:val="21"/>
              </w:rPr>
            </w:pPr>
            <w:r>
              <w:rPr>
                <w:color w:val="auto"/>
                <w:sz w:val="21"/>
                <w:szCs w:val="21"/>
              </w:rPr>
              <w:t>（mg/L）</w:t>
            </w:r>
          </w:p>
        </w:tc>
        <w:tc>
          <w:tcPr>
            <w:tcW w:w="589" w:type="pct"/>
            <w:tcBorders>
              <w:top w:val="single" w:color="auto" w:sz="12" w:space="0"/>
              <w:left w:val="single" w:color="auto" w:sz="6" w:space="0"/>
              <w:right w:val="single" w:color="auto" w:sz="6" w:space="0"/>
            </w:tcBorders>
            <w:vAlign w:val="center"/>
          </w:tcPr>
          <w:p>
            <w:pPr>
              <w:jc w:val="center"/>
              <w:rPr>
                <w:color w:val="auto"/>
                <w:szCs w:val="21"/>
              </w:rPr>
            </w:pPr>
            <w:r>
              <w:rPr>
                <w:color w:val="auto"/>
                <w:szCs w:val="21"/>
              </w:rPr>
              <w:t>动植物油</w:t>
            </w:r>
          </w:p>
          <w:p>
            <w:pPr>
              <w:jc w:val="center"/>
              <w:rPr>
                <w:color w:val="auto"/>
                <w:szCs w:val="21"/>
              </w:rPr>
            </w:pPr>
            <w:r>
              <w:rPr>
                <w:color w:val="auto"/>
                <w:szCs w:val="21"/>
              </w:rPr>
              <w:t>（mg/L）</w:t>
            </w:r>
          </w:p>
        </w:tc>
        <w:tc>
          <w:tcPr>
            <w:tcW w:w="587" w:type="pct"/>
            <w:tcBorders>
              <w:top w:val="single" w:color="auto" w:sz="12" w:space="0"/>
              <w:left w:val="single" w:color="auto" w:sz="6" w:space="0"/>
              <w:right w:val="nil"/>
            </w:tcBorders>
            <w:vAlign w:val="center"/>
          </w:tcPr>
          <w:p>
            <w:pPr>
              <w:jc w:val="center"/>
              <w:rPr>
                <w:color w:val="auto"/>
                <w:szCs w:val="21"/>
              </w:rPr>
            </w:pPr>
            <w:r>
              <w:rPr>
                <w:color w:val="auto"/>
                <w:szCs w:val="21"/>
              </w:rPr>
              <w:t>大肠菌群数</w:t>
            </w:r>
          </w:p>
          <w:p>
            <w:pPr>
              <w:jc w:val="center"/>
              <w:rPr>
                <w:color w:val="auto"/>
                <w:szCs w:val="21"/>
              </w:rPr>
            </w:pPr>
            <w:r>
              <w:rPr>
                <w:color w:val="auto"/>
                <w:szCs w:val="21"/>
              </w:rPr>
              <w:t>（个/L）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 w:type="pct"/>
            <w:vMerge w:val="continue"/>
            <w:tcBorders>
              <w:left w:val="nil"/>
              <w:right w:val="single" w:color="auto" w:sz="6" w:space="0"/>
            </w:tcBorders>
            <w:vAlign w:val="center"/>
          </w:tcPr>
          <w:p>
            <w:pPr>
              <w:pStyle w:val="271"/>
              <w:spacing w:line="240" w:lineRule="auto"/>
              <w:ind w:firstLine="0" w:firstLineChars="0"/>
              <w:rPr>
                <w:color w:val="auto"/>
                <w:sz w:val="21"/>
                <w:szCs w:val="21"/>
              </w:rPr>
            </w:pPr>
          </w:p>
        </w:tc>
        <w:tc>
          <w:tcPr>
            <w:tcW w:w="502" w:type="pct"/>
            <w:tcBorders>
              <w:left w:val="single" w:color="auto" w:sz="6" w:space="0"/>
              <w:right w:val="single" w:color="auto" w:sz="6" w:space="0"/>
            </w:tcBorders>
            <w:vAlign w:val="center"/>
          </w:tcPr>
          <w:p>
            <w:pPr>
              <w:pStyle w:val="271"/>
              <w:spacing w:line="240" w:lineRule="auto"/>
              <w:ind w:firstLine="0" w:firstLineChars="0"/>
              <w:rPr>
                <w:color w:val="auto"/>
                <w:sz w:val="21"/>
                <w:szCs w:val="21"/>
              </w:rPr>
            </w:pPr>
            <w:r>
              <w:rPr>
                <w:color w:val="auto"/>
                <w:sz w:val="21"/>
                <w:szCs w:val="21"/>
              </w:rPr>
              <w:t>污水处理站废水</w:t>
            </w:r>
          </w:p>
        </w:tc>
        <w:tc>
          <w:tcPr>
            <w:tcW w:w="456" w:type="pct"/>
            <w:tcBorders>
              <w:left w:val="single" w:color="auto" w:sz="6" w:space="0"/>
              <w:right w:val="single" w:color="auto" w:sz="6" w:space="0"/>
            </w:tcBorders>
            <w:vAlign w:val="center"/>
          </w:tcPr>
          <w:p>
            <w:pPr>
              <w:jc w:val="center"/>
              <w:rPr>
                <w:rFonts w:hint="eastAsia" w:eastAsia="宋体"/>
                <w:color w:val="auto"/>
                <w:szCs w:val="21"/>
                <w:lang w:eastAsia="zh-CN"/>
              </w:rPr>
            </w:pPr>
            <w:r>
              <w:rPr>
                <w:rFonts w:hint="eastAsia"/>
                <w:color w:val="auto"/>
                <w:szCs w:val="21"/>
                <w:lang w:eastAsia="zh-CN"/>
              </w:rPr>
              <w:t>17518.608</w:t>
            </w:r>
          </w:p>
        </w:tc>
        <w:tc>
          <w:tcPr>
            <w:tcW w:w="307" w:type="pct"/>
            <w:tcBorders>
              <w:left w:val="single" w:color="auto" w:sz="6" w:space="0"/>
              <w:right w:val="single" w:color="auto" w:sz="6" w:space="0"/>
            </w:tcBorders>
            <w:vAlign w:val="center"/>
          </w:tcPr>
          <w:p>
            <w:pPr>
              <w:pStyle w:val="271"/>
              <w:spacing w:line="240" w:lineRule="auto"/>
              <w:ind w:firstLine="0" w:firstLineChars="0"/>
              <w:rPr>
                <w:color w:val="auto"/>
                <w:sz w:val="21"/>
                <w:szCs w:val="21"/>
              </w:rPr>
            </w:pPr>
            <w:r>
              <w:rPr>
                <w:color w:val="auto"/>
                <w:sz w:val="21"/>
                <w:szCs w:val="21"/>
              </w:rPr>
              <w:t>6.5～</w:t>
            </w:r>
            <w:r>
              <w:rPr>
                <w:rFonts w:hint="eastAsia"/>
                <w:color w:val="auto"/>
                <w:sz w:val="21"/>
                <w:szCs w:val="21"/>
              </w:rPr>
              <w:t>7</w:t>
            </w:r>
            <w:r>
              <w:rPr>
                <w:color w:val="auto"/>
                <w:sz w:val="21"/>
                <w:szCs w:val="21"/>
              </w:rPr>
              <w:t>.5</w:t>
            </w:r>
          </w:p>
        </w:tc>
        <w:tc>
          <w:tcPr>
            <w:tcW w:w="980"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lang w:val="en-US" w:eastAsia="zh-CN"/>
              </w:rPr>
              <w:t>189.11</w:t>
            </w:r>
          </w:p>
        </w:tc>
        <w:tc>
          <w:tcPr>
            <w:tcW w:w="1092"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lang w:val="en-US" w:eastAsia="zh-CN"/>
              </w:rPr>
              <w:t>94.64</w:t>
            </w:r>
          </w:p>
        </w:tc>
        <w:tc>
          <w:tcPr>
            <w:tcW w:w="1000"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lang w:val="en-US" w:eastAsia="zh-CN"/>
              </w:rPr>
              <w:t>94.76</w:t>
            </w:r>
          </w:p>
        </w:tc>
        <w:tc>
          <w:tcPr>
            <w:tcW w:w="999"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lang w:val="en-US" w:eastAsia="zh-CN"/>
              </w:rPr>
              <w:t>31.27</w:t>
            </w:r>
          </w:p>
        </w:tc>
        <w:tc>
          <w:tcPr>
            <w:tcW w:w="1099"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lang w:val="en-US" w:eastAsia="zh-CN"/>
              </w:rPr>
              <w:t>13.07</w:t>
            </w:r>
          </w:p>
        </w:tc>
        <w:tc>
          <w:tcPr>
            <w:tcW w:w="1095" w:type="dxa"/>
            <w:tcBorders>
              <w:left w:val="single" w:color="auto" w:sz="6" w:space="0"/>
              <w:right w:val="nil"/>
            </w:tcBorders>
            <w:vAlign w:val="center"/>
          </w:tcPr>
          <w:p>
            <w:pPr>
              <w:widowControl/>
              <w:jc w:val="center"/>
              <w:rPr>
                <w:color w:val="auto"/>
                <w:szCs w:val="21"/>
              </w:rPr>
            </w:pPr>
            <w:r>
              <w:rPr>
                <w:rFonts w:hint="eastAsia"/>
                <w:color w:val="auto"/>
                <w:szCs w:val="21"/>
                <w:lang w:val="en-US" w:eastAsia="zh-CN"/>
              </w:rPr>
              <w:t>19150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37" w:type="pct"/>
            <w:gridSpan w:val="4"/>
            <w:vMerge w:val="restart"/>
            <w:tcBorders>
              <w:left w:val="nil"/>
              <w:right w:val="single" w:color="auto" w:sz="6" w:space="0"/>
            </w:tcBorders>
            <w:vAlign w:val="center"/>
          </w:tcPr>
          <w:p>
            <w:pPr>
              <w:pStyle w:val="271"/>
              <w:spacing w:line="240" w:lineRule="auto"/>
              <w:ind w:firstLine="0" w:firstLineChars="0"/>
              <w:rPr>
                <w:color w:val="auto"/>
                <w:sz w:val="21"/>
                <w:szCs w:val="21"/>
              </w:rPr>
            </w:pPr>
            <w:r>
              <w:rPr>
                <w:color w:val="auto"/>
                <w:sz w:val="21"/>
                <w:szCs w:val="21"/>
              </w:rPr>
              <w:t>总排污口污染物排放量</w:t>
            </w:r>
          </w:p>
        </w:tc>
        <w:tc>
          <w:tcPr>
            <w:tcW w:w="526" w:type="pct"/>
            <w:tcBorders>
              <w:left w:val="single" w:color="auto" w:sz="6" w:space="0"/>
              <w:right w:val="single" w:color="auto" w:sz="6" w:space="0"/>
            </w:tcBorders>
            <w:vAlign w:val="center"/>
          </w:tcPr>
          <w:p>
            <w:pPr>
              <w:pStyle w:val="271"/>
              <w:spacing w:line="240" w:lineRule="auto"/>
              <w:ind w:firstLine="0" w:firstLineChars="0"/>
              <w:rPr>
                <w:color w:val="auto"/>
                <w:sz w:val="21"/>
                <w:szCs w:val="21"/>
              </w:rPr>
            </w:pPr>
            <w:r>
              <w:rPr>
                <w:color w:val="auto"/>
                <w:sz w:val="21"/>
                <w:szCs w:val="21"/>
              </w:rPr>
              <w:t>COD</w:t>
            </w:r>
          </w:p>
          <w:p>
            <w:pPr>
              <w:pStyle w:val="271"/>
              <w:spacing w:line="240" w:lineRule="auto"/>
              <w:ind w:firstLine="0" w:firstLineChars="0"/>
              <w:rPr>
                <w:color w:val="auto"/>
                <w:sz w:val="21"/>
                <w:szCs w:val="21"/>
              </w:rPr>
            </w:pPr>
            <w:r>
              <w:rPr>
                <w:color w:val="auto"/>
                <w:sz w:val="21"/>
                <w:szCs w:val="21"/>
              </w:rPr>
              <w:t>（t/a）</w:t>
            </w:r>
          </w:p>
        </w:tc>
        <w:tc>
          <w:tcPr>
            <w:tcW w:w="586" w:type="pct"/>
            <w:tcBorders>
              <w:left w:val="single" w:color="auto" w:sz="6" w:space="0"/>
              <w:right w:val="single" w:color="auto" w:sz="6" w:space="0"/>
            </w:tcBorders>
            <w:vAlign w:val="center"/>
          </w:tcPr>
          <w:p>
            <w:pPr>
              <w:pStyle w:val="271"/>
              <w:spacing w:line="240" w:lineRule="auto"/>
              <w:ind w:firstLine="0" w:firstLineChars="0"/>
              <w:rPr>
                <w:color w:val="auto"/>
                <w:sz w:val="21"/>
                <w:szCs w:val="21"/>
              </w:rPr>
            </w:pPr>
            <w:r>
              <w:rPr>
                <w:color w:val="auto"/>
                <w:sz w:val="21"/>
                <w:szCs w:val="21"/>
              </w:rPr>
              <w:t>BOD</w:t>
            </w:r>
            <w:r>
              <w:rPr>
                <w:color w:val="auto"/>
                <w:sz w:val="21"/>
                <w:szCs w:val="21"/>
                <w:vertAlign w:val="subscript"/>
              </w:rPr>
              <w:t>5</w:t>
            </w:r>
          </w:p>
          <w:p>
            <w:pPr>
              <w:pStyle w:val="271"/>
              <w:spacing w:line="240" w:lineRule="auto"/>
              <w:ind w:firstLine="0" w:firstLineChars="0"/>
              <w:rPr>
                <w:color w:val="auto"/>
                <w:sz w:val="21"/>
                <w:szCs w:val="21"/>
              </w:rPr>
            </w:pPr>
            <w:r>
              <w:rPr>
                <w:color w:val="auto"/>
                <w:sz w:val="21"/>
                <w:szCs w:val="21"/>
              </w:rPr>
              <w:t>（t/a）</w:t>
            </w:r>
          </w:p>
        </w:tc>
        <w:tc>
          <w:tcPr>
            <w:tcW w:w="536" w:type="pct"/>
            <w:tcBorders>
              <w:left w:val="single" w:color="auto" w:sz="6" w:space="0"/>
              <w:right w:val="single" w:color="auto" w:sz="6" w:space="0"/>
            </w:tcBorders>
            <w:vAlign w:val="center"/>
          </w:tcPr>
          <w:p>
            <w:pPr>
              <w:pStyle w:val="271"/>
              <w:spacing w:line="240" w:lineRule="auto"/>
              <w:ind w:firstLine="0" w:firstLineChars="0"/>
              <w:rPr>
                <w:color w:val="auto"/>
                <w:sz w:val="21"/>
                <w:szCs w:val="21"/>
              </w:rPr>
            </w:pPr>
            <w:r>
              <w:rPr>
                <w:color w:val="auto"/>
                <w:sz w:val="21"/>
                <w:szCs w:val="21"/>
              </w:rPr>
              <w:t>SS</w:t>
            </w:r>
          </w:p>
          <w:p>
            <w:pPr>
              <w:pStyle w:val="271"/>
              <w:spacing w:line="240" w:lineRule="auto"/>
              <w:ind w:firstLine="0" w:firstLineChars="0"/>
              <w:rPr>
                <w:color w:val="auto"/>
                <w:sz w:val="21"/>
                <w:szCs w:val="21"/>
              </w:rPr>
            </w:pPr>
            <w:r>
              <w:rPr>
                <w:color w:val="auto"/>
                <w:sz w:val="21"/>
                <w:szCs w:val="21"/>
              </w:rPr>
              <w:t>（t/a）</w:t>
            </w:r>
          </w:p>
        </w:tc>
        <w:tc>
          <w:tcPr>
            <w:tcW w:w="536" w:type="pct"/>
            <w:tcBorders>
              <w:left w:val="single" w:color="auto" w:sz="6" w:space="0"/>
              <w:right w:val="single" w:color="auto" w:sz="6" w:space="0"/>
            </w:tcBorders>
            <w:vAlign w:val="center"/>
          </w:tcPr>
          <w:p>
            <w:pPr>
              <w:pStyle w:val="271"/>
              <w:spacing w:line="240" w:lineRule="auto"/>
              <w:ind w:firstLine="0" w:firstLineChars="0"/>
              <w:rPr>
                <w:color w:val="auto"/>
                <w:sz w:val="21"/>
                <w:szCs w:val="21"/>
              </w:rPr>
            </w:pPr>
            <w:r>
              <w:rPr>
                <w:color w:val="auto"/>
                <w:sz w:val="21"/>
                <w:szCs w:val="21"/>
              </w:rPr>
              <w:t>氨氮</w:t>
            </w:r>
          </w:p>
          <w:p>
            <w:pPr>
              <w:pStyle w:val="271"/>
              <w:spacing w:line="240" w:lineRule="auto"/>
              <w:ind w:firstLine="0" w:firstLineChars="0"/>
              <w:rPr>
                <w:color w:val="auto"/>
                <w:sz w:val="21"/>
                <w:szCs w:val="21"/>
              </w:rPr>
            </w:pPr>
            <w:r>
              <w:rPr>
                <w:color w:val="auto"/>
                <w:sz w:val="21"/>
                <w:szCs w:val="21"/>
              </w:rPr>
              <w:t>（t/a）</w:t>
            </w:r>
          </w:p>
        </w:tc>
        <w:tc>
          <w:tcPr>
            <w:tcW w:w="589" w:type="pct"/>
            <w:tcBorders>
              <w:left w:val="single" w:color="auto" w:sz="6" w:space="0"/>
              <w:right w:val="single" w:color="auto" w:sz="6" w:space="0"/>
            </w:tcBorders>
            <w:vAlign w:val="center"/>
          </w:tcPr>
          <w:p>
            <w:pPr>
              <w:jc w:val="center"/>
              <w:rPr>
                <w:color w:val="auto"/>
                <w:szCs w:val="21"/>
              </w:rPr>
            </w:pPr>
            <w:r>
              <w:rPr>
                <w:color w:val="auto"/>
                <w:szCs w:val="21"/>
              </w:rPr>
              <w:t>动植物油</w:t>
            </w:r>
          </w:p>
          <w:p>
            <w:pPr>
              <w:jc w:val="center"/>
              <w:rPr>
                <w:color w:val="auto"/>
                <w:szCs w:val="21"/>
              </w:rPr>
            </w:pPr>
            <w:r>
              <w:rPr>
                <w:color w:val="auto"/>
                <w:szCs w:val="21"/>
              </w:rPr>
              <w:t>（t/a）</w:t>
            </w:r>
          </w:p>
        </w:tc>
        <w:tc>
          <w:tcPr>
            <w:tcW w:w="587" w:type="pct"/>
            <w:tcBorders>
              <w:left w:val="single" w:color="auto" w:sz="6" w:space="0"/>
              <w:right w:val="nil"/>
            </w:tcBorders>
            <w:vAlign w:val="center"/>
          </w:tcPr>
          <w:p>
            <w:pPr>
              <w:jc w:val="center"/>
              <w:rPr>
                <w:color w:val="auto"/>
                <w:szCs w:val="21"/>
              </w:rPr>
            </w:pPr>
            <w:r>
              <w:rPr>
                <w:color w:val="auto"/>
                <w:szCs w:val="21"/>
              </w:rPr>
              <w:t>大肠菌群数</w:t>
            </w:r>
          </w:p>
          <w:p>
            <w:pPr>
              <w:jc w:val="center"/>
              <w:rPr>
                <w:color w:val="auto"/>
                <w:szCs w:val="21"/>
              </w:rPr>
            </w:pPr>
            <w:r>
              <w:rPr>
                <w:color w:val="auto"/>
                <w:szCs w:val="21"/>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37" w:type="pct"/>
            <w:gridSpan w:val="4"/>
            <w:vMerge w:val="continue"/>
            <w:tcBorders>
              <w:left w:val="nil"/>
              <w:bottom w:val="single" w:color="auto" w:sz="12" w:space="0"/>
              <w:right w:val="single" w:color="auto" w:sz="6" w:space="0"/>
            </w:tcBorders>
            <w:vAlign w:val="center"/>
          </w:tcPr>
          <w:p>
            <w:pPr>
              <w:pStyle w:val="271"/>
              <w:spacing w:line="240" w:lineRule="auto"/>
              <w:ind w:firstLine="0" w:firstLineChars="0"/>
              <w:rPr>
                <w:color w:val="FF0000"/>
                <w:sz w:val="21"/>
                <w:szCs w:val="21"/>
              </w:rPr>
            </w:pPr>
          </w:p>
        </w:tc>
        <w:tc>
          <w:tcPr>
            <w:tcW w:w="526" w:type="pct"/>
            <w:tcBorders>
              <w:left w:val="single" w:color="auto" w:sz="6" w:space="0"/>
              <w:bottom w:val="single" w:color="auto" w:sz="12" w:space="0"/>
              <w:right w:val="single" w:color="auto" w:sz="6" w:space="0"/>
            </w:tcBorders>
            <w:vAlign w:val="center"/>
          </w:tcPr>
          <w:p>
            <w:pPr>
              <w:pStyle w:val="271"/>
              <w:spacing w:line="240" w:lineRule="auto"/>
              <w:ind w:firstLine="0" w:firstLineChars="0"/>
              <w:rPr>
                <w:rFonts w:hint="default" w:eastAsia="宋体"/>
                <w:color w:val="auto"/>
                <w:sz w:val="21"/>
                <w:szCs w:val="21"/>
                <w:lang w:val="en-US" w:eastAsia="zh-CN"/>
              </w:rPr>
            </w:pPr>
            <w:r>
              <w:rPr>
                <w:rFonts w:hint="eastAsia"/>
                <w:color w:val="auto"/>
                <w:sz w:val="21"/>
                <w:szCs w:val="21"/>
                <w:lang w:val="en-US" w:eastAsia="zh-CN"/>
              </w:rPr>
              <w:t>3.31</w:t>
            </w:r>
          </w:p>
        </w:tc>
        <w:tc>
          <w:tcPr>
            <w:tcW w:w="586" w:type="pct"/>
            <w:tcBorders>
              <w:left w:val="single" w:color="auto" w:sz="6" w:space="0"/>
              <w:bottom w:val="single" w:color="auto" w:sz="12" w:space="0"/>
              <w:right w:val="single" w:color="auto" w:sz="6" w:space="0"/>
            </w:tcBorders>
            <w:vAlign w:val="center"/>
          </w:tcPr>
          <w:p>
            <w:pPr>
              <w:pStyle w:val="271"/>
              <w:spacing w:line="240" w:lineRule="auto"/>
              <w:ind w:firstLine="0" w:firstLineChars="0"/>
              <w:rPr>
                <w:rFonts w:hint="default" w:eastAsia="宋体"/>
                <w:color w:val="auto"/>
                <w:sz w:val="21"/>
                <w:szCs w:val="21"/>
                <w:lang w:val="en-US" w:eastAsia="zh-CN"/>
              </w:rPr>
            </w:pPr>
            <w:r>
              <w:rPr>
                <w:rFonts w:hint="eastAsia"/>
                <w:color w:val="auto"/>
                <w:sz w:val="21"/>
                <w:szCs w:val="21"/>
                <w:lang w:val="en-US" w:eastAsia="zh-CN"/>
              </w:rPr>
              <w:t>1.66</w:t>
            </w:r>
          </w:p>
        </w:tc>
        <w:tc>
          <w:tcPr>
            <w:tcW w:w="536" w:type="pct"/>
            <w:tcBorders>
              <w:left w:val="single" w:color="auto" w:sz="6" w:space="0"/>
              <w:bottom w:val="single" w:color="auto" w:sz="12" w:space="0"/>
              <w:right w:val="single" w:color="auto" w:sz="6" w:space="0"/>
            </w:tcBorders>
            <w:vAlign w:val="center"/>
          </w:tcPr>
          <w:p>
            <w:pPr>
              <w:pStyle w:val="271"/>
              <w:spacing w:line="240" w:lineRule="auto"/>
              <w:ind w:firstLine="0" w:firstLineChars="0"/>
              <w:rPr>
                <w:rFonts w:hint="default" w:eastAsia="宋体"/>
                <w:color w:val="auto"/>
                <w:sz w:val="21"/>
                <w:szCs w:val="21"/>
                <w:lang w:val="en-US" w:eastAsia="zh-CN"/>
              </w:rPr>
            </w:pPr>
            <w:r>
              <w:rPr>
                <w:rFonts w:hint="eastAsia"/>
                <w:color w:val="auto"/>
                <w:sz w:val="21"/>
                <w:szCs w:val="21"/>
                <w:lang w:val="en-US" w:eastAsia="zh-CN"/>
              </w:rPr>
              <w:t>1.66</w:t>
            </w:r>
          </w:p>
        </w:tc>
        <w:tc>
          <w:tcPr>
            <w:tcW w:w="536" w:type="pct"/>
            <w:tcBorders>
              <w:left w:val="single" w:color="auto" w:sz="6" w:space="0"/>
              <w:bottom w:val="single" w:color="auto" w:sz="12" w:space="0"/>
              <w:right w:val="single" w:color="auto" w:sz="6" w:space="0"/>
            </w:tcBorders>
            <w:vAlign w:val="center"/>
          </w:tcPr>
          <w:p>
            <w:pPr>
              <w:pStyle w:val="271"/>
              <w:spacing w:line="240" w:lineRule="auto"/>
              <w:ind w:firstLine="0" w:firstLineChars="0"/>
              <w:rPr>
                <w:rFonts w:hint="default" w:eastAsia="宋体"/>
                <w:color w:val="auto"/>
                <w:sz w:val="21"/>
                <w:szCs w:val="21"/>
                <w:lang w:val="en-US" w:eastAsia="zh-CN"/>
              </w:rPr>
            </w:pPr>
            <w:r>
              <w:rPr>
                <w:rFonts w:hint="eastAsia"/>
                <w:color w:val="auto"/>
                <w:sz w:val="21"/>
                <w:szCs w:val="21"/>
                <w:lang w:val="en-US" w:eastAsia="zh-CN"/>
              </w:rPr>
              <w:t>0.55</w:t>
            </w:r>
          </w:p>
        </w:tc>
        <w:tc>
          <w:tcPr>
            <w:tcW w:w="589" w:type="pct"/>
            <w:tcBorders>
              <w:left w:val="single" w:color="auto" w:sz="6" w:space="0"/>
              <w:bottom w:val="single" w:color="auto" w:sz="12" w:space="0"/>
              <w:right w:val="single" w:color="auto" w:sz="6" w:space="0"/>
            </w:tcBorders>
            <w:vAlign w:val="center"/>
          </w:tcPr>
          <w:p>
            <w:pPr>
              <w:pStyle w:val="271"/>
              <w:spacing w:line="240" w:lineRule="auto"/>
              <w:ind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0.23</w:t>
            </w:r>
          </w:p>
        </w:tc>
        <w:tc>
          <w:tcPr>
            <w:tcW w:w="587" w:type="pct"/>
            <w:tcBorders>
              <w:left w:val="single" w:color="auto" w:sz="6" w:space="0"/>
              <w:bottom w:val="single" w:color="auto" w:sz="12" w:space="0"/>
              <w:right w:val="nil"/>
            </w:tcBorders>
            <w:vAlign w:val="center"/>
          </w:tcPr>
          <w:p>
            <w:pPr>
              <w:pStyle w:val="271"/>
              <w:spacing w:line="240" w:lineRule="auto"/>
              <w:ind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3.14</w:t>
            </w:r>
            <w:r>
              <w:rPr>
                <w:rFonts w:hint="default" w:ascii="Times New Roman" w:hAnsi="Times New Roman" w:cs="Times New Roman"/>
                <w:bCs/>
                <w:snapToGrid w:val="0"/>
                <w:color w:val="000000" w:themeColor="text1"/>
                <w:sz w:val="21"/>
                <w:szCs w:val="21"/>
              </w:rPr>
              <w:t>×10</w:t>
            </w:r>
            <w:r>
              <w:rPr>
                <w:rFonts w:hint="default" w:ascii="Times New Roman" w:hAnsi="Times New Roman" w:cs="Times New Roman"/>
                <w:bCs/>
                <w:snapToGrid w:val="0"/>
                <w:color w:val="000000" w:themeColor="text1"/>
                <w:sz w:val="21"/>
                <w:szCs w:val="21"/>
                <w:vertAlign w:val="superscript"/>
              </w:rPr>
              <w:t>11</w:t>
            </w:r>
          </w:p>
        </w:tc>
      </w:tr>
    </w:tbl>
    <w:p>
      <w:pPr>
        <w:spacing w:line="360" w:lineRule="auto"/>
        <w:ind w:firstLine="480" w:firstLineChars="200"/>
        <w:contextualSpacing/>
        <w:rPr>
          <w:color w:val="auto"/>
          <w:sz w:val="24"/>
        </w:rPr>
      </w:pPr>
      <w:r>
        <w:rPr>
          <w:rFonts w:hint="eastAsia"/>
          <w:color w:val="auto"/>
          <w:sz w:val="24"/>
        </w:rPr>
        <w:t>3、非正常工况</w:t>
      </w:r>
    </w:p>
    <w:p>
      <w:pPr>
        <w:spacing w:line="360" w:lineRule="auto"/>
        <w:ind w:firstLine="480" w:firstLineChars="200"/>
        <w:contextualSpacing/>
        <w:rPr>
          <w:color w:val="auto"/>
          <w:sz w:val="24"/>
        </w:rPr>
      </w:pPr>
      <w:r>
        <w:rPr>
          <w:color w:val="auto"/>
          <w:sz w:val="24"/>
        </w:rPr>
        <w:t>厂区内污水处理站出现设备故障或停电因素，此时，高浓度的污水未经处理直接排放，废水中的污染物浓度可达：COD</w:t>
      </w:r>
      <w:r>
        <w:rPr>
          <w:rFonts w:hint="eastAsia"/>
          <w:color w:val="auto"/>
          <w:sz w:val="24"/>
          <w:lang w:eastAsia="zh-CN"/>
        </w:rPr>
        <w:t>1891.13</w:t>
      </w:r>
      <w:r>
        <w:rPr>
          <w:color w:val="auto"/>
          <w:sz w:val="24"/>
        </w:rPr>
        <w:t>mg/L，NH</w:t>
      </w:r>
      <w:r>
        <w:rPr>
          <w:color w:val="auto"/>
          <w:sz w:val="24"/>
          <w:vertAlign w:val="subscript"/>
        </w:rPr>
        <w:t>3</w:t>
      </w:r>
      <w:r>
        <w:rPr>
          <w:color w:val="auto"/>
          <w:sz w:val="24"/>
        </w:rPr>
        <w:t>-N</w:t>
      </w:r>
      <w:r>
        <w:rPr>
          <w:rFonts w:hint="eastAsia"/>
          <w:color w:val="auto"/>
          <w:sz w:val="24"/>
          <w:lang w:eastAsia="zh-CN"/>
        </w:rPr>
        <w:t>142.13</w:t>
      </w:r>
      <w:r>
        <w:rPr>
          <w:color w:val="auto"/>
          <w:sz w:val="24"/>
        </w:rPr>
        <w:t>mg/L，废水排放会</w:t>
      </w:r>
      <w:r>
        <w:rPr>
          <w:rFonts w:hint="eastAsia"/>
          <w:color w:val="auto"/>
          <w:sz w:val="24"/>
        </w:rPr>
        <w:t>造成</w:t>
      </w:r>
      <w:r>
        <w:rPr>
          <w:color w:val="auto"/>
          <w:sz w:val="24"/>
        </w:rPr>
        <w:t>污水处理厂超负荷运行，</w:t>
      </w:r>
      <w:r>
        <w:rPr>
          <w:rFonts w:hint="eastAsia"/>
          <w:color w:val="auto"/>
          <w:sz w:val="24"/>
        </w:rPr>
        <w:t>进而</w:t>
      </w:r>
      <w:r>
        <w:rPr>
          <w:color w:val="auto"/>
          <w:sz w:val="24"/>
        </w:rPr>
        <w:t>对污水厂下游水体</w:t>
      </w:r>
      <w:r>
        <w:rPr>
          <w:rFonts w:hint="eastAsia"/>
          <w:color w:val="auto"/>
          <w:sz w:val="24"/>
        </w:rPr>
        <w:t>造成</w:t>
      </w:r>
      <w:r>
        <w:rPr>
          <w:color w:val="auto"/>
          <w:sz w:val="24"/>
        </w:rPr>
        <w:t>污染。</w:t>
      </w:r>
    </w:p>
    <w:p>
      <w:pPr>
        <w:spacing w:line="360" w:lineRule="auto"/>
        <w:ind w:firstLine="480" w:firstLineChars="200"/>
        <w:contextualSpacing/>
        <w:rPr>
          <w:color w:val="auto"/>
          <w:sz w:val="24"/>
        </w:rPr>
      </w:pPr>
      <w:r>
        <w:rPr>
          <w:color w:val="auto"/>
          <w:sz w:val="24"/>
        </w:rPr>
        <w:t>若出现设备故障因素引起的事故性排放，可将排放水引入事故水池中；若出现停电事故，生产也将停止，一部分废水可在调节池和处理设施内，其余部分可排入事故池。本项目</w:t>
      </w:r>
      <w:r>
        <w:rPr>
          <w:rFonts w:hint="eastAsia"/>
          <w:color w:val="auto"/>
          <w:sz w:val="24"/>
        </w:rPr>
        <w:t>设置</w:t>
      </w:r>
      <w:r>
        <w:rPr>
          <w:color w:val="auto"/>
          <w:sz w:val="24"/>
        </w:rPr>
        <w:t>了一个容积为</w:t>
      </w:r>
      <w:r>
        <w:rPr>
          <w:rFonts w:hint="eastAsia"/>
          <w:color w:val="auto"/>
          <w:sz w:val="24"/>
          <w:lang w:val="en-US" w:eastAsia="zh-CN"/>
        </w:rPr>
        <w:t>7</w:t>
      </w:r>
      <w:r>
        <w:rPr>
          <w:rFonts w:hint="eastAsia"/>
          <w:color w:val="auto"/>
          <w:sz w:val="24"/>
        </w:rPr>
        <w:t>0</w:t>
      </w:r>
      <w:r>
        <w:rPr>
          <w:color w:val="auto"/>
          <w:sz w:val="24"/>
        </w:rPr>
        <w:t>m</w:t>
      </w:r>
      <w:r>
        <w:rPr>
          <w:color w:val="auto"/>
          <w:sz w:val="24"/>
          <w:vertAlign w:val="superscript"/>
        </w:rPr>
        <w:t>3</w:t>
      </w:r>
      <w:r>
        <w:rPr>
          <w:color w:val="auto"/>
          <w:sz w:val="24"/>
        </w:rPr>
        <w:t>的事故池，（至少容纳1天污水量），并且事故池做防渗处理。高浓度废水被控制在厂区内，对周围环境不会造成大的影响。</w:t>
      </w:r>
    </w:p>
    <w:p>
      <w:pPr>
        <w:spacing w:line="360" w:lineRule="auto"/>
        <w:ind w:firstLine="480" w:firstLineChars="200"/>
        <w:contextualSpacing/>
        <w:rPr>
          <w:color w:val="FF0000"/>
          <w:sz w:val="24"/>
        </w:rPr>
      </w:pPr>
    </w:p>
    <w:p>
      <w:pPr>
        <w:spacing w:line="360" w:lineRule="auto"/>
        <w:ind w:firstLine="480" w:firstLineChars="200"/>
        <w:contextualSpacing/>
        <w:rPr>
          <w:color w:val="FF0000"/>
          <w:sz w:val="24"/>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7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ascii="Times New Roman" w:hAnsi="Times New Roman" w:cs="Times New Roman"/>
          <w:color w:val="auto"/>
          <w:sz w:val="24"/>
          <w:szCs w:val="24"/>
        </w:rPr>
      </w:pPr>
      <w:r>
        <w:rPr>
          <w:rFonts w:ascii="Times New Roman" w:hAnsi="Times New Roman" w:cs="Times New Roman"/>
          <w:color w:val="auto"/>
          <w:sz w:val="24"/>
          <w:szCs w:val="24"/>
        </w:rPr>
        <w:t>表3-3-</w:t>
      </w:r>
      <w:r>
        <w:rPr>
          <w:rFonts w:hint="eastAsia" w:ascii="Times New Roman" w:hAnsi="Times New Roman" w:cs="Times New Roman"/>
          <w:color w:val="auto"/>
          <w:sz w:val="24"/>
          <w:szCs w:val="24"/>
        </w:rPr>
        <w:t>7</w:t>
      </w:r>
      <w:r>
        <w:rPr>
          <w:rFonts w:ascii="Times New Roman" w:hAnsi="Times New Roman" w:cs="Times New Roman"/>
          <w:color w:val="auto"/>
          <w:sz w:val="24"/>
          <w:szCs w:val="24"/>
        </w:rPr>
        <w:t>废水产生源强一览表</w:t>
      </w:r>
    </w:p>
    <w:tbl>
      <w:tblPr>
        <w:tblStyle w:val="46"/>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16"/>
        <w:gridCol w:w="641"/>
        <w:gridCol w:w="1418"/>
        <w:gridCol w:w="1234"/>
        <w:gridCol w:w="809"/>
        <w:gridCol w:w="1217"/>
        <w:gridCol w:w="1518"/>
        <w:gridCol w:w="1376"/>
        <w:gridCol w:w="665"/>
        <w:gridCol w:w="601"/>
        <w:gridCol w:w="637"/>
        <w:gridCol w:w="1217"/>
        <w:gridCol w:w="1093"/>
        <w:gridCol w:w="113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32" w:type="pct"/>
            <w:vMerge w:val="restart"/>
            <w:vAlign w:val="center"/>
          </w:tcPr>
          <w:p>
            <w:pPr>
              <w:pStyle w:val="84"/>
              <w:rPr>
                <w:rFonts w:hAnsi="Times New Roman"/>
                <w:snapToGrid w:val="0"/>
                <w:color w:val="auto"/>
              </w:rPr>
            </w:pPr>
            <w:r>
              <w:rPr>
                <w:rFonts w:hAnsi="Times New Roman"/>
                <w:snapToGrid w:val="0"/>
                <w:color w:val="auto"/>
              </w:rPr>
              <w:t>工序</w:t>
            </w:r>
          </w:p>
        </w:tc>
        <w:tc>
          <w:tcPr>
            <w:tcW w:w="241" w:type="pct"/>
            <w:vMerge w:val="restart"/>
            <w:vAlign w:val="center"/>
          </w:tcPr>
          <w:p>
            <w:pPr>
              <w:pStyle w:val="84"/>
              <w:rPr>
                <w:rFonts w:hAnsi="Times New Roman"/>
                <w:snapToGrid w:val="0"/>
                <w:color w:val="auto"/>
              </w:rPr>
            </w:pPr>
            <w:r>
              <w:rPr>
                <w:rFonts w:hAnsi="Times New Roman"/>
                <w:snapToGrid w:val="0"/>
                <w:color w:val="auto"/>
              </w:rPr>
              <w:t>装置</w:t>
            </w:r>
          </w:p>
        </w:tc>
        <w:tc>
          <w:tcPr>
            <w:tcW w:w="515" w:type="pct"/>
            <w:vMerge w:val="restart"/>
            <w:vAlign w:val="center"/>
          </w:tcPr>
          <w:p>
            <w:pPr>
              <w:pStyle w:val="84"/>
              <w:rPr>
                <w:rFonts w:hAnsi="Times New Roman"/>
                <w:snapToGrid w:val="0"/>
                <w:color w:val="auto"/>
              </w:rPr>
            </w:pPr>
            <w:r>
              <w:rPr>
                <w:rFonts w:hAnsi="Times New Roman"/>
                <w:snapToGrid w:val="0"/>
                <w:color w:val="auto"/>
              </w:rPr>
              <w:t>污染源</w:t>
            </w:r>
          </w:p>
        </w:tc>
        <w:tc>
          <w:tcPr>
            <w:tcW w:w="450" w:type="pct"/>
            <w:vMerge w:val="restart"/>
            <w:vAlign w:val="center"/>
          </w:tcPr>
          <w:p>
            <w:pPr>
              <w:pStyle w:val="84"/>
              <w:rPr>
                <w:rFonts w:hAnsi="Times New Roman"/>
                <w:snapToGrid w:val="0"/>
                <w:color w:val="auto"/>
              </w:rPr>
            </w:pPr>
            <w:r>
              <w:rPr>
                <w:rFonts w:hAnsi="Times New Roman"/>
                <w:snapToGrid w:val="0"/>
                <w:color w:val="auto"/>
              </w:rPr>
              <w:t>污染物</w:t>
            </w:r>
          </w:p>
        </w:tc>
        <w:tc>
          <w:tcPr>
            <w:tcW w:w="1751" w:type="pct"/>
            <w:gridSpan w:val="4"/>
            <w:vAlign w:val="center"/>
          </w:tcPr>
          <w:p>
            <w:pPr>
              <w:pStyle w:val="84"/>
              <w:rPr>
                <w:rFonts w:hAnsi="Times New Roman"/>
                <w:snapToGrid w:val="0"/>
                <w:color w:val="auto"/>
              </w:rPr>
            </w:pPr>
            <w:r>
              <w:rPr>
                <w:rFonts w:hAnsi="Times New Roman"/>
                <w:snapToGrid w:val="0"/>
                <w:color w:val="auto"/>
              </w:rPr>
              <w:t>污染物产生</w:t>
            </w:r>
          </w:p>
        </w:tc>
        <w:tc>
          <w:tcPr>
            <w:tcW w:w="461" w:type="pct"/>
            <w:gridSpan w:val="2"/>
            <w:vAlign w:val="center"/>
          </w:tcPr>
          <w:p>
            <w:pPr>
              <w:pStyle w:val="84"/>
              <w:rPr>
                <w:rFonts w:hAnsi="Times New Roman"/>
                <w:snapToGrid w:val="0"/>
                <w:color w:val="auto"/>
              </w:rPr>
            </w:pPr>
            <w:r>
              <w:rPr>
                <w:rFonts w:hAnsi="Times New Roman"/>
                <w:snapToGrid w:val="0"/>
                <w:color w:val="auto"/>
              </w:rPr>
              <w:t>治理措施</w:t>
            </w:r>
          </w:p>
        </w:tc>
        <w:tc>
          <w:tcPr>
            <w:tcW w:w="1350" w:type="pct"/>
            <w:gridSpan w:val="4"/>
            <w:vAlign w:val="center"/>
          </w:tcPr>
          <w:p>
            <w:pPr>
              <w:pStyle w:val="84"/>
              <w:rPr>
                <w:rFonts w:hAnsi="Times New Roman"/>
                <w:snapToGrid w:val="0"/>
                <w:color w:val="auto"/>
              </w:rPr>
            </w:pPr>
            <w:r>
              <w:rPr>
                <w:rFonts w:hAnsi="Times New Roman"/>
                <w:snapToGrid w:val="0"/>
                <w:color w:val="auto"/>
              </w:rPr>
              <w:t>污染物排放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pPr>
              <w:widowControl/>
              <w:jc w:val="center"/>
              <w:rPr>
                <w:snapToGrid w:val="0"/>
                <w:color w:val="auto"/>
                <w:szCs w:val="21"/>
              </w:rPr>
            </w:pPr>
          </w:p>
        </w:tc>
        <w:tc>
          <w:tcPr>
            <w:tcW w:w="0" w:type="auto"/>
            <w:vMerge w:val="continue"/>
            <w:vAlign w:val="center"/>
          </w:tcPr>
          <w:p>
            <w:pPr>
              <w:widowControl/>
              <w:jc w:val="center"/>
              <w:rPr>
                <w:snapToGrid w:val="0"/>
                <w:color w:val="auto"/>
                <w:szCs w:val="21"/>
              </w:rPr>
            </w:pPr>
          </w:p>
        </w:tc>
        <w:tc>
          <w:tcPr>
            <w:tcW w:w="515" w:type="pct"/>
            <w:vMerge w:val="continue"/>
            <w:vAlign w:val="center"/>
          </w:tcPr>
          <w:p>
            <w:pPr>
              <w:widowControl/>
              <w:jc w:val="center"/>
              <w:rPr>
                <w:snapToGrid w:val="0"/>
                <w:color w:val="auto"/>
                <w:szCs w:val="21"/>
              </w:rPr>
            </w:pPr>
          </w:p>
        </w:tc>
        <w:tc>
          <w:tcPr>
            <w:tcW w:w="450" w:type="pct"/>
            <w:vMerge w:val="continue"/>
            <w:vAlign w:val="center"/>
          </w:tcPr>
          <w:p>
            <w:pPr>
              <w:widowControl/>
              <w:jc w:val="center"/>
              <w:rPr>
                <w:snapToGrid w:val="0"/>
                <w:color w:val="auto"/>
                <w:szCs w:val="21"/>
              </w:rPr>
            </w:pPr>
          </w:p>
        </w:tc>
        <w:tc>
          <w:tcPr>
            <w:tcW w:w="300" w:type="pct"/>
            <w:vAlign w:val="center"/>
          </w:tcPr>
          <w:p>
            <w:pPr>
              <w:pStyle w:val="84"/>
              <w:rPr>
                <w:rFonts w:hAnsi="Times New Roman"/>
                <w:snapToGrid w:val="0"/>
                <w:color w:val="auto"/>
              </w:rPr>
            </w:pPr>
            <w:r>
              <w:rPr>
                <w:rFonts w:hAnsi="Times New Roman"/>
                <w:snapToGrid w:val="0"/>
                <w:color w:val="auto"/>
              </w:rPr>
              <w:t>核算方法</w:t>
            </w:r>
          </w:p>
        </w:tc>
        <w:tc>
          <w:tcPr>
            <w:tcW w:w="401" w:type="pct"/>
            <w:vAlign w:val="center"/>
          </w:tcPr>
          <w:p>
            <w:pPr>
              <w:pStyle w:val="84"/>
              <w:rPr>
                <w:rFonts w:hAnsi="Times New Roman"/>
                <w:snapToGrid w:val="0"/>
                <w:color w:val="auto"/>
              </w:rPr>
            </w:pPr>
            <w:r>
              <w:rPr>
                <w:rFonts w:hAnsi="Times New Roman"/>
                <w:snapToGrid w:val="0"/>
                <w:color w:val="auto"/>
              </w:rPr>
              <w:t>产生废水量（t/a）</w:t>
            </w:r>
          </w:p>
        </w:tc>
        <w:tc>
          <w:tcPr>
            <w:tcW w:w="550" w:type="pct"/>
            <w:vAlign w:val="center"/>
          </w:tcPr>
          <w:p>
            <w:pPr>
              <w:pStyle w:val="84"/>
              <w:rPr>
                <w:rFonts w:hAnsi="Times New Roman"/>
                <w:snapToGrid w:val="0"/>
                <w:color w:val="auto"/>
              </w:rPr>
            </w:pPr>
            <w:r>
              <w:rPr>
                <w:rFonts w:hAnsi="Times New Roman"/>
                <w:snapToGrid w:val="0"/>
                <w:color w:val="auto"/>
              </w:rPr>
              <w:t>产生浓度mg/L</w:t>
            </w:r>
          </w:p>
        </w:tc>
        <w:tc>
          <w:tcPr>
            <w:tcW w:w="500" w:type="pct"/>
            <w:vAlign w:val="center"/>
          </w:tcPr>
          <w:p>
            <w:pPr>
              <w:pStyle w:val="84"/>
              <w:rPr>
                <w:rFonts w:hAnsi="Times New Roman"/>
                <w:snapToGrid w:val="0"/>
                <w:color w:val="auto"/>
              </w:rPr>
            </w:pPr>
            <w:r>
              <w:rPr>
                <w:rFonts w:hAnsi="Times New Roman"/>
                <w:snapToGrid w:val="0"/>
                <w:color w:val="auto"/>
              </w:rPr>
              <w:t>产生量t/a</w:t>
            </w:r>
          </w:p>
        </w:tc>
        <w:tc>
          <w:tcPr>
            <w:tcW w:w="249" w:type="pct"/>
            <w:vAlign w:val="center"/>
          </w:tcPr>
          <w:p>
            <w:pPr>
              <w:pStyle w:val="84"/>
              <w:rPr>
                <w:rFonts w:hAnsi="Times New Roman"/>
                <w:snapToGrid w:val="0"/>
                <w:color w:val="auto"/>
              </w:rPr>
            </w:pPr>
            <w:r>
              <w:rPr>
                <w:rFonts w:hAnsi="Times New Roman"/>
                <w:snapToGrid w:val="0"/>
                <w:color w:val="auto"/>
              </w:rPr>
              <w:t>工艺</w:t>
            </w:r>
          </w:p>
        </w:tc>
        <w:tc>
          <w:tcPr>
            <w:tcW w:w="212" w:type="pct"/>
            <w:vAlign w:val="center"/>
          </w:tcPr>
          <w:p>
            <w:pPr>
              <w:pStyle w:val="84"/>
              <w:rPr>
                <w:rFonts w:hAnsi="Times New Roman"/>
                <w:snapToGrid w:val="0"/>
                <w:color w:val="auto"/>
              </w:rPr>
            </w:pPr>
            <w:r>
              <w:rPr>
                <w:rFonts w:hAnsi="Times New Roman"/>
                <w:snapToGrid w:val="0"/>
                <w:color w:val="auto"/>
              </w:rPr>
              <w:t>效率%</w:t>
            </w:r>
          </w:p>
        </w:tc>
        <w:tc>
          <w:tcPr>
            <w:tcW w:w="239" w:type="pct"/>
            <w:vAlign w:val="center"/>
          </w:tcPr>
          <w:p>
            <w:pPr>
              <w:pStyle w:val="84"/>
              <w:rPr>
                <w:rFonts w:hAnsi="Times New Roman"/>
                <w:snapToGrid w:val="0"/>
                <w:color w:val="auto"/>
              </w:rPr>
            </w:pPr>
            <w:r>
              <w:rPr>
                <w:rFonts w:hAnsi="Times New Roman"/>
                <w:snapToGrid w:val="0"/>
                <w:color w:val="auto"/>
              </w:rPr>
              <w:t>核算方法</w:t>
            </w:r>
          </w:p>
        </w:tc>
        <w:tc>
          <w:tcPr>
            <w:tcW w:w="400" w:type="pct"/>
            <w:vAlign w:val="center"/>
          </w:tcPr>
          <w:p>
            <w:pPr>
              <w:pStyle w:val="84"/>
              <w:rPr>
                <w:rFonts w:hAnsi="Times New Roman"/>
                <w:snapToGrid w:val="0"/>
                <w:color w:val="auto"/>
              </w:rPr>
            </w:pPr>
            <w:r>
              <w:rPr>
                <w:rFonts w:hAnsi="Times New Roman"/>
                <w:snapToGrid w:val="0"/>
                <w:color w:val="auto"/>
              </w:rPr>
              <w:t>排放废水量（t/a）</w:t>
            </w:r>
          </w:p>
        </w:tc>
        <w:tc>
          <w:tcPr>
            <w:tcW w:w="400" w:type="pct"/>
            <w:vAlign w:val="center"/>
          </w:tcPr>
          <w:p>
            <w:pPr>
              <w:pStyle w:val="84"/>
              <w:rPr>
                <w:rFonts w:hAnsi="Times New Roman"/>
                <w:snapToGrid w:val="0"/>
                <w:color w:val="auto"/>
              </w:rPr>
            </w:pPr>
            <w:r>
              <w:rPr>
                <w:rFonts w:hAnsi="Times New Roman"/>
                <w:snapToGrid w:val="0"/>
                <w:color w:val="auto"/>
              </w:rPr>
              <w:t>排放浓度mg/L</w:t>
            </w:r>
          </w:p>
        </w:tc>
        <w:tc>
          <w:tcPr>
            <w:tcW w:w="311" w:type="pct"/>
            <w:vAlign w:val="center"/>
          </w:tcPr>
          <w:p>
            <w:pPr>
              <w:pStyle w:val="84"/>
              <w:rPr>
                <w:rFonts w:hAnsi="Times New Roman"/>
                <w:snapToGrid w:val="0"/>
                <w:color w:val="auto"/>
              </w:rPr>
            </w:pPr>
            <w:r>
              <w:rPr>
                <w:rFonts w:hAnsi="Times New Roman"/>
                <w:snapToGrid w:val="0"/>
                <w:color w:val="auto"/>
              </w:rPr>
              <w:t>排放量t/a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232" w:type="pct"/>
            <w:vMerge w:val="restart"/>
            <w:vAlign w:val="center"/>
          </w:tcPr>
          <w:p>
            <w:pPr>
              <w:pStyle w:val="84"/>
              <w:rPr>
                <w:rFonts w:hAnsi="Times New Roman"/>
                <w:snapToGrid w:val="0"/>
                <w:color w:val="auto"/>
              </w:rPr>
            </w:pPr>
            <w:r>
              <w:rPr>
                <w:rFonts w:hAnsi="Times New Roman"/>
                <w:snapToGrid w:val="0"/>
                <w:color w:val="auto"/>
              </w:rPr>
              <w:t>污水处理站</w:t>
            </w:r>
          </w:p>
        </w:tc>
        <w:tc>
          <w:tcPr>
            <w:tcW w:w="241" w:type="pct"/>
            <w:vMerge w:val="restart"/>
            <w:vAlign w:val="center"/>
          </w:tcPr>
          <w:p>
            <w:pPr>
              <w:pStyle w:val="84"/>
              <w:rPr>
                <w:rFonts w:hAnsi="Times New Roman"/>
                <w:snapToGrid w:val="0"/>
                <w:color w:val="auto"/>
              </w:rPr>
            </w:pPr>
            <w:r>
              <w:rPr>
                <w:rFonts w:hAnsi="Times New Roman"/>
                <w:snapToGrid w:val="0"/>
                <w:color w:val="auto"/>
              </w:rPr>
              <w:t>污水处理站</w:t>
            </w:r>
          </w:p>
        </w:tc>
        <w:tc>
          <w:tcPr>
            <w:tcW w:w="515" w:type="pct"/>
            <w:vMerge w:val="restart"/>
            <w:vAlign w:val="center"/>
          </w:tcPr>
          <w:p>
            <w:pPr>
              <w:pStyle w:val="84"/>
              <w:rPr>
                <w:rFonts w:hAnsi="Times New Roman"/>
                <w:snapToGrid w:val="0"/>
                <w:color w:val="auto"/>
              </w:rPr>
            </w:pPr>
            <w:r>
              <w:rPr>
                <w:rFonts w:hAnsi="Times New Roman"/>
                <w:snapToGrid w:val="0"/>
                <w:color w:val="auto"/>
              </w:rPr>
              <w:t>生活污水及生产废水</w:t>
            </w:r>
          </w:p>
        </w:tc>
        <w:tc>
          <w:tcPr>
            <w:tcW w:w="450" w:type="pct"/>
            <w:vAlign w:val="center"/>
          </w:tcPr>
          <w:p>
            <w:pPr>
              <w:pStyle w:val="84"/>
              <w:rPr>
                <w:rFonts w:hAnsi="Times New Roman"/>
                <w:snapToGrid w:val="0"/>
                <w:color w:val="auto"/>
              </w:rPr>
            </w:pPr>
            <w:r>
              <w:rPr>
                <w:rFonts w:hint="eastAsia" w:hAnsi="Times New Roman"/>
                <w:snapToGrid w:val="0"/>
                <w:color w:val="auto"/>
              </w:rPr>
              <w:t>pH</w:t>
            </w:r>
          </w:p>
        </w:tc>
        <w:tc>
          <w:tcPr>
            <w:tcW w:w="300" w:type="pct"/>
            <w:vMerge w:val="restart"/>
            <w:vAlign w:val="center"/>
          </w:tcPr>
          <w:p>
            <w:pPr>
              <w:widowControl/>
              <w:jc w:val="center"/>
              <w:rPr>
                <w:snapToGrid w:val="0"/>
                <w:color w:val="auto"/>
                <w:szCs w:val="21"/>
              </w:rPr>
            </w:pPr>
            <w:r>
              <w:rPr>
                <w:rFonts w:hint="eastAsia"/>
                <w:snapToGrid w:val="0"/>
                <w:color w:val="auto"/>
                <w:szCs w:val="22"/>
              </w:rPr>
              <w:t>系数法、物料衡算</w:t>
            </w:r>
            <w:r>
              <w:rPr>
                <w:snapToGrid w:val="0"/>
                <w:color w:val="auto"/>
                <w:szCs w:val="22"/>
              </w:rPr>
              <w:t>法</w:t>
            </w:r>
          </w:p>
        </w:tc>
        <w:tc>
          <w:tcPr>
            <w:tcW w:w="401" w:type="pct"/>
            <w:vMerge w:val="restart"/>
            <w:vAlign w:val="center"/>
          </w:tcPr>
          <w:p>
            <w:pPr>
              <w:pStyle w:val="84"/>
              <w:rPr>
                <w:rFonts w:hint="eastAsia" w:hAnsi="Times New Roman" w:eastAsia="宋体"/>
                <w:snapToGrid w:val="0"/>
                <w:color w:val="auto"/>
                <w:lang w:eastAsia="zh-CN"/>
              </w:rPr>
            </w:pPr>
            <w:r>
              <w:rPr>
                <w:rFonts w:hint="eastAsia"/>
                <w:color w:val="auto"/>
                <w:spacing w:val="12"/>
                <w:lang w:eastAsia="zh-CN"/>
              </w:rPr>
              <w:t>17518.608</w:t>
            </w:r>
          </w:p>
        </w:tc>
        <w:tc>
          <w:tcPr>
            <w:tcW w:w="550" w:type="pct"/>
            <w:vAlign w:val="center"/>
          </w:tcPr>
          <w:p>
            <w:pPr>
              <w:pStyle w:val="84"/>
              <w:rPr>
                <w:rFonts w:hAnsi="Times New Roman"/>
                <w:snapToGrid w:val="0"/>
                <w:color w:val="auto"/>
              </w:rPr>
            </w:pPr>
            <w:r>
              <w:rPr>
                <w:rFonts w:hint="eastAsia" w:hAnsi="Times New Roman"/>
                <w:bCs/>
                <w:snapToGrid w:val="0"/>
                <w:color w:val="auto"/>
              </w:rPr>
              <w:t>6.5~7.5</w:t>
            </w:r>
          </w:p>
        </w:tc>
        <w:tc>
          <w:tcPr>
            <w:tcW w:w="500" w:type="pct"/>
            <w:vAlign w:val="center"/>
          </w:tcPr>
          <w:p>
            <w:pPr>
              <w:pStyle w:val="84"/>
              <w:rPr>
                <w:rFonts w:hAnsi="Times New Roman"/>
                <w:snapToGrid w:val="0"/>
                <w:color w:val="auto"/>
              </w:rPr>
            </w:pPr>
            <w:r>
              <w:rPr>
                <w:rFonts w:hint="eastAsia" w:hAnsi="Times New Roman"/>
                <w:snapToGrid w:val="0"/>
                <w:color w:val="auto"/>
              </w:rPr>
              <w:t>/</w:t>
            </w:r>
          </w:p>
        </w:tc>
        <w:tc>
          <w:tcPr>
            <w:tcW w:w="249" w:type="pct"/>
            <w:vMerge w:val="restart"/>
            <w:vAlign w:val="center"/>
          </w:tcPr>
          <w:p>
            <w:pPr>
              <w:widowControl/>
              <w:jc w:val="center"/>
              <w:rPr>
                <w:snapToGrid w:val="0"/>
                <w:color w:val="FF0000"/>
                <w:szCs w:val="21"/>
              </w:rPr>
            </w:pPr>
            <w:r>
              <w:rPr>
                <w:bCs/>
                <w:color w:val="auto"/>
              </w:rPr>
              <w:t>格栅+</w:t>
            </w:r>
            <w:r>
              <w:rPr>
                <w:color w:val="auto"/>
              </w:rPr>
              <w:t>隔油沉砂+气浮+水解酸化+生物接触氧化+</w:t>
            </w:r>
            <w:r>
              <w:rPr>
                <w:rFonts w:hint="eastAsia"/>
                <w:color w:val="auto"/>
              </w:rPr>
              <w:t>二沉池+</w:t>
            </w:r>
            <w:r>
              <w:rPr>
                <w:color w:val="auto"/>
              </w:rPr>
              <w:t>消毒</w:t>
            </w:r>
            <w:r>
              <w:rPr>
                <w:rFonts w:hint="eastAsia"/>
                <w:color w:val="auto"/>
              </w:rPr>
              <w:t>池</w:t>
            </w:r>
          </w:p>
        </w:tc>
        <w:tc>
          <w:tcPr>
            <w:tcW w:w="212" w:type="pct"/>
            <w:vAlign w:val="center"/>
          </w:tcPr>
          <w:p>
            <w:pPr>
              <w:widowControl/>
              <w:jc w:val="center"/>
              <w:rPr>
                <w:snapToGrid w:val="0"/>
                <w:color w:val="auto"/>
                <w:szCs w:val="21"/>
              </w:rPr>
            </w:pPr>
            <w:r>
              <w:rPr>
                <w:rFonts w:hint="eastAsia"/>
                <w:snapToGrid w:val="0"/>
                <w:color w:val="auto"/>
                <w:szCs w:val="21"/>
              </w:rPr>
              <w:t>/</w:t>
            </w:r>
          </w:p>
        </w:tc>
        <w:tc>
          <w:tcPr>
            <w:tcW w:w="239" w:type="pct"/>
            <w:vMerge w:val="restart"/>
            <w:vAlign w:val="center"/>
          </w:tcPr>
          <w:p>
            <w:pPr>
              <w:widowControl/>
              <w:jc w:val="center"/>
              <w:rPr>
                <w:snapToGrid w:val="0"/>
                <w:color w:val="auto"/>
                <w:szCs w:val="21"/>
              </w:rPr>
            </w:pPr>
            <w:r>
              <w:rPr>
                <w:rFonts w:hint="eastAsia"/>
                <w:snapToGrid w:val="0"/>
                <w:color w:val="auto"/>
                <w:szCs w:val="22"/>
              </w:rPr>
              <w:t>物料衡算</w:t>
            </w:r>
            <w:r>
              <w:rPr>
                <w:snapToGrid w:val="0"/>
                <w:color w:val="auto"/>
                <w:szCs w:val="22"/>
              </w:rPr>
              <w:t>法</w:t>
            </w:r>
          </w:p>
        </w:tc>
        <w:tc>
          <w:tcPr>
            <w:tcW w:w="400" w:type="pct"/>
            <w:vMerge w:val="restart"/>
            <w:vAlign w:val="center"/>
          </w:tcPr>
          <w:p>
            <w:pPr>
              <w:widowControl/>
              <w:jc w:val="center"/>
              <w:rPr>
                <w:rFonts w:hint="eastAsia" w:eastAsia="宋体"/>
                <w:snapToGrid w:val="0"/>
                <w:color w:val="auto"/>
                <w:szCs w:val="21"/>
                <w:lang w:eastAsia="zh-CN"/>
              </w:rPr>
            </w:pPr>
            <w:r>
              <w:rPr>
                <w:rFonts w:hint="eastAsia"/>
                <w:color w:val="auto"/>
                <w:spacing w:val="12"/>
                <w:szCs w:val="21"/>
                <w:lang w:eastAsia="zh-CN"/>
              </w:rPr>
              <w:t>17518.608</w:t>
            </w:r>
          </w:p>
        </w:tc>
        <w:tc>
          <w:tcPr>
            <w:tcW w:w="400" w:type="pct"/>
            <w:vAlign w:val="center"/>
          </w:tcPr>
          <w:p>
            <w:pPr>
              <w:widowControl/>
              <w:jc w:val="center"/>
              <w:rPr>
                <w:snapToGrid w:val="0"/>
                <w:color w:val="auto"/>
                <w:szCs w:val="21"/>
              </w:rPr>
            </w:pPr>
            <w:r>
              <w:rPr>
                <w:rFonts w:hint="eastAsia"/>
                <w:bCs/>
                <w:snapToGrid w:val="0"/>
                <w:color w:val="auto"/>
              </w:rPr>
              <w:t>6.5~7.5</w:t>
            </w:r>
          </w:p>
        </w:tc>
        <w:tc>
          <w:tcPr>
            <w:tcW w:w="311" w:type="pct"/>
            <w:vAlign w:val="center"/>
          </w:tcPr>
          <w:p>
            <w:pPr>
              <w:widowControl/>
              <w:jc w:val="center"/>
              <w:rPr>
                <w:snapToGrid w:val="0"/>
                <w:color w:val="auto"/>
                <w:szCs w:val="21"/>
              </w:rPr>
            </w:pPr>
            <w:r>
              <w:rPr>
                <w:rFonts w:hint="eastAsia"/>
                <w:snapToGrid w:val="0"/>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232" w:type="pct"/>
            <w:vMerge w:val="continue"/>
            <w:vAlign w:val="center"/>
          </w:tcPr>
          <w:p>
            <w:pPr>
              <w:pStyle w:val="84"/>
              <w:rPr>
                <w:rFonts w:hAnsi="Times New Roman"/>
                <w:snapToGrid w:val="0"/>
                <w:color w:val="auto"/>
              </w:rPr>
            </w:pPr>
          </w:p>
        </w:tc>
        <w:tc>
          <w:tcPr>
            <w:tcW w:w="241" w:type="pct"/>
            <w:vMerge w:val="continue"/>
            <w:vAlign w:val="center"/>
          </w:tcPr>
          <w:p>
            <w:pPr>
              <w:pStyle w:val="84"/>
              <w:rPr>
                <w:rFonts w:hAnsi="Times New Roman"/>
                <w:snapToGrid w:val="0"/>
                <w:color w:val="auto"/>
              </w:rPr>
            </w:pPr>
          </w:p>
        </w:tc>
        <w:tc>
          <w:tcPr>
            <w:tcW w:w="515" w:type="pct"/>
            <w:vMerge w:val="continue"/>
            <w:vAlign w:val="center"/>
          </w:tcPr>
          <w:p>
            <w:pPr>
              <w:pStyle w:val="84"/>
              <w:rPr>
                <w:rFonts w:hAnsi="Times New Roman"/>
                <w:snapToGrid w:val="0"/>
                <w:color w:val="auto"/>
              </w:rPr>
            </w:pPr>
          </w:p>
        </w:tc>
        <w:tc>
          <w:tcPr>
            <w:tcW w:w="450" w:type="pct"/>
            <w:vAlign w:val="center"/>
          </w:tcPr>
          <w:p>
            <w:pPr>
              <w:pStyle w:val="84"/>
              <w:rPr>
                <w:rFonts w:hAnsi="Times New Roman"/>
                <w:snapToGrid w:val="0"/>
                <w:color w:val="auto"/>
              </w:rPr>
            </w:pPr>
            <w:r>
              <w:rPr>
                <w:rFonts w:hAnsi="Times New Roman"/>
                <w:snapToGrid w:val="0"/>
                <w:color w:val="auto"/>
              </w:rPr>
              <w:t>COD</w:t>
            </w:r>
          </w:p>
        </w:tc>
        <w:tc>
          <w:tcPr>
            <w:tcW w:w="300" w:type="pct"/>
            <w:vMerge w:val="continue"/>
            <w:vAlign w:val="center"/>
          </w:tcPr>
          <w:p>
            <w:pPr>
              <w:widowControl/>
              <w:jc w:val="center"/>
              <w:rPr>
                <w:snapToGrid w:val="0"/>
                <w:color w:val="FF0000"/>
                <w:szCs w:val="21"/>
              </w:rPr>
            </w:pPr>
          </w:p>
        </w:tc>
        <w:tc>
          <w:tcPr>
            <w:tcW w:w="401" w:type="pct"/>
            <w:vMerge w:val="continue"/>
            <w:vAlign w:val="center"/>
          </w:tcPr>
          <w:p>
            <w:pPr>
              <w:pStyle w:val="84"/>
              <w:rPr>
                <w:rFonts w:hAnsi="Times New Roman"/>
                <w:snapToGrid w:val="0"/>
                <w:color w:val="auto"/>
              </w:rPr>
            </w:pPr>
          </w:p>
        </w:tc>
        <w:tc>
          <w:tcPr>
            <w:tcW w:w="550" w:type="pct"/>
            <w:vAlign w:val="center"/>
          </w:tcPr>
          <w:p>
            <w:pPr>
              <w:pStyle w:val="84"/>
              <w:rPr>
                <w:rFonts w:hint="eastAsia" w:hAnsi="Times New Roman" w:eastAsia="宋体"/>
                <w:snapToGrid w:val="0"/>
                <w:color w:val="auto"/>
                <w:lang w:eastAsia="zh-CN"/>
              </w:rPr>
            </w:pPr>
            <w:r>
              <w:rPr>
                <w:rFonts w:hint="eastAsia"/>
                <w:color w:val="auto"/>
                <w:lang w:eastAsia="zh-CN"/>
              </w:rPr>
              <w:t>1891.13</w:t>
            </w:r>
          </w:p>
        </w:tc>
        <w:tc>
          <w:tcPr>
            <w:tcW w:w="500" w:type="pct"/>
            <w:vAlign w:val="center"/>
          </w:tcPr>
          <w:p>
            <w:pPr>
              <w:pStyle w:val="84"/>
              <w:rPr>
                <w:rFonts w:hint="default" w:hAnsi="Times New Roman" w:eastAsia="宋体"/>
                <w:snapToGrid w:val="0"/>
                <w:color w:val="auto"/>
                <w:lang w:val="en-US" w:eastAsia="zh-CN"/>
              </w:rPr>
            </w:pPr>
            <w:r>
              <w:rPr>
                <w:rFonts w:hint="eastAsia"/>
                <w:color w:val="auto"/>
                <w:kern w:val="0"/>
                <w:lang w:val="en-US" w:eastAsia="zh-CN"/>
              </w:rPr>
              <w:t>33.13</w:t>
            </w:r>
          </w:p>
        </w:tc>
        <w:tc>
          <w:tcPr>
            <w:tcW w:w="249" w:type="pct"/>
            <w:vMerge w:val="continue"/>
            <w:vAlign w:val="center"/>
          </w:tcPr>
          <w:p>
            <w:pPr>
              <w:widowControl/>
              <w:jc w:val="center"/>
              <w:rPr>
                <w:snapToGrid w:val="0"/>
                <w:color w:val="FF0000"/>
                <w:szCs w:val="21"/>
              </w:rPr>
            </w:pPr>
          </w:p>
        </w:tc>
        <w:tc>
          <w:tcPr>
            <w:tcW w:w="212" w:type="pct"/>
            <w:vAlign w:val="center"/>
          </w:tcPr>
          <w:p>
            <w:pPr>
              <w:widowControl/>
              <w:jc w:val="center"/>
              <w:rPr>
                <w:snapToGrid w:val="0"/>
                <w:color w:val="auto"/>
                <w:szCs w:val="21"/>
              </w:rPr>
            </w:pPr>
            <w:r>
              <w:rPr>
                <w:rFonts w:hint="eastAsia"/>
                <w:snapToGrid w:val="0"/>
                <w:color w:val="auto"/>
                <w:szCs w:val="21"/>
              </w:rPr>
              <w:t>90</w:t>
            </w:r>
          </w:p>
        </w:tc>
        <w:tc>
          <w:tcPr>
            <w:tcW w:w="239" w:type="pct"/>
            <w:vMerge w:val="continue"/>
            <w:vAlign w:val="center"/>
          </w:tcPr>
          <w:p>
            <w:pPr>
              <w:widowControl/>
              <w:jc w:val="center"/>
              <w:rPr>
                <w:snapToGrid w:val="0"/>
                <w:color w:val="auto"/>
                <w:szCs w:val="21"/>
              </w:rPr>
            </w:pPr>
          </w:p>
        </w:tc>
        <w:tc>
          <w:tcPr>
            <w:tcW w:w="400" w:type="pct"/>
            <w:vMerge w:val="continue"/>
            <w:vAlign w:val="center"/>
          </w:tcPr>
          <w:p>
            <w:pPr>
              <w:widowControl/>
              <w:jc w:val="center"/>
              <w:rPr>
                <w:snapToGrid w:val="0"/>
                <w:color w:val="auto"/>
                <w:szCs w:val="21"/>
              </w:rPr>
            </w:pPr>
          </w:p>
        </w:tc>
        <w:tc>
          <w:tcPr>
            <w:tcW w:w="400" w:type="pct"/>
            <w:vAlign w:val="center"/>
          </w:tcPr>
          <w:p>
            <w:pPr>
              <w:widowControl/>
              <w:jc w:val="center"/>
              <w:rPr>
                <w:rFonts w:hint="eastAsia" w:eastAsia="宋体"/>
                <w:snapToGrid w:val="0"/>
                <w:color w:val="auto"/>
                <w:szCs w:val="21"/>
                <w:lang w:eastAsia="zh-CN"/>
              </w:rPr>
            </w:pPr>
            <w:r>
              <w:rPr>
                <w:rFonts w:hint="eastAsia"/>
                <w:snapToGrid w:val="0"/>
                <w:color w:val="auto"/>
                <w:szCs w:val="21"/>
                <w:lang w:eastAsia="zh-CN"/>
              </w:rPr>
              <w:t>189.11</w:t>
            </w:r>
          </w:p>
        </w:tc>
        <w:tc>
          <w:tcPr>
            <w:tcW w:w="311" w:type="pct"/>
            <w:vAlign w:val="center"/>
          </w:tcPr>
          <w:p>
            <w:pPr>
              <w:widowControl/>
              <w:jc w:val="center"/>
              <w:rPr>
                <w:rFonts w:hint="eastAsia" w:eastAsia="宋体"/>
                <w:snapToGrid w:val="0"/>
                <w:color w:val="auto"/>
                <w:szCs w:val="21"/>
                <w:lang w:eastAsia="zh-CN"/>
              </w:rPr>
            </w:pPr>
            <w:r>
              <w:rPr>
                <w:rFonts w:hint="eastAsia"/>
                <w:color w:val="auto"/>
                <w:szCs w:val="21"/>
                <w:lang w:eastAsia="zh-CN"/>
              </w:rPr>
              <w:t>3.13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232" w:type="pct"/>
            <w:vMerge w:val="continue"/>
            <w:vAlign w:val="center"/>
          </w:tcPr>
          <w:p>
            <w:pPr>
              <w:pStyle w:val="84"/>
              <w:rPr>
                <w:rFonts w:hAnsi="Times New Roman"/>
                <w:snapToGrid w:val="0"/>
                <w:color w:val="auto"/>
              </w:rPr>
            </w:pPr>
          </w:p>
        </w:tc>
        <w:tc>
          <w:tcPr>
            <w:tcW w:w="241" w:type="pct"/>
            <w:vMerge w:val="continue"/>
            <w:vAlign w:val="center"/>
          </w:tcPr>
          <w:p>
            <w:pPr>
              <w:pStyle w:val="84"/>
              <w:rPr>
                <w:rFonts w:hAnsi="Times New Roman"/>
                <w:snapToGrid w:val="0"/>
                <w:color w:val="auto"/>
              </w:rPr>
            </w:pPr>
          </w:p>
        </w:tc>
        <w:tc>
          <w:tcPr>
            <w:tcW w:w="515" w:type="pct"/>
            <w:vMerge w:val="continue"/>
            <w:vAlign w:val="center"/>
          </w:tcPr>
          <w:p>
            <w:pPr>
              <w:pStyle w:val="84"/>
              <w:rPr>
                <w:rFonts w:hAnsi="Times New Roman"/>
                <w:snapToGrid w:val="0"/>
                <w:color w:val="auto"/>
              </w:rPr>
            </w:pPr>
          </w:p>
        </w:tc>
        <w:tc>
          <w:tcPr>
            <w:tcW w:w="450" w:type="pct"/>
            <w:vAlign w:val="center"/>
          </w:tcPr>
          <w:p>
            <w:pPr>
              <w:widowControl/>
              <w:jc w:val="center"/>
              <w:rPr>
                <w:snapToGrid w:val="0"/>
                <w:color w:val="auto"/>
                <w:szCs w:val="21"/>
              </w:rPr>
            </w:pPr>
            <w:r>
              <w:rPr>
                <w:rFonts w:hint="eastAsia"/>
                <w:snapToGrid w:val="0"/>
                <w:color w:val="auto"/>
                <w:szCs w:val="21"/>
              </w:rPr>
              <w:t>BOD</w:t>
            </w:r>
            <w:r>
              <w:rPr>
                <w:rFonts w:hint="eastAsia"/>
                <w:snapToGrid w:val="0"/>
                <w:color w:val="auto"/>
                <w:szCs w:val="21"/>
                <w:vertAlign w:val="subscript"/>
              </w:rPr>
              <w:t>5</w:t>
            </w:r>
          </w:p>
        </w:tc>
        <w:tc>
          <w:tcPr>
            <w:tcW w:w="300" w:type="pct"/>
            <w:vMerge w:val="continue"/>
            <w:vAlign w:val="center"/>
          </w:tcPr>
          <w:p>
            <w:pPr>
              <w:widowControl/>
              <w:jc w:val="center"/>
              <w:rPr>
                <w:snapToGrid w:val="0"/>
                <w:color w:val="FF0000"/>
                <w:szCs w:val="21"/>
              </w:rPr>
            </w:pPr>
          </w:p>
        </w:tc>
        <w:tc>
          <w:tcPr>
            <w:tcW w:w="401" w:type="pct"/>
            <w:vMerge w:val="continue"/>
            <w:vAlign w:val="center"/>
          </w:tcPr>
          <w:p>
            <w:pPr>
              <w:pStyle w:val="84"/>
              <w:rPr>
                <w:rFonts w:hAnsi="Times New Roman"/>
                <w:snapToGrid w:val="0"/>
                <w:color w:val="auto"/>
              </w:rPr>
            </w:pPr>
          </w:p>
        </w:tc>
        <w:tc>
          <w:tcPr>
            <w:tcW w:w="550" w:type="pct"/>
            <w:vAlign w:val="center"/>
          </w:tcPr>
          <w:p>
            <w:pPr>
              <w:pStyle w:val="84"/>
              <w:rPr>
                <w:rFonts w:hint="eastAsia" w:hAnsi="Times New Roman" w:eastAsia="宋体"/>
                <w:snapToGrid w:val="0"/>
                <w:color w:val="auto"/>
                <w:lang w:eastAsia="zh-CN"/>
              </w:rPr>
            </w:pPr>
            <w:r>
              <w:rPr>
                <w:rFonts w:hint="eastAsia"/>
                <w:color w:val="auto"/>
                <w:lang w:eastAsia="zh-CN"/>
              </w:rPr>
              <w:t>946.42</w:t>
            </w:r>
          </w:p>
        </w:tc>
        <w:tc>
          <w:tcPr>
            <w:tcW w:w="500" w:type="pct"/>
            <w:vAlign w:val="center"/>
          </w:tcPr>
          <w:p>
            <w:pPr>
              <w:pStyle w:val="84"/>
              <w:rPr>
                <w:rFonts w:hint="default" w:hAnsi="Times New Roman" w:eastAsia="宋体"/>
                <w:snapToGrid w:val="0"/>
                <w:color w:val="auto"/>
                <w:lang w:val="en-US" w:eastAsia="zh-CN"/>
              </w:rPr>
            </w:pPr>
            <w:r>
              <w:rPr>
                <w:rFonts w:hint="eastAsia"/>
                <w:color w:val="auto"/>
                <w:kern w:val="0"/>
                <w:lang w:val="en-US" w:eastAsia="zh-CN"/>
              </w:rPr>
              <w:t>16.58</w:t>
            </w:r>
          </w:p>
        </w:tc>
        <w:tc>
          <w:tcPr>
            <w:tcW w:w="249" w:type="pct"/>
            <w:vMerge w:val="continue"/>
            <w:vAlign w:val="center"/>
          </w:tcPr>
          <w:p>
            <w:pPr>
              <w:widowControl/>
              <w:jc w:val="center"/>
              <w:rPr>
                <w:snapToGrid w:val="0"/>
                <w:color w:val="FF0000"/>
                <w:szCs w:val="21"/>
              </w:rPr>
            </w:pPr>
          </w:p>
        </w:tc>
        <w:tc>
          <w:tcPr>
            <w:tcW w:w="212" w:type="pct"/>
            <w:vAlign w:val="center"/>
          </w:tcPr>
          <w:p>
            <w:pPr>
              <w:widowControl/>
              <w:jc w:val="center"/>
              <w:rPr>
                <w:snapToGrid w:val="0"/>
                <w:color w:val="auto"/>
                <w:szCs w:val="21"/>
              </w:rPr>
            </w:pPr>
            <w:r>
              <w:rPr>
                <w:rFonts w:hint="eastAsia"/>
                <w:snapToGrid w:val="0"/>
                <w:color w:val="auto"/>
                <w:szCs w:val="21"/>
              </w:rPr>
              <w:t>90</w:t>
            </w:r>
          </w:p>
        </w:tc>
        <w:tc>
          <w:tcPr>
            <w:tcW w:w="239" w:type="pct"/>
            <w:vMerge w:val="continue"/>
            <w:vAlign w:val="center"/>
          </w:tcPr>
          <w:p>
            <w:pPr>
              <w:widowControl/>
              <w:jc w:val="center"/>
              <w:rPr>
                <w:snapToGrid w:val="0"/>
                <w:color w:val="auto"/>
                <w:szCs w:val="21"/>
              </w:rPr>
            </w:pPr>
          </w:p>
        </w:tc>
        <w:tc>
          <w:tcPr>
            <w:tcW w:w="400" w:type="pct"/>
            <w:vMerge w:val="continue"/>
            <w:vAlign w:val="center"/>
          </w:tcPr>
          <w:p>
            <w:pPr>
              <w:widowControl/>
              <w:jc w:val="center"/>
              <w:rPr>
                <w:snapToGrid w:val="0"/>
                <w:color w:val="auto"/>
                <w:szCs w:val="21"/>
              </w:rPr>
            </w:pPr>
          </w:p>
        </w:tc>
        <w:tc>
          <w:tcPr>
            <w:tcW w:w="400" w:type="pct"/>
            <w:vAlign w:val="center"/>
          </w:tcPr>
          <w:p>
            <w:pPr>
              <w:widowControl/>
              <w:jc w:val="center"/>
              <w:rPr>
                <w:rFonts w:hint="eastAsia" w:eastAsia="宋体"/>
                <w:snapToGrid w:val="0"/>
                <w:color w:val="auto"/>
                <w:szCs w:val="21"/>
                <w:lang w:eastAsia="zh-CN"/>
              </w:rPr>
            </w:pPr>
            <w:r>
              <w:rPr>
                <w:rFonts w:hint="eastAsia"/>
                <w:color w:val="auto"/>
                <w:szCs w:val="21"/>
                <w:lang w:eastAsia="zh-CN"/>
              </w:rPr>
              <w:t>94.64</w:t>
            </w:r>
          </w:p>
        </w:tc>
        <w:tc>
          <w:tcPr>
            <w:tcW w:w="311" w:type="pct"/>
            <w:vAlign w:val="center"/>
          </w:tcPr>
          <w:p>
            <w:pPr>
              <w:widowControl/>
              <w:jc w:val="center"/>
              <w:rPr>
                <w:rFonts w:hint="eastAsia" w:eastAsia="宋体"/>
                <w:snapToGrid w:val="0"/>
                <w:color w:val="auto"/>
                <w:szCs w:val="21"/>
                <w:lang w:eastAsia="zh-CN"/>
              </w:rPr>
            </w:pPr>
            <w:r>
              <w:rPr>
                <w:rFonts w:hint="eastAsia"/>
                <w:color w:val="auto"/>
                <w:szCs w:val="21"/>
                <w:lang w:eastAsia="zh-CN"/>
              </w:rPr>
              <w:t>1.66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232" w:type="pct"/>
            <w:vMerge w:val="continue"/>
            <w:vAlign w:val="center"/>
          </w:tcPr>
          <w:p>
            <w:pPr>
              <w:pStyle w:val="84"/>
              <w:rPr>
                <w:rFonts w:hAnsi="Times New Roman"/>
                <w:snapToGrid w:val="0"/>
                <w:color w:val="auto"/>
              </w:rPr>
            </w:pPr>
          </w:p>
        </w:tc>
        <w:tc>
          <w:tcPr>
            <w:tcW w:w="241" w:type="pct"/>
            <w:vMerge w:val="continue"/>
            <w:vAlign w:val="center"/>
          </w:tcPr>
          <w:p>
            <w:pPr>
              <w:pStyle w:val="84"/>
              <w:rPr>
                <w:rFonts w:hAnsi="Times New Roman"/>
                <w:snapToGrid w:val="0"/>
                <w:color w:val="auto"/>
              </w:rPr>
            </w:pPr>
          </w:p>
        </w:tc>
        <w:tc>
          <w:tcPr>
            <w:tcW w:w="515" w:type="pct"/>
            <w:vMerge w:val="continue"/>
            <w:vAlign w:val="center"/>
          </w:tcPr>
          <w:p>
            <w:pPr>
              <w:pStyle w:val="84"/>
              <w:rPr>
                <w:rFonts w:hAnsi="Times New Roman"/>
                <w:snapToGrid w:val="0"/>
                <w:color w:val="auto"/>
              </w:rPr>
            </w:pPr>
          </w:p>
        </w:tc>
        <w:tc>
          <w:tcPr>
            <w:tcW w:w="450" w:type="pct"/>
            <w:vAlign w:val="center"/>
          </w:tcPr>
          <w:p>
            <w:pPr>
              <w:widowControl/>
              <w:jc w:val="center"/>
              <w:rPr>
                <w:snapToGrid w:val="0"/>
                <w:color w:val="auto"/>
                <w:szCs w:val="21"/>
              </w:rPr>
            </w:pPr>
            <w:r>
              <w:rPr>
                <w:rFonts w:hint="eastAsia"/>
                <w:snapToGrid w:val="0"/>
                <w:color w:val="auto"/>
                <w:szCs w:val="21"/>
              </w:rPr>
              <w:t>SS</w:t>
            </w:r>
          </w:p>
        </w:tc>
        <w:tc>
          <w:tcPr>
            <w:tcW w:w="300" w:type="pct"/>
            <w:vMerge w:val="continue"/>
            <w:vAlign w:val="center"/>
          </w:tcPr>
          <w:p>
            <w:pPr>
              <w:widowControl/>
              <w:jc w:val="center"/>
              <w:rPr>
                <w:snapToGrid w:val="0"/>
                <w:color w:val="FF0000"/>
                <w:szCs w:val="21"/>
              </w:rPr>
            </w:pPr>
          </w:p>
        </w:tc>
        <w:tc>
          <w:tcPr>
            <w:tcW w:w="401" w:type="pct"/>
            <w:vMerge w:val="continue"/>
            <w:vAlign w:val="center"/>
          </w:tcPr>
          <w:p>
            <w:pPr>
              <w:pStyle w:val="84"/>
              <w:rPr>
                <w:rFonts w:hAnsi="Times New Roman"/>
                <w:snapToGrid w:val="0"/>
                <w:color w:val="auto"/>
              </w:rPr>
            </w:pPr>
          </w:p>
        </w:tc>
        <w:tc>
          <w:tcPr>
            <w:tcW w:w="550" w:type="pct"/>
            <w:vAlign w:val="center"/>
          </w:tcPr>
          <w:p>
            <w:pPr>
              <w:pStyle w:val="84"/>
              <w:rPr>
                <w:rFonts w:hint="eastAsia" w:hAnsi="Times New Roman" w:eastAsia="宋体"/>
                <w:snapToGrid w:val="0"/>
                <w:color w:val="auto"/>
                <w:lang w:eastAsia="zh-CN"/>
              </w:rPr>
            </w:pPr>
            <w:r>
              <w:rPr>
                <w:rFonts w:hint="eastAsia"/>
                <w:color w:val="auto"/>
                <w:lang w:eastAsia="zh-CN"/>
              </w:rPr>
              <w:t>947.56</w:t>
            </w:r>
          </w:p>
        </w:tc>
        <w:tc>
          <w:tcPr>
            <w:tcW w:w="500" w:type="pct"/>
            <w:vAlign w:val="center"/>
          </w:tcPr>
          <w:p>
            <w:pPr>
              <w:pStyle w:val="84"/>
              <w:rPr>
                <w:rFonts w:hint="default" w:hAnsi="Times New Roman" w:eastAsia="宋体"/>
                <w:snapToGrid w:val="0"/>
                <w:color w:val="auto"/>
                <w:lang w:val="en-US" w:eastAsia="zh-CN"/>
              </w:rPr>
            </w:pPr>
            <w:r>
              <w:rPr>
                <w:rFonts w:hint="eastAsia"/>
                <w:color w:val="auto"/>
                <w:kern w:val="0"/>
                <w:lang w:val="en-US" w:eastAsia="zh-CN"/>
              </w:rPr>
              <w:t>16.6</w:t>
            </w:r>
          </w:p>
        </w:tc>
        <w:tc>
          <w:tcPr>
            <w:tcW w:w="249" w:type="pct"/>
            <w:vMerge w:val="continue"/>
            <w:vAlign w:val="center"/>
          </w:tcPr>
          <w:p>
            <w:pPr>
              <w:widowControl/>
              <w:jc w:val="center"/>
              <w:rPr>
                <w:snapToGrid w:val="0"/>
                <w:color w:val="FF0000"/>
                <w:szCs w:val="21"/>
              </w:rPr>
            </w:pPr>
          </w:p>
        </w:tc>
        <w:tc>
          <w:tcPr>
            <w:tcW w:w="212" w:type="pct"/>
            <w:vAlign w:val="center"/>
          </w:tcPr>
          <w:p>
            <w:pPr>
              <w:widowControl/>
              <w:jc w:val="center"/>
              <w:rPr>
                <w:snapToGrid w:val="0"/>
                <w:color w:val="auto"/>
                <w:szCs w:val="21"/>
              </w:rPr>
            </w:pPr>
            <w:r>
              <w:rPr>
                <w:rFonts w:hint="eastAsia"/>
                <w:color w:val="auto"/>
                <w:szCs w:val="21"/>
              </w:rPr>
              <w:t>90</w:t>
            </w:r>
          </w:p>
        </w:tc>
        <w:tc>
          <w:tcPr>
            <w:tcW w:w="239" w:type="pct"/>
            <w:vMerge w:val="continue"/>
            <w:vAlign w:val="center"/>
          </w:tcPr>
          <w:p>
            <w:pPr>
              <w:widowControl/>
              <w:jc w:val="center"/>
              <w:rPr>
                <w:snapToGrid w:val="0"/>
                <w:color w:val="auto"/>
                <w:szCs w:val="21"/>
              </w:rPr>
            </w:pPr>
          </w:p>
        </w:tc>
        <w:tc>
          <w:tcPr>
            <w:tcW w:w="400" w:type="pct"/>
            <w:vMerge w:val="continue"/>
            <w:vAlign w:val="center"/>
          </w:tcPr>
          <w:p>
            <w:pPr>
              <w:widowControl/>
              <w:jc w:val="center"/>
              <w:rPr>
                <w:snapToGrid w:val="0"/>
                <w:color w:val="auto"/>
                <w:szCs w:val="21"/>
              </w:rPr>
            </w:pPr>
          </w:p>
        </w:tc>
        <w:tc>
          <w:tcPr>
            <w:tcW w:w="400" w:type="pct"/>
            <w:vAlign w:val="center"/>
          </w:tcPr>
          <w:p>
            <w:pPr>
              <w:widowControl/>
              <w:jc w:val="center"/>
              <w:rPr>
                <w:rFonts w:hint="eastAsia" w:eastAsia="宋体"/>
                <w:snapToGrid w:val="0"/>
                <w:color w:val="auto"/>
                <w:szCs w:val="21"/>
                <w:lang w:eastAsia="zh-CN"/>
              </w:rPr>
            </w:pPr>
            <w:r>
              <w:rPr>
                <w:rFonts w:hint="eastAsia"/>
                <w:color w:val="auto"/>
                <w:szCs w:val="21"/>
                <w:lang w:eastAsia="zh-CN"/>
              </w:rPr>
              <w:t>94.76</w:t>
            </w:r>
          </w:p>
        </w:tc>
        <w:tc>
          <w:tcPr>
            <w:tcW w:w="311" w:type="pct"/>
            <w:vAlign w:val="center"/>
          </w:tcPr>
          <w:p>
            <w:pPr>
              <w:widowControl/>
              <w:jc w:val="center"/>
              <w:rPr>
                <w:rFonts w:hint="eastAsia" w:eastAsia="宋体"/>
                <w:snapToGrid w:val="0"/>
                <w:color w:val="auto"/>
                <w:szCs w:val="21"/>
                <w:lang w:eastAsia="zh-CN"/>
              </w:rPr>
            </w:pPr>
            <w:r>
              <w:rPr>
                <w:rFonts w:hint="eastAsia"/>
                <w:color w:val="auto"/>
                <w:szCs w:val="21"/>
                <w:lang w:eastAsia="zh-CN"/>
              </w:rPr>
              <w:t>1.66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232" w:type="pct"/>
            <w:vMerge w:val="continue"/>
            <w:vAlign w:val="center"/>
          </w:tcPr>
          <w:p>
            <w:pPr>
              <w:pStyle w:val="84"/>
              <w:rPr>
                <w:rFonts w:hAnsi="Times New Roman"/>
                <w:snapToGrid w:val="0"/>
                <w:color w:val="auto"/>
              </w:rPr>
            </w:pPr>
          </w:p>
        </w:tc>
        <w:tc>
          <w:tcPr>
            <w:tcW w:w="241" w:type="pct"/>
            <w:vMerge w:val="continue"/>
            <w:vAlign w:val="center"/>
          </w:tcPr>
          <w:p>
            <w:pPr>
              <w:pStyle w:val="84"/>
              <w:rPr>
                <w:rFonts w:hAnsi="Times New Roman"/>
                <w:snapToGrid w:val="0"/>
                <w:color w:val="auto"/>
              </w:rPr>
            </w:pPr>
          </w:p>
        </w:tc>
        <w:tc>
          <w:tcPr>
            <w:tcW w:w="515" w:type="pct"/>
            <w:vMerge w:val="continue"/>
            <w:vAlign w:val="center"/>
          </w:tcPr>
          <w:p>
            <w:pPr>
              <w:pStyle w:val="84"/>
              <w:rPr>
                <w:rFonts w:hAnsi="Times New Roman"/>
                <w:snapToGrid w:val="0"/>
                <w:color w:val="auto"/>
              </w:rPr>
            </w:pPr>
          </w:p>
        </w:tc>
        <w:tc>
          <w:tcPr>
            <w:tcW w:w="450" w:type="pct"/>
            <w:vAlign w:val="center"/>
          </w:tcPr>
          <w:p>
            <w:pPr>
              <w:widowControl/>
              <w:jc w:val="center"/>
              <w:rPr>
                <w:snapToGrid w:val="0"/>
                <w:color w:val="auto"/>
                <w:szCs w:val="21"/>
              </w:rPr>
            </w:pPr>
            <w:r>
              <w:rPr>
                <w:rFonts w:hint="eastAsia"/>
                <w:snapToGrid w:val="0"/>
                <w:color w:val="auto"/>
                <w:szCs w:val="21"/>
              </w:rPr>
              <w:t>动植物油</w:t>
            </w:r>
          </w:p>
        </w:tc>
        <w:tc>
          <w:tcPr>
            <w:tcW w:w="300" w:type="pct"/>
            <w:vMerge w:val="continue"/>
            <w:vAlign w:val="center"/>
          </w:tcPr>
          <w:p>
            <w:pPr>
              <w:widowControl/>
              <w:jc w:val="center"/>
              <w:rPr>
                <w:snapToGrid w:val="0"/>
                <w:color w:val="FF0000"/>
                <w:szCs w:val="21"/>
              </w:rPr>
            </w:pPr>
          </w:p>
        </w:tc>
        <w:tc>
          <w:tcPr>
            <w:tcW w:w="401" w:type="pct"/>
            <w:vMerge w:val="continue"/>
            <w:vAlign w:val="center"/>
          </w:tcPr>
          <w:p>
            <w:pPr>
              <w:pStyle w:val="84"/>
              <w:rPr>
                <w:rFonts w:hAnsi="Times New Roman"/>
                <w:snapToGrid w:val="0"/>
                <w:color w:val="auto"/>
              </w:rPr>
            </w:pPr>
          </w:p>
        </w:tc>
        <w:tc>
          <w:tcPr>
            <w:tcW w:w="550" w:type="pct"/>
            <w:vAlign w:val="center"/>
          </w:tcPr>
          <w:p>
            <w:pPr>
              <w:pStyle w:val="84"/>
              <w:rPr>
                <w:rFonts w:hint="eastAsia" w:hAnsi="Times New Roman" w:eastAsia="宋体"/>
                <w:snapToGrid w:val="0"/>
                <w:color w:val="auto"/>
                <w:lang w:eastAsia="zh-CN"/>
              </w:rPr>
            </w:pPr>
            <w:r>
              <w:rPr>
                <w:rFonts w:hint="eastAsia"/>
                <w:color w:val="auto"/>
                <w:lang w:eastAsia="zh-CN"/>
              </w:rPr>
              <w:t>186.66</w:t>
            </w:r>
          </w:p>
        </w:tc>
        <w:tc>
          <w:tcPr>
            <w:tcW w:w="500" w:type="pct"/>
            <w:vAlign w:val="center"/>
          </w:tcPr>
          <w:p>
            <w:pPr>
              <w:pStyle w:val="84"/>
              <w:rPr>
                <w:rFonts w:hint="default" w:hAnsi="Times New Roman" w:eastAsia="宋体"/>
                <w:snapToGrid w:val="0"/>
                <w:color w:val="auto"/>
                <w:lang w:val="en-US" w:eastAsia="zh-CN"/>
              </w:rPr>
            </w:pPr>
            <w:r>
              <w:rPr>
                <w:rFonts w:hint="eastAsia"/>
                <w:color w:val="auto"/>
                <w:lang w:val="en-US" w:eastAsia="zh-CN"/>
              </w:rPr>
              <w:t>3.27</w:t>
            </w:r>
          </w:p>
        </w:tc>
        <w:tc>
          <w:tcPr>
            <w:tcW w:w="249" w:type="pct"/>
            <w:vMerge w:val="continue"/>
            <w:vAlign w:val="center"/>
          </w:tcPr>
          <w:p>
            <w:pPr>
              <w:widowControl/>
              <w:jc w:val="center"/>
              <w:rPr>
                <w:snapToGrid w:val="0"/>
                <w:color w:val="FF0000"/>
                <w:szCs w:val="21"/>
              </w:rPr>
            </w:pPr>
          </w:p>
        </w:tc>
        <w:tc>
          <w:tcPr>
            <w:tcW w:w="212" w:type="pct"/>
            <w:vAlign w:val="center"/>
          </w:tcPr>
          <w:p>
            <w:pPr>
              <w:widowControl/>
              <w:jc w:val="center"/>
              <w:rPr>
                <w:snapToGrid w:val="0"/>
                <w:color w:val="auto"/>
                <w:szCs w:val="21"/>
              </w:rPr>
            </w:pPr>
            <w:r>
              <w:rPr>
                <w:rFonts w:hint="eastAsia"/>
                <w:color w:val="auto"/>
                <w:szCs w:val="21"/>
              </w:rPr>
              <w:t>93</w:t>
            </w:r>
          </w:p>
        </w:tc>
        <w:tc>
          <w:tcPr>
            <w:tcW w:w="239" w:type="pct"/>
            <w:vMerge w:val="continue"/>
            <w:vAlign w:val="center"/>
          </w:tcPr>
          <w:p>
            <w:pPr>
              <w:widowControl/>
              <w:jc w:val="center"/>
              <w:rPr>
                <w:snapToGrid w:val="0"/>
                <w:color w:val="auto"/>
                <w:szCs w:val="21"/>
              </w:rPr>
            </w:pPr>
          </w:p>
        </w:tc>
        <w:tc>
          <w:tcPr>
            <w:tcW w:w="400" w:type="pct"/>
            <w:vMerge w:val="continue"/>
            <w:vAlign w:val="center"/>
          </w:tcPr>
          <w:p>
            <w:pPr>
              <w:widowControl/>
              <w:jc w:val="center"/>
              <w:rPr>
                <w:snapToGrid w:val="0"/>
                <w:color w:val="auto"/>
                <w:szCs w:val="21"/>
              </w:rPr>
            </w:pPr>
          </w:p>
        </w:tc>
        <w:tc>
          <w:tcPr>
            <w:tcW w:w="400" w:type="pct"/>
            <w:vAlign w:val="center"/>
          </w:tcPr>
          <w:p>
            <w:pPr>
              <w:widowControl/>
              <w:jc w:val="center"/>
              <w:rPr>
                <w:rFonts w:hint="eastAsia" w:eastAsia="宋体"/>
                <w:snapToGrid w:val="0"/>
                <w:color w:val="auto"/>
                <w:szCs w:val="21"/>
                <w:lang w:eastAsia="zh-CN"/>
              </w:rPr>
            </w:pPr>
            <w:r>
              <w:rPr>
                <w:rFonts w:hint="eastAsia"/>
                <w:color w:val="auto"/>
                <w:szCs w:val="21"/>
                <w:lang w:eastAsia="zh-CN"/>
              </w:rPr>
              <w:t>13.07</w:t>
            </w:r>
          </w:p>
        </w:tc>
        <w:tc>
          <w:tcPr>
            <w:tcW w:w="311" w:type="pct"/>
            <w:vAlign w:val="center"/>
          </w:tcPr>
          <w:p>
            <w:pPr>
              <w:widowControl/>
              <w:jc w:val="center"/>
              <w:rPr>
                <w:rFonts w:hint="default" w:eastAsia="宋体"/>
                <w:snapToGrid w:val="0"/>
                <w:color w:val="auto"/>
                <w:szCs w:val="21"/>
                <w:lang w:val="en-US" w:eastAsia="zh-CN"/>
              </w:rPr>
            </w:pPr>
            <w:r>
              <w:rPr>
                <w:rFonts w:hint="eastAsia"/>
                <w:color w:val="auto"/>
                <w:szCs w:val="21"/>
                <w:lang w:val="en-US" w:eastAsia="zh-CN"/>
              </w:rPr>
              <w:t>0.23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232" w:type="pct"/>
            <w:vMerge w:val="continue"/>
            <w:vAlign w:val="center"/>
          </w:tcPr>
          <w:p>
            <w:pPr>
              <w:pStyle w:val="84"/>
              <w:rPr>
                <w:rFonts w:hAnsi="Times New Roman"/>
                <w:snapToGrid w:val="0"/>
                <w:color w:val="auto"/>
              </w:rPr>
            </w:pPr>
          </w:p>
        </w:tc>
        <w:tc>
          <w:tcPr>
            <w:tcW w:w="241" w:type="pct"/>
            <w:vMerge w:val="continue"/>
            <w:vAlign w:val="center"/>
          </w:tcPr>
          <w:p>
            <w:pPr>
              <w:pStyle w:val="84"/>
              <w:rPr>
                <w:rFonts w:hAnsi="Times New Roman"/>
                <w:snapToGrid w:val="0"/>
                <w:color w:val="auto"/>
              </w:rPr>
            </w:pPr>
          </w:p>
        </w:tc>
        <w:tc>
          <w:tcPr>
            <w:tcW w:w="515" w:type="pct"/>
            <w:vMerge w:val="continue"/>
            <w:vAlign w:val="center"/>
          </w:tcPr>
          <w:p>
            <w:pPr>
              <w:pStyle w:val="84"/>
              <w:rPr>
                <w:rFonts w:hAnsi="Times New Roman"/>
                <w:snapToGrid w:val="0"/>
                <w:color w:val="auto"/>
              </w:rPr>
            </w:pPr>
          </w:p>
        </w:tc>
        <w:tc>
          <w:tcPr>
            <w:tcW w:w="450" w:type="pct"/>
            <w:vAlign w:val="center"/>
          </w:tcPr>
          <w:p>
            <w:pPr>
              <w:widowControl/>
              <w:jc w:val="center"/>
              <w:rPr>
                <w:snapToGrid w:val="0"/>
                <w:color w:val="auto"/>
                <w:szCs w:val="21"/>
              </w:rPr>
            </w:pPr>
            <w:r>
              <w:rPr>
                <w:snapToGrid w:val="0"/>
                <w:color w:val="auto"/>
                <w:szCs w:val="21"/>
              </w:rPr>
              <w:t>氨氮</w:t>
            </w:r>
          </w:p>
        </w:tc>
        <w:tc>
          <w:tcPr>
            <w:tcW w:w="300" w:type="pct"/>
            <w:vMerge w:val="continue"/>
            <w:vAlign w:val="center"/>
          </w:tcPr>
          <w:p>
            <w:pPr>
              <w:widowControl/>
              <w:jc w:val="center"/>
              <w:rPr>
                <w:snapToGrid w:val="0"/>
                <w:color w:val="FF0000"/>
                <w:szCs w:val="21"/>
              </w:rPr>
            </w:pPr>
          </w:p>
        </w:tc>
        <w:tc>
          <w:tcPr>
            <w:tcW w:w="401" w:type="pct"/>
            <w:vMerge w:val="continue"/>
            <w:vAlign w:val="center"/>
          </w:tcPr>
          <w:p>
            <w:pPr>
              <w:pStyle w:val="84"/>
              <w:rPr>
                <w:rFonts w:hAnsi="Times New Roman"/>
                <w:snapToGrid w:val="0"/>
                <w:color w:val="auto"/>
              </w:rPr>
            </w:pPr>
          </w:p>
        </w:tc>
        <w:tc>
          <w:tcPr>
            <w:tcW w:w="550" w:type="pct"/>
            <w:vAlign w:val="center"/>
          </w:tcPr>
          <w:p>
            <w:pPr>
              <w:pStyle w:val="84"/>
              <w:rPr>
                <w:rFonts w:hint="eastAsia" w:hAnsi="Times New Roman" w:eastAsia="宋体"/>
                <w:snapToGrid w:val="0"/>
                <w:color w:val="auto"/>
                <w:lang w:eastAsia="zh-CN"/>
              </w:rPr>
            </w:pPr>
            <w:r>
              <w:rPr>
                <w:rFonts w:hint="eastAsia"/>
                <w:color w:val="auto"/>
                <w:lang w:eastAsia="zh-CN"/>
              </w:rPr>
              <w:t>142.13</w:t>
            </w:r>
          </w:p>
        </w:tc>
        <w:tc>
          <w:tcPr>
            <w:tcW w:w="500" w:type="pct"/>
            <w:vAlign w:val="center"/>
          </w:tcPr>
          <w:p>
            <w:pPr>
              <w:pStyle w:val="84"/>
              <w:rPr>
                <w:rFonts w:hint="default" w:hAnsi="Times New Roman" w:eastAsia="宋体"/>
                <w:snapToGrid w:val="0"/>
                <w:color w:val="auto"/>
                <w:lang w:val="en-US" w:eastAsia="zh-CN"/>
              </w:rPr>
            </w:pPr>
            <w:r>
              <w:rPr>
                <w:rFonts w:hint="eastAsia"/>
                <w:color w:val="auto"/>
                <w:kern w:val="0"/>
                <w:lang w:val="en-US" w:eastAsia="zh-CN"/>
              </w:rPr>
              <w:t>2.49</w:t>
            </w:r>
          </w:p>
        </w:tc>
        <w:tc>
          <w:tcPr>
            <w:tcW w:w="249" w:type="pct"/>
            <w:vMerge w:val="continue"/>
            <w:vAlign w:val="center"/>
          </w:tcPr>
          <w:p>
            <w:pPr>
              <w:widowControl/>
              <w:jc w:val="center"/>
              <w:rPr>
                <w:snapToGrid w:val="0"/>
                <w:color w:val="FF0000"/>
                <w:szCs w:val="21"/>
              </w:rPr>
            </w:pPr>
          </w:p>
        </w:tc>
        <w:tc>
          <w:tcPr>
            <w:tcW w:w="212" w:type="pct"/>
            <w:vAlign w:val="center"/>
          </w:tcPr>
          <w:p>
            <w:pPr>
              <w:widowControl/>
              <w:jc w:val="center"/>
              <w:rPr>
                <w:snapToGrid w:val="0"/>
                <w:color w:val="auto"/>
                <w:szCs w:val="21"/>
              </w:rPr>
            </w:pPr>
            <w:r>
              <w:rPr>
                <w:rFonts w:hint="eastAsia"/>
                <w:color w:val="auto"/>
                <w:szCs w:val="21"/>
              </w:rPr>
              <w:t>78</w:t>
            </w:r>
          </w:p>
        </w:tc>
        <w:tc>
          <w:tcPr>
            <w:tcW w:w="239" w:type="pct"/>
            <w:vMerge w:val="continue"/>
            <w:vAlign w:val="center"/>
          </w:tcPr>
          <w:p>
            <w:pPr>
              <w:widowControl/>
              <w:jc w:val="center"/>
              <w:rPr>
                <w:snapToGrid w:val="0"/>
                <w:color w:val="auto"/>
                <w:szCs w:val="21"/>
              </w:rPr>
            </w:pPr>
          </w:p>
        </w:tc>
        <w:tc>
          <w:tcPr>
            <w:tcW w:w="400" w:type="pct"/>
            <w:vMerge w:val="continue"/>
            <w:vAlign w:val="center"/>
          </w:tcPr>
          <w:p>
            <w:pPr>
              <w:widowControl/>
              <w:jc w:val="center"/>
              <w:rPr>
                <w:snapToGrid w:val="0"/>
                <w:color w:val="auto"/>
                <w:szCs w:val="21"/>
              </w:rPr>
            </w:pPr>
          </w:p>
        </w:tc>
        <w:tc>
          <w:tcPr>
            <w:tcW w:w="400" w:type="pct"/>
            <w:vAlign w:val="center"/>
          </w:tcPr>
          <w:p>
            <w:pPr>
              <w:widowControl/>
              <w:jc w:val="center"/>
              <w:rPr>
                <w:rFonts w:hint="eastAsia" w:eastAsia="宋体"/>
                <w:snapToGrid w:val="0"/>
                <w:color w:val="auto"/>
                <w:szCs w:val="21"/>
                <w:lang w:eastAsia="zh-CN"/>
              </w:rPr>
            </w:pPr>
            <w:r>
              <w:rPr>
                <w:rFonts w:hint="eastAsia"/>
                <w:color w:val="auto"/>
                <w:szCs w:val="21"/>
                <w:lang w:eastAsia="zh-CN"/>
              </w:rPr>
              <w:t>31.27</w:t>
            </w:r>
          </w:p>
        </w:tc>
        <w:tc>
          <w:tcPr>
            <w:tcW w:w="311" w:type="pct"/>
            <w:vAlign w:val="center"/>
          </w:tcPr>
          <w:p>
            <w:pPr>
              <w:widowControl/>
              <w:jc w:val="center"/>
              <w:rPr>
                <w:rFonts w:hint="eastAsia" w:eastAsia="宋体"/>
                <w:snapToGrid w:val="0"/>
                <w:color w:val="auto"/>
                <w:szCs w:val="21"/>
                <w:lang w:eastAsia="zh-CN"/>
              </w:rPr>
            </w:pPr>
            <w:r>
              <w:rPr>
                <w:rFonts w:hint="eastAsia"/>
                <w:color w:val="auto"/>
                <w:szCs w:val="21"/>
                <w:lang w:eastAsia="zh-CN"/>
              </w:rPr>
              <w:t>0.55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232" w:type="pct"/>
            <w:vMerge w:val="continue"/>
            <w:vAlign w:val="center"/>
          </w:tcPr>
          <w:p>
            <w:pPr>
              <w:pStyle w:val="84"/>
              <w:rPr>
                <w:rFonts w:hAnsi="Times New Roman"/>
                <w:snapToGrid w:val="0"/>
                <w:color w:val="auto"/>
              </w:rPr>
            </w:pPr>
          </w:p>
        </w:tc>
        <w:tc>
          <w:tcPr>
            <w:tcW w:w="241" w:type="pct"/>
            <w:vMerge w:val="continue"/>
            <w:vAlign w:val="center"/>
          </w:tcPr>
          <w:p>
            <w:pPr>
              <w:pStyle w:val="84"/>
              <w:rPr>
                <w:rFonts w:hAnsi="Times New Roman"/>
                <w:snapToGrid w:val="0"/>
                <w:color w:val="auto"/>
              </w:rPr>
            </w:pPr>
          </w:p>
        </w:tc>
        <w:tc>
          <w:tcPr>
            <w:tcW w:w="515" w:type="pct"/>
            <w:vMerge w:val="continue"/>
            <w:vAlign w:val="center"/>
          </w:tcPr>
          <w:p>
            <w:pPr>
              <w:pStyle w:val="84"/>
              <w:rPr>
                <w:rFonts w:hAnsi="Times New Roman"/>
                <w:snapToGrid w:val="0"/>
                <w:color w:val="auto"/>
              </w:rPr>
            </w:pPr>
          </w:p>
        </w:tc>
        <w:tc>
          <w:tcPr>
            <w:tcW w:w="450" w:type="pct"/>
            <w:vAlign w:val="center"/>
          </w:tcPr>
          <w:p>
            <w:pPr>
              <w:widowControl/>
              <w:jc w:val="center"/>
              <w:rPr>
                <w:snapToGrid w:val="0"/>
                <w:color w:val="auto"/>
                <w:szCs w:val="21"/>
              </w:rPr>
            </w:pPr>
            <w:r>
              <w:rPr>
                <w:rFonts w:hint="eastAsia"/>
                <w:bCs/>
                <w:snapToGrid w:val="0"/>
                <w:color w:val="auto"/>
                <w:szCs w:val="21"/>
              </w:rPr>
              <w:t>大肠菌群数</w:t>
            </w:r>
          </w:p>
        </w:tc>
        <w:tc>
          <w:tcPr>
            <w:tcW w:w="300" w:type="pct"/>
            <w:vMerge w:val="continue"/>
            <w:vAlign w:val="center"/>
          </w:tcPr>
          <w:p>
            <w:pPr>
              <w:widowControl/>
              <w:jc w:val="center"/>
              <w:rPr>
                <w:snapToGrid w:val="0"/>
                <w:color w:val="FF0000"/>
                <w:szCs w:val="21"/>
              </w:rPr>
            </w:pPr>
          </w:p>
        </w:tc>
        <w:tc>
          <w:tcPr>
            <w:tcW w:w="401" w:type="pct"/>
            <w:vMerge w:val="continue"/>
            <w:vAlign w:val="center"/>
          </w:tcPr>
          <w:p>
            <w:pPr>
              <w:pStyle w:val="84"/>
              <w:rPr>
                <w:rFonts w:hAnsi="Times New Roman"/>
                <w:snapToGrid w:val="0"/>
                <w:color w:val="auto"/>
              </w:rPr>
            </w:pPr>
          </w:p>
        </w:tc>
        <w:tc>
          <w:tcPr>
            <w:tcW w:w="550" w:type="pct"/>
            <w:vAlign w:val="center"/>
          </w:tcPr>
          <w:p>
            <w:pPr>
              <w:pStyle w:val="84"/>
              <w:rPr>
                <w:rFonts w:hAnsi="Times New Roman"/>
                <w:snapToGrid w:val="0"/>
                <w:color w:val="auto"/>
              </w:rPr>
            </w:pPr>
            <w:r>
              <w:rPr>
                <w:rFonts w:hint="eastAsia" w:hAnsi="Times New Roman"/>
                <w:snapToGrid w:val="0"/>
                <w:color w:val="auto"/>
                <w:lang w:eastAsia="zh-CN"/>
              </w:rPr>
              <w:t>3.83</w:t>
            </w:r>
            <w:r>
              <w:rPr>
                <w:rFonts w:hint="eastAsia" w:hAnsi="Times New Roman"/>
                <w:bCs/>
                <w:snapToGrid w:val="0"/>
                <w:color w:val="auto"/>
              </w:rPr>
              <w:t>×10</w:t>
            </w:r>
            <w:r>
              <w:rPr>
                <w:rFonts w:hint="eastAsia" w:hAnsi="Times New Roman"/>
                <w:bCs/>
                <w:snapToGrid w:val="0"/>
                <w:color w:val="auto"/>
                <w:vertAlign w:val="superscript"/>
              </w:rPr>
              <w:t>5</w:t>
            </w:r>
          </w:p>
        </w:tc>
        <w:tc>
          <w:tcPr>
            <w:tcW w:w="500" w:type="pct"/>
            <w:vAlign w:val="center"/>
          </w:tcPr>
          <w:p>
            <w:pPr>
              <w:pStyle w:val="84"/>
              <w:rPr>
                <w:rFonts w:hAnsi="Times New Roman"/>
                <w:snapToGrid w:val="0"/>
                <w:color w:val="auto"/>
              </w:rPr>
            </w:pPr>
            <w:r>
              <w:rPr>
                <w:rFonts w:hint="eastAsia"/>
                <w:bCs/>
                <w:color w:val="auto"/>
                <w:lang w:val="en-US" w:eastAsia="zh-CN"/>
              </w:rPr>
              <w:t>6.27</w:t>
            </w:r>
            <w:r>
              <w:rPr>
                <w:rFonts w:hint="eastAsia"/>
                <w:bCs/>
                <w:color w:val="auto"/>
              </w:rPr>
              <w:t>×10</w:t>
            </w:r>
            <w:r>
              <w:rPr>
                <w:rFonts w:hint="eastAsia"/>
                <w:bCs/>
                <w:color w:val="auto"/>
                <w:vertAlign w:val="superscript"/>
              </w:rPr>
              <w:t>12</w:t>
            </w:r>
            <w:r>
              <w:rPr>
                <w:rFonts w:hint="eastAsia"/>
                <w:bCs/>
                <w:color w:val="auto"/>
              </w:rPr>
              <w:t>个</w:t>
            </w:r>
          </w:p>
        </w:tc>
        <w:tc>
          <w:tcPr>
            <w:tcW w:w="249" w:type="pct"/>
            <w:vMerge w:val="continue"/>
            <w:vAlign w:val="center"/>
          </w:tcPr>
          <w:p>
            <w:pPr>
              <w:widowControl/>
              <w:jc w:val="center"/>
              <w:rPr>
                <w:snapToGrid w:val="0"/>
                <w:color w:val="FF0000"/>
                <w:szCs w:val="21"/>
              </w:rPr>
            </w:pPr>
          </w:p>
        </w:tc>
        <w:tc>
          <w:tcPr>
            <w:tcW w:w="212" w:type="pct"/>
            <w:vAlign w:val="center"/>
          </w:tcPr>
          <w:p>
            <w:pPr>
              <w:widowControl/>
              <w:jc w:val="center"/>
              <w:rPr>
                <w:snapToGrid w:val="0"/>
                <w:color w:val="auto"/>
                <w:szCs w:val="21"/>
              </w:rPr>
            </w:pPr>
            <w:r>
              <w:rPr>
                <w:rFonts w:hint="eastAsia"/>
                <w:color w:val="auto"/>
                <w:szCs w:val="21"/>
              </w:rPr>
              <w:t>95</w:t>
            </w:r>
          </w:p>
        </w:tc>
        <w:tc>
          <w:tcPr>
            <w:tcW w:w="239" w:type="pct"/>
            <w:vMerge w:val="continue"/>
            <w:vAlign w:val="center"/>
          </w:tcPr>
          <w:p>
            <w:pPr>
              <w:widowControl/>
              <w:jc w:val="center"/>
              <w:rPr>
                <w:snapToGrid w:val="0"/>
                <w:color w:val="auto"/>
                <w:szCs w:val="21"/>
              </w:rPr>
            </w:pPr>
          </w:p>
        </w:tc>
        <w:tc>
          <w:tcPr>
            <w:tcW w:w="400" w:type="pct"/>
            <w:vMerge w:val="continue"/>
            <w:vAlign w:val="center"/>
          </w:tcPr>
          <w:p>
            <w:pPr>
              <w:widowControl/>
              <w:jc w:val="center"/>
              <w:rPr>
                <w:snapToGrid w:val="0"/>
                <w:color w:val="auto"/>
                <w:szCs w:val="21"/>
              </w:rPr>
            </w:pPr>
          </w:p>
        </w:tc>
        <w:tc>
          <w:tcPr>
            <w:tcW w:w="400" w:type="pct"/>
            <w:vAlign w:val="center"/>
          </w:tcPr>
          <w:p>
            <w:pPr>
              <w:widowControl/>
              <w:jc w:val="center"/>
              <w:rPr>
                <w:snapToGrid w:val="0"/>
                <w:color w:val="FF0000"/>
                <w:szCs w:val="21"/>
              </w:rPr>
            </w:pPr>
            <w:r>
              <w:rPr>
                <w:rFonts w:hint="eastAsia"/>
                <w:snapToGrid w:val="0"/>
                <w:color w:val="auto"/>
                <w:szCs w:val="21"/>
                <w:lang w:eastAsia="zh-CN"/>
              </w:rPr>
              <w:t>19150</w:t>
            </w:r>
            <w:r>
              <w:rPr>
                <w:rFonts w:hint="eastAsia"/>
                <w:bCs/>
                <w:snapToGrid w:val="0"/>
                <w:color w:val="auto"/>
                <w:szCs w:val="21"/>
              </w:rPr>
              <w:t>个/L</w:t>
            </w:r>
          </w:p>
        </w:tc>
        <w:tc>
          <w:tcPr>
            <w:tcW w:w="311" w:type="pct"/>
            <w:vAlign w:val="center"/>
          </w:tcPr>
          <w:p>
            <w:pPr>
              <w:widowControl/>
              <w:jc w:val="center"/>
              <w:rPr>
                <w:snapToGrid w:val="0"/>
                <w:color w:val="FF0000"/>
                <w:szCs w:val="21"/>
              </w:rPr>
            </w:pPr>
            <w:r>
              <w:rPr>
                <w:rFonts w:hint="eastAsia"/>
                <w:snapToGrid w:val="0"/>
                <w:color w:val="auto"/>
                <w:szCs w:val="21"/>
                <w:lang w:eastAsia="zh-CN"/>
              </w:rPr>
              <w:t>3.14</w:t>
            </w:r>
            <w:r>
              <w:rPr>
                <w:rFonts w:hint="eastAsia"/>
                <w:bCs/>
                <w:snapToGrid w:val="0"/>
                <w:color w:val="auto"/>
                <w:szCs w:val="21"/>
              </w:rPr>
              <w:t>×10</w:t>
            </w:r>
            <w:r>
              <w:rPr>
                <w:rFonts w:hint="eastAsia"/>
                <w:bCs/>
                <w:snapToGrid w:val="0"/>
                <w:color w:val="auto"/>
                <w:szCs w:val="21"/>
                <w:vertAlign w:val="superscript"/>
              </w:rPr>
              <w:t>11</w:t>
            </w:r>
            <w:r>
              <w:rPr>
                <w:rFonts w:hint="eastAsia"/>
                <w:bCs/>
                <w:snapToGrid w:val="0"/>
                <w:color w:val="auto"/>
                <w:szCs w:val="21"/>
              </w:rPr>
              <w:t>个</w:t>
            </w:r>
          </w:p>
        </w:tc>
      </w:tr>
    </w:tbl>
    <w:p>
      <w:pPr>
        <w:adjustRightInd w:val="0"/>
        <w:snapToGrid w:val="0"/>
        <w:jc w:val="left"/>
        <w:rPr>
          <w:color w:val="auto"/>
          <w:szCs w:val="21"/>
        </w:rPr>
      </w:pPr>
      <w:r>
        <w:rPr>
          <w:rFonts w:hint="eastAsia"/>
          <w:color w:val="auto"/>
          <w:szCs w:val="21"/>
        </w:rPr>
        <w:t>注：pH为无量纲。</w:t>
      </w:r>
    </w:p>
    <w:p>
      <w:pPr>
        <w:adjustRightInd w:val="0"/>
        <w:snapToGrid w:val="0"/>
        <w:jc w:val="left"/>
        <w:rPr>
          <w:b/>
          <w:color w:val="FF0000"/>
          <w:szCs w:val="21"/>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pacing w:line="360" w:lineRule="auto"/>
        <w:outlineLvl w:val="3"/>
        <w:rPr>
          <w:b/>
          <w:color w:val="auto"/>
          <w:sz w:val="24"/>
        </w:rPr>
      </w:pPr>
      <w:r>
        <w:rPr>
          <w:b/>
          <w:color w:val="auto"/>
          <w:sz w:val="24"/>
        </w:rPr>
        <w:t>3.3.2.2废气污染分析</w:t>
      </w:r>
    </w:p>
    <w:p>
      <w:pPr>
        <w:spacing w:line="360" w:lineRule="auto"/>
        <w:ind w:firstLine="480" w:firstLineChars="200"/>
        <w:rPr>
          <w:color w:val="auto"/>
          <w:sz w:val="24"/>
        </w:rPr>
      </w:pPr>
      <w:r>
        <w:rPr>
          <w:color w:val="auto"/>
          <w:sz w:val="24"/>
        </w:rPr>
        <w:t>本项目排放主要为</w:t>
      </w:r>
      <w:r>
        <w:rPr>
          <w:rFonts w:hint="eastAsia"/>
          <w:color w:val="auto"/>
          <w:sz w:val="24"/>
        </w:rPr>
        <w:t>待宰间</w:t>
      </w:r>
      <w:r>
        <w:rPr>
          <w:color w:val="auto"/>
          <w:sz w:val="24"/>
        </w:rPr>
        <w:t>恶臭、</w:t>
      </w:r>
      <w:r>
        <w:rPr>
          <w:rFonts w:hint="eastAsia"/>
          <w:color w:val="auto"/>
          <w:sz w:val="24"/>
        </w:rPr>
        <w:t>屠宰车间恶臭、污水处理站恶臭、食堂油烟</w:t>
      </w:r>
      <w:r>
        <w:rPr>
          <w:rFonts w:hint="eastAsia"/>
          <w:color w:val="auto"/>
          <w:sz w:val="24"/>
          <w:lang w:eastAsia="zh-CN"/>
        </w:rPr>
        <w:t>、</w:t>
      </w:r>
      <w:r>
        <w:rPr>
          <w:rFonts w:hint="eastAsia"/>
          <w:color w:val="auto"/>
          <w:sz w:val="24"/>
          <w:lang w:val="en-US" w:eastAsia="zh-CN"/>
        </w:rPr>
        <w:t>锅炉烟气</w:t>
      </w:r>
      <w:r>
        <w:rPr>
          <w:color w:val="auto"/>
          <w:sz w:val="24"/>
        </w:rPr>
        <w:t>。</w:t>
      </w:r>
    </w:p>
    <w:p>
      <w:pPr>
        <w:spacing w:line="360" w:lineRule="auto"/>
        <w:ind w:firstLine="480" w:firstLineChars="200"/>
        <w:rPr>
          <w:color w:val="auto"/>
          <w:sz w:val="24"/>
        </w:rPr>
      </w:pPr>
      <w:r>
        <w:rPr>
          <w:rFonts w:hint="eastAsia"/>
          <w:color w:val="auto"/>
          <w:sz w:val="24"/>
        </w:rPr>
        <w:t>（1）食堂油烟</w:t>
      </w:r>
    </w:p>
    <w:p>
      <w:pPr>
        <w:spacing w:line="360" w:lineRule="auto"/>
        <w:ind w:firstLine="480" w:firstLineChars="200"/>
        <w:rPr>
          <w:color w:val="auto"/>
          <w:sz w:val="24"/>
        </w:rPr>
      </w:pPr>
      <w:r>
        <w:rPr>
          <w:bCs/>
          <w:color w:val="auto"/>
          <w:sz w:val="24"/>
        </w:rPr>
        <w:t>本项目食堂为</w:t>
      </w:r>
      <w:r>
        <w:rPr>
          <w:rFonts w:hint="eastAsia"/>
          <w:bCs/>
          <w:color w:val="auto"/>
          <w:sz w:val="24"/>
        </w:rPr>
        <w:t>两</w:t>
      </w:r>
      <w:r>
        <w:rPr>
          <w:bCs/>
          <w:color w:val="auto"/>
          <w:sz w:val="24"/>
        </w:rPr>
        <w:t>个灶头，根据</w:t>
      </w:r>
      <w:r>
        <w:rPr>
          <w:rFonts w:hint="eastAsia"/>
          <w:bCs/>
          <w:color w:val="auto"/>
          <w:sz w:val="24"/>
        </w:rPr>
        <w:t>《排放源统计调查产排污核算方法和系数手册》中“生活源产排污核算系数手册”餐饮油烟产污系数，本项目位于三区，因此取排放系数为301克/（人·年），本项目</w:t>
      </w:r>
      <w:r>
        <w:rPr>
          <w:bCs/>
          <w:color w:val="auto"/>
          <w:sz w:val="24"/>
        </w:rPr>
        <w:t>用餐人数为</w:t>
      </w:r>
      <w:r>
        <w:rPr>
          <w:rFonts w:hint="eastAsia"/>
          <w:bCs/>
          <w:color w:val="auto"/>
          <w:sz w:val="24"/>
          <w:lang w:eastAsia="zh-CN"/>
        </w:rPr>
        <w:t>60人</w:t>
      </w:r>
      <w:r>
        <w:rPr>
          <w:bCs/>
          <w:color w:val="auto"/>
          <w:sz w:val="24"/>
        </w:rPr>
        <w:t>，经</w:t>
      </w:r>
      <w:r>
        <w:rPr>
          <w:rFonts w:hint="eastAsia"/>
          <w:bCs/>
          <w:color w:val="auto"/>
          <w:sz w:val="24"/>
        </w:rPr>
        <w:t>核算</w:t>
      </w:r>
      <w:r>
        <w:rPr>
          <w:bCs/>
          <w:color w:val="auto"/>
          <w:sz w:val="24"/>
        </w:rPr>
        <w:t>，本项目年产生油烟量为</w:t>
      </w:r>
      <w:r>
        <w:rPr>
          <w:rFonts w:hint="eastAsia"/>
          <w:bCs/>
          <w:color w:val="auto"/>
          <w:sz w:val="24"/>
        </w:rPr>
        <w:t>0.01</w:t>
      </w:r>
      <w:r>
        <w:rPr>
          <w:rFonts w:hint="eastAsia"/>
          <w:bCs/>
          <w:color w:val="auto"/>
          <w:sz w:val="24"/>
          <w:lang w:val="en-US" w:eastAsia="zh-CN"/>
        </w:rPr>
        <w:t>8</w:t>
      </w:r>
      <w:r>
        <w:rPr>
          <w:rFonts w:hint="eastAsia"/>
          <w:bCs/>
          <w:color w:val="auto"/>
          <w:sz w:val="24"/>
        </w:rPr>
        <w:t>t</w:t>
      </w:r>
      <w:r>
        <w:rPr>
          <w:bCs/>
          <w:color w:val="auto"/>
          <w:sz w:val="24"/>
        </w:rPr>
        <w:t>/a。按日高峰期</w:t>
      </w:r>
      <w:r>
        <w:rPr>
          <w:rFonts w:hint="eastAsia"/>
          <w:bCs/>
          <w:color w:val="auto"/>
          <w:sz w:val="24"/>
        </w:rPr>
        <w:t>6</w:t>
      </w:r>
      <w:r>
        <w:rPr>
          <w:bCs/>
          <w:color w:val="auto"/>
          <w:sz w:val="24"/>
        </w:rPr>
        <w:t>小时计，则高峰期该项目所产生油烟的</w:t>
      </w:r>
      <w:r>
        <w:rPr>
          <w:rFonts w:hint="eastAsia"/>
          <w:bCs/>
          <w:color w:val="auto"/>
          <w:sz w:val="24"/>
        </w:rPr>
        <w:t>速率</w:t>
      </w:r>
      <w:r>
        <w:rPr>
          <w:bCs/>
          <w:color w:val="auto"/>
          <w:sz w:val="24"/>
        </w:rPr>
        <w:t>为</w:t>
      </w:r>
      <w:r>
        <w:rPr>
          <w:rFonts w:hint="eastAsia"/>
          <w:bCs/>
          <w:color w:val="auto"/>
          <w:sz w:val="24"/>
          <w:lang w:eastAsia="zh-CN"/>
        </w:rPr>
        <w:t>0.01</w:t>
      </w:r>
      <w:r>
        <w:rPr>
          <w:bCs/>
          <w:color w:val="auto"/>
          <w:sz w:val="24"/>
        </w:rPr>
        <w:t>kg/h，油烟产生浓度为</w:t>
      </w:r>
      <w:r>
        <w:rPr>
          <w:rFonts w:hint="eastAsia"/>
          <w:bCs/>
          <w:color w:val="auto"/>
          <w:sz w:val="24"/>
          <w:lang w:val="en-US" w:eastAsia="zh-CN"/>
        </w:rPr>
        <w:t>4</w:t>
      </w:r>
      <w:r>
        <w:rPr>
          <w:bCs/>
          <w:color w:val="auto"/>
          <w:sz w:val="24"/>
        </w:rPr>
        <w:t>mg/m</w:t>
      </w:r>
      <w:r>
        <w:rPr>
          <w:bCs/>
          <w:color w:val="auto"/>
          <w:sz w:val="24"/>
          <w:vertAlign w:val="superscript"/>
        </w:rPr>
        <w:t>3</w:t>
      </w:r>
      <w:r>
        <w:rPr>
          <w:bCs/>
          <w:color w:val="auto"/>
          <w:sz w:val="24"/>
        </w:rPr>
        <w:t>（风量</w:t>
      </w:r>
      <w:r>
        <w:rPr>
          <w:rFonts w:hint="eastAsia"/>
          <w:bCs/>
          <w:color w:val="auto"/>
          <w:sz w:val="24"/>
          <w:lang w:val="en-US" w:eastAsia="zh-CN"/>
        </w:rPr>
        <w:t>25</w:t>
      </w:r>
      <w:r>
        <w:rPr>
          <w:bCs/>
          <w:color w:val="auto"/>
          <w:sz w:val="24"/>
        </w:rPr>
        <w:t>00m</w:t>
      </w:r>
      <w:r>
        <w:rPr>
          <w:bCs/>
          <w:color w:val="auto"/>
          <w:sz w:val="24"/>
          <w:vertAlign w:val="superscript"/>
        </w:rPr>
        <w:t>3</w:t>
      </w:r>
      <w:r>
        <w:rPr>
          <w:bCs/>
          <w:color w:val="auto"/>
          <w:sz w:val="24"/>
        </w:rPr>
        <w:t>/h计），经油烟净化装置（净化效率</w:t>
      </w:r>
      <w:r>
        <w:rPr>
          <w:rFonts w:hint="eastAsia"/>
          <w:bCs/>
          <w:color w:val="auto"/>
          <w:sz w:val="24"/>
        </w:rPr>
        <w:t>60</w:t>
      </w:r>
      <w:r>
        <w:rPr>
          <w:bCs/>
          <w:color w:val="auto"/>
          <w:sz w:val="24"/>
        </w:rPr>
        <w:t>%）处理后油烟排放</w:t>
      </w:r>
      <w:r>
        <w:rPr>
          <w:rFonts w:hint="eastAsia"/>
          <w:bCs/>
          <w:color w:val="auto"/>
          <w:sz w:val="24"/>
        </w:rPr>
        <w:t>速率</w:t>
      </w:r>
      <w:r>
        <w:rPr>
          <w:bCs/>
          <w:color w:val="auto"/>
          <w:sz w:val="24"/>
        </w:rPr>
        <w:t>为</w:t>
      </w:r>
      <w:r>
        <w:rPr>
          <w:rFonts w:hint="eastAsia"/>
          <w:bCs/>
          <w:color w:val="auto"/>
          <w:sz w:val="24"/>
          <w:lang w:eastAsia="zh-CN"/>
        </w:rPr>
        <w:t>0.004</w:t>
      </w:r>
      <w:r>
        <w:rPr>
          <w:bCs/>
          <w:color w:val="auto"/>
          <w:sz w:val="24"/>
        </w:rPr>
        <w:t>kg/h，排放量为</w:t>
      </w:r>
      <w:r>
        <w:rPr>
          <w:rFonts w:hint="eastAsia"/>
          <w:bCs/>
          <w:color w:val="auto"/>
          <w:sz w:val="24"/>
          <w:lang w:val="en-US" w:eastAsia="zh-CN"/>
        </w:rPr>
        <w:t>0.004</w:t>
      </w:r>
      <w:r>
        <w:rPr>
          <w:rFonts w:hint="eastAsia"/>
          <w:bCs/>
          <w:color w:val="auto"/>
          <w:sz w:val="24"/>
        </w:rPr>
        <w:t>t</w:t>
      </w:r>
      <w:r>
        <w:rPr>
          <w:bCs/>
          <w:color w:val="auto"/>
          <w:sz w:val="24"/>
        </w:rPr>
        <w:t>/a，排放浓度</w:t>
      </w:r>
      <w:r>
        <w:rPr>
          <w:rFonts w:hint="eastAsia"/>
          <w:bCs/>
          <w:color w:val="auto"/>
          <w:sz w:val="24"/>
          <w:lang w:eastAsia="zh-CN"/>
        </w:rPr>
        <w:t>1.6</w:t>
      </w:r>
      <w:r>
        <w:rPr>
          <w:bCs/>
          <w:color w:val="auto"/>
          <w:sz w:val="24"/>
        </w:rPr>
        <w:t>mg/m</w:t>
      </w:r>
      <w:r>
        <w:rPr>
          <w:bCs/>
          <w:color w:val="auto"/>
          <w:sz w:val="24"/>
          <w:vertAlign w:val="superscript"/>
        </w:rPr>
        <w:t>3</w:t>
      </w:r>
      <w:r>
        <w:rPr>
          <w:bCs/>
          <w:color w:val="auto"/>
          <w:sz w:val="24"/>
        </w:rPr>
        <w:t>。食堂设有专用的排烟通道通至房顶，通道出口通过安装油烟净化装置外排。建设单位必须采取措施保证日常运行过程中油烟净化装置的去除效率在</w:t>
      </w:r>
      <w:r>
        <w:rPr>
          <w:rFonts w:hint="eastAsia"/>
          <w:bCs/>
          <w:color w:val="auto"/>
          <w:sz w:val="24"/>
        </w:rPr>
        <w:t>60</w:t>
      </w:r>
      <w:r>
        <w:rPr>
          <w:bCs/>
          <w:color w:val="auto"/>
          <w:sz w:val="24"/>
        </w:rPr>
        <w:t>%以上，并定期派人对净化装置进行清理。</w:t>
      </w:r>
    </w:p>
    <w:p>
      <w:pPr>
        <w:spacing w:line="360" w:lineRule="auto"/>
        <w:ind w:firstLine="480" w:firstLineChars="200"/>
        <w:rPr>
          <w:color w:val="auto"/>
          <w:sz w:val="24"/>
        </w:rPr>
      </w:pPr>
      <w:r>
        <w:rPr>
          <w:color w:val="auto"/>
          <w:sz w:val="24"/>
        </w:rPr>
        <w:t>（</w:t>
      </w:r>
      <w:r>
        <w:rPr>
          <w:rFonts w:hint="eastAsia"/>
          <w:color w:val="auto"/>
          <w:sz w:val="24"/>
        </w:rPr>
        <w:t>2</w:t>
      </w:r>
      <w:r>
        <w:rPr>
          <w:color w:val="auto"/>
          <w:sz w:val="24"/>
        </w:rPr>
        <w:t>）</w:t>
      </w:r>
      <w:r>
        <w:rPr>
          <w:rFonts w:hint="eastAsia"/>
          <w:color w:val="auto"/>
          <w:sz w:val="24"/>
        </w:rPr>
        <w:t>待宰间</w:t>
      </w:r>
      <w:r>
        <w:rPr>
          <w:color w:val="auto"/>
          <w:sz w:val="24"/>
        </w:rPr>
        <w:t>恶臭</w:t>
      </w:r>
    </w:p>
    <w:p>
      <w:pPr>
        <w:spacing w:line="360" w:lineRule="auto"/>
        <w:ind w:firstLine="480" w:firstLineChars="200"/>
        <w:rPr>
          <w:color w:val="auto"/>
          <w:sz w:val="24"/>
        </w:rPr>
      </w:pPr>
      <w:r>
        <w:rPr>
          <w:rFonts w:hint="eastAsia"/>
          <w:color w:val="auto"/>
          <w:sz w:val="24"/>
        </w:rPr>
        <w:t>本项目</w:t>
      </w:r>
      <w:r>
        <w:rPr>
          <w:color w:val="auto"/>
          <w:sz w:val="24"/>
        </w:rPr>
        <w:t>待宰间是为</w:t>
      </w:r>
      <w:r>
        <w:rPr>
          <w:rFonts w:hint="eastAsia"/>
          <w:color w:val="auto"/>
          <w:sz w:val="24"/>
        </w:rPr>
        <w:t>活肉牛</w:t>
      </w:r>
      <w:r>
        <w:rPr>
          <w:color w:val="auto"/>
          <w:sz w:val="24"/>
        </w:rPr>
        <w:t>提供存放、观察及休息的场所</w:t>
      </w:r>
      <w:r>
        <w:rPr>
          <w:rFonts w:hint="eastAsia"/>
          <w:color w:val="auto"/>
          <w:sz w:val="24"/>
        </w:rPr>
        <w:t>，</w:t>
      </w:r>
      <w:r>
        <w:rPr>
          <w:color w:val="auto"/>
          <w:sz w:val="24"/>
        </w:rPr>
        <w:t>恶臭主要来自</w:t>
      </w:r>
      <w:r>
        <w:rPr>
          <w:rFonts w:hint="eastAsia"/>
          <w:color w:val="auto"/>
          <w:sz w:val="24"/>
        </w:rPr>
        <w:t>牛</w:t>
      </w:r>
      <w:r>
        <w:rPr>
          <w:color w:val="auto"/>
          <w:sz w:val="24"/>
        </w:rPr>
        <w:t>粪便产生</w:t>
      </w:r>
      <w:r>
        <w:rPr>
          <w:rFonts w:hint="eastAsia"/>
          <w:color w:val="auto"/>
          <w:sz w:val="24"/>
        </w:rPr>
        <w:t>的</w:t>
      </w:r>
      <w:r>
        <w:rPr>
          <w:color w:val="auto"/>
          <w:sz w:val="24"/>
        </w:rPr>
        <w:t>氨、H</w:t>
      </w:r>
      <w:r>
        <w:rPr>
          <w:color w:val="auto"/>
          <w:sz w:val="24"/>
          <w:vertAlign w:val="subscript"/>
        </w:rPr>
        <w:t>2</w:t>
      </w:r>
      <w:r>
        <w:rPr>
          <w:color w:val="auto"/>
          <w:sz w:val="24"/>
        </w:rPr>
        <w:t>S等恶臭气体，</w:t>
      </w:r>
      <w:r>
        <w:rPr>
          <w:rFonts w:hint="eastAsia"/>
          <w:color w:val="auto"/>
          <w:sz w:val="24"/>
        </w:rPr>
        <w:t>粪便</w:t>
      </w:r>
      <w:r>
        <w:rPr>
          <w:color w:val="auto"/>
          <w:sz w:val="24"/>
        </w:rPr>
        <w:t>若未及时清除或清除后不能及时处理，将会使臭味成倍增加，并会孳生大量蚊蝇，影响环境卫生。本项目待宰间设置专人管理，并投加或喷洒除臭剂，</w:t>
      </w:r>
      <w:r>
        <w:rPr>
          <w:rFonts w:hint="eastAsia"/>
          <w:color w:val="auto"/>
          <w:sz w:val="24"/>
        </w:rPr>
        <w:t>粪便采用干清粪</w:t>
      </w:r>
      <w:r>
        <w:rPr>
          <w:color w:val="auto"/>
          <w:sz w:val="24"/>
        </w:rPr>
        <w:t>，</w:t>
      </w:r>
      <w:r>
        <w:rPr>
          <w:rFonts w:hint="eastAsia"/>
          <w:color w:val="auto"/>
          <w:sz w:val="24"/>
        </w:rPr>
        <w:t>地面定期冲刷</w:t>
      </w:r>
      <w:r>
        <w:rPr>
          <w:color w:val="auto"/>
          <w:sz w:val="24"/>
        </w:rPr>
        <w:t>，</w:t>
      </w:r>
      <w:r>
        <w:rPr>
          <w:rFonts w:hint="eastAsia"/>
          <w:color w:val="auto"/>
          <w:sz w:val="24"/>
        </w:rPr>
        <w:t>废水进入污水处理站处理</w:t>
      </w:r>
      <w:r>
        <w:rPr>
          <w:color w:val="auto"/>
          <w:sz w:val="24"/>
        </w:rPr>
        <w:t>并将</w:t>
      </w:r>
      <w:r>
        <w:rPr>
          <w:rFonts w:hint="eastAsia"/>
          <w:color w:val="auto"/>
          <w:sz w:val="24"/>
        </w:rPr>
        <w:t>牛粪</w:t>
      </w:r>
      <w:r>
        <w:rPr>
          <w:color w:val="auto"/>
          <w:sz w:val="24"/>
        </w:rPr>
        <w:t>及时外运综合利用，减少恶臭源的散发。</w:t>
      </w:r>
    </w:p>
    <w:p>
      <w:pPr>
        <w:spacing w:line="360" w:lineRule="auto"/>
        <w:ind w:firstLine="480" w:firstLineChars="200"/>
        <w:rPr>
          <w:color w:val="FF0000"/>
          <w:sz w:val="24"/>
        </w:rPr>
      </w:pPr>
      <w:r>
        <w:rPr>
          <w:color w:val="auto"/>
          <w:sz w:val="24"/>
        </w:rPr>
        <w:t>根据论文《中国畜禽粪便产生量估算及环境效应》（中国环境科学，2006，26（5）：614～617），牛粪中含氮量约0.351%、含硫量约0.596‰。尿液中氮元素（蛋白质、氨基酸、腐殖质等）含量大致为0.03%。根据《家畜环境卫生学》（安立龙，高等出版社），在饲料配方合理，栏舍管理得当的前提下，总硫、总氮转化成硫化氢、氨气的总量不超过其总量的5%，本次评价按其最不利条件，转化率按5%计算。</w:t>
      </w:r>
    </w:p>
    <w:p>
      <w:pPr>
        <w:spacing w:line="360" w:lineRule="auto"/>
        <w:ind w:firstLine="480" w:firstLineChars="200"/>
        <w:rPr>
          <w:color w:val="FF0000"/>
          <w:sz w:val="24"/>
        </w:rPr>
      </w:pPr>
      <w:r>
        <w:rPr>
          <w:rFonts w:hint="eastAsia"/>
          <w:color w:val="auto"/>
          <w:sz w:val="24"/>
        </w:rPr>
        <w:t>本项目</w:t>
      </w:r>
      <w:r>
        <w:rPr>
          <w:color w:val="auto"/>
          <w:sz w:val="24"/>
        </w:rPr>
        <w:t>待宰间尿液产生量为</w:t>
      </w:r>
      <w:r>
        <w:rPr>
          <w:rFonts w:hint="eastAsia"/>
          <w:color w:val="auto"/>
          <w:sz w:val="24"/>
          <w:lang w:val="en-US" w:eastAsia="zh-CN"/>
        </w:rPr>
        <w:t>200</w:t>
      </w:r>
      <w:r>
        <w:rPr>
          <w:rFonts w:hint="eastAsia"/>
          <w:color w:val="auto"/>
          <w:sz w:val="24"/>
        </w:rPr>
        <w:t>t/a。</w:t>
      </w:r>
      <w:r>
        <w:rPr>
          <w:bCs/>
          <w:color w:val="auto"/>
          <w:sz w:val="24"/>
        </w:rPr>
        <w:t>根据《排污许可证申请与核发技术规范畜禽养殖行业》（HJ1029-2019）中</w:t>
      </w:r>
      <w:r>
        <w:rPr>
          <w:rFonts w:hint="eastAsia"/>
          <w:bCs/>
          <w:color w:val="auto"/>
          <w:sz w:val="24"/>
        </w:rPr>
        <w:t>肉牛</w:t>
      </w:r>
      <w:r>
        <w:rPr>
          <w:bCs/>
          <w:color w:val="auto"/>
          <w:sz w:val="24"/>
        </w:rPr>
        <w:t>粪便产生量为</w:t>
      </w:r>
      <w:r>
        <w:rPr>
          <w:rFonts w:hint="eastAsia"/>
          <w:bCs/>
          <w:color w:val="auto"/>
          <w:sz w:val="24"/>
        </w:rPr>
        <w:t>10.88</w:t>
      </w:r>
      <w:r>
        <w:rPr>
          <w:bCs/>
          <w:color w:val="auto"/>
          <w:sz w:val="24"/>
        </w:rPr>
        <w:t>kg/头•d，</w:t>
      </w:r>
      <w:r>
        <w:rPr>
          <w:rFonts w:hint="eastAsia"/>
          <w:color w:val="auto"/>
          <w:sz w:val="24"/>
        </w:rPr>
        <w:t>本项目</w:t>
      </w:r>
      <w:r>
        <w:rPr>
          <w:color w:val="auto"/>
          <w:sz w:val="24"/>
        </w:rPr>
        <w:t>年屠宰肉牛</w:t>
      </w:r>
      <w:r>
        <w:rPr>
          <w:rFonts w:hint="eastAsia"/>
          <w:color w:val="auto"/>
          <w:sz w:val="24"/>
          <w:lang w:eastAsia="zh-CN"/>
        </w:rPr>
        <w:t>2万</w:t>
      </w:r>
      <w:r>
        <w:rPr>
          <w:color w:val="auto"/>
          <w:sz w:val="24"/>
        </w:rPr>
        <w:t>头，</w:t>
      </w:r>
      <w:r>
        <w:rPr>
          <w:rFonts w:hint="eastAsia"/>
          <w:color w:val="auto"/>
          <w:sz w:val="24"/>
        </w:rPr>
        <w:t>粪便产生量约为</w:t>
      </w:r>
      <w:r>
        <w:rPr>
          <w:rFonts w:hint="eastAsia"/>
          <w:color w:val="auto"/>
          <w:sz w:val="24"/>
          <w:lang w:eastAsia="zh-CN"/>
        </w:rPr>
        <w:t>217.6</w:t>
      </w:r>
      <w:r>
        <w:rPr>
          <w:rFonts w:hint="eastAsia"/>
          <w:color w:val="auto"/>
          <w:sz w:val="24"/>
        </w:rPr>
        <w:t>t/a。</w:t>
      </w:r>
    </w:p>
    <w:p>
      <w:pPr>
        <w:spacing w:line="360" w:lineRule="auto"/>
        <w:ind w:firstLine="480" w:firstLineChars="200"/>
        <w:rPr>
          <w:color w:val="auto"/>
          <w:sz w:val="24"/>
        </w:rPr>
      </w:pPr>
      <w:r>
        <w:rPr>
          <w:color w:val="auto"/>
          <w:sz w:val="24"/>
        </w:rPr>
        <w:t>氨气产生量=</w:t>
      </w:r>
      <w:r>
        <w:rPr>
          <w:rFonts w:hint="eastAsia"/>
          <w:color w:val="auto"/>
          <w:sz w:val="24"/>
          <w:lang w:eastAsia="zh-CN"/>
        </w:rPr>
        <w:t>217.6</w:t>
      </w:r>
      <w:r>
        <w:rPr>
          <w:rFonts w:hint="default" w:ascii="Arial" w:hAnsi="Arial" w:cs="Arial"/>
          <w:color w:val="auto"/>
          <w:sz w:val="24"/>
        </w:rPr>
        <w:t>×</w:t>
      </w:r>
      <w:r>
        <w:rPr>
          <w:color w:val="auto"/>
          <w:sz w:val="24"/>
        </w:rPr>
        <w:t>0.351%</w:t>
      </w:r>
      <w:r>
        <w:rPr>
          <w:rFonts w:hint="eastAsia"/>
          <w:color w:val="auto"/>
          <w:sz w:val="24"/>
          <w:lang w:eastAsia="zh-CN"/>
        </w:rPr>
        <w:t>×</w:t>
      </w:r>
      <w:r>
        <w:rPr>
          <w:color w:val="auto"/>
          <w:sz w:val="24"/>
        </w:rPr>
        <w:t>5%+</w:t>
      </w:r>
      <w:r>
        <w:rPr>
          <w:rFonts w:hint="eastAsia"/>
          <w:color w:val="auto"/>
          <w:sz w:val="24"/>
          <w:lang w:val="en-US" w:eastAsia="zh-CN"/>
        </w:rPr>
        <w:t>200</w:t>
      </w:r>
      <w:r>
        <w:rPr>
          <w:rFonts w:hint="eastAsia"/>
          <w:color w:val="auto"/>
          <w:sz w:val="24"/>
          <w:lang w:eastAsia="zh-CN"/>
        </w:rPr>
        <w:t>×</w:t>
      </w:r>
      <w:r>
        <w:rPr>
          <w:color w:val="auto"/>
          <w:sz w:val="24"/>
        </w:rPr>
        <w:t>0.03%</w:t>
      </w:r>
      <w:r>
        <w:rPr>
          <w:rFonts w:hint="eastAsia"/>
          <w:color w:val="auto"/>
          <w:sz w:val="24"/>
          <w:lang w:eastAsia="zh-CN"/>
        </w:rPr>
        <w:t>×</w:t>
      </w:r>
      <w:r>
        <w:rPr>
          <w:color w:val="auto"/>
          <w:sz w:val="24"/>
        </w:rPr>
        <w:t>5%=</w:t>
      </w:r>
      <w:r>
        <w:rPr>
          <w:rFonts w:hint="eastAsia"/>
          <w:color w:val="auto"/>
          <w:sz w:val="24"/>
        </w:rPr>
        <w:t>0.0</w:t>
      </w:r>
      <w:r>
        <w:rPr>
          <w:rFonts w:hint="eastAsia"/>
          <w:color w:val="auto"/>
          <w:sz w:val="24"/>
          <w:lang w:val="en-US" w:eastAsia="zh-CN"/>
        </w:rPr>
        <w:t>41</w:t>
      </w:r>
      <w:r>
        <w:rPr>
          <w:rFonts w:hint="eastAsia"/>
          <w:color w:val="auto"/>
          <w:sz w:val="24"/>
        </w:rPr>
        <w:t>t</w:t>
      </w:r>
      <w:r>
        <w:rPr>
          <w:color w:val="auto"/>
          <w:sz w:val="24"/>
        </w:rPr>
        <w:t>/</w:t>
      </w:r>
      <w:r>
        <w:rPr>
          <w:rFonts w:hint="eastAsia"/>
          <w:color w:val="auto"/>
          <w:sz w:val="24"/>
        </w:rPr>
        <w:t>a</w:t>
      </w:r>
      <w:r>
        <w:rPr>
          <w:color w:val="auto"/>
          <w:sz w:val="24"/>
        </w:rPr>
        <w:t>（</w:t>
      </w:r>
      <w:r>
        <w:rPr>
          <w:rFonts w:hint="eastAsia"/>
          <w:color w:val="auto"/>
          <w:sz w:val="24"/>
        </w:rPr>
        <w:t>0.00</w:t>
      </w:r>
      <w:r>
        <w:rPr>
          <w:rFonts w:hint="eastAsia"/>
          <w:color w:val="auto"/>
          <w:sz w:val="24"/>
          <w:lang w:val="en-US" w:eastAsia="zh-CN"/>
        </w:rPr>
        <w:t>57</w:t>
      </w:r>
      <w:r>
        <w:rPr>
          <w:color w:val="auto"/>
          <w:sz w:val="24"/>
        </w:rPr>
        <w:t>kg/h）</w:t>
      </w:r>
    </w:p>
    <w:p>
      <w:pPr>
        <w:spacing w:line="360" w:lineRule="auto"/>
        <w:ind w:firstLine="480" w:firstLineChars="200"/>
        <w:rPr>
          <w:color w:val="auto"/>
          <w:sz w:val="24"/>
        </w:rPr>
      </w:pPr>
      <w:r>
        <w:rPr>
          <w:color w:val="auto"/>
          <w:sz w:val="24"/>
        </w:rPr>
        <w:t>硫化氢产生量=</w:t>
      </w:r>
      <w:r>
        <w:rPr>
          <w:rFonts w:hint="eastAsia"/>
          <w:color w:val="auto"/>
          <w:sz w:val="24"/>
          <w:lang w:eastAsia="zh-CN"/>
        </w:rPr>
        <w:t>217.6×</w:t>
      </w:r>
      <w:r>
        <w:rPr>
          <w:color w:val="auto"/>
          <w:sz w:val="24"/>
        </w:rPr>
        <w:t>0.596‰</w:t>
      </w:r>
      <w:r>
        <w:rPr>
          <w:rFonts w:hint="eastAsia"/>
          <w:color w:val="auto"/>
          <w:sz w:val="24"/>
          <w:lang w:eastAsia="zh-CN"/>
        </w:rPr>
        <w:t>×</w:t>
      </w:r>
      <w:r>
        <w:rPr>
          <w:color w:val="auto"/>
          <w:sz w:val="24"/>
        </w:rPr>
        <w:t>5%=</w:t>
      </w:r>
      <w:r>
        <w:rPr>
          <w:rFonts w:hint="eastAsia"/>
          <w:color w:val="auto"/>
          <w:sz w:val="24"/>
          <w:lang w:val="en-US" w:eastAsia="zh-CN"/>
        </w:rPr>
        <w:t>0.0065</w:t>
      </w:r>
      <w:r>
        <w:rPr>
          <w:rFonts w:hint="eastAsia"/>
          <w:color w:val="auto"/>
          <w:sz w:val="24"/>
        </w:rPr>
        <w:t>t</w:t>
      </w:r>
      <w:r>
        <w:rPr>
          <w:color w:val="auto"/>
          <w:sz w:val="24"/>
        </w:rPr>
        <w:t>/</w:t>
      </w:r>
      <w:r>
        <w:rPr>
          <w:rFonts w:hint="eastAsia"/>
          <w:color w:val="auto"/>
          <w:sz w:val="24"/>
        </w:rPr>
        <w:t>a</w:t>
      </w:r>
      <w:r>
        <w:rPr>
          <w:color w:val="auto"/>
          <w:sz w:val="24"/>
        </w:rPr>
        <w:t>（0.</w:t>
      </w:r>
      <w:r>
        <w:rPr>
          <w:rFonts w:hint="eastAsia"/>
          <w:color w:val="auto"/>
          <w:sz w:val="24"/>
        </w:rPr>
        <w:t>000</w:t>
      </w:r>
      <w:r>
        <w:rPr>
          <w:rFonts w:hint="eastAsia"/>
          <w:color w:val="auto"/>
          <w:sz w:val="24"/>
          <w:lang w:val="en-US" w:eastAsia="zh-CN"/>
        </w:rPr>
        <w:t>9</w:t>
      </w:r>
      <w:r>
        <w:rPr>
          <w:color w:val="auto"/>
          <w:sz w:val="24"/>
        </w:rPr>
        <w:t>kg/h）</w:t>
      </w:r>
    </w:p>
    <w:p>
      <w:pPr>
        <w:spacing w:line="360" w:lineRule="auto"/>
        <w:ind w:firstLine="480" w:firstLineChars="200"/>
        <w:rPr>
          <w:color w:val="auto"/>
          <w:sz w:val="24"/>
        </w:rPr>
      </w:pPr>
      <w:r>
        <w:rPr>
          <w:rFonts w:hint="eastAsia"/>
          <w:color w:val="auto"/>
          <w:sz w:val="24"/>
        </w:rPr>
        <w:t>根据《环境臭气评价方法的新探讨》（重庆环境科学，</w:t>
      </w:r>
      <w:r>
        <w:rPr>
          <w:color w:val="auto"/>
          <w:sz w:val="24"/>
        </w:rPr>
        <w:t>1996</w:t>
      </w:r>
      <w:r>
        <w:rPr>
          <w:rFonts w:hint="eastAsia"/>
          <w:color w:val="auto"/>
          <w:sz w:val="24"/>
        </w:rPr>
        <w:t>年第</w:t>
      </w:r>
      <w:r>
        <w:rPr>
          <w:color w:val="auto"/>
          <w:sz w:val="24"/>
        </w:rPr>
        <w:t>10</w:t>
      </w:r>
      <w:r>
        <w:rPr>
          <w:rFonts w:hint="eastAsia"/>
          <w:color w:val="auto"/>
          <w:sz w:val="24"/>
        </w:rPr>
        <w:t>期）中提出的方法：通过臭气强度分级确定臭气污染源源强（不受处理规模、处理工艺、周边环境的影响），将臭气的强度分为</w:t>
      </w:r>
      <w:r>
        <w:rPr>
          <w:color w:val="auto"/>
          <w:sz w:val="24"/>
        </w:rPr>
        <w:t>6</w:t>
      </w:r>
      <w:r>
        <w:rPr>
          <w:rFonts w:hint="eastAsia"/>
          <w:color w:val="auto"/>
          <w:sz w:val="24"/>
        </w:rPr>
        <w:t>个等级。臭气强度等级表示方法见下表。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color w:val="auto"/>
          <w:kern w:val="0"/>
          <w:sz w:val="24"/>
        </w:rPr>
      </w:pPr>
      <w:r>
        <w:rPr>
          <w:b/>
          <w:bCs/>
          <w:color w:val="auto"/>
          <w:kern w:val="0"/>
          <w:sz w:val="24"/>
        </w:rPr>
        <w:t>表</w:t>
      </w:r>
      <w:r>
        <w:rPr>
          <w:rFonts w:hint="eastAsia"/>
          <w:b/>
          <w:bCs/>
          <w:color w:val="auto"/>
          <w:kern w:val="0"/>
          <w:sz w:val="24"/>
        </w:rPr>
        <w:t>3-3-8</w:t>
      </w:r>
      <w:r>
        <w:rPr>
          <w:b/>
          <w:bCs/>
          <w:color w:val="auto"/>
          <w:kern w:val="0"/>
          <w:sz w:val="24"/>
        </w:rPr>
        <w:t xml:space="preserve">  </w:t>
      </w:r>
      <w:r>
        <w:rPr>
          <w:rFonts w:hint="eastAsia"/>
          <w:b/>
          <w:bCs/>
          <w:color w:val="auto"/>
          <w:kern w:val="0"/>
          <w:sz w:val="24"/>
        </w:rPr>
        <w:t>臭气强度表示方法</w:t>
      </w:r>
    </w:p>
    <w:tbl>
      <w:tblPr>
        <w:tblStyle w:val="47"/>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27"/>
        <w:gridCol w:w="676"/>
        <w:gridCol w:w="1955"/>
        <w:gridCol w:w="1725"/>
        <w:gridCol w:w="1190"/>
        <w:gridCol w:w="941"/>
        <w:gridCol w:w="100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03" w:type="pct"/>
            <w:tcBorders>
              <w:tl2br w:val="nil"/>
              <w:tr2bl w:val="nil"/>
            </w:tcBorders>
            <w:vAlign w:val="center"/>
          </w:tcPr>
          <w:p>
            <w:pPr>
              <w:jc w:val="center"/>
              <w:rPr>
                <w:color w:val="auto"/>
                <w:kern w:val="0"/>
                <w:sz w:val="21"/>
                <w:szCs w:val="21"/>
              </w:rPr>
            </w:pPr>
            <w:r>
              <w:rPr>
                <w:rFonts w:hint="eastAsia"/>
                <w:color w:val="auto"/>
                <w:kern w:val="0"/>
                <w:sz w:val="21"/>
                <w:szCs w:val="21"/>
              </w:rPr>
              <w:t>级别</w:t>
            </w:r>
          </w:p>
        </w:tc>
        <w:tc>
          <w:tcPr>
            <w:tcW w:w="4396" w:type="pct"/>
            <w:gridSpan w:val="6"/>
            <w:tcBorders>
              <w:tl2br w:val="nil"/>
              <w:tr2bl w:val="nil"/>
            </w:tcBorders>
            <w:vAlign w:val="center"/>
          </w:tcPr>
          <w:p>
            <w:pPr>
              <w:jc w:val="center"/>
              <w:rPr>
                <w:color w:val="auto"/>
                <w:kern w:val="0"/>
                <w:sz w:val="21"/>
                <w:szCs w:val="21"/>
              </w:rPr>
            </w:pPr>
            <w:r>
              <w:rPr>
                <w:rFonts w:hint="eastAsia"/>
                <w:color w:val="auto"/>
                <w:kern w:val="0"/>
                <w:sz w:val="21"/>
                <w:szCs w:val="21"/>
              </w:rPr>
              <w:t>臭气强度/级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03" w:type="pct"/>
            <w:vMerge w:val="restart"/>
            <w:tcBorders>
              <w:tl2br w:val="nil"/>
              <w:tr2bl w:val="nil"/>
            </w:tcBorders>
            <w:vAlign w:val="center"/>
          </w:tcPr>
          <w:p>
            <w:pPr>
              <w:jc w:val="center"/>
              <w:rPr>
                <w:color w:val="auto"/>
                <w:kern w:val="0"/>
                <w:sz w:val="21"/>
                <w:szCs w:val="21"/>
              </w:rPr>
            </w:pPr>
            <w:r>
              <w:rPr>
                <w:rFonts w:hint="eastAsia"/>
                <w:color w:val="auto"/>
                <w:kern w:val="0"/>
                <w:sz w:val="21"/>
                <w:szCs w:val="21"/>
              </w:rPr>
              <w:t>表示方法</w:t>
            </w:r>
          </w:p>
        </w:tc>
        <w:tc>
          <w:tcPr>
            <w:tcW w:w="397" w:type="pct"/>
            <w:tcBorders>
              <w:tl2br w:val="nil"/>
              <w:tr2bl w:val="nil"/>
            </w:tcBorders>
            <w:vAlign w:val="center"/>
          </w:tcPr>
          <w:p>
            <w:pPr>
              <w:jc w:val="center"/>
              <w:rPr>
                <w:color w:val="auto"/>
                <w:kern w:val="0"/>
                <w:sz w:val="21"/>
                <w:szCs w:val="21"/>
              </w:rPr>
            </w:pPr>
            <w:r>
              <w:rPr>
                <w:rFonts w:hint="eastAsia"/>
                <w:color w:val="auto"/>
                <w:kern w:val="0"/>
                <w:sz w:val="21"/>
                <w:szCs w:val="21"/>
              </w:rPr>
              <w:t>0</w:t>
            </w:r>
          </w:p>
        </w:tc>
        <w:tc>
          <w:tcPr>
            <w:tcW w:w="1147" w:type="pct"/>
            <w:tcBorders>
              <w:tl2br w:val="nil"/>
              <w:tr2bl w:val="nil"/>
            </w:tcBorders>
            <w:vAlign w:val="center"/>
          </w:tcPr>
          <w:p>
            <w:pPr>
              <w:jc w:val="center"/>
              <w:rPr>
                <w:color w:val="auto"/>
                <w:kern w:val="0"/>
                <w:sz w:val="21"/>
                <w:szCs w:val="21"/>
              </w:rPr>
            </w:pPr>
            <w:r>
              <w:rPr>
                <w:rFonts w:hint="eastAsia"/>
                <w:color w:val="auto"/>
                <w:kern w:val="0"/>
                <w:sz w:val="21"/>
                <w:szCs w:val="21"/>
              </w:rPr>
              <w:t>1</w:t>
            </w:r>
          </w:p>
        </w:tc>
        <w:tc>
          <w:tcPr>
            <w:tcW w:w="1012" w:type="pct"/>
            <w:tcBorders>
              <w:tl2br w:val="nil"/>
              <w:tr2bl w:val="nil"/>
            </w:tcBorders>
            <w:vAlign w:val="center"/>
          </w:tcPr>
          <w:p>
            <w:pPr>
              <w:jc w:val="center"/>
              <w:rPr>
                <w:color w:val="auto"/>
                <w:kern w:val="0"/>
                <w:sz w:val="21"/>
                <w:szCs w:val="21"/>
              </w:rPr>
            </w:pPr>
            <w:r>
              <w:rPr>
                <w:rFonts w:hint="eastAsia"/>
                <w:color w:val="auto"/>
                <w:kern w:val="0"/>
                <w:sz w:val="21"/>
                <w:szCs w:val="21"/>
              </w:rPr>
              <w:t>2</w:t>
            </w:r>
          </w:p>
        </w:tc>
        <w:tc>
          <w:tcPr>
            <w:tcW w:w="698" w:type="pct"/>
            <w:tcBorders>
              <w:tl2br w:val="nil"/>
              <w:tr2bl w:val="nil"/>
            </w:tcBorders>
            <w:vAlign w:val="center"/>
          </w:tcPr>
          <w:p>
            <w:pPr>
              <w:jc w:val="center"/>
              <w:rPr>
                <w:color w:val="auto"/>
                <w:kern w:val="0"/>
                <w:sz w:val="21"/>
                <w:szCs w:val="21"/>
              </w:rPr>
            </w:pPr>
            <w:r>
              <w:rPr>
                <w:rFonts w:hint="eastAsia"/>
                <w:color w:val="auto"/>
                <w:kern w:val="0"/>
                <w:sz w:val="21"/>
                <w:szCs w:val="21"/>
              </w:rPr>
              <w:t>3</w:t>
            </w:r>
          </w:p>
        </w:tc>
        <w:tc>
          <w:tcPr>
            <w:tcW w:w="552" w:type="pct"/>
            <w:tcBorders>
              <w:tl2br w:val="nil"/>
              <w:tr2bl w:val="nil"/>
            </w:tcBorders>
            <w:vAlign w:val="center"/>
          </w:tcPr>
          <w:p>
            <w:pPr>
              <w:jc w:val="center"/>
              <w:rPr>
                <w:color w:val="auto"/>
                <w:kern w:val="0"/>
                <w:sz w:val="21"/>
                <w:szCs w:val="21"/>
              </w:rPr>
            </w:pPr>
            <w:r>
              <w:rPr>
                <w:rFonts w:hint="eastAsia"/>
                <w:color w:val="auto"/>
                <w:kern w:val="0"/>
                <w:sz w:val="21"/>
                <w:szCs w:val="21"/>
              </w:rPr>
              <w:t>4</w:t>
            </w:r>
          </w:p>
        </w:tc>
        <w:tc>
          <w:tcPr>
            <w:tcW w:w="587" w:type="pct"/>
            <w:tcBorders>
              <w:tl2br w:val="nil"/>
              <w:tr2bl w:val="nil"/>
            </w:tcBorders>
            <w:vAlign w:val="center"/>
          </w:tcPr>
          <w:p>
            <w:pPr>
              <w:jc w:val="center"/>
              <w:rPr>
                <w:color w:val="auto"/>
                <w:kern w:val="0"/>
                <w:sz w:val="21"/>
                <w:szCs w:val="21"/>
              </w:rPr>
            </w:pPr>
            <w:r>
              <w:rPr>
                <w:rFonts w:hint="eastAsia"/>
                <w:color w:val="auto"/>
                <w:kern w:val="0"/>
                <w:sz w:val="21"/>
                <w:szCs w:val="21"/>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03" w:type="pct"/>
            <w:vMerge w:val="continue"/>
            <w:tcBorders>
              <w:tl2br w:val="nil"/>
              <w:tr2bl w:val="nil"/>
            </w:tcBorders>
            <w:vAlign w:val="center"/>
          </w:tcPr>
          <w:p>
            <w:pPr>
              <w:jc w:val="center"/>
              <w:rPr>
                <w:color w:val="auto"/>
                <w:kern w:val="0"/>
                <w:sz w:val="21"/>
                <w:szCs w:val="21"/>
              </w:rPr>
            </w:pPr>
          </w:p>
        </w:tc>
        <w:tc>
          <w:tcPr>
            <w:tcW w:w="397" w:type="pct"/>
            <w:tcBorders>
              <w:tl2br w:val="nil"/>
              <w:tr2bl w:val="nil"/>
            </w:tcBorders>
            <w:vAlign w:val="center"/>
          </w:tcPr>
          <w:p>
            <w:pPr>
              <w:jc w:val="center"/>
              <w:rPr>
                <w:color w:val="auto"/>
                <w:kern w:val="0"/>
                <w:sz w:val="21"/>
                <w:szCs w:val="21"/>
              </w:rPr>
            </w:pPr>
            <w:r>
              <w:rPr>
                <w:rFonts w:hint="eastAsia"/>
                <w:color w:val="auto"/>
                <w:kern w:val="0"/>
                <w:sz w:val="21"/>
                <w:szCs w:val="21"/>
              </w:rPr>
              <w:t>无臭</w:t>
            </w:r>
          </w:p>
        </w:tc>
        <w:tc>
          <w:tcPr>
            <w:tcW w:w="1147" w:type="pct"/>
            <w:tcBorders>
              <w:tl2br w:val="nil"/>
              <w:tr2bl w:val="nil"/>
            </w:tcBorders>
            <w:vAlign w:val="center"/>
          </w:tcPr>
          <w:p>
            <w:pPr>
              <w:jc w:val="center"/>
              <w:rPr>
                <w:color w:val="auto"/>
                <w:kern w:val="0"/>
                <w:sz w:val="21"/>
                <w:szCs w:val="21"/>
              </w:rPr>
            </w:pPr>
            <w:r>
              <w:rPr>
                <w:rFonts w:hint="eastAsia"/>
                <w:color w:val="auto"/>
                <w:kern w:val="0"/>
                <w:sz w:val="21"/>
                <w:szCs w:val="21"/>
              </w:rPr>
              <w:t>勉强感觉臭味存在（嗅觉阈值）</w:t>
            </w:r>
          </w:p>
        </w:tc>
        <w:tc>
          <w:tcPr>
            <w:tcW w:w="1012" w:type="pct"/>
            <w:tcBorders>
              <w:tl2br w:val="nil"/>
              <w:tr2bl w:val="nil"/>
            </w:tcBorders>
            <w:vAlign w:val="center"/>
          </w:tcPr>
          <w:p>
            <w:pPr>
              <w:jc w:val="center"/>
              <w:rPr>
                <w:color w:val="auto"/>
                <w:kern w:val="0"/>
                <w:sz w:val="21"/>
                <w:szCs w:val="21"/>
              </w:rPr>
            </w:pPr>
            <w:r>
              <w:rPr>
                <w:rFonts w:hint="eastAsia"/>
                <w:color w:val="auto"/>
                <w:kern w:val="0"/>
                <w:sz w:val="21"/>
                <w:szCs w:val="21"/>
              </w:rPr>
              <w:t>确认臭味存在（认知阈值）</w:t>
            </w:r>
          </w:p>
        </w:tc>
        <w:tc>
          <w:tcPr>
            <w:tcW w:w="698" w:type="pct"/>
            <w:tcBorders>
              <w:tl2br w:val="nil"/>
              <w:tr2bl w:val="nil"/>
            </w:tcBorders>
            <w:vAlign w:val="center"/>
          </w:tcPr>
          <w:p>
            <w:pPr>
              <w:jc w:val="center"/>
              <w:rPr>
                <w:color w:val="auto"/>
                <w:kern w:val="0"/>
                <w:sz w:val="21"/>
                <w:szCs w:val="21"/>
              </w:rPr>
            </w:pPr>
            <w:r>
              <w:rPr>
                <w:rFonts w:hint="eastAsia"/>
                <w:color w:val="auto"/>
                <w:kern w:val="0"/>
                <w:sz w:val="21"/>
                <w:szCs w:val="21"/>
              </w:rPr>
              <w:t>极易感觉臭味存在</w:t>
            </w:r>
          </w:p>
        </w:tc>
        <w:tc>
          <w:tcPr>
            <w:tcW w:w="552" w:type="pct"/>
            <w:tcBorders>
              <w:tl2br w:val="nil"/>
              <w:tr2bl w:val="nil"/>
            </w:tcBorders>
            <w:vAlign w:val="center"/>
          </w:tcPr>
          <w:p>
            <w:pPr>
              <w:jc w:val="center"/>
              <w:rPr>
                <w:color w:val="auto"/>
                <w:kern w:val="0"/>
                <w:sz w:val="21"/>
                <w:szCs w:val="21"/>
              </w:rPr>
            </w:pPr>
            <w:r>
              <w:rPr>
                <w:rFonts w:hint="eastAsia"/>
                <w:color w:val="auto"/>
                <w:kern w:val="0"/>
                <w:sz w:val="21"/>
                <w:szCs w:val="21"/>
              </w:rPr>
              <w:t>臭气明显存在</w:t>
            </w:r>
          </w:p>
        </w:tc>
        <w:tc>
          <w:tcPr>
            <w:tcW w:w="587" w:type="pct"/>
            <w:tcBorders>
              <w:tl2br w:val="nil"/>
              <w:tr2bl w:val="nil"/>
            </w:tcBorders>
            <w:vAlign w:val="center"/>
          </w:tcPr>
          <w:p>
            <w:pPr>
              <w:jc w:val="center"/>
              <w:rPr>
                <w:color w:val="auto"/>
                <w:kern w:val="0"/>
                <w:sz w:val="21"/>
                <w:szCs w:val="21"/>
              </w:rPr>
            </w:pPr>
            <w:r>
              <w:rPr>
                <w:rFonts w:hint="eastAsia"/>
                <w:color w:val="auto"/>
                <w:kern w:val="0"/>
                <w:sz w:val="21"/>
                <w:szCs w:val="21"/>
              </w:rPr>
              <w:t>臭气强烈存在</w:t>
            </w:r>
          </w:p>
        </w:tc>
      </w:tr>
    </w:tbl>
    <w:p>
      <w:pPr>
        <w:spacing w:line="360" w:lineRule="auto"/>
        <w:ind w:firstLine="480" w:firstLineChars="200"/>
        <w:rPr>
          <w:b/>
          <w:bCs/>
          <w:color w:val="auto"/>
          <w:szCs w:val="21"/>
        </w:rPr>
      </w:pPr>
      <w:r>
        <w:rPr>
          <w:rFonts w:hint="eastAsia" w:hAnsi="宋体"/>
          <w:snapToGrid w:val="0"/>
          <w:color w:val="auto"/>
          <w:sz w:val="24"/>
        </w:rPr>
        <w:t>对照国外研究，恶臭污染物质量浓度与臭气强度对照表见下表。</w:t>
      </w:r>
    </w:p>
    <w:p>
      <w:pPr>
        <w:keepNext w:val="0"/>
        <w:keepLines w:val="0"/>
        <w:pageBreakBefore w:val="0"/>
        <w:widowControl w:val="0"/>
        <w:tabs>
          <w:tab w:val="left" w:pos="7770"/>
        </w:tabs>
        <w:kinsoku/>
        <w:wordWrap/>
        <w:overflowPunct/>
        <w:topLinePunct w:val="0"/>
        <w:autoSpaceDE w:val="0"/>
        <w:autoSpaceDN w:val="0"/>
        <w:bidi w:val="0"/>
        <w:adjustRightInd/>
        <w:snapToGrid/>
        <w:spacing w:line="240" w:lineRule="auto"/>
        <w:ind w:firstLine="0" w:firstLineChars="0"/>
        <w:contextualSpacing/>
        <w:jc w:val="center"/>
        <w:textAlignment w:val="auto"/>
        <w:rPr>
          <w:b/>
          <w:bCs/>
          <w:color w:val="auto"/>
          <w:sz w:val="24"/>
        </w:rPr>
      </w:pPr>
      <w:r>
        <w:rPr>
          <w:b/>
          <w:bCs/>
          <w:color w:val="auto"/>
          <w:sz w:val="24"/>
        </w:rPr>
        <w:t>表</w:t>
      </w:r>
      <w:r>
        <w:rPr>
          <w:rFonts w:hint="eastAsia"/>
          <w:b/>
          <w:bCs/>
          <w:color w:val="auto"/>
          <w:sz w:val="24"/>
        </w:rPr>
        <w:t xml:space="preserve">3-3-9 </w:t>
      </w:r>
      <w:r>
        <w:rPr>
          <w:b/>
          <w:bCs/>
          <w:color w:val="auto"/>
          <w:sz w:val="24"/>
        </w:rPr>
        <w:t xml:space="preserve"> </w:t>
      </w:r>
      <w:r>
        <w:rPr>
          <w:rFonts w:hint="eastAsia"/>
          <w:b/>
          <w:bCs/>
          <w:color w:val="auto"/>
          <w:sz w:val="24"/>
        </w:rPr>
        <w:t>恶臭污染物质量浓度与臭气强度的对照（摘录）</w:t>
      </w:r>
    </w:p>
    <w:p>
      <w:pPr>
        <w:autoSpaceDE w:val="0"/>
        <w:autoSpaceDN w:val="0"/>
        <w:adjustRightInd w:val="0"/>
        <w:contextualSpacing/>
        <w:jc w:val="center"/>
        <w:rPr>
          <w:b/>
          <w:bCs/>
          <w:color w:val="FF0000"/>
          <w:sz w:val="24"/>
        </w:rPr>
      </w:pPr>
      <w:r>
        <w:rPr>
          <w:color w:val="FF0000"/>
        </w:rPr>
        <w:drawing>
          <wp:inline distT="0" distB="0" distL="0" distR="0">
            <wp:extent cx="4962525" cy="1809750"/>
            <wp:effectExtent l="19050" t="0" r="9525" b="0"/>
            <wp:docPr id="13"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86"/>
                    <pic:cNvPicPr>
                      <a:picLocks noChangeAspect="1" noChangeArrowheads="1"/>
                    </pic:cNvPicPr>
                  </pic:nvPicPr>
                  <pic:blipFill>
                    <a:blip r:embed="rId21"/>
                    <a:srcRect/>
                    <a:stretch>
                      <a:fillRect/>
                    </a:stretch>
                  </pic:blipFill>
                  <pic:spPr>
                    <a:xfrm>
                      <a:off x="0" y="0"/>
                      <a:ext cx="4962525" cy="1809750"/>
                    </a:xfrm>
                    <a:prstGeom prst="rect">
                      <a:avLst/>
                    </a:prstGeom>
                    <a:noFill/>
                    <a:ln w="9525" cmpd="sng">
                      <a:noFill/>
                      <a:miter lim="800000"/>
                      <a:headEnd/>
                      <a:tailEnd/>
                    </a:ln>
                    <a:effectLst/>
                  </pic:spPr>
                </pic:pic>
              </a:graphicData>
            </a:graphic>
          </wp:inline>
        </w:drawing>
      </w:r>
    </w:p>
    <w:p>
      <w:pPr>
        <w:autoSpaceDE w:val="0"/>
        <w:autoSpaceDN w:val="0"/>
        <w:spacing w:line="360" w:lineRule="auto"/>
        <w:ind w:firstLine="480" w:firstLineChars="200"/>
        <w:rPr>
          <w:color w:val="auto"/>
          <w:kern w:val="21"/>
          <w:sz w:val="24"/>
        </w:rPr>
      </w:pPr>
      <w:r>
        <w:rPr>
          <w:rFonts w:hint="eastAsia"/>
          <w:color w:val="auto"/>
          <w:kern w:val="21"/>
          <w:sz w:val="24"/>
        </w:rPr>
        <w:t>对照表上表可知，本项目待宰圈臭气强度为4级，根据《臭气强度与臭气浓度间的定量关系研究》（耿静等，城市环境与城市生态，</w:t>
      </w:r>
      <w:r>
        <w:rPr>
          <w:color w:val="auto"/>
          <w:kern w:val="21"/>
          <w:sz w:val="24"/>
        </w:rPr>
        <w:t>2014</w:t>
      </w:r>
      <w:r>
        <w:rPr>
          <w:rFonts w:hint="eastAsia"/>
          <w:color w:val="auto"/>
          <w:kern w:val="21"/>
          <w:sz w:val="24"/>
        </w:rPr>
        <w:t>），臭气浓度和臭气强度关系式为：</w:t>
      </w:r>
    </w:p>
    <w:p>
      <w:pPr>
        <w:autoSpaceDE w:val="0"/>
        <w:autoSpaceDN w:val="0"/>
        <w:spacing w:line="360" w:lineRule="auto"/>
        <w:ind w:firstLine="480" w:firstLineChars="200"/>
        <w:rPr>
          <w:color w:val="auto"/>
          <w:kern w:val="21"/>
          <w:sz w:val="24"/>
        </w:rPr>
      </w:pPr>
      <w:r>
        <w:rPr>
          <w:color w:val="auto"/>
          <w:kern w:val="21"/>
          <w:sz w:val="24"/>
        </w:rPr>
        <w:t>Y=0.5893lnX-0.7877</w:t>
      </w:r>
    </w:p>
    <w:p>
      <w:pPr>
        <w:autoSpaceDE w:val="0"/>
        <w:autoSpaceDN w:val="0"/>
        <w:spacing w:line="360" w:lineRule="auto"/>
        <w:ind w:firstLine="480" w:firstLineChars="200"/>
        <w:rPr>
          <w:color w:val="auto"/>
          <w:kern w:val="21"/>
          <w:sz w:val="24"/>
        </w:rPr>
      </w:pPr>
      <w:r>
        <w:rPr>
          <w:rFonts w:hint="eastAsia"/>
          <w:color w:val="auto"/>
          <w:kern w:val="21"/>
          <w:sz w:val="24"/>
        </w:rPr>
        <w:t>其中，</w:t>
      </w:r>
      <w:r>
        <w:rPr>
          <w:color w:val="auto"/>
          <w:kern w:val="21"/>
          <w:sz w:val="24"/>
        </w:rPr>
        <w:t>Y</w:t>
      </w:r>
      <w:r>
        <w:rPr>
          <w:rFonts w:hint="eastAsia"/>
          <w:color w:val="auto"/>
          <w:kern w:val="21"/>
          <w:sz w:val="24"/>
        </w:rPr>
        <w:t>为臭气强度，</w:t>
      </w:r>
      <w:r>
        <w:rPr>
          <w:color w:val="auto"/>
          <w:kern w:val="21"/>
          <w:sz w:val="24"/>
        </w:rPr>
        <w:t>X</w:t>
      </w:r>
      <w:r>
        <w:rPr>
          <w:rFonts w:hint="eastAsia"/>
          <w:color w:val="auto"/>
          <w:kern w:val="21"/>
          <w:sz w:val="24"/>
        </w:rPr>
        <w:t>为臭气浓度。</w:t>
      </w:r>
    </w:p>
    <w:p>
      <w:pPr>
        <w:spacing w:line="360" w:lineRule="auto"/>
        <w:ind w:firstLine="480" w:firstLineChars="200"/>
        <w:rPr>
          <w:color w:val="auto"/>
          <w:kern w:val="21"/>
          <w:sz w:val="24"/>
        </w:rPr>
      </w:pPr>
      <w:r>
        <w:rPr>
          <w:rFonts w:hint="eastAsia"/>
          <w:color w:val="auto"/>
          <w:kern w:val="21"/>
          <w:sz w:val="24"/>
        </w:rPr>
        <w:t>经计算，臭气强度为4级时，臭气浓度为3376。</w:t>
      </w:r>
    </w:p>
    <w:p>
      <w:pPr>
        <w:spacing w:line="360" w:lineRule="auto"/>
        <w:ind w:firstLine="480" w:firstLineChars="200"/>
        <w:rPr>
          <w:bCs/>
          <w:color w:val="auto"/>
          <w:sz w:val="24"/>
        </w:rPr>
      </w:pPr>
      <w:r>
        <w:rPr>
          <w:color w:val="auto"/>
          <w:sz w:val="24"/>
        </w:rPr>
        <w:t>本项目待宰</w:t>
      </w:r>
      <w:r>
        <w:rPr>
          <w:rFonts w:hint="eastAsia"/>
          <w:color w:val="auto"/>
          <w:sz w:val="24"/>
        </w:rPr>
        <w:t>间封闭，</w:t>
      </w:r>
      <w:r>
        <w:rPr>
          <w:bCs/>
          <w:color w:val="auto"/>
          <w:sz w:val="24"/>
        </w:rPr>
        <w:t>采用负压集中收集的方式，设置1台风量</w:t>
      </w:r>
      <w:r>
        <w:rPr>
          <w:rFonts w:hint="eastAsia"/>
          <w:bCs/>
          <w:color w:val="auto"/>
          <w:sz w:val="24"/>
        </w:rPr>
        <w:t>5000</w:t>
      </w:r>
      <w:r>
        <w:rPr>
          <w:bCs/>
          <w:color w:val="auto"/>
          <w:sz w:val="24"/>
        </w:rPr>
        <w:t>m</w:t>
      </w:r>
      <w:r>
        <w:rPr>
          <w:bCs/>
          <w:color w:val="auto"/>
          <w:sz w:val="24"/>
          <w:vertAlign w:val="superscript"/>
        </w:rPr>
        <w:t>3</w:t>
      </w:r>
      <w:r>
        <w:rPr>
          <w:bCs/>
          <w:color w:val="auto"/>
          <w:sz w:val="24"/>
        </w:rPr>
        <w:t>/h的风机收集恶臭污染物，</w:t>
      </w:r>
      <w:r>
        <w:rPr>
          <w:rFonts w:hint="eastAsia"/>
          <w:bCs/>
          <w:color w:val="auto"/>
          <w:sz w:val="24"/>
        </w:rPr>
        <w:t>同时待宰圈经过及时清扫并定期喷洒生物除臭剂可降低50%的臭气浓度，</w:t>
      </w:r>
      <w:r>
        <w:rPr>
          <w:bCs/>
          <w:color w:val="auto"/>
          <w:sz w:val="24"/>
        </w:rPr>
        <w:t>负压收集收集率约</w:t>
      </w:r>
      <w:r>
        <w:rPr>
          <w:rFonts w:hint="eastAsia"/>
          <w:bCs/>
          <w:color w:val="auto"/>
          <w:sz w:val="24"/>
        </w:rPr>
        <w:t>8</w:t>
      </w:r>
      <w:r>
        <w:rPr>
          <w:bCs/>
          <w:color w:val="auto"/>
          <w:sz w:val="24"/>
        </w:rPr>
        <w:t>0%左右，负压收集的废气通过活性炭吸附净化后（恶臭气体净化率不低于70%）经15m高排气筒（</w:t>
      </w:r>
      <w:r>
        <w:rPr>
          <w:rFonts w:hint="eastAsia"/>
          <w:bCs/>
          <w:color w:val="auto"/>
          <w:sz w:val="24"/>
          <w:lang w:val="en-US" w:eastAsia="zh-CN"/>
        </w:rPr>
        <w:t>DA003</w:t>
      </w:r>
      <w:r>
        <w:rPr>
          <w:bCs/>
          <w:color w:val="auto"/>
          <w:sz w:val="24"/>
        </w:rPr>
        <w:t>）排放。约</w:t>
      </w:r>
      <w:r>
        <w:rPr>
          <w:rFonts w:hint="eastAsia"/>
          <w:bCs/>
          <w:color w:val="auto"/>
          <w:sz w:val="24"/>
        </w:rPr>
        <w:t>2</w:t>
      </w:r>
      <w:r>
        <w:rPr>
          <w:bCs/>
          <w:color w:val="auto"/>
          <w:sz w:val="24"/>
        </w:rPr>
        <w:t>0%为无组织排放。</w:t>
      </w:r>
    </w:p>
    <w:p>
      <w:pPr>
        <w:spacing w:line="360" w:lineRule="auto"/>
        <w:ind w:firstLine="480" w:firstLineChars="200"/>
        <w:rPr>
          <w:bCs/>
          <w:color w:val="auto"/>
          <w:sz w:val="24"/>
        </w:rPr>
      </w:pPr>
      <w:r>
        <w:rPr>
          <w:rFonts w:hint="eastAsia"/>
          <w:bCs/>
          <w:color w:val="auto"/>
          <w:sz w:val="24"/>
        </w:rPr>
        <w:t>待宰间</w:t>
      </w:r>
      <w:r>
        <w:rPr>
          <w:bCs/>
          <w:color w:val="auto"/>
          <w:sz w:val="24"/>
        </w:rPr>
        <w:t>恶臭有组织排放量为NH</w:t>
      </w:r>
      <w:r>
        <w:rPr>
          <w:bCs/>
          <w:color w:val="auto"/>
          <w:sz w:val="24"/>
          <w:vertAlign w:val="subscript"/>
        </w:rPr>
        <w:t>3</w:t>
      </w:r>
      <w:r>
        <w:rPr>
          <w:rFonts w:hint="eastAsia"/>
          <w:bCs/>
          <w:color w:val="auto"/>
          <w:sz w:val="24"/>
          <w:lang w:val="en-US" w:eastAsia="zh-CN"/>
        </w:rPr>
        <w:t>0.005</w:t>
      </w:r>
      <w:r>
        <w:rPr>
          <w:bCs/>
          <w:color w:val="auto"/>
          <w:sz w:val="24"/>
        </w:rPr>
        <w:t>t</w:t>
      </w:r>
      <w:r>
        <w:rPr>
          <w:rFonts w:hint="eastAsia"/>
          <w:bCs/>
          <w:color w:val="auto"/>
          <w:sz w:val="24"/>
        </w:rPr>
        <w:t>/a</w:t>
      </w:r>
      <w:r>
        <w:rPr>
          <w:bCs/>
          <w:color w:val="auto"/>
          <w:sz w:val="24"/>
        </w:rPr>
        <w:t>（0.</w:t>
      </w:r>
      <w:r>
        <w:rPr>
          <w:rFonts w:hint="eastAsia"/>
          <w:bCs/>
          <w:color w:val="auto"/>
          <w:sz w:val="24"/>
        </w:rPr>
        <w:t>000</w:t>
      </w:r>
      <w:r>
        <w:rPr>
          <w:rFonts w:hint="eastAsia"/>
          <w:bCs/>
          <w:color w:val="auto"/>
          <w:sz w:val="24"/>
          <w:lang w:val="en-US" w:eastAsia="zh-CN"/>
        </w:rPr>
        <w:t>69</w:t>
      </w:r>
      <w:r>
        <w:rPr>
          <w:bCs/>
          <w:color w:val="auto"/>
          <w:sz w:val="24"/>
        </w:rPr>
        <w:t>kg/h），H</w:t>
      </w:r>
      <w:r>
        <w:rPr>
          <w:bCs/>
          <w:color w:val="auto"/>
          <w:sz w:val="24"/>
          <w:vertAlign w:val="subscript"/>
        </w:rPr>
        <w:t>2</w:t>
      </w:r>
      <w:r>
        <w:rPr>
          <w:bCs/>
          <w:color w:val="auto"/>
          <w:sz w:val="24"/>
        </w:rPr>
        <w:t>S</w:t>
      </w:r>
      <w:r>
        <w:rPr>
          <w:rFonts w:hint="eastAsia"/>
          <w:bCs/>
          <w:color w:val="auto"/>
          <w:sz w:val="24"/>
        </w:rPr>
        <w:t>0.000</w:t>
      </w:r>
      <w:r>
        <w:rPr>
          <w:rFonts w:hint="eastAsia"/>
          <w:bCs/>
          <w:color w:val="auto"/>
          <w:sz w:val="24"/>
          <w:lang w:val="en-US" w:eastAsia="zh-CN"/>
        </w:rPr>
        <w:t>78</w:t>
      </w:r>
      <w:r>
        <w:rPr>
          <w:rFonts w:hint="eastAsia"/>
          <w:bCs/>
          <w:color w:val="auto"/>
          <w:sz w:val="24"/>
        </w:rPr>
        <w:t>t/a</w:t>
      </w:r>
      <w:r>
        <w:rPr>
          <w:bCs/>
          <w:color w:val="auto"/>
          <w:sz w:val="24"/>
        </w:rPr>
        <w:t>（0.0</w:t>
      </w:r>
      <w:r>
        <w:rPr>
          <w:rFonts w:hint="eastAsia"/>
          <w:bCs/>
          <w:color w:val="auto"/>
          <w:sz w:val="24"/>
        </w:rPr>
        <w:t>00</w:t>
      </w:r>
      <w:r>
        <w:rPr>
          <w:rFonts w:hint="eastAsia"/>
          <w:bCs/>
          <w:color w:val="auto"/>
          <w:sz w:val="24"/>
          <w:lang w:val="en-US" w:eastAsia="zh-CN"/>
        </w:rPr>
        <w:t>11</w:t>
      </w:r>
      <w:r>
        <w:rPr>
          <w:bCs/>
          <w:color w:val="auto"/>
          <w:sz w:val="24"/>
        </w:rPr>
        <w:t>kg/h），臭气浓度</w:t>
      </w:r>
      <w:r>
        <w:rPr>
          <w:rFonts w:hint="eastAsia"/>
          <w:bCs/>
          <w:color w:val="auto"/>
          <w:sz w:val="24"/>
        </w:rPr>
        <w:t>405</w:t>
      </w:r>
      <w:r>
        <w:rPr>
          <w:bCs/>
          <w:color w:val="auto"/>
          <w:sz w:val="24"/>
        </w:rPr>
        <w:t>（无量纲）。无组织排放量为NH</w:t>
      </w:r>
      <w:r>
        <w:rPr>
          <w:bCs/>
          <w:color w:val="auto"/>
          <w:sz w:val="24"/>
          <w:vertAlign w:val="subscript"/>
        </w:rPr>
        <w:t>3</w:t>
      </w:r>
      <w:r>
        <w:rPr>
          <w:rFonts w:hint="eastAsia"/>
          <w:bCs/>
          <w:color w:val="auto"/>
          <w:sz w:val="24"/>
        </w:rPr>
        <w:t>0.00</w:t>
      </w:r>
      <w:r>
        <w:rPr>
          <w:rFonts w:hint="eastAsia"/>
          <w:bCs/>
          <w:color w:val="auto"/>
          <w:sz w:val="24"/>
          <w:lang w:val="en-US" w:eastAsia="zh-CN"/>
        </w:rPr>
        <w:t>41</w:t>
      </w:r>
      <w:r>
        <w:rPr>
          <w:bCs/>
          <w:color w:val="auto"/>
          <w:sz w:val="24"/>
        </w:rPr>
        <w:t>t</w:t>
      </w:r>
      <w:r>
        <w:rPr>
          <w:rFonts w:hint="eastAsia"/>
          <w:bCs/>
          <w:color w:val="auto"/>
          <w:sz w:val="24"/>
        </w:rPr>
        <w:t>/a</w:t>
      </w:r>
      <w:r>
        <w:rPr>
          <w:bCs/>
          <w:color w:val="auto"/>
          <w:sz w:val="24"/>
        </w:rPr>
        <w:t>（0.0</w:t>
      </w:r>
      <w:r>
        <w:rPr>
          <w:rFonts w:hint="eastAsia"/>
          <w:bCs/>
          <w:color w:val="auto"/>
          <w:sz w:val="24"/>
        </w:rPr>
        <w:t>00</w:t>
      </w:r>
      <w:r>
        <w:rPr>
          <w:rFonts w:hint="eastAsia"/>
          <w:bCs/>
          <w:color w:val="auto"/>
          <w:sz w:val="24"/>
          <w:lang w:val="en-US" w:eastAsia="zh-CN"/>
        </w:rPr>
        <w:t>57</w:t>
      </w:r>
      <w:r>
        <w:rPr>
          <w:bCs/>
          <w:color w:val="auto"/>
          <w:sz w:val="24"/>
        </w:rPr>
        <w:t>kg/h），H</w:t>
      </w:r>
      <w:r>
        <w:rPr>
          <w:bCs/>
          <w:color w:val="auto"/>
          <w:sz w:val="24"/>
          <w:vertAlign w:val="subscript"/>
        </w:rPr>
        <w:t>2</w:t>
      </w:r>
      <w:r>
        <w:rPr>
          <w:bCs/>
          <w:color w:val="auto"/>
          <w:sz w:val="24"/>
        </w:rPr>
        <w:t>S</w:t>
      </w:r>
      <w:r>
        <w:rPr>
          <w:rFonts w:hint="eastAsia"/>
          <w:bCs/>
          <w:color w:val="auto"/>
          <w:sz w:val="24"/>
        </w:rPr>
        <w:t>0.000</w:t>
      </w:r>
      <w:r>
        <w:rPr>
          <w:rFonts w:hint="eastAsia"/>
          <w:bCs/>
          <w:color w:val="auto"/>
          <w:sz w:val="24"/>
          <w:lang w:val="en-US" w:eastAsia="zh-CN"/>
        </w:rPr>
        <w:t>65</w:t>
      </w:r>
      <w:r>
        <w:rPr>
          <w:bCs/>
          <w:color w:val="auto"/>
          <w:sz w:val="24"/>
        </w:rPr>
        <w:t>t</w:t>
      </w:r>
      <w:r>
        <w:rPr>
          <w:rFonts w:hint="eastAsia"/>
          <w:bCs/>
          <w:color w:val="auto"/>
          <w:sz w:val="24"/>
        </w:rPr>
        <w:t>/a</w:t>
      </w:r>
      <w:r>
        <w:rPr>
          <w:bCs/>
          <w:color w:val="auto"/>
          <w:sz w:val="24"/>
        </w:rPr>
        <w:t>（0.00</w:t>
      </w:r>
      <w:r>
        <w:rPr>
          <w:rFonts w:hint="eastAsia"/>
          <w:bCs/>
          <w:color w:val="auto"/>
          <w:sz w:val="24"/>
        </w:rPr>
        <w:t>00</w:t>
      </w:r>
      <w:r>
        <w:rPr>
          <w:rFonts w:hint="eastAsia"/>
          <w:bCs/>
          <w:color w:val="auto"/>
          <w:sz w:val="24"/>
          <w:lang w:val="en-US" w:eastAsia="zh-CN"/>
        </w:rPr>
        <w:t>9</w:t>
      </w:r>
      <w:r>
        <w:rPr>
          <w:bCs/>
          <w:color w:val="auto"/>
          <w:sz w:val="24"/>
        </w:rPr>
        <w:t>kg/h）</w:t>
      </w:r>
      <w:r>
        <w:rPr>
          <w:rFonts w:hint="eastAsia"/>
          <w:bCs/>
          <w:color w:val="auto"/>
          <w:sz w:val="24"/>
        </w:rPr>
        <w:t>，臭气浓度338（无量纲），类比</w:t>
      </w:r>
      <w:r>
        <w:rPr>
          <w:bCs/>
          <w:color w:val="auto"/>
          <w:sz w:val="24"/>
        </w:rPr>
        <w:t>《</w:t>
      </w:r>
      <w:r>
        <w:rPr>
          <w:rFonts w:hint="eastAsia"/>
          <w:bCs/>
          <w:color w:val="auto"/>
          <w:sz w:val="24"/>
        </w:rPr>
        <w:t>吉林省伯宇现代农业产业有限责任公司年屠宰肉牛1.1万头项目竣工环境保护</w:t>
      </w:r>
      <w:r>
        <w:rPr>
          <w:bCs/>
          <w:color w:val="auto"/>
          <w:sz w:val="24"/>
        </w:rPr>
        <w:t>验收监测报告》（20</w:t>
      </w:r>
      <w:r>
        <w:rPr>
          <w:rFonts w:hint="eastAsia"/>
          <w:bCs/>
          <w:color w:val="auto"/>
          <w:sz w:val="24"/>
        </w:rPr>
        <w:t>23</w:t>
      </w:r>
      <w:r>
        <w:rPr>
          <w:bCs/>
          <w:color w:val="auto"/>
          <w:sz w:val="24"/>
        </w:rPr>
        <w:t>年</w:t>
      </w:r>
      <w:r>
        <w:rPr>
          <w:rFonts w:hint="eastAsia"/>
          <w:bCs/>
          <w:color w:val="auto"/>
          <w:sz w:val="24"/>
        </w:rPr>
        <w:t>3</w:t>
      </w:r>
      <w:r>
        <w:rPr>
          <w:bCs/>
          <w:color w:val="auto"/>
          <w:sz w:val="24"/>
        </w:rPr>
        <w:t>月）可知</w:t>
      </w:r>
      <w:r>
        <w:rPr>
          <w:rFonts w:hint="eastAsia"/>
          <w:bCs/>
          <w:color w:val="auto"/>
          <w:sz w:val="24"/>
        </w:rPr>
        <w:t>，厂界臭气浓度＜20（无量纲）。</w:t>
      </w:r>
    </w:p>
    <w:p>
      <w:pPr>
        <w:tabs>
          <w:tab w:val="left" w:pos="1515"/>
        </w:tabs>
        <w:spacing w:line="360" w:lineRule="auto"/>
        <w:ind w:firstLine="480" w:firstLineChars="200"/>
        <w:contextualSpacing/>
        <w:rPr>
          <w:snapToGrid w:val="0"/>
          <w:color w:val="auto"/>
          <w:kern w:val="0"/>
          <w:sz w:val="24"/>
        </w:rPr>
      </w:pPr>
      <w:r>
        <w:rPr>
          <w:color w:val="auto"/>
          <w:sz w:val="24"/>
        </w:rPr>
        <w:t>（</w:t>
      </w:r>
      <w:r>
        <w:rPr>
          <w:rFonts w:hint="eastAsia"/>
          <w:color w:val="auto"/>
          <w:sz w:val="24"/>
        </w:rPr>
        <w:t>3</w:t>
      </w:r>
      <w:r>
        <w:rPr>
          <w:color w:val="auto"/>
          <w:sz w:val="24"/>
        </w:rPr>
        <w:t>）</w:t>
      </w:r>
      <w:r>
        <w:rPr>
          <w:rFonts w:hint="eastAsia"/>
          <w:snapToGrid w:val="0"/>
          <w:color w:val="auto"/>
          <w:kern w:val="0"/>
          <w:sz w:val="24"/>
        </w:rPr>
        <w:t>屠宰车间恶臭</w:t>
      </w:r>
    </w:p>
    <w:p>
      <w:pPr>
        <w:pStyle w:val="74"/>
        <w:contextualSpacing/>
        <w:rPr>
          <w:rFonts w:ascii="Times New Roman" w:cs="Times New Roman"/>
          <w:color w:val="auto"/>
        </w:rPr>
      </w:pPr>
      <w:r>
        <w:rPr>
          <w:rFonts w:ascii="Times New Roman" w:cs="Times New Roman"/>
          <w:color w:val="auto"/>
        </w:rPr>
        <w:t>屠宰车间内湿度较高，屠宰后牲畜的湿皮、血、肠肚、粪尿等产生的臭气混杂在一起，形成刺鼻的腥臭味。本项目屠宰车间封闭建设，通过在屠宰车间安装集风管道，采用负压集中收集的方式（收集率约</w:t>
      </w:r>
      <w:r>
        <w:rPr>
          <w:rFonts w:hint="eastAsia" w:ascii="Times New Roman" w:cs="Times New Roman"/>
          <w:color w:val="auto"/>
        </w:rPr>
        <w:t>80</w:t>
      </w:r>
      <w:r>
        <w:rPr>
          <w:rFonts w:ascii="Times New Roman" w:cs="Times New Roman"/>
          <w:color w:val="auto"/>
        </w:rPr>
        <w:t>%左右）</w:t>
      </w:r>
      <w:r>
        <w:rPr>
          <w:rFonts w:ascii="Times New Roman" w:hAnsi="Times New Roman" w:cs="Times New Roman"/>
          <w:color w:val="auto"/>
        </w:rPr>
        <w:t>，</w:t>
      </w:r>
      <w:r>
        <w:rPr>
          <w:rFonts w:ascii="Times New Roman" w:cs="Times New Roman"/>
          <w:color w:val="auto"/>
        </w:rPr>
        <w:t>然后通过管道统一送至活性炭净化装置净化（</w:t>
      </w:r>
      <w:r>
        <w:rPr>
          <w:rFonts w:hint="eastAsia" w:ascii="Times New Roman" w:cs="Times New Roman"/>
          <w:color w:val="auto"/>
        </w:rPr>
        <w:t>净化率不低于70%</w:t>
      </w:r>
      <w:r>
        <w:rPr>
          <w:rFonts w:ascii="Times New Roman" w:cs="Times New Roman"/>
          <w:color w:val="auto"/>
        </w:rPr>
        <w:t>）后由车间外</w:t>
      </w:r>
      <w:r>
        <w:rPr>
          <w:rFonts w:ascii="Times New Roman" w:hAnsi="Times New Roman" w:cs="Times New Roman"/>
          <w:color w:val="auto"/>
        </w:rPr>
        <w:t>15m</w:t>
      </w:r>
      <w:r>
        <w:rPr>
          <w:rFonts w:ascii="Times New Roman" w:cs="Times New Roman"/>
          <w:color w:val="auto"/>
        </w:rPr>
        <w:t>高排气筒</w:t>
      </w:r>
      <w:r>
        <w:rPr>
          <w:rFonts w:hint="eastAsia" w:ascii="Times New Roman" w:hAnsi="Times New Roman" w:cs="Times New Roman"/>
          <w:color w:val="auto"/>
        </w:rPr>
        <w:t>（DA001）</w:t>
      </w:r>
      <w:r>
        <w:rPr>
          <w:rFonts w:ascii="Times New Roman" w:cs="Times New Roman"/>
          <w:color w:val="auto"/>
        </w:rPr>
        <w:t>排放。</w:t>
      </w:r>
    </w:p>
    <w:p>
      <w:pPr>
        <w:spacing w:line="360" w:lineRule="auto"/>
        <w:ind w:firstLine="480" w:firstLineChars="200"/>
        <w:rPr>
          <w:bCs/>
          <w:color w:val="FF0000"/>
          <w:sz w:val="24"/>
        </w:rPr>
      </w:pPr>
      <w:r>
        <w:rPr>
          <w:color w:val="auto"/>
          <w:sz w:val="24"/>
        </w:rPr>
        <w:t>根据《</w:t>
      </w:r>
      <w:r>
        <w:rPr>
          <w:rFonts w:hint="eastAsia"/>
          <w:bCs/>
          <w:color w:val="auto"/>
          <w:sz w:val="24"/>
        </w:rPr>
        <w:t>吉林省伯宇现代农业产业有限责任公司年屠宰肉牛1.1万头项目竣工环境保护</w:t>
      </w:r>
      <w:r>
        <w:rPr>
          <w:bCs/>
          <w:color w:val="auto"/>
          <w:sz w:val="24"/>
        </w:rPr>
        <w:t>验收监测报告</w:t>
      </w:r>
      <w:r>
        <w:rPr>
          <w:color w:val="auto"/>
          <w:sz w:val="24"/>
        </w:rPr>
        <w:t>》（</w:t>
      </w:r>
      <w:r>
        <w:rPr>
          <w:bCs/>
          <w:color w:val="auto"/>
          <w:sz w:val="24"/>
        </w:rPr>
        <w:t>20</w:t>
      </w:r>
      <w:r>
        <w:rPr>
          <w:rFonts w:hint="eastAsia"/>
          <w:bCs/>
          <w:color w:val="auto"/>
          <w:sz w:val="24"/>
        </w:rPr>
        <w:t>23</w:t>
      </w:r>
      <w:r>
        <w:rPr>
          <w:bCs/>
          <w:color w:val="auto"/>
          <w:sz w:val="24"/>
        </w:rPr>
        <w:t>年</w:t>
      </w:r>
      <w:r>
        <w:rPr>
          <w:rFonts w:hint="eastAsia"/>
          <w:bCs/>
          <w:color w:val="auto"/>
          <w:sz w:val="24"/>
        </w:rPr>
        <w:t>3</w:t>
      </w:r>
      <w:r>
        <w:rPr>
          <w:bCs/>
          <w:color w:val="auto"/>
          <w:sz w:val="24"/>
        </w:rPr>
        <w:t>月</w:t>
      </w:r>
      <w:r>
        <w:rPr>
          <w:color w:val="auto"/>
          <w:sz w:val="24"/>
        </w:rPr>
        <w:t>）可知</w:t>
      </w:r>
      <w:r>
        <w:rPr>
          <w:rFonts w:hint="eastAsia"/>
          <w:color w:val="auto"/>
          <w:sz w:val="24"/>
        </w:rPr>
        <w:t>，</w:t>
      </w:r>
      <w:r>
        <w:rPr>
          <w:rFonts w:hint="eastAsia"/>
          <w:bCs/>
          <w:color w:val="auto"/>
          <w:sz w:val="24"/>
        </w:rPr>
        <w:t>吉林省伯宇现代农业产业有限责任公司</w:t>
      </w:r>
      <w:r>
        <w:rPr>
          <w:color w:val="auto"/>
          <w:sz w:val="24"/>
        </w:rPr>
        <w:t>对其屠宰加工车间采取的废气处理设施为采用负压收集的措施后通过活性炭吸附装置，净化后的废气用过15m高排气筒排入环境。本项目对屠宰车间废气采取的废气治理措施与</w:t>
      </w:r>
      <w:r>
        <w:rPr>
          <w:rFonts w:hint="eastAsia"/>
          <w:bCs/>
          <w:color w:val="auto"/>
          <w:sz w:val="24"/>
        </w:rPr>
        <w:t>吉林省伯宇现代农业产业有限责任公司</w:t>
      </w:r>
      <w:r>
        <w:rPr>
          <w:color w:val="auto"/>
          <w:sz w:val="24"/>
        </w:rPr>
        <w:t>采取的废气治理措施相同，本项目屠宰车间有组织废气源强</w:t>
      </w:r>
      <w:r>
        <w:rPr>
          <w:rFonts w:hint="eastAsia"/>
          <w:color w:val="auto"/>
          <w:sz w:val="24"/>
        </w:rPr>
        <w:t>采用</w:t>
      </w:r>
      <w:r>
        <w:rPr>
          <w:color w:val="auto"/>
          <w:sz w:val="24"/>
        </w:rPr>
        <w:t>《</w:t>
      </w:r>
      <w:r>
        <w:rPr>
          <w:rFonts w:hint="eastAsia"/>
          <w:bCs/>
          <w:color w:val="auto"/>
          <w:sz w:val="24"/>
        </w:rPr>
        <w:t>吉林省伯宇现代农业产业有限责任公司年屠宰肉牛1.1万头项目竣工环境保护</w:t>
      </w:r>
      <w:r>
        <w:rPr>
          <w:bCs/>
          <w:color w:val="auto"/>
          <w:sz w:val="24"/>
        </w:rPr>
        <w:t>验收监测报告</w:t>
      </w:r>
      <w:r>
        <w:rPr>
          <w:color w:val="auto"/>
          <w:sz w:val="24"/>
        </w:rPr>
        <w:t>》（</w:t>
      </w:r>
      <w:r>
        <w:rPr>
          <w:bCs/>
          <w:color w:val="auto"/>
          <w:sz w:val="24"/>
        </w:rPr>
        <w:t>20</w:t>
      </w:r>
      <w:r>
        <w:rPr>
          <w:rFonts w:hint="eastAsia"/>
          <w:bCs/>
          <w:color w:val="auto"/>
          <w:sz w:val="24"/>
        </w:rPr>
        <w:t>23</w:t>
      </w:r>
      <w:r>
        <w:rPr>
          <w:bCs/>
          <w:color w:val="auto"/>
          <w:sz w:val="24"/>
        </w:rPr>
        <w:t>年</w:t>
      </w:r>
      <w:r>
        <w:rPr>
          <w:rFonts w:hint="eastAsia"/>
          <w:bCs/>
          <w:color w:val="auto"/>
          <w:sz w:val="24"/>
        </w:rPr>
        <w:t>3</w:t>
      </w:r>
      <w:r>
        <w:rPr>
          <w:bCs/>
          <w:color w:val="auto"/>
          <w:sz w:val="24"/>
        </w:rPr>
        <w:t>月</w:t>
      </w:r>
      <w:r>
        <w:rPr>
          <w:color w:val="auto"/>
          <w:sz w:val="24"/>
        </w:rPr>
        <w:t>）中屠宰车间排气筒实际验收监测值取</w:t>
      </w:r>
      <w:r>
        <w:rPr>
          <w:rFonts w:hint="eastAsia"/>
          <w:color w:val="auto"/>
          <w:sz w:val="24"/>
        </w:rPr>
        <w:t>最大值，</w:t>
      </w:r>
      <w:r>
        <w:rPr>
          <w:bCs/>
          <w:color w:val="auto"/>
          <w:sz w:val="24"/>
        </w:rPr>
        <w:t>该项目</w:t>
      </w:r>
      <w:r>
        <w:rPr>
          <w:rFonts w:hint="eastAsia"/>
          <w:bCs/>
          <w:color w:val="auto"/>
          <w:sz w:val="24"/>
        </w:rPr>
        <w:t>验收监测工况＞75%，本项目取76%，</w:t>
      </w:r>
      <w:r>
        <w:rPr>
          <w:bCs/>
          <w:color w:val="auto"/>
          <w:sz w:val="24"/>
        </w:rPr>
        <w:t>屠宰线有组织氨</w:t>
      </w:r>
      <w:r>
        <w:rPr>
          <w:rFonts w:hint="eastAsia"/>
          <w:bCs/>
          <w:color w:val="auto"/>
          <w:sz w:val="24"/>
        </w:rPr>
        <w:t>排放</w:t>
      </w:r>
      <w:r>
        <w:rPr>
          <w:bCs/>
          <w:color w:val="auto"/>
          <w:sz w:val="24"/>
        </w:rPr>
        <w:t>速率</w:t>
      </w:r>
      <w:r>
        <w:rPr>
          <w:rFonts w:hint="eastAsia"/>
          <w:bCs/>
          <w:color w:val="auto"/>
          <w:sz w:val="24"/>
        </w:rPr>
        <w:t>0.013</w:t>
      </w:r>
      <w:r>
        <w:rPr>
          <w:bCs/>
          <w:color w:val="auto"/>
          <w:sz w:val="24"/>
        </w:rPr>
        <w:t>kg/h，有组织硫化氢</w:t>
      </w:r>
      <w:r>
        <w:rPr>
          <w:rFonts w:hint="eastAsia"/>
          <w:bCs/>
          <w:color w:val="auto"/>
          <w:sz w:val="24"/>
        </w:rPr>
        <w:t>排放</w:t>
      </w:r>
      <w:r>
        <w:rPr>
          <w:bCs/>
          <w:color w:val="auto"/>
          <w:sz w:val="24"/>
        </w:rPr>
        <w:t>速率0.0</w:t>
      </w:r>
      <w:r>
        <w:rPr>
          <w:rFonts w:hint="eastAsia"/>
          <w:bCs/>
          <w:color w:val="auto"/>
          <w:sz w:val="24"/>
        </w:rPr>
        <w:t>014</w:t>
      </w:r>
      <w:r>
        <w:rPr>
          <w:bCs/>
          <w:color w:val="auto"/>
          <w:sz w:val="24"/>
        </w:rPr>
        <w:t>kg/h</w:t>
      </w:r>
      <w:r>
        <w:rPr>
          <w:rFonts w:hint="eastAsia"/>
          <w:bCs/>
          <w:color w:val="auto"/>
          <w:sz w:val="24"/>
        </w:rPr>
        <w:t>，臭气浓度550（无量纲）</w:t>
      </w:r>
      <w:r>
        <w:rPr>
          <w:bCs/>
          <w:color w:val="auto"/>
          <w:sz w:val="24"/>
        </w:rPr>
        <w:t>。</w:t>
      </w:r>
    </w:p>
    <w:p>
      <w:pPr>
        <w:bidi w:val="0"/>
        <w:jc w:val="center"/>
        <w:rPr>
          <w:b/>
          <w:bCs/>
          <w:color w:val="auto"/>
          <w:sz w:val="24"/>
          <w:szCs w:val="24"/>
        </w:rPr>
      </w:pPr>
      <w:r>
        <w:rPr>
          <w:rFonts w:hint="eastAsia"/>
          <w:b/>
          <w:bCs/>
          <w:color w:val="auto"/>
          <w:sz w:val="24"/>
          <w:szCs w:val="24"/>
        </w:rPr>
        <w:t>表3-3-10  本项目与参考项目可类比分析表</w:t>
      </w:r>
    </w:p>
    <w:tbl>
      <w:tblPr>
        <w:tblStyle w:val="4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9"/>
        <w:gridCol w:w="3855"/>
        <w:gridCol w:w="2223"/>
        <w:gridCol w:w="11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8" w:type="pct"/>
            <w:tcBorders>
              <w:top w:val="single" w:color="auto" w:sz="12" w:space="0"/>
              <w:left w:val="nil"/>
              <w:bottom w:val="single" w:color="auto" w:sz="6" w:space="0"/>
              <w:right w:val="single" w:color="auto" w:sz="6" w:space="0"/>
            </w:tcBorders>
            <w:vAlign w:val="center"/>
          </w:tcPr>
          <w:p>
            <w:pPr>
              <w:jc w:val="center"/>
              <w:outlineLvl w:val="4"/>
              <w:rPr>
                <w:color w:val="auto"/>
                <w:kern w:val="0"/>
                <w:sz w:val="21"/>
                <w:szCs w:val="21"/>
              </w:rPr>
            </w:pPr>
            <w:r>
              <w:rPr>
                <w:rFonts w:hint="eastAsia"/>
                <w:color w:val="auto"/>
                <w:kern w:val="0"/>
                <w:sz w:val="21"/>
                <w:szCs w:val="21"/>
              </w:rPr>
              <w:t>对比项目</w:t>
            </w:r>
          </w:p>
        </w:tc>
        <w:tc>
          <w:tcPr>
            <w:tcW w:w="2262" w:type="pct"/>
            <w:tcBorders>
              <w:top w:val="single" w:color="auto" w:sz="12" w:space="0"/>
              <w:left w:val="single" w:color="auto" w:sz="6" w:space="0"/>
              <w:bottom w:val="single" w:color="auto" w:sz="6" w:space="0"/>
              <w:right w:val="single" w:color="auto" w:sz="6" w:space="0"/>
            </w:tcBorders>
            <w:vAlign w:val="center"/>
          </w:tcPr>
          <w:p>
            <w:pPr>
              <w:jc w:val="center"/>
              <w:outlineLvl w:val="4"/>
              <w:rPr>
                <w:color w:val="auto"/>
                <w:kern w:val="0"/>
                <w:sz w:val="21"/>
                <w:szCs w:val="21"/>
              </w:rPr>
            </w:pPr>
            <w:r>
              <w:rPr>
                <w:rFonts w:hint="eastAsia"/>
                <w:bCs/>
                <w:color w:val="auto"/>
                <w:kern w:val="0"/>
                <w:sz w:val="21"/>
                <w:szCs w:val="21"/>
              </w:rPr>
              <w:t>吉林省伯宇现代农业产业有限责任公司</w:t>
            </w:r>
          </w:p>
        </w:tc>
        <w:tc>
          <w:tcPr>
            <w:tcW w:w="1304" w:type="pct"/>
            <w:tcBorders>
              <w:top w:val="single" w:color="auto" w:sz="12" w:space="0"/>
              <w:left w:val="single" w:color="auto" w:sz="6" w:space="0"/>
              <w:bottom w:val="single" w:color="auto" w:sz="6" w:space="0"/>
              <w:right w:val="single" w:color="auto" w:sz="6" w:space="0"/>
            </w:tcBorders>
            <w:vAlign w:val="center"/>
          </w:tcPr>
          <w:p>
            <w:pPr>
              <w:jc w:val="center"/>
              <w:outlineLvl w:val="4"/>
              <w:rPr>
                <w:color w:val="auto"/>
                <w:kern w:val="0"/>
                <w:sz w:val="21"/>
                <w:szCs w:val="21"/>
              </w:rPr>
            </w:pPr>
            <w:r>
              <w:rPr>
                <w:rFonts w:hint="eastAsia"/>
                <w:color w:val="auto"/>
                <w:kern w:val="0"/>
                <w:sz w:val="21"/>
                <w:szCs w:val="21"/>
              </w:rPr>
              <w:t>本项目</w:t>
            </w:r>
          </w:p>
        </w:tc>
        <w:tc>
          <w:tcPr>
            <w:tcW w:w="664" w:type="pct"/>
            <w:tcBorders>
              <w:top w:val="single" w:color="auto" w:sz="12" w:space="0"/>
              <w:left w:val="single" w:color="auto" w:sz="6" w:space="0"/>
              <w:bottom w:val="single" w:color="auto" w:sz="6" w:space="0"/>
              <w:right w:val="nil"/>
            </w:tcBorders>
            <w:vAlign w:val="center"/>
          </w:tcPr>
          <w:p>
            <w:pPr>
              <w:jc w:val="center"/>
              <w:outlineLvl w:val="4"/>
              <w:rPr>
                <w:color w:val="auto"/>
                <w:kern w:val="0"/>
                <w:sz w:val="21"/>
                <w:szCs w:val="21"/>
              </w:rPr>
            </w:pPr>
            <w:r>
              <w:rPr>
                <w:rFonts w:hint="eastAsia"/>
                <w:color w:val="auto"/>
                <w:kern w:val="0"/>
                <w:sz w:val="21"/>
                <w:szCs w:val="21"/>
              </w:rPr>
              <w:t>比对结果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8" w:type="pct"/>
            <w:tcBorders>
              <w:top w:val="single" w:color="auto" w:sz="6" w:space="0"/>
              <w:left w:val="nil"/>
              <w:bottom w:val="single" w:color="auto" w:sz="6" w:space="0"/>
              <w:right w:val="single" w:color="auto" w:sz="6" w:space="0"/>
            </w:tcBorders>
            <w:vAlign w:val="center"/>
          </w:tcPr>
          <w:p>
            <w:pPr>
              <w:jc w:val="center"/>
              <w:outlineLvl w:val="4"/>
              <w:rPr>
                <w:color w:val="auto"/>
                <w:kern w:val="0"/>
                <w:sz w:val="21"/>
                <w:szCs w:val="21"/>
              </w:rPr>
            </w:pPr>
            <w:r>
              <w:rPr>
                <w:rFonts w:hint="eastAsia"/>
                <w:color w:val="auto"/>
                <w:kern w:val="0"/>
                <w:sz w:val="21"/>
                <w:szCs w:val="21"/>
              </w:rPr>
              <w:t>屠宰规格</w:t>
            </w:r>
          </w:p>
        </w:tc>
        <w:tc>
          <w:tcPr>
            <w:tcW w:w="2262" w:type="pct"/>
            <w:tcBorders>
              <w:top w:val="single" w:color="auto" w:sz="6" w:space="0"/>
              <w:left w:val="single" w:color="auto" w:sz="6" w:space="0"/>
              <w:bottom w:val="single" w:color="auto" w:sz="6" w:space="0"/>
              <w:right w:val="single" w:color="auto" w:sz="6" w:space="0"/>
            </w:tcBorders>
            <w:vAlign w:val="center"/>
          </w:tcPr>
          <w:p>
            <w:pPr>
              <w:jc w:val="center"/>
              <w:outlineLvl w:val="4"/>
              <w:rPr>
                <w:color w:val="auto"/>
                <w:kern w:val="0"/>
                <w:sz w:val="21"/>
                <w:szCs w:val="21"/>
              </w:rPr>
            </w:pPr>
            <w:r>
              <w:rPr>
                <w:rFonts w:hint="eastAsia"/>
                <w:color w:val="auto"/>
                <w:kern w:val="0"/>
                <w:sz w:val="21"/>
                <w:szCs w:val="21"/>
              </w:rPr>
              <w:t>年屠宰1.1万头</w:t>
            </w:r>
          </w:p>
        </w:tc>
        <w:tc>
          <w:tcPr>
            <w:tcW w:w="1304" w:type="pct"/>
            <w:tcBorders>
              <w:top w:val="single" w:color="auto" w:sz="6" w:space="0"/>
              <w:left w:val="single" w:color="auto" w:sz="6" w:space="0"/>
              <w:bottom w:val="single" w:color="auto" w:sz="6" w:space="0"/>
              <w:right w:val="single" w:color="auto" w:sz="6" w:space="0"/>
            </w:tcBorders>
            <w:vAlign w:val="center"/>
          </w:tcPr>
          <w:p>
            <w:pPr>
              <w:jc w:val="center"/>
              <w:outlineLvl w:val="4"/>
              <w:rPr>
                <w:color w:val="auto"/>
                <w:kern w:val="0"/>
                <w:sz w:val="21"/>
                <w:szCs w:val="21"/>
              </w:rPr>
            </w:pPr>
            <w:r>
              <w:rPr>
                <w:rFonts w:hint="eastAsia"/>
                <w:color w:val="auto"/>
                <w:kern w:val="0"/>
                <w:sz w:val="21"/>
                <w:szCs w:val="21"/>
              </w:rPr>
              <w:t>年屠宰</w:t>
            </w:r>
            <w:r>
              <w:rPr>
                <w:rFonts w:hint="eastAsia"/>
                <w:color w:val="auto"/>
                <w:kern w:val="0"/>
                <w:sz w:val="21"/>
                <w:szCs w:val="21"/>
                <w:lang w:eastAsia="zh-CN"/>
              </w:rPr>
              <w:t>2万</w:t>
            </w:r>
            <w:r>
              <w:rPr>
                <w:rFonts w:hint="eastAsia"/>
                <w:color w:val="auto"/>
                <w:kern w:val="0"/>
                <w:sz w:val="21"/>
                <w:szCs w:val="21"/>
              </w:rPr>
              <w:t>头</w:t>
            </w:r>
          </w:p>
        </w:tc>
        <w:tc>
          <w:tcPr>
            <w:tcW w:w="664" w:type="pct"/>
            <w:tcBorders>
              <w:top w:val="single" w:color="auto" w:sz="6" w:space="0"/>
              <w:left w:val="single" w:color="auto" w:sz="6" w:space="0"/>
              <w:bottom w:val="single" w:color="auto" w:sz="6" w:space="0"/>
              <w:right w:val="nil"/>
            </w:tcBorders>
            <w:vAlign w:val="center"/>
          </w:tcPr>
          <w:p>
            <w:pPr>
              <w:jc w:val="center"/>
              <w:outlineLvl w:val="4"/>
              <w:rPr>
                <w:color w:val="auto"/>
                <w:kern w:val="0"/>
                <w:sz w:val="21"/>
                <w:szCs w:val="21"/>
              </w:rPr>
            </w:pPr>
            <w:r>
              <w:rPr>
                <w:rFonts w:hint="eastAsia"/>
                <w:color w:val="auto"/>
                <w:kern w:val="0"/>
                <w:sz w:val="21"/>
                <w:szCs w:val="21"/>
              </w:rPr>
              <w:t>可类比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8" w:type="pct"/>
            <w:tcBorders>
              <w:top w:val="single" w:color="auto" w:sz="6" w:space="0"/>
              <w:left w:val="nil"/>
              <w:bottom w:val="single" w:color="auto" w:sz="6" w:space="0"/>
              <w:right w:val="single" w:color="auto" w:sz="6" w:space="0"/>
            </w:tcBorders>
            <w:vAlign w:val="center"/>
          </w:tcPr>
          <w:p>
            <w:pPr>
              <w:jc w:val="center"/>
              <w:outlineLvl w:val="4"/>
              <w:rPr>
                <w:color w:val="auto"/>
                <w:kern w:val="0"/>
                <w:sz w:val="21"/>
                <w:szCs w:val="21"/>
              </w:rPr>
            </w:pPr>
            <w:r>
              <w:rPr>
                <w:rFonts w:hint="eastAsia"/>
                <w:color w:val="auto"/>
                <w:kern w:val="0"/>
                <w:sz w:val="21"/>
                <w:szCs w:val="21"/>
              </w:rPr>
              <w:t>工艺</w:t>
            </w:r>
          </w:p>
        </w:tc>
        <w:tc>
          <w:tcPr>
            <w:tcW w:w="2262" w:type="pct"/>
            <w:tcBorders>
              <w:top w:val="single" w:color="auto" w:sz="6" w:space="0"/>
              <w:left w:val="single" w:color="auto" w:sz="6" w:space="0"/>
              <w:bottom w:val="single" w:color="auto" w:sz="6" w:space="0"/>
              <w:right w:val="single" w:color="auto" w:sz="6" w:space="0"/>
            </w:tcBorders>
            <w:vAlign w:val="center"/>
          </w:tcPr>
          <w:p>
            <w:pPr>
              <w:jc w:val="center"/>
              <w:outlineLvl w:val="4"/>
              <w:rPr>
                <w:color w:val="auto"/>
                <w:kern w:val="0"/>
                <w:sz w:val="21"/>
                <w:szCs w:val="21"/>
              </w:rPr>
            </w:pPr>
            <w:r>
              <w:rPr>
                <w:rFonts w:hint="eastAsia"/>
                <w:color w:val="auto"/>
                <w:kern w:val="0"/>
                <w:sz w:val="21"/>
                <w:szCs w:val="21"/>
              </w:rPr>
              <w:t>现代化屠宰工艺，自动化高，不涉及手工屠宰，主要工艺：</w:t>
            </w:r>
            <w:r>
              <w:rPr>
                <w:color w:val="auto"/>
                <w:kern w:val="0"/>
                <w:sz w:val="21"/>
                <w:szCs w:val="21"/>
              </w:rPr>
              <w:t>宰前检疫、待宰、电麻击晕、刺杀沥血、预剥皮、割头蹄、扯皮、开膛去内脏、分割、包装速冻</w:t>
            </w:r>
            <w:r>
              <w:rPr>
                <w:rFonts w:hint="eastAsia"/>
                <w:color w:val="auto"/>
                <w:kern w:val="0"/>
                <w:sz w:val="21"/>
                <w:szCs w:val="21"/>
              </w:rPr>
              <w:t>等</w:t>
            </w:r>
          </w:p>
        </w:tc>
        <w:tc>
          <w:tcPr>
            <w:tcW w:w="1304" w:type="pct"/>
            <w:tcBorders>
              <w:top w:val="single" w:color="auto" w:sz="6" w:space="0"/>
              <w:left w:val="single" w:color="auto" w:sz="6" w:space="0"/>
              <w:bottom w:val="single" w:color="auto" w:sz="6" w:space="0"/>
              <w:right w:val="single" w:color="auto" w:sz="6" w:space="0"/>
            </w:tcBorders>
            <w:vAlign w:val="center"/>
          </w:tcPr>
          <w:p>
            <w:pPr>
              <w:jc w:val="center"/>
              <w:outlineLvl w:val="4"/>
              <w:rPr>
                <w:color w:val="auto"/>
                <w:kern w:val="0"/>
                <w:sz w:val="21"/>
                <w:szCs w:val="21"/>
              </w:rPr>
            </w:pPr>
            <w:r>
              <w:rPr>
                <w:rFonts w:hint="eastAsia"/>
                <w:color w:val="auto"/>
                <w:kern w:val="0"/>
                <w:sz w:val="21"/>
                <w:szCs w:val="21"/>
              </w:rPr>
              <w:t>现代化屠宰工艺，自动化高，不涉及手工屠宰，主要工艺：</w:t>
            </w:r>
            <w:r>
              <w:rPr>
                <w:color w:val="auto"/>
                <w:kern w:val="0"/>
                <w:sz w:val="21"/>
                <w:szCs w:val="21"/>
              </w:rPr>
              <w:t>宰前检疫、待宰、电麻击晕、刺杀沥血、预剥皮、割头蹄、扯皮、开膛去内脏、分割、包装速冻</w:t>
            </w:r>
            <w:r>
              <w:rPr>
                <w:rFonts w:hint="eastAsia"/>
                <w:color w:val="auto"/>
                <w:kern w:val="0"/>
                <w:sz w:val="21"/>
                <w:szCs w:val="21"/>
              </w:rPr>
              <w:t>等</w:t>
            </w:r>
          </w:p>
        </w:tc>
        <w:tc>
          <w:tcPr>
            <w:tcW w:w="664" w:type="pct"/>
            <w:tcBorders>
              <w:top w:val="single" w:color="auto" w:sz="6" w:space="0"/>
              <w:left w:val="single" w:color="auto" w:sz="6" w:space="0"/>
              <w:bottom w:val="single" w:color="auto" w:sz="6" w:space="0"/>
              <w:right w:val="nil"/>
            </w:tcBorders>
            <w:vAlign w:val="center"/>
          </w:tcPr>
          <w:p>
            <w:pPr>
              <w:jc w:val="center"/>
              <w:outlineLvl w:val="4"/>
              <w:rPr>
                <w:color w:val="auto"/>
                <w:kern w:val="0"/>
                <w:sz w:val="21"/>
                <w:szCs w:val="21"/>
              </w:rPr>
            </w:pPr>
            <w:r>
              <w:rPr>
                <w:rFonts w:hint="eastAsia"/>
                <w:color w:val="auto"/>
                <w:kern w:val="0"/>
                <w:sz w:val="21"/>
                <w:szCs w:val="21"/>
              </w:rPr>
              <w:t>可类比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8" w:type="pct"/>
            <w:tcBorders>
              <w:top w:val="single" w:color="auto" w:sz="6" w:space="0"/>
              <w:left w:val="nil"/>
              <w:bottom w:val="single" w:color="auto" w:sz="6" w:space="0"/>
              <w:right w:val="single" w:color="auto" w:sz="6" w:space="0"/>
            </w:tcBorders>
            <w:vAlign w:val="center"/>
          </w:tcPr>
          <w:p>
            <w:pPr>
              <w:jc w:val="center"/>
              <w:outlineLvl w:val="4"/>
              <w:rPr>
                <w:color w:val="auto"/>
                <w:kern w:val="0"/>
                <w:sz w:val="21"/>
                <w:szCs w:val="21"/>
              </w:rPr>
            </w:pPr>
            <w:r>
              <w:rPr>
                <w:rFonts w:hint="eastAsia"/>
                <w:color w:val="auto"/>
                <w:kern w:val="0"/>
                <w:sz w:val="21"/>
                <w:szCs w:val="21"/>
              </w:rPr>
              <w:t>工作制度</w:t>
            </w:r>
          </w:p>
        </w:tc>
        <w:tc>
          <w:tcPr>
            <w:tcW w:w="2262" w:type="pct"/>
            <w:tcBorders>
              <w:top w:val="single" w:color="auto" w:sz="6" w:space="0"/>
              <w:left w:val="single" w:color="auto" w:sz="6" w:space="0"/>
              <w:bottom w:val="single" w:color="auto" w:sz="6" w:space="0"/>
              <w:right w:val="single" w:color="auto" w:sz="6" w:space="0"/>
            </w:tcBorders>
            <w:vAlign w:val="center"/>
          </w:tcPr>
          <w:p>
            <w:pPr>
              <w:jc w:val="center"/>
              <w:outlineLvl w:val="4"/>
              <w:rPr>
                <w:color w:val="auto"/>
                <w:kern w:val="0"/>
                <w:sz w:val="21"/>
                <w:szCs w:val="21"/>
              </w:rPr>
            </w:pPr>
            <w:r>
              <w:rPr>
                <w:rFonts w:hint="eastAsia"/>
                <w:color w:val="auto"/>
                <w:kern w:val="0"/>
                <w:sz w:val="21"/>
                <w:szCs w:val="21"/>
              </w:rPr>
              <w:t>年工作350天，屠宰8小时</w:t>
            </w:r>
          </w:p>
        </w:tc>
        <w:tc>
          <w:tcPr>
            <w:tcW w:w="1304" w:type="pct"/>
            <w:tcBorders>
              <w:top w:val="single" w:color="auto" w:sz="6" w:space="0"/>
              <w:left w:val="single" w:color="auto" w:sz="6" w:space="0"/>
              <w:bottom w:val="single" w:color="auto" w:sz="6" w:space="0"/>
              <w:right w:val="single" w:color="auto" w:sz="6" w:space="0"/>
            </w:tcBorders>
            <w:vAlign w:val="center"/>
          </w:tcPr>
          <w:p>
            <w:pPr>
              <w:jc w:val="center"/>
              <w:outlineLvl w:val="4"/>
              <w:rPr>
                <w:color w:val="auto"/>
                <w:kern w:val="0"/>
                <w:sz w:val="21"/>
                <w:szCs w:val="21"/>
              </w:rPr>
            </w:pPr>
            <w:r>
              <w:rPr>
                <w:rFonts w:hint="eastAsia"/>
                <w:color w:val="auto"/>
                <w:kern w:val="0"/>
                <w:sz w:val="21"/>
                <w:szCs w:val="21"/>
              </w:rPr>
              <w:t>年工作300天，屠宰8小时</w:t>
            </w:r>
          </w:p>
        </w:tc>
        <w:tc>
          <w:tcPr>
            <w:tcW w:w="664" w:type="pct"/>
            <w:tcBorders>
              <w:top w:val="single" w:color="auto" w:sz="6" w:space="0"/>
              <w:left w:val="single" w:color="auto" w:sz="6" w:space="0"/>
              <w:bottom w:val="single" w:color="auto" w:sz="6" w:space="0"/>
              <w:right w:val="nil"/>
            </w:tcBorders>
            <w:vAlign w:val="center"/>
          </w:tcPr>
          <w:p>
            <w:pPr>
              <w:jc w:val="center"/>
              <w:outlineLvl w:val="4"/>
              <w:rPr>
                <w:color w:val="auto"/>
                <w:kern w:val="0"/>
                <w:sz w:val="21"/>
                <w:szCs w:val="21"/>
              </w:rPr>
            </w:pPr>
            <w:r>
              <w:rPr>
                <w:rFonts w:hint="eastAsia"/>
                <w:color w:val="auto"/>
                <w:kern w:val="0"/>
                <w:sz w:val="21"/>
                <w:szCs w:val="21"/>
              </w:rPr>
              <w:t>可类比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8" w:type="pct"/>
            <w:tcBorders>
              <w:top w:val="single" w:color="auto" w:sz="6" w:space="0"/>
              <w:left w:val="nil"/>
              <w:bottom w:val="single" w:color="auto" w:sz="12" w:space="0"/>
              <w:right w:val="single" w:color="auto" w:sz="6" w:space="0"/>
            </w:tcBorders>
            <w:vAlign w:val="center"/>
          </w:tcPr>
          <w:p>
            <w:pPr>
              <w:jc w:val="center"/>
              <w:outlineLvl w:val="4"/>
              <w:rPr>
                <w:color w:val="auto"/>
                <w:kern w:val="0"/>
                <w:sz w:val="21"/>
                <w:szCs w:val="21"/>
              </w:rPr>
            </w:pPr>
            <w:r>
              <w:rPr>
                <w:rFonts w:hint="eastAsia"/>
                <w:color w:val="auto"/>
                <w:kern w:val="0"/>
                <w:sz w:val="21"/>
                <w:szCs w:val="21"/>
              </w:rPr>
              <w:t>废气处理措施</w:t>
            </w:r>
          </w:p>
        </w:tc>
        <w:tc>
          <w:tcPr>
            <w:tcW w:w="2262" w:type="pct"/>
            <w:tcBorders>
              <w:top w:val="single" w:color="auto" w:sz="6" w:space="0"/>
              <w:left w:val="single" w:color="auto" w:sz="6" w:space="0"/>
              <w:bottom w:val="single" w:color="auto" w:sz="12" w:space="0"/>
              <w:right w:val="single" w:color="auto" w:sz="6" w:space="0"/>
            </w:tcBorders>
            <w:vAlign w:val="center"/>
          </w:tcPr>
          <w:p>
            <w:pPr>
              <w:jc w:val="center"/>
              <w:outlineLvl w:val="4"/>
              <w:rPr>
                <w:color w:val="auto"/>
                <w:kern w:val="0"/>
                <w:sz w:val="21"/>
                <w:szCs w:val="21"/>
              </w:rPr>
            </w:pPr>
            <w:r>
              <w:rPr>
                <w:rFonts w:hint="eastAsia"/>
                <w:color w:val="auto"/>
                <w:kern w:val="0"/>
                <w:sz w:val="21"/>
                <w:szCs w:val="21"/>
              </w:rPr>
              <w:t>活性炭吸附+15m高排气筒</w:t>
            </w:r>
          </w:p>
        </w:tc>
        <w:tc>
          <w:tcPr>
            <w:tcW w:w="1304" w:type="pct"/>
            <w:tcBorders>
              <w:top w:val="single" w:color="auto" w:sz="6" w:space="0"/>
              <w:left w:val="single" w:color="auto" w:sz="6" w:space="0"/>
              <w:bottom w:val="single" w:color="auto" w:sz="12" w:space="0"/>
              <w:right w:val="single" w:color="auto" w:sz="6" w:space="0"/>
            </w:tcBorders>
            <w:vAlign w:val="center"/>
          </w:tcPr>
          <w:p>
            <w:pPr>
              <w:jc w:val="center"/>
              <w:outlineLvl w:val="4"/>
              <w:rPr>
                <w:color w:val="auto"/>
                <w:kern w:val="0"/>
                <w:sz w:val="21"/>
                <w:szCs w:val="21"/>
              </w:rPr>
            </w:pPr>
            <w:r>
              <w:rPr>
                <w:rFonts w:hint="eastAsia"/>
                <w:color w:val="auto"/>
                <w:kern w:val="0"/>
                <w:sz w:val="21"/>
                <w:szCs w:val="21"/>
              </w:rPr>
              <w:t>活性炭吸附+15m高排气筒</w:t>
            </w:r>
          </w:p>
        </w:tc>
        <w:tc>
          <w:tcPr>
            <w:tcW w:w="664" w:type="pct"/>
            <w:tcBorders>
              <w:top w:val="single" w:color="auto" w:sz="6" w:space="0"/>
              <w:left w:val="single" w:color="auto" w:sz="6" w:space="0"/>
              <w:bottom w:val="single" w:color="auto" w:sz="12" w:space="0"/>
              <w:right w:val="nil"/>
            </w:tcBorders>
            <w:vAlign w:val="center"/>
          </w:tcPr>
          <w:p>
            <w:pPr>
              <w:jc w:val="center"/>
              <w:outlineLvl w:val="4"/>
              <w:rPr>
                <w:color w:val="auto"/>
                <w:kern w:val="0"/>
                <w:sz w:val="21"/>
                <w:szCs w:val="21"/>
              </w:rPr>
            </w:pPr>
            <w:r>
              <w:rPr>
                <w:rFonts w:hint="eastAsia"/>
                <w:color w:val="auto"/>
                <w:kern w:val="0"/>
                <w:sz w:val="21"/>
                <w:szCs w:val="21"/>
              </w:rPr>
              <w:t>可类比</w:t>
            </w:r>
          </w:p>
        </w:tc>
      </w:tr>
    </w:tbl>
    <w:p>
      <w:pPr>
        <w:pStyle w:val="74"/>
        <w:contextualSpacing/>
        <w:rPr>
          <w:rFonts w:ascii="Times New Roman" w:hAnsi="Times New Roman" w:eastAsia="宋体" w:cs="Times New Roman"/>
          <w:color w:val="FF0000"/>
        </w:rPr>
      </w:pPr>
      <w:r>
        <w:rPr>
          <w:rFonts w:ascii="Times New Roman" w:hAnsi="Times New Roman" w:eastAsia="宋体" w:cs="Times New Roman"/>
          <w:color w:val="auto"/>
        </w:rPr>
        <w:t>采用负压集中收集的方式，风量</w:t>
      </w:r>
      <w:r>
        <w:rPr>
          <w:rFonts w:hint="eastAsia" w:ascii="Times New Roman" w:hAnsi="Times New Roman" w:eastAsia="宋体" w:cs="Times New Roman"/>
          <w:color w:val="auto"/>
        </w:rPr>
        <w:t>5000</w:t>
      </w:r>
      <w:r>
        <w:rPr>
          <w:rFonts w:ascii="Times New Roman" w:hAnsi="Times New Roman" w:eastAsia="宋体" w:cs="Times New Roman"/>
          <w:color w:val="auto"/>
        </w:rPr>
        <w:t>m</w:t>
      </w:r>
      <w:r>
        <w:rPr>
          <w:rFonts w:ascii="Times New Roman" w:hAnsi="Times New Roman" w:eastAsia="宋体" w:cs="Times New Roman"/>
          <w:color w:val="auto"/>
          <w:vertAlign w:val="superscript"/>
        </w:rPr>
        <w:t>3</w:t>
      </w:r>
      <w:r>
        <w:rPr>
          <w:rFonts w:ascii="Times New Roman" w:hAnsi="Times New Roman" w:eastAsia="宋体" w:cs="Times New Roman"/>
          <w:color w:val="auto"/>
        </w:rPr>
        <w:t>/h，收集率约</w:t>
      </w:r>
      <w:r>
        <w:rPr>
          <w:rFonts w:hint="eastAsia" w:ascii="Times New Roman" w:hAnsi="Times New Roman" w:eastAsia="宋体" w:cs="Times New Roman"/>
          <w:color w:val="auto"/>
        </w:rPr>
        <w:t>80</w:t>
      </w:r>
      <w:r>
        <w:rPr>
          <w:rFonts w:ascii="Times New Roman" w:hAnsi="Times New Roman" w:eastAsia="宋体" w:cs="Times New Roman"/>
          <w:color w:val="auto"/>
        </w:rPr>
        <w:t>%左右，负压收集的废气通过活性炭吸附净化后排放。活性炭对废气的处理效率70</w:t>
      </w:r>
      <w:r>
        <w:rPr>
          <w:rFonts w:hint="eastAsia" w:ascii="Times New Roman" w:hAnsi="Times New Roman" w:eastAsia="宋体" w:cs="Times New Roman"/>
          <w:color w:val="auto"/>
        </w:rPr>
        <w:t>%</w:t>
      </w:r>
      <w:r>
        <w:rPr>
          <w:rFonts w:ascii="Times New Roman" w:hAnsi="Times New Roman" w:eastAsia="宋体" w:cs="Times New Roman"/>
          <w:color w:val="auto"/>
        </w:rPr>
        <w:t>。</w:t>
      </w:r>
      <w:r>
        <w:rPr>
          <w:rFonts w:hint="eastAsia" w:ascii="Times New Roman" w:hAnsi="Times New Roman" w:eastAsia="宋体" w:cs="Times New Roman"/>
          <w:bCs/>
          <w:color w:val="auto"/>
        </w:rPr>
        <w:t>通过折算可知，</w:t>
      </w:r>
      <w:r>
        <w:rPr>
          <w:rFonts w:ascii="Times New Roman" w:hAnsi="Times New Roman" w:eastAsia="宋体" w:cs="Times New Roman"/>
          <w:bCs/>
          <w:color w:val="auto"/>
        </w:rPr>
        <w:t>屠宰车间</w:t>
      </w:r>
      <w:r>
        <w:rPr>
          <w:rFonts w:ascii="Times New Roman" w:hAnsi="Times New Roman" w:eastAsia="宋体" w:cs="Times New Roman"/>
          <w:color w:val="auto"/>
        </w:rPr>
        <w:t>恶臭气体</w:t>
      </w:r>
      <w:r>
        <w:rPr>
          <w:rFonts w:hint="eastAsia" w:ascii="Times New Roman" w:hAnsi="Times New Roman" w:eastAsia="宋体" w:cs="Times New Roman"/>
          <w:color w:val="auto"/>
        </w:rPr>
        <w:t>产生</w:t>
      </w:r>
      <w:r>
        <w:rPr>
          <w:rFonts w:ascii="Times New Roman" w:hAnsi="Times New Roman" w:eastAsia="宋体" w:cs="Times New Roman"/>
          <w:color w:val="auto"/>
        </w:rPr>
        <w:t>量为NH</w:t>
      </w:r>
      <w:r>
        <w:rPr>
          <w:rFonts w:ascii="Times New Roman" w:hAnsi="Times New Roman" w:eastAsia="宋体" w:cs="Times New Roman"/>
          <w:color w:val="auto"/>
          <w:vertAlign w:val="subscript"/>
        </w:rPr>
        <w:t>3</w:t>
      </w:r>
      <w:r>
        <w:rPr>
          <w:rFonts w:hint="eastAsia" w:ascii="Times New Roman" w:hAnsi="Times New Roman" w:eastAsia="宋体" w:cs="Times New Roman"/>
          <w:color w:val="auto"/>
          <w:lang w:val="en-US" w:eastAsia="zh-CN"/>
        </w:rPr>
        <w:t>0.129</w:t>
      </w:r>
      <w:r>
        <w:rPr>
          <w:rFonts w:ascii="Times New Roman" w:hAnsi="Times New Roman" w:eastAsia="宋体" w:cs="Times New Roman"/>
          <w:color w:val="auto"/>
        </w:rPr>
        <w:t>kg/h（</w:t>
      </w:r>
      <w:r>
        <w:rPr>
          <w:rFonts w:hint="eastAsia" w:ascii="Times New Roman" w:hAnsi="Times New Roman" w:eastAsia="宋体" w:cs="Times New Roman"/>
          <w:color w:val="auto"/>
          <w:lang w:val="en-US" w:eastAsia="zh-CN"/>
        </w:rPr>
        <w:t>0.31</w:t>
      </w:r>
      <w:r>
        <w:rPr>
          <w:rFonts w:ascii="Times New Roman" w:hAnsi="Times New Roman" w:eastAsia="宋体" w:cs="Times New Roman"/>
          <w:color w:val="auto"/>
        </w:rPr>
        <w:t>t</w:t>
      </w:r>
      <w:r>
        <w:rPr>
          <w:rFonts w:hint="eastAsia" w:ascii="Times New Roman" w:hAnsi="Times New Roman" w:eastAsia="宋体" w:cs="Times New Roman"/>
          <w:color w:val="auto"/>
        </w:rPr>
        <w:t>/a</w:t>
      </w:r>
      <w:r>
        <w:rPr>
          <w:rFonts w:ascii="Times New Roman" w:hAnsi="Times New Roman" w:eastAsia="宋体" w:cs="Times New Roman"/>
          <w:color w:val="auto"/>
        </w:rPr>
        <w:t>）</w:t>
      </w:r>
      <w:r>
        <w:rPr>
          <w:rFonts w:ascii="Times New Roman" w:hAnsi="Times New Roman" w:eastAsia="宋体" w:cs="Times New Roman"/>
          <w:bCs/>
          <w:color w:val="auto"/>
        </w:rPr>
        <w:t>，H</w:t>
      </w:r>
      <w:r>
        <w:rPr>
          <w:rFonts w:ascii="Times New Roman" w:hAnsi="Times New Roman" w:eastAsia="宋体" w:cs="Times New Roman"/>
          <w:bCs/>
          <w:color w:val="auto"/>
          <w:vertAlign w:val="subscript"/>
        </w:rPr>
        <w:t>2</w:t>
      </w:r>
      <w:r>
        <w:rPr>
          <w:rFonts w:ascii="Times New Roman" w:hAnsi="Times New Roman" w:eastAsia="宋体" w:cs="Times New Roman"/>
          <w:bCs/>
          <w:color w:val="auto"/>
        </w:rPr>
        <w:t>S</w:t>
      </w:r>
      <w:r>
        <w:rPr>
          <w:rFonts w:ascii="Times New Roman" w:hAnsi="Times New Roman" w:eastAsia="宋体" w:cs="Times New Roman"/>
          <w:color w:val="auto"/>
        </w:rPr>
        <w:t>约</w:t>
      </w:r>
      <w:r>
        <w:rPr>
          <w:rFonts w:hint="eastAsia" w:ascii="Times New Roman" w:hAnsi="Times New Roman" w:eastAsia="宋体" w:cs="Times New Roman"/>
          <w:color w:val="auto"/>
          <w:lang w:val="en-US" w:eastAsia="zh-CN"/>
        </w:rPr>
        <w:t>0.014</w:t>
      </w:r>
      <w:r>
        <w:rPr>
          <w:rFonts w:ascii="Times New Roman" w:hAnsi="Times New Roman" w:eastAsia="宋体" w:cs="Times New Roman"/>
          <w:color w:val="auto"/>
        </w:rPr>
        <w:t>kg/h（</w:t>
      </w:r>
      <w:r>
        <w:rPr>
          <w:rFonts w:hint="eastAsia" w:ascii="Times New Roman" w:hAnsi="Times New Roman" w:eastAsia="宋体" w:cs="Times New Roman"/>
          <w:color w:val="auto"/>
          <w:lang w:val="en-US" w:eastAsia="zh-CN"/>
        </w:rPr>
        <w:t>0.033</w:t>
      </w:r>
      <w:r>
        <w:rPr>
          <w:rFonts w:ascii="Times New Roman" w:hAnsi="Times New Roman" w:eastAsia="宋体" w:cs="Times New Roman"/>
          <w:color w:val="auto"/>
        </w:rPr>
        <w:t>t</w:t>
      </w:r>
      <w:r>
        <w:rPr>
          <w:rFonts w:hint="eastAsia" w:ascii="Times New Roman" w:hAnsi="Times New Roman" w:eastAsia="宋体" w:cs="Times New Roman"/>
          <w:color w:val="auto"/>
        </w:rPr>
        <w:t>/a</w:t>
      </w:r>
      <w:r>
        <w:rPr>
          <w:rFonts w:ascii="Times New Roman" w:hAnsi="Times New Roman" w:eastAsia="宋体" w:cs="Times New Roman"/>
          <w:color w:val="auto"/>
        </w:rPr>
        <w:t>）</w:t>
      </w:r>
      <w:r>
        <w:rPr>
          <w:rFonts w:hint="eastAsia" w:ascii="Times New Roman" w:hAnsi="Times New Roman" w:eastAsia="宋体" w:cs="Times New Roman"/>
          <w:color w:val="auto"/>
        </w:rPr>
        <w:t>，</w:t>
      </w:r>
      <w:r>
        <w:rPr>
          <w:rFonts w:hint="eastAsia" w:ascii="Times New Roman" w:hAnsi="Times New Roman" w:eastAsia="宋体" w:cs="Times New Roman"/>
          <w:color w:val="auto"/>
          <w:lang w:val="en-US" w:eastAsia="zh-CN"/>
        </w:rPr>
        <w:t>5482</w:t>
      </w:r>
      <w:r>
        <w:rPr>
          <w:rFonts w:hint="eastAsia" w:ascii="Times New Roman" w:hAnsi="Times New Roman" w:eastAsia="宋体" w:cs="Times New Roman"/>
          <w:color w:val="auto"/>
        </w:rPr>
        <w:t>（无量纲）。则</w:t>
      </w:r>
      <w:r>
        <w:rPr>
          <w:rFonts w:ascii="Times New Roman" w:hAnsi="Times New Roman" w:eastAsia="宋体" w:cs="Times New Roman"/>
          <w:bCs/>
          <w:color w:val="auto"/>
        </w:rPr>
        <w:t>屠宰车间</w:t>
      </w:r>
      <w:r>
        <w:rPr>
          <w:rFonts w:ascii="Times New Roman" w:hAnsi="Times New Roman" w:eastAsia="宋体" w:cs="Times New Roman"/>
          <w:color w:val="auto"/>
        </w:rPr>
        <w:t>有组织恶臭气体产生量为NH</w:t>
      </w:r>
      <w:r>
        <w:rPr>
          <w:rFonts w:ascii="Times New Roman" w:hAnsi="Times New Roman" w:eastAsia="宋体" w:cs="Times New Roman"/>
          <w:color w:val="auto"/>
          <w:vertAlign w:val="subscript"/>
        </w:rPr>
        <w:t>3</w:t>
      </w:r>
      <w:r>
        <w:rPr>
          <w:rFonts w:hint="eastAsia" w:ascii="Times New Roman" w:hAnsi="Times New Roman" w:eastAsia="宋体" w:cs="Times New Roman"/>
          <w:color w:val="auto"/>
          <w:lang w:val="en-US" w:eastAsia="zh-CN"/>
        </w:rPr>
        <w:t>0.103</w:t>
      </w:r>
      <w:r>
        <w:rPr>
          <w:rFonts w:ascii="Times New Roman" w:hAnsi="Times New Roman" w:eastAsia="宋体" w:cs="Times New Roman"/>
          <w:color w:val="auto"/>
        </w:rPr>
        <w:t>kg/h</w:t>
      </w:r>
      <w:r>
        <w:rPr>
          <w:rFonts w:ascii="Times New Roman" w:hAnsi="Times New Roman" w:eastAsia="宋体" w:cs="Times New Roman"/>
          <w:bCs/>
          <w:color w:val="auto"/>
        </w:rPr>
        <w:t>，H</w:t>
      </w:r>
      <w:r>
        <w:rPr>
          <w:rFonts w:ascii="Times New Roman" w:hAnsi="Times New Roman" w:eastAsia="宋体" w:cs="Times New Roman"/>
          <w:bCs/>
          <w:color w:val="auto"/>
          <w:vertAlign w:val="subscript"/>
        </w:rPr>
        <w:t>2</w:t>
      </w:r>
      <w:r>
        <w:rPr>
          <w:rFonts w:ascii="Times New Roman" w:hAnsi="Times New Roman" w:eastAsia="宋体" w:cs="Times New Roman"/>
          <w:bCs/>
          <w:color w:val="auto"/>
        </w:rPr>
        <w:t>S</w:t>
      </w:r>
      <w:r>
        <w:rPr>
          <w:rFonts w:ascii="Times New Roman" w:hAnsi="Times New Roman" w:eastAsia="宋体" w:cs="Times New Roman"/>
          <w:color w:val="auto"/>
        </w:rPr>
        <w:t>约</w:t>
      </w:r>
      <w:r>
        <w:rPr>
          <w:rFonts w:hint="eastAsia" w:ascii="Times New Roman" w:hAnsi="Times New Roman" w:eastAsia="宋体" w:cs="Times New Roman"/>
          <w:color w:val="auto"/>
          <w:lang w:val="en-US" w:eastAsia="zh-CN"/>
        </w:rPr>
        <w:t>0.011</w:t>
      </w:r>
      <w:r>
        <w:rPr>
          <w:rFonts w:ascii="Times New Roman" w:hAnsi="Times New Roman" w:eastAsia="宋体" w:cs="Times New Roman"/>
          <w:color w:val="auto"/>
        </w:rPr>
        <w:t>kg/h</w:t>
      </w:r>
      <w:r>
        <w:rPr>
          <w:rFonts w:hint="eastAsia" w:ascii="Times New Roman" w:hAnsi="Times New Roman" w:eastAsia="宋体" w:cs="Times New Roman"/>
          <w:color w:val="auto"/>
        </w:rPr>
        <w:t>，臭气浓度</w:t>
      </w:r>
      <w:r>
        <w:rPr>
          <w:rFonts w:hint="eastAsia" w:ascii="Times New Roman" w:hAnsi="Times New Roman" w:eastAsia="宋体" w:cs="Times New Roman"/>
          <w:color w:val="auto"/>
          <w:lang w:val="en-US" w:eastAsia="zh-CN"/>
        </w:rPr>
        <w:t>4386</w:t>
      </w:r>
      <w:r>
        <w:rPr>
          <w:rFonts w:hint="eastAsia" w:ascii="Times New Roman" w:hAnsi="Times New Roman" w:eastAsia="宋体" w:cs="Times New Roman"/>
          <w:color w:val="auto"/>
        </w:rPr>
        <w:t>（无量纲），</w:t>
      </w:r>
      <w:r>
        <w:rPr>
          <w:rFonts w:ascii="Times New Roman" w:hAnsi="Times New Roman" w:eastAsia="宋体" w:cs="Times New Roman"/>
          <w:color w:val="auto"/>
        </w:rPr>
        <w:t>排放量为NH</w:t>
      </w:r>
      <w:r>
        <w:rPr>
          <w:rFonts w:ascii="Times New Roman" w:hAnsi="Times New Roman" w:eastAsia="宋体" w:cs="Times New Roman"/>
          <w:color w:val="auto"/>
          <w:vertAlign w:val="subscript"/>
        </w:rPr>
        <w:t>3</w:t>
      </w:r>
      <w:r>
        <w:rPr>
          <w:rFonts w:hint="eastAsia" w:ascii="Times New Roman" w:hAnsi="Times New Roman" w:eastAsia="宋体" w:cs="Times New Roman"/>
          <w:color w:val="auto"/>
          <w:lang w:val="en-US" w:eastAsia="zh-CN"/>
        </w:rPr>
        <w:t>0.031</w:t>
      </w:r>
      <w:r>
        <w:rPr>
          <w:rFonts w:ascii="Times New Roman" w:hAnsi="Times New Roman" w:eastAsia="宋体" w:cs="Times New Roman"/>
          <w:color w:val="auto"/>
        </w:rPr>
        <w:t>kg/h（</w:t>
      </w:r>
      <w:r>
        <w:rPr>
          <w:rFonts w:hint="eastAsia" w:ascii="Times New Roman" w:hAnsi="Times New Roman" w:eastAsia="宋体" w:cs="Times New Roman"/>
          <w:color w:val="auto"/>
        </w:rPr>
        <w:t>0.0</w:t>
      </w:r>
      <w:r>
        <w:rPr>
          <w:rFonts w:hint="eastAsia" w:ascii="Times New Roman" w:hAnsi="Times New Roman" w:eastAsia="宋体" w:cs="Times New Roman"/>
          <w:color w:val="auto"/>
          <w:lang w:val="en-US" w:eastAsia="zh-CN"/>
        </w:rPr>
        <w:t>74</w:t>
      </w:r>
      <w:r>
        <w:rPr>
          <w:rFonts w:ascii="Times New Roman" w:hAnsi="Times New Roman" w:eastAsia="宋体" w:cs="Times New Roman"/>
          <w:color w:val="auto"/>
        </w:rPr>
        <w:t>t</w:t>
      </w:r>
      <w:r>
        <w:rPr>
          <w:rFonts w:hint="eastAsia" w:ascii="Times New Roman" w:hAnsi="Times New Roman" w:eastAsia="宋体" w:cs="Times New Roman"/>
          <w:color w:val="auto"/>
        </w:rPr>
        <w:t>/a</w:t>
      </w:r>
      <w:r>
        <w:rPr>
          <w:rFonts w:ascii="Times New Roman" w:hAnsi="Times New Roman" w:eastAsia="宋体" w:cs="Times New Roman"/>
          <w:color w:val="auto"/>
        </w:rPr>
        <w:t>）</w:t>
      </w:r>
      <w:r>
        <w:rPr>
          <w:rFonts w:ascii="Times New Roman" w:hAnsi="Times New Roman" w:eastAsia="宋体" w:cs="Times New Roman"/>
          <w:bCs/>
          <w:color w:val="auto"/>
        </w:rPr>
        <w:t>，H</w:t>
      </w:r>
      <w:r>
        <w:rPr>
          <w:rFonts w:ascii="Times New Roman" w:hAnsi="Times New Roman" w:eastAsia="宋体" w:cs="Times New Roman"/>
          <w:bCs/>
          <w:color w:val="auto"/>
          <w:vertAlign w:val="subscript"/>
        </w:rPr>
        <w:t>2</w:t>
      </w:r>
      <w:r>
        <w:rPr>
          <w:rFonts w:ascii="Times New Roman" w:hAnsi="Times New Roman" w:eastAsia="宋体" w:cs="Times New Roman"/>
          <w:bCs/>
          <w:color w:val="auto"/>
        </w:rPr>
        <w:t>S</w:t>
      </w:r>
      <w:r>
        <w:rPr>
          <w:rFonts w:ascii="Times New Roman" w:hAnsi="Times New Roman" w:eastAsia="宋体" w:cs="Times New Roman"/>
          <w:color w:val="auto"/>
        </w:rPr>
        <w:t>约0.00</w:t>
      </w:r>
      <w:r>
        <w:rPr>
          <w:rFonts w:hint="eastAsia" w:ascii="Times New Roman" w:hAnsi="Times New Roman" w:eastAsia="宋体" w:cs="Times New Roman"/>
          <w:color w:val="auto"/>
          <w:lang w:val="en-US" w:eastAsia="zh-CN"/>
        </w:rPr>
        <w:t>3</w:t>
      </w:r>
      <w:r>
        <w:rPr>
          <w:rFonts w:hint="eastAsia" w:ascii="Times New Roman" w:hAnsi="Times New Roman" w:eastAsia="宋体" w:cs="Times New Roman"/>
          <w:color w:val="auto"/>
        </w:rPr>
        <w:t>3</w:t>
      </w:r>
      <w:r>
        <w:rPr>
          <w:rFonts w:ascii="Times New Roman" w:hAnsi="Times New Roman" w:eastAsia="宋体" w:cs="Times New Roman"/>
          <w:color w:val="auto"/>
        </w:rPr>
        <w:t>kg/h（</w:t>
      </w:r>
      <w:r>
        <w:rPr>
          <w:rFonts w:hint="eastAsia" w:ascii="Times New Roman" w:hAnsi="Times New Roman" w:eastAsia="宋体" w:cs="Times New Roman"/>
          <w:color w:val="auto"/>
        </w:rPr>
        <w:t>0.00</w:t>
      </w:r>
      <w:r>
        <w:rPr>
          <w:rFonts w:hint="eastAsia" w:ascii="Times New Roman" w:hAnsi="Times New Roman" w:eastAsia="宋体" w:cs="Times New Roman"/>
          <w:color w:val="auto"/>
          <w:lang w:val="en-US" w:eastAsia="zh-CN"/>
        </w:rPr>
        <w:t>79</w:t>
      </w:r>
      <w:r>
        <w:rPr>
          <w:rFonts w:ascii="Times New Roman" w:hAnsi="Times New Roman" w:eastAsia="宋体" w:cs="Times New Roman"/>
          <w:color w:val="auto"/>
        </w:rPr>
        <w:t>t</w:t>
      </w:r>
      <w:r>
        <w:rPr>
          <w:rFonts w:hint="eastAsia" w:ascii="Times New Roman" w:hAnsi="Times New Roman" w:eastAsia="宋体" w:cs="Times New Roman"/>
          <w:color w:val="auto"/>
        </w:rPr>
        <w:t>/a</w:t>
      </w:r>
      <w:r>
        <w:rPr>
          <w:rFonts w:ascii="Times New Roman" w:hAnsi="Times New Roman" w:eastAsia="宋体" w:cs="Times New Roman"/>
          <w:color w:val="auto"/>
        </w:rPr>
        <w:t>）</w:t>
      </w:r>
      <w:r>
        <w:rPr>
          <w:rFonts w:hint="eastAsia" w:ascii="Times New Roman" w:hAnsi="Times New Roman" w:eastAsia="宋体" w:cs="Times New Roman"/>
          <w:color w:val="auto"/>
        </w:rPr>
        <w:t>，臭气浓度</w:t>
      </w:r>
      <w:r>
        <w:rPr>
          <w:rFonts w:hint="eastAsia" w:ascii="Times New Roman" w:hAnsi="Times New Roman" w:eastAsia="宋体" w:cs="Times New Roman"/>
          <w:color w:val="auto"/>
          <w:lang w:val="en-US" w:eastAsia="zh-CN"/>
        </w:rPr>
        <w:t>1316</w:t>
      </w:r>
      <w:r>
        <w:rPr>
          <w:rFonts w:hint="eastAsia" w:ascii="Times New Roman" w:hAnsi="Times New Roman" w:eastAsia="宋体" w:cs="Times New Roman"/>
          <w:color w:val="auto"/>
        </w:rPr>
        <w:t>（无量纲），</w:t>
      </w:r>
      <w:r>
        <w:rPr>
          <w:rFonts w:ascii="Times New Roman" w:hAnsi="Times New Roman" w:eastAsia="宋体" w:cs="Times New Roman"/>
          <w:color w:val="auto"/>
        </w:rPr>
        <w:t>无组织恶臭气体排放量NH</w:t>
      </w:r>
      <w:r>
        <w:rPr>
          <w:rFonts w:ascii="Times New Roman" w:hAnsi="Times New Roman" w:eastAsia="宋体" w:cs="Times New Roman"/>
          <w:color w:val="auto"/>
          <w:vertAlign w:val="subscript"/>
        </w:rPr>
        <w:t>3</w:t>
      </w:r>
      <w:r>
        <w:rPr>
          <w:rFonts w:hint="eastAsia" w:ascii="Times New Roman" w:hAnsi="Times New Roman" w:eastAsia="宋体" w:cs="Times New Roman"/>
          <w:color w:val="auto"/>
          <w:lang w:val="en-US" w:eastAsia="zh-CN"/>
        </w:rPr>
        <w:t>0.026</w:t>
      </w:r>
      <w:r>
        <w:rPr>
          <w:rFonts w:ascii="Times New Roman" w:hAnsi="Times New Roman" w:eastAsia="宋体" w:cs="Times New Roman"/>
          <w:color w:val="auto"/>
        </w:rPr>
        <w:t>kg/h</w:t>
      </w:r>
      <w:r>
        <w:rPr>
          <w:rFonts w:hint="eastAsia" w:ascii="Times New Roman" w:hAnsi="Times New Roman" w:eastAsia="宋体" w:cs="Times New Roman"/>
          <w:color w:val="auto"/>
        </w:rPr>
        <w:t>（</w:t>
      </w:r>
      <w:r>
        <w:rPr>
          <w:rFonts w:hint="eastAsia" w:ascii="Times New Roman" w:hAnsi="Times New Roman" w:eastAsia="宋体" w:cs="Times New Roman"/>
          <w:color w:val="auto"/>
          <w:lang w:val="en-US" w:eastAsia="zh-CN"/>
        </w:rPr>
        <w:t>0.062</w:t>
      </w:r>
      <w:r>
        <w:rPr>
          <w:rFonts w:ascii="Times New Roman" w:hAnsi="Times New Roman" w:eastAsia="宋体" w:cs="Times New Roman"/>
          <w:color w:val="auto"/>
        </w:rPr>
        <w:t>t</w:t>
      </w:r>
      <w:r>
        <w:rPr>
          <w:rFonts w:hint="eastAsia" w:ascii="Times New Roman" w:hAnsi="Times New Roman" w:eastAsia="宋体" w:cs="Times New Roman"/>
          <w:color w:val="auto"/>
        </w:rPr>
        <w:t>/a）</w:t>
      </w:r>
      <w:r>
        <w:rPr>
          <w:rFonts w:ascii="Times New Roman" w:hAnsi="Times New Roman" w:eastAsia="宋体" w:cs="Times New Roman"/>
          <w:bCs/>
          <w:color w:val="auto"/>
        </w:rPr>
        <w:t>，H</w:t>
      </w:r>
      <w:r>
        <w:rPr>
          <w:rFonts w:ascii="Times New Roman" w:hAnsi="Times New Roman" w:eastAsia="宋体" w:cs="Times New Roman"/>
          <w:bCs/>
          <w:color w:val="auto"/>
          <w:vertAlign w:val="subscript"/>
        </w:rPr>
        <w:t>2</w:t>
      </w:r>
      <w:r>
        <w:rPr>
          <w:rFonts w:ascii="Times New Roman" w:hAnsi="Times New Roman" w:eastAsia="宋体" w:cs="Times New Roman"/>
          <w:bCs/>
          <w:color w:val="auto"/>
        </w:rPr>
        <w:t>S</w:t>
      </w:r>
      <w:r>
        <w:rPr>
          <w:rFonts w:ascii="Times New Roman" w:hAnsi="Times New Roman" w:eastAsia="宋体" w:cs="Times New Roman"/>
          <w:color w:val="auto"/>
        </w:rPr>
        <w:t>约</w:t>
      </w:r>
      <w:r>
        <w:rPr>
          <w:rFonts w:hint="eastAsia" w:ascii="Times New Roman" w:hAnsi="Times New Roman" w:eastAsia="宋体" w:cs="Times New Roman"/>
          <w:color w:val="auto"/>
          <w:lang w:val="en-US" w:eastAsia="zh-CN"/>
        </w:rPr>
        <w:t>0.0027</w:t>
      </w:r>
      <w:r>
        <w:rPr>
          <w:rFonts w:ascii="Times New Roman" w:hAnsi="Times New Roman" w:eastAsia="宋体" w:cs="Times New Roman"/>
          <w:color w:val="auto"/>
        </w:rPr>
        <w:t>kg/h</w:t>
      </w:r>
      <w:r>
        <w:rPr>
          <w:rFonts w:hint="eastAsia" w:ascii="Times New Roman" w:hAnsi="Times New Roman" w:eastAsia="宋体" w:cs="Times New Roman"/>
          <w:color w:val="auto"/>
        </w:rPr>
        <w:t>（</w:t>
      </w:r>
      <w:r>
        <w:rPr>
          <w:rFonts w:hint="eastAsia" w:ascii="Times New Roman" w:hAnsi="Times New Roman" w:eastAsia="宋体" w:cs="Times New Roman"/>
          <w:color w:val="auto"/>
          <w:lang w:val="en-US" w:eastAsia="zh-CN"/>
        </w:rPr>
        <w:t>0.0066</w:t>
      </w:r>
      <w:r>
        <w:rPr>
          <w:rFonts w:ascii="Times New Roman" w:hAnsi="Times New Roman" w:eastAsia="宋体" w:cs="Times New Roman"/>
          <w:color w:val="auto"/>
        </w:rPr>
        <w:t>t</w:t>
      </w:r>
      <w:r>
        <w:rPr>
          <w:rFonts w:hint="eastAsia" w:ascii="Times New Roman" w:hAnsi="Times New Roman" w:eastAsia="宋体" w:cs="Times New Roman"/>
          <w:color w:val="auto"/>
        </w:rPr>
        <w:t>/a），臭气浓度</w:t>
      </w:r>
      <w:r>
        <w:rPr>
          <w:rFonts w:hint="eastAsia" w:ascii="Times New Roman" w:hAnsi="Times New Roman" w:eastAsia="宋体" w:cs="Times New Roman"/>
          <w:color w:val="auto"/>
          <w:lang w:val="en-US" w:eastAsia="zh-CN"/>
        </w:rPr>
        <w:t>1096</w:t>
      </w:r>
      <w:r>
        <w:rPr>
          <w:rFonts w:hint="eastAsia" w:ascii="Times New Roman" w:hAnsi="Times New Roman" w:eastAsia="宋体" w:cs="Times New Roman"/>
          <w:color w:val="auto"/>
        </w:rPr>
        <w:t>（无量纲），</w:t>
      </w:r>
      <w:r>
        <w:rPr>
          <w:rFonts w:hint="eastAsia" w:ascii="Times New Roman" w:hAnsi="Times New Roman" w:eastAsia="宋体" w:cs="Times New Roman"/>
          <w:color w:val="auto"/>
          <w:kern w:val="21"/>
        </w:rPr>
        <w:t>类比</w:t>
      </w:r>
      <w:r>
        <w:rPr>
          <w:rFonts w:ascii="Times New Roman" w:hAnsi="Times New Roman" w:eastAsia="宋体" w:cs="Times New Roman"/>
          <w:bCs/>
          <w:color w:val="auto"/>
        </w:rPr>
        <w:t>《</w:t>
      </w:r>
      <w:r>
        <w:rPr>
          <w:rFonts w:hint="eastAsia" w:ascii="Times New Roman" w:hAnsi="Times New Roman" w:eastAsia="宋体" w:cs="Times New Roman"/>
          <w:bCs/>
          <w:color w:val="auto"/>
        </w:rPr>
        <w:t>吉林省伯宇现代农业产业有限责任公司年屠宰肉牛1.1万头项目竣工环境保护</w:t>
      </w:r>
      <w:r>
        <w:rPr>
          <w:rFonts w:ascii="Times New Roman" w:hAnsi="Times New Roman" w:eastAsia="宋体" w:cs="Times New Roman"/>
          <w:bCs/>
          <w:color w:val="auto"/>
        </w:rPr>
        <w:t>验收监测报告》（20</w:t>
      </w:r>
      <w:r>
        <w:rPr>
          <w:rFonts w:hint="eastAsia" w:ascii="Times New Roman" w:hAnsi="Times New Roman" w:eastAsia="宋体" w:cs="Times New Roman"/>
          <w:bCs/>
          <w:color w:val="auto"/>
        </w:rPr>
        <w:t>23</w:t>
      </w:r>
      <w:r>
        <w:rPr>
          <w:rFonts w:ascii="Times New Roman" w:hAnsi="Times New Roman" w:eastAsia="宋体" w:cs="Times New Roman"/>
          <w:bCs/>
          <w:color w:val="auto"/>
        </w:rPr>
        <w:t>年</w:t>
      </w:r>
      <w:r>
        <w:rPr>
          <w:rFonts w:hint="eastAsia" w:ascii="Times New Roman" w:hAnsi="Times New Roman" w:eastAsia="宋体" w:cs="Times New Roman"/>
          <w:bCs/>
          <w:color w:val="auto"/>
        </w:rPr>
        <w:t>3</w:t>
      </w:r>
      <w:r>
        <w:rPr>
          <w:rFonts w:ascii="Times New Roman" w:hAnsi="Times New Roman" w:eastAsia="宋体" w:cs="Times New Roman"/>
          <w:bCs/>
          <w:color w:val="auto"/>
        </w:rPr>
        <w:t>月）可知</w:t>
      </w:r>
      <w:r>
        <w:rPr>
          <w:rFonts w:hint="eastAsia" w:ascii="Times New Roman" w:hAnsi="Times New Roman" w:eastAsia="宋体" w:cs="Times New Roman"/>
          <w:bCs/>
          <w:color w:val="auto"/>
        </w:rPr>
        <w:t>，厂界臭气浓度＜20（无量纲）</w:t>
      </w:r>
      <w:r>
        <w:rPr>
          <w:rFonts w:hint="eastAsia" w:ascii="Times New Roman" w:hAnsi="Times New Roman" w:eastAsia="宋体" w:cs="Times New Roman"/>
          <w:color w:val="auto"/>
          <w:kern w:val="21"/>
        </w:rPr>
        <w:t>。</w:t>
      </w:r>
    </w:p>
    <w:p>
      <w:pPr>
        <w:pStyle w:val="74"/>
        <w:adjustRightInd/>
        <w:snapToGrid/>
        <w:contextualSpacing/>
        <w:rPr>
          <w:rFonts w:ascii="Times New Roman" w:hAnsi="Times New Roman" w:eastAsia="宋体" w:cs="Times New Roman"/>
          <w:color w:val="auto"/>
        </w:rPr>
      </w:pPr>
      <w:r>
        <w:rPr>
          <w:rFonts w:hint="eastAsia" w:ascii="Times New Roman" w:hAnsi="Times New Roman" w:eastAsia="宋体" w:cs="Times New Roman"/>
          <w:color w:val="auto"/>
        </w:rPr>
        <w:t>（4）</w:t>
      </w:r>
      <w:r>
        <w:rPr>
          <w:rFonts w:hint="eastAsia" w:hAnsiTheme="minorEastAsia"/>
          <w:color w:val="auto"/>
        </w:rPr>
        <w:t>污水处理站</w:t>
      </w:r>
      <w:r>
        <w:rPr>
          <w:rFonts w:hAnsiTheme="minorEastAsia"/>
          <w:color w:val="auto"/>
        </w:rPr>
        <w:t>恶臭</w:t>
      </w:r>
    </w:p>
    <w:p>
      <w:pPr>
        <w:spacing w:line="360" w:lineRule="auto"/>
        <w:ind w:firstLine="480" w:firstLineChars="200"/>
        <w:contextualSpacing/>
        <w:rPr>
          <w:bCs/>
          <w:color w:val="auto"/>
          <w:kern w:val="0"/>
          <w:sz w:val="24"/>
        </w:rPr>
      </w:pPr>
      <w:r>
        <w:rPr>
          <w:rFonts w:hint="eastAsia"/>
          <w:bCs/>
          <w:color w:val="auto"/>
          <w:kern w:val="0"/>
          <w:sz w:val="24"/>
        </w:rPr>
        <w:t>本项目污水处理站恶臭气体主要来自格栅池、水解酸化池、生化池和污泥浓缩等工序产生</w:t>
      </w:r>
      <w:r>
        <w:rPr>
          <w:color w:val="auto"/>
          <w:kern w:val="0"/>
          <w:sz w:val="24"/>
        </w:rPr>
        <w:t>NH</w:t>
      </w:r>
      <w:r>
        <w:rPr>
          <w:color w:val="auto"/>
          <w:kern w:val="0"/>
          <w:sz w:val="24"/>
          <w:vertAlign w:val="subscript"/>
        </w:rPr>
        <w:t>3</w:t>
      </w:r>
      <w:r>
        <w:rPr>
          <w:rFonts w:hint="eastAsia"/>
          <w:bCs/>
          <w:color w:val="auto"/>
          <w:kern w:val="0"/>
          <w:sz w:val="24"/>
        </w:rPr>
        <w:t>、H</w:t>
      </w:r>
      <w:r>
        <w:rPr>
          <w:rFonts w:hint="eastAsia"/>
          <w:bCs/>
          <w:color w:val="auto"/>
          <w:kern w:val="0"/>
          <w:sz w:val="24"/>
          <w:vertAlign w:val="subscript"/>
        </w:rPr>
        <w:t>2</w:t>
      </w:r>
      <w:r>
        <w:rPr>
          <w:rFonts w:hint="eastAsia"/>
          <w:bCs/>
          <w:color w:val="auto"/>
          <w:kern w:val="0"/>
          <w:sz w:val="24"/>
        </w:rPr>
        <w:t>S等具有臭味的气体。</w:t>
      </w:r>
      <w:r>
        <w:rPr>
          <w:bCs/>
          <w:color w:val="auto"/>
          <w:kern w:val="0"/>
          <w:sz w:val="24"/>
        </w:rPr>
        <w:t>本项目污水处理站恶臭污染物源强根据美国EPA对城市污水处理厂恶臭污染物产生情况的研究，每去除1g的BOD</w:t>
      </w:r>
      <w:r>
        <w:rPr>
          <w:bCs/>
          <w:color w:val="auto"/>
          <w:kern w:val="0"/>
          <w:sz w:val="24"/>
          <w:vertAlign w:val="subscript"/>
        </w:rPr>
        <w:t>5</w:t>
      </w:r>
      <w:r>
        <w:rPr>
          <w:bCs/>
          <w:color w:val="auto"/>
          <w:kern w:val="0"/>
          <w:sz w:val="24"/>
        </w:rPr>
        <w:t>，可产生0.0031g的NH</w:t>
      </w:r>
      <w:r>
        <w:rPr>
          <w:bCs/>
          <w:color w:val="auto"/>
          <w:kern w:val="0"/>
          <w:sz w:val="24"/>
          <w:vertAlign w:val="subscript"/>
        </w:rPr>
        <w:t>3</w:t>
      </w:r>
      <w:r>
        <w:rPr>
          <w:bCs/>
          <w:color w:val="auto"/>
          <w:kern w:val="0"/>
          <w:sz w:val="24"/>
        </w:rPr>
        <w:t>、0.00012g的H</w:t>
      </w:r>
      <w:r>
        <w:rPr>
          <w:bCs/>
          <w:color w:val="auto"/>
          <w:kern w:val="0"/>
          <w:sz w:val="24"/>
          <w:vertAlign w:val="subscript"/>
        </w:rPr>
        <w:t>2</w:t>
      </w:r>
      <w:r>
        <w:rPr>
          <w:bCs/>
          <w:color w:val="auto"/>
          <w:kern w:val="0"/>
          <w:sz w:val="24"/>
        </w:rPr>
        <w:t>S，根据进出水浓度、设计规模可计算出NH</w:t>
      </w:r>
      <w:r>
        <w:rPr>
          <w:bCs/>
          <w:color w:val="auto"/>
          <w:kern w:val="0"/>
          <w:sz w:val="24"/>
          <w:vertAlign w:val="subscript"/>
        </w:rPr>
        <w:t>3</w:t>
      </w:r>
      <w:r>
        <w:rPr>
          <w:bCs/>
          <w:color w:val="auto"/>
          <w:kern w:val="0"/>
          <w:sz w:val="24"/>
        </w:rPr>
        <w:t>和H</w:t>
      </w:r>
      <w:r>
        <w:rPr>
          <w:bCs/>
          <w:color w:val="auto"/>
          <w:kern w:val="0"/>
          <w:sz w:val="24"/>
          <w:vertAlign w:val="subscript"/>
        </w:rPr>
        <w:t>2</w:t>
      </w:r>
      <w:r>
        <w:rPr>
          <w:bCs/>
          <w:color w:val="auto"/>
          <w:kern w:val="0"/>
          <w:sz w:val="24"/>
        </w:rPr>
        <w:t>S的量。</w:t>
      </w:r>
    </w:p>
    <w:p>
      <w:pPr>
        <w:spacing w:line="360" w:lineRule="auto"/>
        <w:ind w:firstLine="480" w:firstLineChars="200"/>
        <w:contextualSpacing/>
        <w:rPr>
          <w:bCs/>
          <w:color w:val="FF0000"/>
          <w:kern w:val="0"/>
          <w:sz w:val="24"/>
        </w:rPr>
      </w:pPr>
      <w:r>
        <w:rPr>
          <w:bCs/>
          <w:color w:val="auto"/>
          <w:kern w:val="0"/>
          <w:sz w:val="24"/>
        </w:rPr>
        <w:t>本项目污水处理站BOD</w:t>
      </w:r>
      <w:r>
        <w:rPr>
          <w:bCs/>
          <w:color w:val="auto"/>
          <w:kern w:val="0"/>
          <w:sz w:val="24"/>
          <w:vertAlign w:val="subscript"/>
        </w:rPr>
        <w:t>5</w:t>
      </w:r>
      <w:r>
        <w:rPr>
          <w:bCs/>
          <w:color w:val="auto"/>
          <w:kern w:val="0"/>
          <w:sz w:val="24"/>
        </w:rPr>
        <w:t>处理量为</w:t>
      </w:r>
      <w:r>
        <w:rPr>
          <w:rFonts w:hint="eastAsia"/>
          <w:bCs/>
          <w:color w:val="auto"/>
          <w:kern w:val="0"/>
          <w:sz w:val="24"/>
          <w:lang w:val="en-US" w:eastAsia="zh-CN"/>
        </w:rPr>
        <w:t>14.92</w:t>
      </w:r>
      <w:r>
        <w:rPr>
          <w:bCs/>
          <w:color w:val="auto"/>
          <w:kern w:val="0"/>
          <w:sz w:val="24"/>
        </w:rPr>
        <w:t>t/a，则NH</w:t>
      </w:r>
      <w:r>
        <w:rPr>
          <w:bCs/>
          <w:color w:val="auto"/>
          <w:kern w:val="0"/>
          <w:sz w:val="24"/>
          <w:vertAlign w:val="subscript"/>
        </w:rPr>
        <w:t>3</w:t>
      </w:r>
      <w:r>
        <w:rPr>
          <w:bCs/>
          <w:color w:val="auto"/>
          <w:kern w:val="0"/>
          <w:sz w:val="24"/>
        </w:rPr>
        <w:t>产生量为</w:t>
      </w:r>
      <w:r>
        <w:rPr>
          <w:rFonts w:hint="eastAsia"/>
          <w:bCs/>
          <w:color w:val="auto"/>
          <w:kern w:val="0"/>
          <w:sz w:val="24"/>
          <w:lang w:val="en-US" w:eastAsia="zh-CN"/>
        </w:rPr>
        <w:t>0.046</w:t>
      </w:r>
      <w:r>
        <w:rPr>
          <w:rFonts w:hint="eastAsia"/>
          <w:bCs/>
          <w:color w:val="auto"/>
          <w:kern w:val="0"/>
          <w:sz w:val="24"/>
        </w:rPr>
        <w:t>t</w:t>
      </w:r>
      <w:r>
        <w:rPr>
          <w:bCs/>
          <w:color w:val="auto"/>
          <w:kern w:val="0"/>
          <w:sz w:val="24"/>
        </w:rPr>
        <w:t>/a，H</w:t>
      </w:r>
      <w:r>
        <w:rPr>
          <w:bCs/>
          <w:color w:val="auto"/>
          <w:kern w:val="0"/>
          <w:sz w:val="24"/>
          <w:vertAlign w:val="subscript"/>
        </w:rPr>
        <w:t>2</w:t>
      </w:r>
      <w:r>
        <w:rPr>
          <w:bCs/>
          <w:color w:val="auto"/>
          <w:kern w:val="0"/>
          <w:sz w:val="24"/>
        </w:rPr>
        <w:t>S产生量为</w:t>
      </w:r>
      <w:r>
        <w:rPr>
          <w:rFonts w:hint="eastAsia"/>
          <w:bCs/>
          <w:color w:val="auto"/>
          <w:kern w:val="0"/>
          <w:sz w:val="24"/>
          <w:lang w:val="en-US" w:eastAsia="zh-CN"/>
        </w:rPr>
        <w:t>0.0018</w:t>
      </w:r>
      <w:r>
        <w:rPr>
          <w:rFonts w:hint="eastAsia"/>
          <w:bCs/>
          <w:color w:val="auto"/>
          <w:kern w:val="0"/>
          <w:sz w:val="24"/>
        </w:rPr>
        <w:t>t</w:t>
      </w:r>
      <w:r>
        <w:rPr>
          <w:bCs/>
          <w:color w:val="auto"/>
          <w:kern w:val="0"/>
          <w:sz w:val="24"/>
        </w:rPr>
        <w:t>/a。另</w:t>
      </w:r>
      <w:r>
        <w:rPr>
          <w:rFonts w:hint="eastAsia"/>
          <w:bCs/>
          <w:color w:val="auto"/>
          <w:kern w:val="0"/>
          <w:sz w:val="24"/>
        </w:rPr>
        <w:t>根据表3-3-8、3-3-9可知，臭气强度为4级，臭气浓度为3376（无量纲）</w:t>
      </w:r>
      <w:r>
        <w:rPr>
          <w:bCs/>
          <w:color w:val="auto"/>
          <w:kern w:val="0"/>
          <w:sz w:val="24"/>
        </w:rPr>
        <w:t>。本项目污水处理站封闭，</w:t>
      </w:r>
      <w:r>
        <w:rPr>
          <w:rFonts w:hint="eastAsia"/>
          <w:bCs/>
          <w:color w:val="auto"/>
          <w:kern w:val="0"/>
          <w:sz w:val="24"/>
        </w:rPr>
        <w:t>采用负压集中收集废气（收集效率约为80%，</w:t>
      </w:r>
      <w:r>
        <w:rPr>
          <w:bCs/>
          <w:color w:val="auto"/>
          <w:kern w:val="0"/>
          <w:sz w:val="24"/>
        </w:rPr>
        <w:t>风机设计风量</w:t>
      </w:r>
      <w:r>
        <w:rPr>
          <w:rFonts w:hint="eastAsia"/>
          <w:bCs/>
          <w:color w:val="auto"/>
          <w:kern w:val="0"/>
          <w:sz w:val="24"/>
        </w:rPr>
        <w:t>5</w:t>
      </w:r>
      <w:r>
        <w:rPr>
          <w:bCs/>
          <w:color w:val="auto"/>
          <w:kern w:val="0"/>
          <w:sz w:val="24"/>
        </w:rPr>
        <w:t>0</w:t>
      </w:r>
      <w:r>
        <w:rPr>
          <w:rFonts w:hint="eastAsia"/>
          <w:bCs/>
          <w:color w:val="auto"/>
          <w:kern w:val="0"/>
          <w:sz w:val="24"/>
        </w:rPr>
        <w:t>00</w:t>
      </w:r>
      <w:r>
        <w:rPr>
          <w:bCs/>
          <w:color w:val="auto"/>
          <w:kern w:val="0"/>
          <w:sz w:val="24"/>
        </w:rPr>
        <w:t>m</w:t>
      </w:r>
      <w:r>
        <w:rPr>
          <w:bCs/>
          <w:color w:val="auto"/>
          <w:kern w:val="0"/>
          <w:sz w:val="24"/>
          <w:vertAlign w:val="superscript"/>
        </w:rPr>
        <w:t>3</w:t>
      </w:r>
      <w:r>
        <w:rPr>
          <w:bCs/>
          <w:color w:val="auto"/>
          <w:kern w:val="0"/>
          <w:sz w:val="24"/>
        </w:rPr>
        <w:t>/h</w:t>
      </w:r>
      <w:r>
        <w:rPr>
          <w:rFonts w:hint="eastAsia"/>
          <w:bCs/>
          <w:color w:val="auto"/>
          <w:kern w:val="0"/>
          <w:sz w:val="24"/>
        </w:rPr>
        <w:t>），负压收集的废气通过活性炭吸附净化（净化效率70%）后由1根15m高排气筒排放（DA002）。经计算，</w:t>
      </w:r>
      <w:r>
        <w:rPr>
          <w:bCs/>
          <w:color w:val="auto"/>
          <w:kern w:val="0"/>
          <w:sz w:val="24"/>
        </w:rPr>
        <w:t>有组织NH</w:t>
      </w:r>
      <w:r>
        <w:rPr>
          <w:bCs/>
          <w:color w:val="auto"/>
          <w:kern w:val="0"/>
          <w:sz w:val="24"/>
          <w:vertAlign w:val="subscript"/>
        </w:rPr>
        <w:t>3</w:t>
      </w:r>
      <w:r>
        <w:rPr>
          <w:bCs/>
          <w:color w:val="auto"/>
          <w:kern w:val="0"/>
          <w:sz w:val="24"/>
        </w:rPr>
        <w:t>产生速率为</w:t>
      </w:r>
      <w:r>
        <w:rPr>
          <w:rFonts w:hint="eastAsia"/>
          <w:bCs/>
          <w:color w:val="auto"/>
          <w:kern w:val="0"/>
          <w:sz w:val="24"/>
          <w:lang w:val="en-US" w:eastAsia="zh-CN"/>
        </w:rPr>
        <w:t>0.0153</w:t>
      </w:r>
      <w:r>
        <w:rPr>
          <w:bCs/>
          <w:color w:val="auto"/>
          <w:kern w:val="0"/>
          <w:sz w:val="24"/>
        </w:rPr>
        <w:t>kg/h，产生量为</w:t>
      </w:r>
      <w:r>
        <w:rPr>
          <w:rFonts w:hint="eastAsia"/>
          <w:bCs/>
          <w:color w:val="auto"/>
          <w:kern w:val="0"/>
          <w:sz w:val="24"/>
          <w:lang w:val="en-US" w:eastAsia="zh-CN"/>
        </w:rPr>
        <w:t>0.0368</w:t>
      </w:r>
      <w:r>
        <w:rPr>
          <w:bCs/>
          <w:color w:val="auto"/>
          <w:kern w:val="0"/>
          <w:sz w:val="24"/>
        </w:rPr>
        <w:t>t</w:t>
      </w:r>
      <w:r>
        <w:rPr>
          <w:rFonts w:hint="eastAsia"/>
          <w:bCs/>
          <w:color w:val="auto"/>
          <w:kern w:val="0"/>
          <w:sz w:val="24"/>
        </w:rPr>
        <w:t>/a，产生浓度为</w:t>
      </w:r>
      <w:r>
        <w:rPr>
          <w:rFonts w:hint="eastAsia"/>
          <w:bCs/>
          <w:color w:val="auto"/>
          <w:kern w:val="0"/>
          <w:sz w:val="24"/>
          <w:lang w:val="en-US" w:eastAsia="zh-CN"/>
        </w:rPr>
        <w:t>3.07</w:t>
      </w:r>
      <w:r>
        <w:rPr>
          <w:bCs/>
          <w:color w:val="auto"/>
          <w:kern w:val="0"/>
          <w:sz w:val="24"/>
        </w:rPr>
        <w:t>mg/m</w:t>
      </w:r>
      <w:r>
        <w:rPr>
          <w:bCs/>
          <w:color w:val="auto"/>
          <w:kern w:val="0"/>
          <w:sz w:val="24"/>
          <w:vertAlign w:val="superscript"/>
        </w:rPr>
        <w:t>3</w:t>
      </w:r>
      <w:r>
        <w:rPr>
          <w:bCs/>
          <w:color w:val="auto"/>
          <w:kern w:val="0"/>
          <w:sz w:val="24"/>
        </w:rPr>
        <w:t>，有组织H</w:t>
      </w:r>
      <w:r>
        <w:rPr>
          <w:bCs/>
          <w:color w:val="auto"/>
          <w:kern w:val="0"/>
          <w:sz w:val="24"/>
          <w:vertAlign w:val="subscript"/>
        </w:rPr>
        <w:t>2</w:t>
      </w:r>
      <w:r>
        <w:rPr>
          <w:bCs/>
          <w:color w:val="auto"/>
          <w:kern w:val="0"/>
          <w:sz w:val="24"/>
        </w:rPr>
        <w:t>S产生速率为</w:t>
      </w:r>
      <w:r>
        <w:rPr>
          <w:rFonts w:hint="eastAsia"/>
          <w:bCs/>
          <w:color w:val="auto"/>
          <w:kern w:val="0"/>
          <w:sz w:val="24"/>
          <w:lang w:val="en-US" w:eastAsia="zh-CN"/>
        </w:rPr>
        <w:t>0.0006</w:t>
      </w:r>
      <w:r>
        <w:rPr>
          <w:bCs/>
          <w:color w:val="auto"/>
          <w:kern w:val="0"/>
          <w:sz w:val="24"/>
        </w:rPr>
        <w:t>kg/h，产生量为</w:t>
      </w:r>
      <w:r>
        <w:rPr>
          <w:rFonts w:hint="eastAsia"/>
          <w:bCs/>
          <w:color w:val="auto"/>
          <w:kern w:val="0"/>
          <w:sz w:val="24"/>
          <w:lang w:val="en-US" w:eastAsia="zh-CN"/>
        </w:rPr>
        <w:t>0.00144</w:t>
      </w:r>
      <w:r>
        <w:rPr>
          <w:bCs/>
          <w:color w:val="auto"/>
          <w:kern w:val="0"/>
          <w:sz w:val="24"/>
        </w:rPr>
        <w:t>t</w:t>
      </w:r>
      <w:r>
        <w:rPr>
          <w:rFonts w:hint="eastAsia"/>
          <w:bCs/>
          <w:color w:val="auto"/>
          <w:kern w:val="0"/>
          <w:sz w:val="24"/>
        </w:rPr>
        <w:t>/a，产生浓度为</w:t>
      </w:r>
      <w:r>
        <w:rPr>
          <w:rFonts w:hint="eastAsia"/>
          <w:bCs/>
          <w:color w:val="auto"/>
          <w:kern w:val="0"/>
          <w:sz w:val="24"/>
          <w:lang w:val="en-US" w:eastAsia="zh-CN"/>
        </w:rPr>
        <w:t>0.12</w:t>
      </w:r>
      <w:r>
        <w:rPr>
          <w:bCs/>
          <w:color w:val="auto"/>
          <w:kern w:val="0"/>
          <w:sz w:val="24"/>
        </w:rPr>
        <w:t>mg/m</w:t>
      </w:r>
      <w:r>
        <w:rPr>
          <w:bCs/>
          <w:color w:val="auto"/>
          <w:kern w:val="0"/>
          <w:sz w:val="24"/>
          <w:vertAlign w:val="superscript"/>
        </w:rPr>
        <w:t>3</w:t>
      </w:r>
      <w:r>
        <w:rPr>
          <w:bCs/>
          <w:color w:val="auto"/>
          <w:kern w:val="0"/>
          <w:sz w:val="24"/>
        </w:rPr>
        <w:t>，有组织臭气浓度为</w:t>
      </w:r>
      <w:r>
        <w:rPr>
          <w:rFonts w:hint="eastAsia"/>
          <w:bCs/>
          <w:color w:val="auto"/>
          <w:kern w:val="0"/>
          <w:sz w:val="24"/>
        </w:rPr>
        <w:t>2700</w:t>
      </w:r>
      <w:r>
        <w:rPr>
          <w:bCs/>
          <w:color w:val="auto"/>
          <w:kern w:val="0"/>
          <w:sz w:val="24"/>
        </w:rPr>
        <w:t>（无量纲）。经活性炭吸附</w:t>
      </w:r>
      <w:r>
        <w:rPr>
          <w:rFonts w:hint="eastAsia"/>
          <w:bCs/>
          <w:color w:val="auto"/>
          <w:kern w:val="0"/>
          <w:sz w:val="24"/>
        </w:rPr>
        <w:t>净化</w:t>
      </w:r>
      <w:r>
        <w:rPr>
          <w:bCs/>
          <w:color w:val="auto"/>
          <w:kern w:val="0"/>
          <w:sz w:val="24"/>
        </w:rPr>
        <w:t>后NH</w:t>
      </w:r>
      <w:r>
        <w:rPr>
          <w:bCs/>
          <w:color w:val="auto"/>
          <w:kern w:val="0"/>
          <w:sz w:val="24"/>
          <w:vertAlign w:val="subscript"/>
        </w:rPr>
        <w:t>3</w:t>
      </w:r>
      <w:r>
        <w:rPr>
          <w:rFonts w:hint="eastAsia"/>
          <w:bCs/>
          <w:color w:val="auto"/>
          <w:kern w:val="0"/>
          <w:sz w:val="24"/>
        </w:rPr>
        <w:t>排放</w:t>
      </w:r>
      <w:r>
        <w:rPr>
          <w:bCs/>
          <w:color w:val="auto"/>
          <w:kern w:val="0"/>
          <w:sz w:val="24"/>
        </w:rPr>
        <w:t>速率为</w:t>
      </w:r>
      <w:r>
        <w:rPr>
          <w:rFonts w:hint="eastAsia"/>
          <w:bCs/>
          <w:color w:val="auto"/>
          <w:kern w:val="0"/>
          <w:sz w:val="24"/>
          <w:lang w:val="en-US" w:eastAsia="zh-CN"/>
        </w:rPr>
        <w:t>0.0046</w:t>
      </w:r>
      <w:r>
        <w:rPr>
          <w:bCs/>
          <w:color w:val="auto"/>
          <w:kern w:val="0"/>
          <w:sz w:val="24"/>
        </w:rPr>
        <w:t>kg/h，排放量为</w:t>
      </w:r>
      <w:r>
        <w:rPr>
          <w:rFonts w:hint="eastAsia"/>
          <w:bCs/>
          <w:color w:val="auto"/>
          <w:kern w:val="0"/>
          <w:sz w:val="24"/>
          <w:lang w:val="en-US" w:eastAsia="zh-CN"/>
        </w:rPr>
        <w:t>0.011</w:t>
      </w:r>
      <w:r>
        <w:rPr>
          <w:bCs/>
          <w:color w:val="auto"/>
          <w:kern w:val="0"/>
          <w:sz w:val="24"/>
        </w:rPr>
        <w:t>t</w:t>
      </w:r>
      <w:r>
        <w:rPr>
          <w:rFonts w:hint="eastAsia"/>
          <w:bCs/>
          <w:color w:val="auto"/>
          <w:kern w:val="0"/>
          <w:sz w:val="24"/>
        </w:rPr>
        <w:t>/a，排放</w:t>
      </w:r>
      <w:r>
        <w:rPr>
          <w:bCs/>
          <w:color w:val="auto"/>
          <w:kern w:val="0"/>
          <w:sz w:val="24"/>
        </w:rPr>
        <w:t>浓度为</w:t>
      </w:r>
      <w:r>
        <w:rPr>
          <w:rFonts w:hint="eastAsia"/>
          <w:bCs/>
          <w:color w:val="auto"/>
          <w:kern w:val="0"/>
          <w:sz w:val="24"/>
          <w:lang w:val="en-US" w:eastAsia="zh-CN"/>
        </w:rPr>
        <w:t>0.92</w:t>
      </w:r>
      <w:r>
        <w:rPr>
          <w:bCs/>
          <w:color w:val="auto"/>
          <w:kern w:val="0"/>
          <w:sz w:val="24"/>
        </w:rPr>
        <w:t>mg/m</w:t>
      </w:r>
      <w:r>
        <w:rPr>
          <w:bCs/>
          <w:color w:val="auto"/>
          <w:kern w:val="0"/>
          <w:sz w:val="24"/>
          <w:vertAlign w:val="superscript"/>
        </w:rPr>
        <w:t>3</w:t>
      </w:r>
      <w:r>
        <w:rPr>
          <w:bCs/>
          <w:color w:val="auto"/>
          <w:kern w:val="0"/>
          <w:sz w:val="24"/>
        </w:rPr>
        <w:t>，H</w:t>
      </w:r>
      <w:r>
        <w:rPr>
          <w:bCs/>
          <w:color w:val="auto"/>
          <w:kern w:val="0"/>
          <w:sz w:val="24"/>
          <w:vertAlign w:val="subscript"/>
        </w:rPr>
        <w:t>2</w:t>
      </w:r>
      <w:r>
        <w:rPr>
          <w:bCs/>
          <w:color w:val="auto"/>
          <w:kern w:val="0"/>
          <w:sz w:val="24"/>
        </w:rPr>
        <w:t>S</w:t>
      </w:r>
      <w:r>
        <w:rPr>
          <w:rFonts w:hint="eastAsia"/>
          <w:bCs/>
          <w:color w:val="auto"/>
          <w:kern w:val="0"/>
          <w:sz w:val="24"/>
        </w:rPr>
        <w:t>排放</w:t>
      </w:r>
      <w:r>
        <w:rPr>
          <w:bCs/>
          <w:color w:val="auto"/>
          <w:kern w:val="0"/>
          <w:sz w:val="24"/>
        </w:rPr>
        <w:t>速率为</w:t>
      </w:r>
      <w:r>
        <w:rPr>
          <w:rFonts w:hint="eastAsia"/>
          <w:bCs/>
          <w:color w:val="auto"/>
          <w:kern w:val="0"/>
          <w:sz w:val="24"/>
          <w:lang w:val="en-US" w:eastAsia="zh-CN"/>
        </w:rPr>
        <w:t>0.00018</w:t>
      </w:r>
      <w:r>
        <w:rPr>
          <w:bCs/>
          <w:color w:val="auto"/>
          <w:kern w:val="0"/>
          <w:sz w:val="24"/>
        </w:rPr>
        <w:t>kg/h</w:t>
      </w:r>
      <w:r>
        <w:rPr>
          <w:rFonts w:hint="eastAsia"/>
          <w:bCs/>
          <w:color w:val="auto"/>
          <w:kern w:val="0"/>
          <w:sz w:val="24"/>
        </w:rPr>
        <w:t>，</w:t>
      </w:r>
      <w:r>
        <w:rPr>
          <w:bCs/>
          <w:color w:val="auto"/>
          <w:kern w:val="0"/>
          <w:sz w:val="24"/>
        </w:rPr>
        <w:t>排放量为</w:t>
      </w:r>
      <w:r>
        <w:rPr>
          <w:rFonts w:hint="eastAsia"/>
          <w:bCs/>
          <w:color w:val="auto"/>
          <w:kern w:val="0"/>
          <w:sz w:val="24"/>
          <w:lang w:val="en-US" w:eastAsia="zh-CN"/>
        </w:rPr>
        <w:t>0.00043</w:t>
      </w:r>
      <w:r>
        <w:rPr>
          <w:bCs/>
          <w:color w:val="auto"/>
          <w:kern w:val="0"/>
          <w:sz w:val="24"/>
        </w:rPr>
        <w:t>t</w:t>
      </w:r>
      <w:r>
        <w:rPr>
          <w:rFonts w:hint="eastAsia"/>
          <w:bCs/>
          <w:color w:val="auto"/>
          <w:kern w:val="0"/>
          <w:sz w:val="24"/>
        </w:rPr>
        <w:t>/a，排放</w:t>
      </w:r>
      <w:r>
        <w:rPr>
          <w:bCs/>
          <w:color w:val="auto"/>
          <w:kern w:val="0"/>
          <w:sz w:val="24"/>
        </w:rPr>
        <w:t>浓度为</w:t>
      </w:r>
      <w:r>
        <w:rPr>
          <w:rFonts w:hint="eastAsia"/>
          <w:bCs/>
          <w:color w:val="auto"/>
          <w:kern w:val="0"/>
          <w:sz w:val="24"/>
          <w:lang w:val="en-US" w:eastAsia="zh-CN"/>
        </w:rPr>
        <w:t>0.036</w:t>
      </w:r>
      <w:r>
        <w:rPr>
          <w:bCs/>
          <w:color w:val="auto"/>
          <w:kern w:val="0"/>
          <w:sz w:val="24"/>
        </w:rPr>
        <w:t>mg/m</w:t>
      </w:r>
      <w:r>
        <w:rPr>
          <w:bCs/>
          <w:color w:val="auto"/>
          <w:kern w:val="0"/>
          <w:sz w:val="24"/>
          <w:vertAlign w:val="superscript"/>
        </w:rPr>
        <w:t>3</w:t>
      </w:r>
      <w:r>
        <w:rPr>
          <w:bCs/>
          <w:color w:val="auto"/>
          <w:kern w:val="0"/>
          <w:sz w:val="24"/>
        </w:rPr>
        <w:t>，臭气浓度为</w:t>
      </w:r>
      <w:r>
        <w:rPr>
          <w:rFonts w:hint="eastAsia"/>
          <w:bCs/>
          <w:color w:val="auto"/>
          <w:kern w:val="0"/>
          <w:sz w:val="24"/>
        </w:rPr>
        <w:t>810</w:t>
      </w:r>
      <w:r>
        <w:rPr>
          <w:bCs/>
          <w:color w:val="auto"/>
          <w:kern w:val="0"/>
          <w:sz w:val="24"/>
        </w:rPr>
        <w:t>（无量纲）。</w:t>
      </w:r>
      <w:r>
        <w:rPr>
          <w:rFonts w:hint="eastAsia"/>
          <w:bCs/>
          <w:color w:val="auto"/>
          <w:kern w:val="0"/>
          <w:sz w:val="24"/>
        </w:rPr>
        <w:t>无组织</w:t>
      </w:r>
      <w:r>
        <w:rPr>
          <w:bCs/>
          <w:color w:val="auto"/>
          <w:kern w:val="0"/>
          <w:sz w:val="24"/>
        </w:rPr>
        <w:t>NH</w:t>
      </w:r>
      <w:r>
        <w:rPr>
          <w:bCs/>
          <w:color w:val="auto"/>
          <w:kern w:val="0"/>
          <w:sz w:val="24"/>
          <w:vertAlign w:val="subscript"/>
        </w:rPr>
        <w:t>3</w:t>
      </w:r>
      <w:r>
        <w:rPr>
          <w:rFonts w:hint="eastAsia"/>
          <w:bCs/>
          <w:color w:val="auto"/>
          <w:kern w:val="0"/>
          <w:sz w:val="24"/>
        </w:rPr>
        <w:t>排放</w:t>
      </w:r>
      <w:r>
        <w:rPr>
          <w:bCs/>
          <w:color w:val="auto"/>
          <w:kern w:val="0"/>
          <w:sz w:val="24"/>
        </w:rPr>
        <w:t>速率为</w:t>
      </w:r>
      <w:r>
        <w:rPr>
          <w:rFonts w:hint="eastAsia"/>
          <w:bCs/>
          <w:color w:val="auto"/>
          <w:kern w:val="0"/>
          <w:sz w:val="24"/>
          <w:lang w:val="en-US" w:eastAsia="zh-CN"/>
        </w:rPr>
        <w:t>0.0038</w:t>
      </w:r>
      <w:r>
        <w:rPr>
          <w:bCs/>
          <w:color w:val="auto"/>
          <w:kern w:val="0"/>
          <w:sz w:val="24"/>
        </w:rPr>
        <w:t>kg/h，排放量为</w:t>
      </w:r>
      <w:r>
        <w:rPr>
          <w:rFonts w:hint="eastAsia"/>
          <w:bCs/>
          <w:color w:val="auto"/>
          <w:kern w:val="0"/>
          <w:sz w:val="24"/>
          <w:lang w:val="en-US" w:eastAsia="zh-CN"/>
        </w:rPr>
        <w:t>0.0092</w:t>
      </w:r>
      <w:r>
        <w:rPr>
          <w:bCs/>
          <w:color w:val="auto"/>
          <w:kern w:val="0"/>
          <w:sz w:val="24"/>
        </w:rPr>
        <w:t>t</w:t>
      </w:r>
      <w:r>
        <w:rPr>
          <w:rFonts w:hint="eastAsia"/>
          <w:bCs/>
          <w:color w:val="auto"/>
          <w:kern w:val="0"/>
          <w:sz w:val="24"/>
        </w:rPr>
        <w:t>/a，</w:t>
      </w:r>
      <w:r>
        <w:rPr>
          <w:bCs/>
          <w:color w:val="auto"/>
          <w:kern w:val="0"/>
          <w:sz w:val="24"/>
        </w:rPr>
        <w:t>H</w:t>
      </w:r>
      <w:r>
        <w:rPr>
          <w:bCs/>
          <w:color w:val="auto"/>
          <w:kern w:val="0"/>
          <w:sz w:val="24"/>
          <w:vertAlign w:val="subscript"/>
        </w:rPr>
        <w:t>2</w:t>
      </w:r>
      <w:r>
        <w:rPr>
          <w:bCs/>
          <w:color w:val="auto"/>
          <w:kern w:val="0"/>
          <w:sz w:val="24"/>
        </w:rPr>
        <w:t>S</w:t>
      </w:r>
      <w:r>
        <w:rPr>
          <w:rFonts w:hint="eastAsia"/>
          <w:bCs/>
          <w:color w:val="auto"/>
          <w:kern w:val="0"/>
          <w:sz w:val="24"/>
        </w:rPr>
        <w:t>排放</w:t>
      </w:r>
      <w:r>
        <w:rPr>
          <w:bCs/>
          <w:color w:val="auto"/>
          <w:kern w:val="0"/>
          <w:sz w:val="24"/>
        </w:rPr>
        <w:t>速率为</w:t>
      </w:r>
      <w:r>
        <w:rPr>
          <w:rFonts w:hint="eastAsia"/>
          <w:bCs/>
          <w:color w:val="auto"/>
          <w:kern w:val="0"/>
          <w:sz w:val="24"/>
          <w:lang w:val="en-US" w:eastAsia="zh-CN"/>
        </w:rPr>
        <w:t>0.00015</w:t>
      </w:r>
      <w:r>
        <w:rPr>
          <w:bCs/>
          <w:color w:val="auto"/>
          <w:kern w:val="0"/>
          <w:sz w:val="24"/>
        </w:rPr>
        <w:t>kg/h，排放量为</w:t>
      </w:r>
      <w:r>
        <w:rPr>
          <w:rFonts w:hint="eastAsia"/>
          <w:bCs/>
          <w:color w:val="auto"/>
          <w:kern w:val="0"/>
          <w:sz w:val="24"/>
          <w:lang w:val="en-US" w:eastAsia="zh-CN"/>
        </w:rPr>
        <w:t>0.00036</w:t>
      </w:r>
      <w:r>
        <w:rPr>
          <w:bCs/>
          <w:color w:val="auto"/>
          <w:kern w:val="0"/>
          <w:sz w:val="24"/>
        </w:rPr>
        <w:t>t</w:t>
      </w:r>
      <w:r>
        <w:rPr>
          <w:rFonts w:hint="eastAsia"/>
          <w:bCs/>
          <w:color w:val="auto"/>
          <w:kern w:val="0"/>
          <w:sz w:val="24"/>
        </w:rPr>
        <w:t>/a，臭气浓度675（无量纲）。类比</w:t>
      </w:r>
      <w:r>
        <w:rPr>
          <w:bCs/>
          <w:color w:val="auto"/>
          <w:kern w:val="0"/>
          <w:sz w:val="24"/>
        </w:rPr>
        <w:t>《</w:t>
      </w:r>
      <w:r>
        <w:rPr>
          <w:rFonts w:hint="eastAsia"/>
          <w:bCs/>
          <w:color w:val="auto"/>
          <w:kern w:val="0"/>
          <w:sz w:val="24"/>
        </w:rPr>
        <w:t>吉林省伯宇现代农业产业有限责任公司年屠宰肉牛1.1万头项目竣工环境保护</w:t>
      </w:r>
      <w:r>
        <w:rPr>
          <w:bCs/>
          <w:color w:val="auto"/>
          <w:kern w:val="0"/>
          <w:sz w:val="24"/>
        </w:rPr>
        <w:t>验收监测报告》（20</w:t>
      </w:r>
      <w:r>
        <w:rPr>
          <w:rFonts w:hint="eastAsia"/>
          <w:bCs/>
          <w:color w:val="auto"/>
          <w:kern w:val="0"/>
          <w:sz w:val="24"/>
        </w:rPr>
        <w:t>23</w:t>
      </w:r>
      <w:r>
        <w:rPr>
          <w:bCs/>
          <w:color w:val="auto"/>
          <w:kern w:val="0"/>
          <w:sz w:val="24"/>
        </w:rPr>
        <w:t>年</w:t>
      </w:r>
      <w:r>
        <w:rPr>
          <w:rFonts w:hint="eastAsia"/>
          <w:bCs/>
          <w:color w:val="auto"/>
          <w:kern w:val="0"/>
          <w:sz w:val="24"/>
        </w:rPr>
        <w:t>3</w:t>
      </w:r>
      <w:r>
        <w:rPr>
          <w:bCs/>
          <w:color w:val="auto"/>
          <w:kern w:val="0"/>
          <w:sz w:val="24"/>
        </w:rPr>
        <w:t>月）可知</w:t>
      </w:r>
      <w:r>
        <w:rPr>
          <w:rFonts w:hint="eastAsia"/>
          <w:bCs/>
          <w:color w:val="auto"/>
          <w:kern w:val="0"/>
          <w:sz w:val="24"/>
        </w:rPr>
        <w:t>，厂界臭气浓度＜20（无量纲）。</w:t>
      </w:r>
    </w:p>
    <w:p>
      <w:pPr>
        <w:spacing w:line="360" w:lineRule="auto"/>
        <w:ind w:firstLine="480" w:firstLineChars="200"/>
        <w:contextualSpacing/>
        <w:rPr>
          <w:rFonts w:hint="default" w:eastAsia="宋体"/>
          <w:bCs/>
          <w:color w:val="auto"/>
          <w:kern w:val="0"/>
          <w:sz w:val="24"/>
          <w:lang w:val="en-US" w:eastAsia="zh-CN"/>
        </w:rPr>
      </w:pPr>
      <w:r>
        <w:rPr>
          <w:rFonts w:hint="eastAsia"/>
          <w:bCs/>
          <w:color w:val="auto"/>
          <w:kern w:val="0"/>
          <w:sz w:val="24"/>
          <w:lang w:eastAsia="zh-CN"/>
        </w:rPr>
        <w:t>（</w:t>
      </w:r>
      <w:r>
        <w:rPr>
          <w:rFonts w:hint="eastAsia"/>
          <w:bCs/>
          <w:color w:val="auto"/>
          <w:kern w:val="0"/>
          <w:sz w:val="24"/>
          <w:lang w:val="en-US" w:eastAsia="zh-CN"/>
        </w:rPr>
        <w:t>5</w:t>
      </w:r>
      <w:r>
        <w:rPr>
          <w:rFonts w:hint="eastAsia"/>
          <w:bCs/>
          <w:color w:val="auto"/>
          <w:kern w:val="0"/>
          <w:sz w:val="24"/>
          <w:lang w:eastAsia="zh-CN"/>
        </w:rPr>
        <w:t>）</w:t>
      </w:r>
      <w:r>
        <w:rPr>
          <w:rFonts w:hint="eastAsia"/>
          <w:bCs/>
          <w:color w:val="auto"/>
          <w:kern w:val="0"/>
          <w:sz w:val="24"/>
          <w:lang w:val="en-US" w:eastAsia="zh-CN"/>
        </w:rPr>
        <w:t>锅炉烟气</w:t>
      </w:r>
    </w:p>
    <w:p>
      <w:pPr>
        <w:pStyle w:val="266"/>
        <w:adjustRightInd w:val="0"/>
        <w:spacing w:line="360" w:lineRule="auto"/>
        <w:ind w:left="0" w:leftChars="0" w:firstLine="480" w:firstLineChars="200"/>
        <w:rPr>
          <w:rFonts w:hint="eastAsia" w:ascii="Times New Roman" w:hAnsi="Times New Roman" w:eastAsia="宋体" w:cs="Times New Roman"/>
          <w:b w:val="0"/>
          <w:bCs/>
          <w:color w:val="auto"/>
          <w:kern w:val="0"/>
          <w:sz w:val="24"/>
          <w:szCs w:val="24"/>
          <w:lang w:val="en-US" w:eastAsia="zh-CN" w:bidi="ar-SA"/>
        </w:rPr>
      </w:pPr>
      <w:r>
        <w:rPr>
          <w:rFonts w:hint="eastAsia" w:ascii="Times New Roman" w:hAnsi="Times New Roman" w:eastAsia="宋体" w:cs="Times New Roman"/>
          <w:b w:val="0"/>
          <w:bCs/>
          <w:color w:val="auto"/>
          <w:kern w:val="0"/>
          <w:sz w:val="24"/>
          <w:szCs w:val="24"/>
          <w:lang w:val="en-US" w:eastAsia="zh-CN" w:bidi="ar-SA"/>
        </w:rPr>
        <w:t>①锅炉烟气量计算</w:t>
      </w:r>
    </w:p>
    <w:p>
      <w:pPr>
        <w:pStyle w:val="266"/>
        <w:adjustRightInd w:val="0"/>
        <w:spacing w:line="360" w:lineRule="auto"/>
        <w:ind w:left="0" w:leftChars="0" w:firstLine="480" w:firstLineChars="200"/>
        <w:rPr>
          <w:rFonts w:hint="eastAsia" w:ascii="Times New Roman" w:hAnsi="Times New Roman" w:eastAsia="宋体" w:cs="Times New Roman"/>
          <w:b w:val="0"/>
          <w:bCs/>
          <w:color w:val="auto"/>
          <w:kern w:val="0"/>
          <w:sz w:val="24"/>
          <w:szCs w:val="24"/>
          <w:lang w:val="en-US" w:eastAsia="zh-CN" w:bidi="ar-SA"/>
        </w:rPr>
      </w:pPr>
      <w:r>
        <w:rPr>
          <w:rFonts w:hint="eastAsia" w:ascii="Times New Roman" w:hAnsi="Times New Roman" w:eastAsia="宋体" w:cs="Times New Roman"/>
          <w:b w:val="0"/>
          <w:bCs/>
          <w:color w:val="auto"/>
          <w:kern w:val="0"/>
          <w:sz w:val="24"/>
          <w:szCs w:val="24"/>
          <w:lang w:val="en-US" w:eastAsia="zh-CN" w:bidi="ar-SA"/>
        </w:rPr>
        <w:t>参照《污染源源强核算技术指南锅炉》（HJ991-2018）附录C中C.5，没有元素分析时，干烟气排放量的经验公式计算参照HJ953，则本项目的干烟气量为</w:t>
      </w:r>
    </w:p>
    <w:p>
      <w:pPr>
        <w:pStyle w:val="266"/>
        <w:adjustRightInd w:val="0"/>
        <w:spacing w:line="360" w:lineRule="auto"/>
        <w:ind w:left="0" w:leftChars="0" w:firstLine="480" w:firstLineChars="200"/>
        <w:rPr>
          <w:rFonts w:hint="default" w:ascii="Times New Roman" w:hAnsi="Times New Roman" w:eastAsia="宋体" w:cs="Times New Roman"/>
          <w:b w:val="0"/>
          <w:bCs/>
          <w:color w:val="auto"/>
          <w:kern w:val="0"/>
          <w:sz w:val="24"/>
          <w:szCs w:val="24"/>
          <w:lang w:val="en-US" w:eastAsia="zh-CN" w:bidi="ar-SA"/>
        </w:rPr>
      </w:pPr>
      <w:r>
        <w:rPr>
          <w:rFonts w:hint="default" w:ascii="Times New Roman" w:hAnsi="Times New Roman" w:eastAsia="宋体" w:cs="Times New Roman"/>
          <w:b w:val="0"/>
          <w:bCs/>
          <w:color w:val="auto"/>
          <w:kern w:val="0"/>
          <w:sz w:val="24"/>
          <w:szCs w:val="24"/>
          <w:lang w:val="en-US" w:eastAsia="zh-CN" w:bidi="ar-SA"/>
        </w:rPr>
        <w:t>Vgy=（0.393×13.249+0.876）Nm</w:t>
      </w:r>
      <w:r>
        <w:rPr>
          <w:rFonts w:hint="default" w:ascii="Times New Roman" w:hAnsi="Times New Roman" w:eastAsia="宋体" w:cs="Times New Roman"/>
          <w:b w:val="0"/>
          <w:bCs/>
          <w:color w:val="auto"/>
          <w:kern w:val="0"/>
          <w:sz w:val="24"/>
          <w:szCs w:val="24"/>
          <w:vertAlign w:val="superscript"/>
          <w:lang w:val="en-US" w:eastAsia="zh-CN" w:bidi="ar-SA"/>
        </w:rPr>
        <w:t>3</w:t>
      </w:r>
      <w:r>
        <w:rPr>
          <w:rFonts w:hint="default" w:ascii="Times New Roman" w:hAnsi="Times New Roman" w:eastAsia="宋体" w:cs="Times New Roman"/>
          <w:b w:val="0"/>
          <w:bCs/>
          <w:color w:val="auto"/>
          <w:kern w:val="0"/>
          <w:sz w:val="24"/>
          <w:szCs w:val="24"/>
          <w:lang w:val="en-US" w:eastAsia="zh-CN" w:bidi="ar-SA"/>
        </w:rPr>
        <w:t>/kg×10</w:t>
      </w:r>
      <w:r>
        <w:rPr>
          <w:rFonts w:hint="default" w:ascii="Times New Roman" w:hAnsi="Times New Roman" w:eastAsia="宋体" w:cs="Times New Roman"/>
          <w:b w:val="0"/>
          <w:bCs/>
          <w:color w:val="auto"/>
          <w:kern w:val="0"/>
          <w:sz w:val="24"/>
          <w:szCs w:val="24"/>
          <w:vertAlign w:val="superscript"/>
          <w:lang w:val="en-US" w:eastAsia="zh-CN" w:bidi="ar-SA"/>
        </w:rPr>
        <w:t>3</w:t>
      </w:r>
      <w:r>
        <w:rPr>
          <w:rFonts w:hint="default" w:ascii="Times New Roman" w:hAnsi="Times New Roman" w:eastAsia="宋体" w:cs="Times New Roman"/>
          <w:b w:val="0"/>
          <w:bCs/>
          <w:color w:val="auto"/>
          <w:kern w:val="0"/>
          <w:sz w:val="24"/>
          <w:szCs w:val="24"/>
          <w:lang w:val="en-US" w:eastAsia="zh-CN" w:bidi="ar-SA"/>
        </w:rPr>
        <w:t>=6083Nm</w:t>
      </w:r>
      <w:r>
        <w:rPr>
          <w:rFonts w:hint="default" w:ascii="Times New Roman" w:hAnsi="Times New Roman" w:eastAsia="宋体" w:cs="Times New Roman"/>
          <w:b w:val="0"/>
          <w:bCs/>
          <w:color w:val="auto"/>
          <w:kern w:val="0"/>
          <w:sz w:val="24"/>
          <w:szCs w:val="24"/>
          <w:vertAlign w:val="superscript"/>
          <w:lang w:val="en-US" w:eastAsia="zh-CN" w:bidi="ar-SA"/>
        </w:rPr>
        <w:t>3</w:t>
      </w:r>
      <w:r>
        <w:rPr>
          <w:rFonts w:hint="default" w:ascii="Times New Roman" w:hAnsi="Times New Roman" w:eastAsia="宋体" w:cs="Times New Roman"/>
          <w:b w:val="0"/>
          <w:bCs/>
          <w:color w:val="auto"/>
          <w:kern w:val="0"/>
          <w:sz w:val="24"/>
          <w:szCs w:val="24"/>
          <w:lang w:val="en-US" w:eastAsia="zh-CN" w:bidi="ar-SA"/>
        </w:rPr>
        <w:t>/t，本项目燃生物质颗粒燃料量为468t/a，则烟气量为2846844Nm</w:t>
      </w:r>
      <w:r>
        <w:rPr>
          <w:rFonts w:hint="default" w:ascii="Times New Roman" w:hAnsi="Times New Roman" w:eastAsia="宋体" w:cs="Times New Roman"/>
          <w:b w:val="0"/>
          <w:bCs/>
          <w:color w:val="auto"/>
          <w:kern w:val="0"/>
          <w:sz w:val="24"/>
          <w:szCs w:val="24"/>
          <w:vertAlign w:val="superscript"/>
          <w:lang w:val="en-US" w:eastAsia="zh-CN" w:bidi="ar-SA"/>
        </w:rPr>
        <w:t>3</w:t>
      </w:r>
      <w:r>
        <w:rPr>
          <w:rFonts w:hint="default" w:ascii="Times New Roman" w:hAnsi="Times New Roman" w:eastAsia="宋体" w:cs="Times New Roman"/>
          <w:b w:val="0"/>
          <w:bCs/>
          <w:color w:val="auto"/>
          <w:kern w:val="0"/>
          <w:sz w:val="24"/>
          <w:szCs w:val="24"/>
          <w:lang w:val="en-US" w:eastAsia="zh-CN" w:bidi="ar-SA"/>
        </w:rPr>
        <w:t>/a。</w:t>
      </w:r>
    </w:p>
    <w:p>
      <w:pPr>
        <w:spacing w:line="360" w:lineRule="auto"/>
        <w:ind w:firstLine="480" w:firstLineChars="200"/>
        <w:contextualSpacing/>
        <w:rPr>
          <w:rFonts w:hint="default" w:ascii="Times New Roman" w:hAnsi="Times New Roman" w:eastAsia="宋体" w:cs="Times New Roman"/>
          <w:bCs/>
          <w:color w:val="auto"/>
          <w:kern w:val="0"/>
          <w:sz w:val="24"/>
          <w:lang w:val="en-US" w:eastAsia="zh-CN"/>
        </w:rPr>
      </w:pPr>
      <w:r>
        <w:rPr>
          <w:rFonts w:hint="default" w:ascii="Times New Roman" w:hAnsi="Times New Roman" w:cs="Times New Roman"/>
          <w:bCs/>
          <w:color w:val="auto"/>
          <w:kern w:val="0"/>
          <w:sz w:val="24"/>
          <w:lang w:val="en-US" w:eastAsia="zh-CN"/>
        </w:rPr>
        <w:t>②锅炉中</w:t>
      </w:r>
      <w:r>
        <w:rPr>
          <w:rFonts w:hint="eastAsia" w:ascii="Times New Roman" w:hAnsi="Times New Roman" w:cs="Times New Roman"/>
          <w:bCs/>
          <w:color w:val="auto"/>
          <w:kern w:val="0"/>
          <w:sz w:val="24"/>
          <w:lang w:val="en-US" w:eastAsia="zh-CN"/>
        </w:rPr>
        <w:t>各</w:t>
      </w:r>
      <w:r>
        <w:rPr>
          <w:rFonts w:hint="default" w:ascii="Times New Roman" w:hAnsi="Times New Roman" w:cs="Times New Roman"/>
          <w:bCs/>
          <w:color w:val="auto"/>
          <w:kern w:val="0"/>
          <w:sz w:val="24"/>
          <w:lang w:val="en-US" w:eastAsia="zh-CN"/>
        </w:rPr>
        <w:t>污染物排放量</w:t>
      </w:r>
      <w:r>
        <w:rPr>
          <w:rFonts w:hint="eastAsia" w:ascii="Times New Roman" w:hAnsi="Times New Roman" w:cs="Times New Roman"/>
          <w:bCs/>
          <w:color w:val="auto"/>
          <w:kern w:val="0"/>
          <w:sz w:val="24"/>
          <w:lang w:val="en-US" w:eastAsia="zh-CN"/>
        </w:rPr>
        <w:t>计算</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根据《污染源源强核算技术指南 准则》（HJ884-2018）及《污染源源强核算技术指南 锅炉》（HJ 991-2018），采取物料衡算法计算本项目锅炉烟气中污染物排放源强。</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a.颗粒物排放量按下式计算：</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drawing>
          <wp:inline distT="0" distB="0" distL="114300" distR="114300">
            <wp:extent cx="2064385" cy="847090"/>
            <wp:effectExtent l="0" t="0" r="12065" b="1016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22"/>
                    <a:stretch>
                      <a:fillRect/>
                    </a:stretch>
                  </pic:blipFill>
                  <pic:spPr>
                    <a:xfrm>
                      <a:off x="0" y="0"/>
                      <a:ext cx="2064385" cy="847090"/>
                    </a:xfrm>
                    <a:prstGeom prst="rect">
                      <a:avLst/>
                    </a:prstGeom>
                    <a:noFill/>
                    <a:ln>
                      <a:noFill/>
                    </a:ln>
                  </pic:spPr>
                </pic:pic>
              </a:graphicData>
            </a:graphic>
          </wp:inline>
        </w:drawing>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式中：</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E</w:t>
      </w:r>
      <w:r>
        <w:rPr>
          <w:rFonts w:hint="default" w:ascii="Times New Roman" w:hAnsi="Times New Roman" w:eastAsia="宋体" w:cs="Times New Roman"/>
          <w:color w:val="auto"/>
          <w:sz w:val="24"/>
          <w:szCs w:val="24"/>
          <w:highlight w:val="none"/>
          <w:vertAlign w:val="subscript"/>
          <w:lang w:val="en-US" w:eastAsia="zh-CN"/>
        </w:rPr>
        <w:t>A</w:t>
      </w:r>
      <w:r>
        <w:rPr>
          <w:rFonts w:hint="default" w:ascii="Times New Roman" w:hAnsi="Times New Roman" w:eastAsia="宋体" w:cs="Times New Roman"/>
          <w:color w:val="auto"/>
          <w:sz w:val="24"/>
          <w:szCs w:val="24"/>
          <w:highlight w:val="none"/>
          <w:lang w:val="en-US" w:eastAsia="zh-CN"/>
        </w:rPr>
        <w:t>——核算时段内颗粒物（烟囱）排放量，t；</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R——核算时段内锅炉燃料耗量，t，取值</w:t>
      </w:r>
      <w:r>
        <w:rPr>
          <w:rFonts w:hint="eastAsia" w:ascii="Times New Roman" w:hAnsi="Times New Roman" w:eastAsia="宋体" w:cs="Times New Roman"/>
          <w:color w:val="auto"/>
          <w:sz w:val="24"/>
          <w:szCs w:val="24"/>
          <w:highlight w:val="none"/>
          <w:lang w:val="en-US" w:eastAsia="zh-CN"/>
        </w:rPr>
        <w:t>468</w:t>
      </w:r>
      <w:r>
        <w:rPr>
          <w:rFonts w:hint="default" w:ascii="Times New Roman" w:hAnsi="Times New Roman" w:eastAsia="宋体" w:cs="Times New Roman"/>
          <w:color w:val="auto"/>
          <w:sz w:val="24"/>
          <w:szCs w:val="24"/>
          <w:highlight w:val="none"/>
          <w:lang w:val="en-US" w:eastAsia="zh-CN"/>
        </w:rPr>
        <w:t>t/a；</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bookmarkStart w:id="95" w:name="_Toc30815"/>
      <w:bookmarkStart w:id="96" w:name="_Toc12000"/>
      <w:r>
        <w:rPr>
          <w:rFonts w:hint="default" w:ascii="Times New Roman" w:hAnsi="Times New Roman" w:eastAsia="宋体" w:cs="Times New Roman"/>
          <w:color w:val="auto"/>
          <w:sz w:val="24"/>
          <w:szCs w:val="24"/>
          <w:highlight w:val="none"/>
          <w:lang w:val="en-US" w:eastAsia="zh-CN"/>
        </w:rPr>
        <w:t>Aar——收到基灰分质量分数，%，本项目Aar取值</w:t>
      </w:r>
      <w:r>
        <w:rPr>
          <w:rFonts w:hint="eastAsia" w:ascii="Times New Roman" w:hAnsi="Times New Roman" w:eastAsia="宋体" w:cs="Times New Roman"/>
          <w:color w:val="auto"/>
          <w:sz w:val="24"/>
          <w:szCs w:val="24"/>
          <w:highlight w:val="none"/>
          <w:lang w:val="en-US" w:eastAsia="zh-CN"/>
        </w:rPr>
        <w:t>14.78</w:t>
      </w:r>
      <w:r>
        <w:rPr>
          <w:rFonts w:hint="default" w:ascii="Times New Roman" w:hAnsi="Times New Roman" w:eastAsia="宋体" w:cs="Times New Roman"/>
          <w:color w:val="auto"/>
          <w:sz w:val="24"/>
          <w:szCs w:val="24"/>
          <w:highlight w:val="none"/>
          <w:lang w:val="en-US" w:eastAsia="zh-CN"/>
        </w:rPr>
        <w:t>；（数据来源生物质成型燃料成分检测报告）</w:t>
      </w:r>
      <w:bookmarkEnd w:id="95"/>
      <w:bookmarkEnd w:id="96"/>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dfh——锅炉烟气带出的飞灰份额，%，取值（15+30）%；（数据来源《污染源源强核算技术指南 锅炉》（H 991—2018）附录B表B.2链条炉排炉，燃用生物质）</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ηc——综合除尘效率，%，取值</w:t>
      </w:r>
      <w:r>
        <w:rPr>
          <w:rFonts w:hint="eastAsia" w:ascii="Times New Roman" w:hAnsi="Times New Roman" w:cs="Times New Roman"/>
          <w:color w:val="auto"/>
          <w:sz w:val="24"/>
          <w:szCs w:val="24"/>
          <w:highlight w:val="none"/>
          <w:lang w:val="en-US" w:eastAsia="zh-CN"/>
        </w:rPr>
        <w:t>99.8</w:t>
      </w:r>
      <w:r>
        <w:rPr>
          <w:rFonts w:hint="default" w:ascii="Times New Roman" w:hAnsi="Times New Roman" w:eastAsia="宋体" w:cs="Times New Roman"/>
          <w:color w:val="auto"/>
          <w:sz w:val="24"/>
          <w:szCs w:val="24"/>
          <w:highlight w:val="none"/>
          <w:lang w:val="en-US" w:eastAsia="zh-CN"/>
        </w:rPr>
        <w:t>%；</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Cfh——飞灰中的可燃物含量，%，取</w:t>
      </w:r>
      <w:r>
        <w:rPr>
          <w:rFonts w:hint="eastAsia" w:ascii="Times New Roman" w:hAnsi="Times New Roman" w:eastAsia="宋体" w:cs="Times New Roman"/>
          <w:color w:val="auto"/>
          <w:sz w:val="24"/>
          <w:szCs w:val="24"/>
          <w:highlight w:val="none"/>
          <w:lang w:val="en-US" w:eastAsia="zh-CN"/>
        </w:rPr>
        <w:t>16</w:t>
      </w:r>
      <w:r>
        <w:rPr>
          <w:rFonts w:hint="default" w:ascii="Times New Roman" w:hAnsi="Times New Roman" w:eastAsia="宋体" w:cs="Times New Roman"/>
          <w:color w:val="auto"/>
          <w:sz w:val="24"/>
          <w:szCs w:val="24"/>
          <w:highlight w:val="none"/>
          <w:lang w:val="en-US" w:eastAsia="zh-CN"/>
        </w:rPr>
        <w:t>%，（数据来源《工业锅炉经济运行》（GB/T17954-2007）表4）。</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经计算，本项目锅炉烟气中颗粒物排放量为</w:t>
      </w:r>
      <w:r>
        <w:rPr>
          <w:rFonts w:hint="eastAsia" w:ascii="Times New Roman" w:hAnsi="Times New Roman" w:cs="Times New Roman"/>
          <w:color w:val="auto"/>
          <w:sz w:val="24"/>
          <w:szCs w:val="24"/>
          <w:highlight w:val="none"/>
          <w:lang w:val="en-US" w:eastAsia="zh-CN"/>
        </w:rPr>
        <w:t>0.074</w:t>
      </w:r>
      <w:r>
        <w:rPr>
          <w:rFonts w:hint="default" w:ascii="Times New Roman" w:hAnsi="Times New Roman" w:eastAsia="宋体" w:cs="Times New Roman"/>
          <w:color w:val="auto"/>
          <w:sz w:val="24"/>
          <w:szCs w:val="24"/>
          <w:highlight w:val="none"/>
          <w:lang w:val="en-US" w:eastAsia="zh-CN"/>
        </w:rPr>
        <w:t>t/a，</w:t>
      </w:r>
      <w:r>
        <w:rPr>
          <w:rFonts w:hint="eastAsia" w:ascii="Times New Roman" w:hAnsi="Times New Roman" w:cs="Times New Roman"/>
          <w:color w:val="auto"/>
          <w:sz w:val="24"/>
          <w:szCs w:val="24"/>
          <w:highlight w:val="none"/>
          <w:lang w:val="en-US" w:eastAsia="zh-CN"/>
        </w:rPr>
        <w:t>0.0206</w:t>
      </w:r>
      <w:r>
        <w:rPr>
          <w:rFonts w:hint="default" w:ascii="Times New Roman" w:hAnsi="Times New Roman" w:eastAsia="宋体" w:cs="Times New Roman"/>
          <w:color w:val="auto"/>
          <w:sz w:val="24"/>
          <w:szCs w:val="24"/>
          <w:highlight w:val="none"/>
          <w:lang w:val="en-US" w:eastAsia="zh-CN"/>
        </w:rPr>
        <w:t>kg/h，排放浓度</w:t>
      </w:r>
      <w:r>
        <w:rPr>
          <w:rFonts w:hint="eastAsia" w:ascii="Times New Roman" w:hAnsi="Times New Roman" w:cs="Times New Roman"/>
          <w:color w:val="auto"/>
          <w:sz w:val="24"/>
          <w:szCs w:val="24"/>
          <w:highlight w:val="none"/>
          <w:lang w:val="en-US" w:eastAsia="zh-CN"/>
        </w:rPr>
        <w:t>26.05</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b.二氧化硫排放量按下式计算：</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drawing>
          <wp:inline distT="0" distB="0" distL="114300" distR="114300">
            <wp:extent cx="2687320" cy="477520"/>
            <wp:effectExtent l="0" t="0" r="17780" b="1778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23"/>
                    <a:stretch>
                      <a:fillRect/>
                    </a:stretch>
                  </pic:blipFill>
                  <pic:spPr>
                    <a:xfrm>
                      <a:off x="0" y="0"/>
                      <a:ext cx="2687320" cy="477520"/>
                    </a:xfrm>
                    <a:prstGeom prst="rect">
                      <a:avLst/>
                    </a:prstGeom>
                    <a:noFill/>
                    <a:ln>
                      <a:noFill/>
                    </a:ln>
                  </pic:spPr>
                </pic:pic>
              </a:graphicData>
            </a:graphic>
          </wp:inline>
        </w:drawing>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式中：</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ESO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——核算时段内二氧化硫排放量，t；</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R——核算时段内锅炉燃料耗量，t，取值</w:t>
      </w:r>
      <w:r>
        <w:rPr>
          <w:rFonts w:hint="eastAsia" w:ascii="Times New Roman" w:hAnsi="Times New Roman" w:eastAsia="宋体" w:cs="Times New Roman"/>
          <w:color w:val="auto"/>
          <w:sz w:val="24"/>
          <w:szCs w:val="24"/>
          <w:highlight w:val="none"/>
          <w:lang w:val="en-US" w:eastAsia="zh-CN"/>
        </w:rPr>
        <w:t>468</w:t>
      </w:r>
      <w:r>
        <w:rPr>
          <w:rFonts w:hint="default" w:ascii="Times New Roman" w:hAnsi="Times New Roman" w:eastAsia="宋体" w:cs="Times New Roman"/>
          <w:color w:val="auto"/>
          <w:sz w:val="24"/>
          <w:szCs w:val="24"/>
          <w:highlight w:val="none"/>
          <w:lang w:val="en-US" w:eastAsia="zh-CN"/>
        </w:rPr>
        <w:t>t/a；</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Sar——收到基硫的质量分数，%，</w:t>
      </w:r>
      <w:r>
        <w:rPr>
          <w:rFonts w:hint="default" w:ascii="Times New Roman" w:hAnsi="Times New Roman" w:cs="Times New Roman"/>
          <w:color w:val="auto"/>
          <w:sz w:val="24"/>
          <w:szCs w:val="24"/>
          <w:highlight w:val="none"/>
          <w:lang w:val="en-US" w:eastAsia="zh-CN"/>
        </w:rPr>
        <w:t>收到基硫分=</w:t>
      </w:r>
      <w:r>
        <w:rPr>
          <w:rFonts w:hint="default" w:ascii="Times New Roman" w:hAnsi="Times New Roman" w:cs="Times New Roman"/>
          <w:color w:val="auto"/>
          <w:sz w:val="24"/>
          <w:szCs w:val="24"/>
          <w:highlight w:val="none"/>
        </w:rPr>
        <w:t>空气干燥基全硫×（100-收到基水分）/（100-空气干燥基水分）</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本项目Sar取值0.03；</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q4——锅炉机械不完全燃烧热损失，%，取值10%（数据来源《污染源源强核算技术指南 锅炉》（HJ991—2018）附录B表B.1链条炉排炉）；</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ηs——脱硫效率，%，取值0；</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K——燃料中的硫燃烧后氧化成而二氧化硫的份额，量纲一的量，取值0.4。</w:t>
      </w:r>
    </w:p>
    <w:p>
      <w:pPr>
        <w:pStyle w:val="266"/>
        <w:adjustRightInd w:val="0"/>
        <w:spacing w:line="360" w:lineRule="auto"/>
        <w:ind w:left="0" w:leftChars="0" w:firstLine="480" w:firstLineChars="200"/>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经计算，本项目锅炉烟气中二氧化硫排放量为</w:t>
      </w:r>
      <w:r>
        <w:rPr>
          <w:rFonts w:hint="eastAsia" w:ascii="Times New Roman" w:hAnsi="Times New Roman" w:eastAsia="宋体" w:cs="Times New Roman"/>
          <w:color w:val="auto"/>
          <w:sz w:val="24"/>
          <w:szCs w:val="24"/>
          <w:highlight w:val="none"/>
          <w:lang w:val="en-US" w:eastAsia="zh-CN"/>
        </w:rPr>
        <w:t>0.101</w:t>
      </w:r>
      <w:r>
        <w:rPr>
          <w:rFonts w:hint="default" w:ascii="Times New Roman" w:hAnsi="Times New Roman" w:eastAsia="宋体" w:cs="Times New Roman"/>
          <w:color w:val="auto"/>
          <w:sz w:val="24"/>
          <w:szCs w:val="24"/>
          <w:highlight w:val="none"/>
          <w:lang w:val="en-US" w:eastAsia="zh-CN"/>
        </w:rPr>
        <w:t>t/a，</w:t>
      </w:r>
      <w:r>
        <w:rPr>
          <w:rFonts w:hint="eastAsia" w:ascii="Times New Roman" w:hAnsi="Times New Roman" w:eastAsia="宋体" w:cs="Times New Roman"/>
          <w:color w:val="auto"/>
          <w:sz w:val="24"/>
          <w:szCs w:val="24"/>
          <w:highlight w:val="none"/>
          <w:lang w:val="en-US" w:eastAsia="zh-CN"/>
        </w:rPr>
        <w:t>0.0281</w:t>
      </w:r>
      <w:r>
        <w:rPr>
          <w:rFonts w:hint="default" w:ascii="Times New Roman" w:hAnsi="Times New Roman" w:eastAsia="宋体" w:cs="Times New Roman"/>
          <w:color w:val="auto"/>
          <w:sz w:val="24"/>
          <w:szCs w:val="24"/>
          <w:highlight w:val="none"/>
          <w:lang w:val="en-US" w:eastAsia="zh-CN"/>
        </w:rPr>
        <w:t>kg/h，排放浓度</w:t>
      </w:r>
      <w:r>
        <w:rPr>
          <w:rFonts w:hint="eastAsia" w:ascii="Times New Roman" w:hAnsi="Times New Roman" w:eastAsia="宋体" w:cs="Times New Roman"/>
          <w:color w:val="auto"/>
          <w:sz w:val="24"/>
          <w:szCs w:val="24"/>
          <w:highlight w:val="none"/>
          <w:lang w:val="en-US" w:eastAsia="zh-CN"/>
        </w:rPr>
        <w:t>35.53</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c.氮氧化物排放量按下式计算：</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drawing>
          <wp:inline distT="0" distB="0" distL="114300" distR="114300">
            <wp:extent cx="2687320" cy="560705"/>
            <wp:effectExtent l="0" t="0" r="17780" b="10795"/>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24"/>
                    <a:stretch>
                      <a:fillRect/>
                    </a:stretch>
                  </pic:blipFill>
                  <pic:spPr>
                    <a:xfrm>
                      <a:off x="0" y="0"/>
                      <a:ext cx="2687320" cy="560705"/>
                    </a:xfrm>
                    <a:prstGeom prst="rect">
                      <a:avLst/>
                    </a:prstGeom>
                    <a:noFill/>
                    <a:ln>
                      <a:noFill/>
                    </a:ln>
                  </pic:spPr>
                </pic:pic>
              </a:graphicData>
            </a:graphic>
          </wp:inline>
        </w:drawing>
      </w:r>
      <w:r>
        <w:rPr>
          <w:rFonts w:hint="default" w:ascii="Times New Roman" w:hAnsi="Times New Roman" w:eastAsia="宋体" w:cs="Times New Roman"/>
          <w:color w:val="auto"/>
          <w:sz w:val="24"/>
          <w:szCs w:val="24"/>
          <w:highlight w:val="none"/>
          <w:lang w:val="en-US" w:eastAsia="zh-CN"/>
        </w:rPr>
        <w:t xml:space="preserve"> </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式中：</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ENO</w:t>
      </w:r>
      <w:r>
        <w:rPr>
          <w:rFonts w:hint="default" w:ascii="Times New Roman" w:hAnsi="Times New Roman" w:eastAsia="宋体" w:cs="Times New Roman"/>
          <w:color w:val="auto"/>
          <w:sz w:val="24"/>
          <w:szCs w:val="24"/>
          <w:highlight w:val="none"/>
          <w:vertAlign w:val="subscript"/>
          <w:lang w:val="en-US" w:eastAsia="zh-CN"/>
        </w:rPr>
        <w:t>X</w:t>
      </w:r>
      <w:r>
        <w:rPr>
          <w:rFonts w:hint="default" w:ascii="Times New Roman" w:hAnsi="Times New Roman" w:eastAsia="宋体" w:cs="Times New Roman"/>
          <w:color w:val="auto"/>
          <w:sz w:val="24"/>
          <w:szCs w:val="24"/>
          <w:highlight w:val="none"/>
          <w:lang w:val="en-US" w:eastAsia="zh-CN"/>
        </w:rPr>
        <w:t>——核算时段内氮氧化物排放量，t；</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ρNO</w:t>
      </w:r>
      <w:r>
        <w:rPr>
          <w:rFonts w:hint="default" w:ascii="Times New Roman" w:hAnsi="Times New Roman" w:eastAsia="宋体" w:cs="Times New Roman"/>
          <w:color w:val="auto"/>
          <w:sz w:val="24"/>
          <w:szCs w:val="24"/>
          <w:highlight w:val="none"/>
          <w:vertAlign w:val="subscript"/>
          <w:lang w:val="en-US" w:eastAsia="zh-CN"/>
        </w:rPr>
        <w:t>X</w:t>
      </w:r>
      <w:r>
        <w:rPr>
          <w:rFonts w:hint="default" w:ascii="Times New Roman" w:hAnsi="Times New Roman" w:eastAsia="宋体" w:cs="Times New Roman"/>
          <w:color w:val="auto"/>
          <w:sz w:val="24"/>
          <w:szCs w:val="24"/>
          <w:highlight w:val="none"/>
          <w:lang w:val="en-US" w:eastAsia="zh-CN"/>
        </w:rPr>
        <w:t>——锅炉炉膛出口氮氧化物质量浓度，mg/m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highlight w:val="none"/>
          <w:lang w:val="en-US" w:eastAsia="zh-CN"/>
        </w:rPr>
        <w:t>根据《污染源源强核算技术指南 锅炉》（HJ991-2018）表B.4，本次评价取150；</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ηNO</w:t>
      </w:r>
      <w:r>
        <w:rPr>
          <w:rFonts w:hint="default" w:ascii="Times New Roman" w:hAnsi="Times New Roman" w:eastAsia="宋体" w:cs="Times New Roman"/>
          <w:color w:val="auto"/>
          <w:sz w:val="24"/>
          <w:szCs w:val="24"/>
          <w:highlight w:val="none"/>
          <w:vertAlign w:val="subscript"/>
          <w:lang w:val="en-US" w:eastAsia="zh-CN"/>
        </w:rPr>
        <w:t>X</w:t>
      </w:r>
      <w:r>
        <w:rPr>
          <w:rFonts w:hint="default" w:ascii="Times New Roman" w:hAnsi="Times New Roman" w:eastAsia="宋体" w:cs="Times New Roman"/>
          <w:color w:val="auto"/>
          <w:sz w:val="24"/>
          <w:szCs w:val="24"/>
          <w:highlight w:val="none"/>
          <w:lang w:val="en-US" w:eastAsia="zh-CN"/>
        </w:rPr>
        <w:t>——脱硝效率，%，取0。</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Q——核算时段内标态干烟气排放量，m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取</w:t>
      </w:r>
      <w:r>
        <w:rPr>
          <w:rFonts w:hint="default" w:ascii="Times New Roman" w:hAnsi="Times New Roman" w:eastAsia="宋体" w:cs="Times New Roman"/>
          <w:b w:val="0"/>
          <w:bCs/>
          <w:color w:val="auto"/>
          <w:kern w:val="0"/>
          <w:sz w:val="24"/>
          <w:szCs w:val="24"/>
          <w:lang w:val="en-US" w:eastAsia="zh-CN" w:bidi="ar-SA"/>
        </w:rPr>
        <w:t>2846844</w:t>
      </w:r>
      <w:r>
        <w:rPr>
          <w:rFonts w:hint="eastAsia" w:ascii="Times New Roman" w:hAnsi="Times New Roman" w:eastAsia="宋体" w:cs="Times New Roman"/>
          <w:b w:val="0"/>
          <w:bCs/>
          <w:color w:val="auto"/>
          <w:kern w:val="0"/>
          <w:sz w:val="24"/>
          <w:szCs w:val="24"/>
          <w:lang w:val="en-US" w:eastAsia="zh-CN" w:bidi="ar-SA"/>
        </w:rPr>
        <w:t>。</w:t>
      </w:r>
    </w:p>
    <w:p>
      <w:pPr>
        <w:pStyle w:val="266"/>
        <w:adjustRightInd w:val="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经计算，锅炉烟气氮氧化物排放量为</w:t>
      </w:r>
      <w:r>
        <w:rPr>
          <w:rFonts w:hint="eastAsia" w:ascii="Times New Roman" w:hAnsi="Times New Roman" w:eastAsia="宋体" w:cs="Times New Roman"/>
          <w:color w:val="auto"/>
          <w:sz w:val="24"/>
          <w:szCs w:val="24"/>
          <w:highlight w:val="none"/>
          <w:lang w:val="en-US" w:eastAsia="zh-CN"/>
        </w:rPr>
        <w:t>0.427</w:t>
      </w:r>
      <w:r>
        <w:rPr>
          <w:rFonts w:hint="default" w:ascii="Times New Roman" w:hAnsi="Times New Roman" w:eastAsia="宋体" w:cs="Times New Roman"/>
          <w:color w:val="auto"/>
          <w:sz w:val="24"/>
          <w:szCs w:val="24"/>
          <w:highlight w:val="none"/>
          <w:lang w:val="en-US" w:eastAsia="zh-CN"/>
        </w:rPr>
        <w:t>t/a、</w:t>
      </w:r>
      <w:r>
        <w:rPr>
          <w:rFonts w:hint="eastAsia" w:ascii="Times New Roman" w:hAnsi="Times New Roman" w:eastAsia="宋体" w:cs="Times New Roman"/>
          <w:color w:val="auto"/>
          <w:sz w:val="24"/>
          <w:szCs w:val="24"/>
          <w:highlight w:val="none"/>
          <w:lang w:val="en-US" w:eastAsia="zh-CN"/>
        </w:rPr>
        <w:t>0.1186</w:t>
      </w:r>
      <w:r>
        <w:rPr>
          <w:rFonts w:hint="default" w:ascii="Times New Roman" w:hAnsi="Times New Roman" w:eastAsia="宋体" w:cs="Times New Roman"/>
          <w:color w:val="auto"/>
          <w:sz w:val="24"/>
          <w:szCs w:val="24"/>
          <w:highlight w:val="none"/>
          <w:lang w:val="en-US" w:eastAsia="zh-CN"/>
        </w:rPr>
        <w:t>kg/h，排放浓度</w:t>
      </w:r>
      <w:r>
        <w:rPr>
          <w:rFonts w:hint="eastAsia" w:ascii="Times New Roman" w:hAnsi="Times New Roman" w:eastAsia="宋体" w:cs="Times New Roman"/>
          <w:color w:val="auto"/>
          <w:sz w:val="24"/>
          <w:szCs w:val="24"/>
          <w:highlight w:val="none"/>
          <w:lang w:val="en-US" w:eastAsia="zh-CN"/>
        </w:rPr>
        <w:t>150</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w:t>
      </w:r>
    </w:p>
    <w:p>
      <w:pPr>
        <w:pStyle w:val="266"/>
        <w:adjustRightInd w:val="0"/>
        <w:ind w:firstLine="420"/>
        <w:rPr>
          <w:rFonts w:hint="default" w:ascii="Times New Roman" w:hAnsi="Times New Roman" w:eastAsia="宋体" w:cs="Times New Roman"/>
          <w:bCs/>
          <w:color w:val="FF0000"/>
          <w:sz w:val="24"/>
          <w:szCs w:val="24"/>
          <w:highlight w:val="none"/>
          <w:lang w:eastAsia="zh-CN"/>
        </w:rPr>
      </w:pPr>
    </w:p>
    <w:p>
      <w:pPr>
        <w:spacing w:line="360" w:lineRule="auto"/>
        <w:ind w:firstLine="480" w:firstLineChars="200"/>
        <w:contextualSpacing/>
        <w:rPr>
          <w:rFonts w:hint="eastAsia"/>
          <w:bCs/>
          <w:color w:val="FF0000"/>
          <w:kern w:val="0"/>
          <w:sz w:val="24"/>
        </w:rPr>
      </w:pPr>
    </w:p>
    <w:p>
      <w:pPr>
        <w:pStyle w:val="2"/>
        <w:rPr>
          <w:rFonts w:hint="eastAsia"/>
          <w:bCs/>
          <w:color w:val="FF0000"/>
          <w:kern w:val="0"/>
          <w:sz w:val="24"/>
        </w:rPr>
      </w:pPr>
    </w:p>
    <w:p>
      <w:pPr>
        <w:rPr>
          <w:rFonts w:hint="eastAsia"/>
          <w:bCs/>
          <w:color w:val="FF0000"/>
          <w:kern w:val="0"/>
          <w:sz w:val="24"/>
        </w:rPr>
      </w:pPr>
    </w:p>
    <w:p>
      <w:pPr>
        <w:pStyle w:val="2"/>
        <w:rPr>
          <w:rFonts w:hint="eastAsia"/>
          <w:bCs/>
          <w:color w:val="FF0000"/>
          <w:kern w:val="0"/>
          <w:sz w:val="24"/>
        </w:rPr>
      </w:pPr>
    </w:p>
    <w:p>
      <w:pPr>
        <w:rPr>
          <w:rFonts w:hint="eastAsia"/>
          <w:bCs/>
          <w:color w:val="FF0000"/>
          <w:kern w:val="0"/>
          <w:sz w:val="24"/>
        </w:rPr>
      </w:pPr>
    </w:p>
    <w:p>
      <w:pPr>
        <w:pStyle w:val="2"/>
        <w:rPr>
          <w:rFonts w:hint="eastAsia"/>
          <w:bCs/>
          <w:color w:val="FF0000"/>
          <w:kern w:val="0"/>
          <w:sz w:val="24"/>
        </w:rPr>
      </w:pPr>
    </w:p>
    <w:p>
      <w:pPr>
        <w:rPr>
          <w:rFonts w:hint="eastAsia"/>
          <w:bCs/>
          <w:color w:val="FF0000"/>
          <w:kern w:val="0"/>
          <w:sz w:val="24"/>
        </w:rPr>
      </w:pPr>
    </w:p>
    <w:p>
      <w:pPr>
        <w:pStyle w:val="2"/>
        <w:rPr>
          <w:rFonts w:hint="eastAsia"/>
        </w:rPr>
      </w:pPr>
    </w:p>
    <w:p>
      <w:pPr>
        <w:spacing w:line="360" w:lineRule="auto"/>
        <w:ind w:firstLine="480" w:firstLineChars="200"/>
        <w:contextualSpacing/>
        <w:rPr>
          <w:bCs/>
          <w:color w:val="auto"/>
          <w:kern w:val="0"/>
          <w:sz w:val="24"/>
        </w:rPr>
      </w:pPr>
      <w:r>
        <w:rPr>
          <w:rFonts w:hint="eastAsia"/>
          <w:bCs/>
          <w:color w:val="auto"/>
          <w:kern w:val="0"/>
          <w:sz w:val="24"/>
        </w:rPr>
        <w:t>（</w:t>
      </w:r>
      <w:r>
        <w:rPr>
          <w:rFonts w:hint="eastAsia"/>
          <w:bCs/>
          <w:color w:val="auto"/>
          <w:kern w:val="0"/>
          <w:sz w:val="24"/>
          <w:lang w:val="en-US" w:eastAsia="zh-CN"/>
        </w:rPr>
        <w:t>6</w:t>
      </w:r>
      <w:r>
        <w:rPr>
          <w:rFonts w:hint="eastAsia"/>
          <w:bCs/>
          <w:color w:val="auto"/>
          <w:kern w:val="0"/>
          <w:sz w:val="24"/>
        </w:rPr>
        <w:t>）非正常工况</w:t>
      </w:r>
    </w:p>
    <w:p>
      <w:pPr>
        <w:spacing w:line="360" w:lineRule="auto"/>
        <w:ind w:firstLine="480" w:firstLineChars="200"/>
        <w:contextualSpacing/>
        <w:rPr>
          <w:color w:val="auto"/>
          <w:kern w:val="0"/>
          <w:sz w:val="24"/>
        </w:rPr>
      </w:pPr>
      <w:r>
        <w:rPr>
          <w:color w:val="auto"/>
          <w:kern w:val="0"/>
          <w:sz w:val="24"/>
        </w:rPr>
        <w:t>本项目非正常工况：除臭装置故障、管理不当，会造成净化效率下降，本项目按</w:t>
      </w:r>
      <w:r>
        <w:rPr>
          <w:rFonts w:hint="eastAsia"/>
          <w:color w:val="auto"/>
          <w:kern w:val="0"/>
          <w:sz w:val="24"/>
        </w:rPr>
        <w:t>活性炭装置</w:t>
      </w:r>
      <w:r>
        <w:rPr>
          <w:color w:val="auto"/>
          <w:kern w:val="0"/>
          <w:sz w:val="24"/>
        </w:rPr>
        <w:t>处理效率降为</w:t>
      </w:r>
      <w:r>
        <w:rPr>
          <w:rFonts w:hint="eastAsia"/>
          <w:color w:val="auto"/>
          <w:kern w:val="0"/>
          <w:sz w:val="24"/>
        </w:rPr>
        <w:t>30</w:t>
      </w:r>
      <w:r>
        <w:rPr>
          <w:color w:val="auto"/>
          <w:kern w:val="0"/>
          <w:sz w:val="24"/>
        </w:rPr>
        <w:t>%</w:t>
      </w:r>
      <w:r>
        <w:rPr>
          <w:rFonts w:hint="eastAsia"/>
          <w:color w:val="auto"/>
          <w:kern w:val="0"/>
          <w:sz w:val="24"/>
          <w:lang w:eastAsia="zh-CN"/>
        </w:rPr>
        <w:t>，</w:t>
      </w:r>
      <w:r>
        <w:rPr>
          <w:rFonts w:hint="eastAsia"/>
          <w:color w:val="auto"/>
          <w:kern w:val="0"/>
          <w:sz w:val="24"/>
          <w:lang w:val="en-US" w:eastAsia="zh-CN"/>
        </w:rPr>
        <w:t>布袋破损少部分，除尘效率下降到85%</w:t>
      </w:r>
      <w:r>
        <w:rPr>
          <w:color w:val="auto"/>
          <w:kern w:val="0"/>
          <w:sz w:val="24"/>
        </w:rPr>
        <w:t>考虑。</w:t>
      </w:r>
    </w:p>
    <w:p>
      <w:pPr>
        <w:pStyle w:val="74"/>
        <w:rPr>
          <w:rFonts w:ascii="Times New Roman" w:hAnsi="Times New Roman" w:eastAsia="宋体" w:cs="Times New Roman"/>
          <w:color w:val="auto"/>
        </w:rPr>
      </w:pPr>
      <w:r>
        <w:rPr>
          <w:rFonts w:ascii="Times New Roman" w:hAnsi="Times New Roman" w:eastAsia="宋体" w:cs="Times New Roman"/>
          <w:color w:val="auto"/>
        </w:rPr>
        <w:t>本项目废气源强一览表见表3-3-</w:t>
      </w:r>
      <w:r>
        <w:rPr>
          <w:rFonts w:hint="eastAsia" w:ascii="Times New Roman" w:hAnsi="Times New Roman" w:eastAsia="宋体" w:cs="Times New Roman"/>
          <w:color w:val="auto"/>
        </w:rPr>
        <w:t>11</w:t>
      </w:r>
      <w:r>
        <w:rPr>
          <w:rFonts w:ascii="Times New Roman" w:hAnsi="Times New Roman" w:eastAsia="宋体" w:cs="Times New Roman"/>
          <w:color w:val="auto"/>
        </w:rPr>
        <w:t>。</w:t>
      </w:r>
    </w:p>
    <w:p>
      <w:pPr>
        <w:spacing w:line="360" w:lineRule="auto"/>
        <w:ind w:left="1134" w:leftChars="203" w:hanging="708" w:hangingChars="295"/>
        <w:jc w:val="left"/>
        <w:textAlignment w:val="baseline"/>
        <w:rPr>
          <w:color w:val="FF0000"/>
          <w:sz w:val="24"/>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7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ascii="Times New Roman" w:hAnsi="Times New Roman" w:cs="Times New Roman"/>
          <w:color w:val="auto"/>
          <w:sz w:val="24"/>
          <w:szCs w:val="24"/>
        </w:rPr>
      </w:pPr>
      <w:r>
        <w:rPr>
          <w:rFonts w:ascii="Times New Roman" w:hAnsi="Times New Roman" w:cs="Times New Roman"/>
          <w:color w:val="auto"/>
          <w:sz w:val="24"/>
          <w:szCs w:val="24"/>
        </w:rPr>
        <w:t>表3-3-</w:t>
      </w:r>
      <w:r>
        <w:rPr>
          <w:rFonts w:hint="eastAsia" w:ascii="Times New Roman" w:hAnsi="Times New Roman" w:cs="Times New Roman"/>
          <w:color w:val="auto"/>
          <w:sz w:val="24"/>
          <w:szCs w:val="24"/>
        </w:rPr>
        <w:t>11</w:t>
      </w:r>
      <w:r>
        <w:rPr>
          <w:rFonts w:hint="eastAsia" w:ascii="Times New Roman" w:hAnsi="Times New Roman" w:cs="Times New Roman"/>
          <w:color w:val="auto"/>
          <w:sz w:val="24"/>
          <w:szCs w:val="24"/>
          <w:lang w:val="en-US" w:eastAsia="zh-CN"/>
        </w:rPr>
        <w:t xml:space="preserve"> </w:t>
      </w:r>
      <w:r>
        <w:rPr>
          <w:rFonts w:ascii="Times New Roman" w:hAnsi="Times New Roman" w:cs="Times New Roman"/>
          <w:color w:val="auto"/>
          <w:sz w:val="24"/>
          <w:szCs w:val="24"/>
        </w:rPr>
        <w:t>废气产生及排放情况一览表</w:t>
      </w:r>
    </w:p>
    <w:tbl>
      <w:tblPr>
        <w:tblStyle w:val="46"/>
        <w:tblW w:w="496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4"/>
        <w:gridCol w:w="993"/>
        <w:gridCol w:w="706"/>
        <w:gridCol w:w="852"/>
        <w:gridCol w:w="714"/>
        <w:gridCol w:w="852"/>
        <w:gridCol w:w="1128"/>
        <w:gridCol w:w="1010"/>
        <w:gridCol w:w="1544"/>
        <w:gridCol w:w="1133"/>
        <w:gridCol w:w="709"/>
        <w:gridCol w:w="993"/>
        <w:gridCol w:w="990"/>
        <w:gridCol w:w="1018"/>
        <w:gridCol w:w="7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9"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工序</w:t>
            </w:r>
          </w:p>
        </w:tc>
        <w:tc>
          <w:tcPr>
            <w:tcW w:w="353"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装置</w:t>
            </w:r>
          </w:p>
        </w:tc>
        <w:tc>
          <w:tcPr>
            <w:tcW w:w="251"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污染源</w:t>
            </w:r>
          </w:p>
        </w:tc>
        <w:tc>
          <w:tcPr>
            <w:tcW w:w="302"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污染物</w:t>
            </w:r>
          </w:p>
        </w:tc>
        <w:tc>
          <w:tcPr>
            <w:tcW w:w="1317" w:type="pct"/>
            <w:gridSpan w:val="4"/>
            <w:shd w:val="clear" w:color="auto" w:fill="auto"/>
            <w:vAlign w:val="center"/>
          </w:tcPr>
          <w:p>
            <w:pPr>
              <w:pStyle w:val="84"/>
              <w:rPr>
                <w:rFonts w:hAnsi="Times New Roman"/>
                <w:snapToGrid w:val="0"/>
                <w:color w:val="auto"/>
                <w:szCs w:val="22"/>
              </w:rPr>
            </w:pPr>
            <w:r>
              <w:rPr>
                <w:rFonts w:hAnsi="Times New Roman"/>
                <w:snapToGrid w:val="0"/>
                <w:color w:val="auto"/>
                <w:szCs w:val="22"/>
              </w:rPr>
              <w:t>污染物产生</w:t>
            </w:r>
          </w:p>
        </w:tc>
        <w:tc>
          <w:tcPr>
            <w:tcW w:w="951" w:type="pct"/>
            <w:gridSpan w:val="2"/>
            <w:shd w:val="clear" w:color="auto" w:fill="auto"/>
            <w:vAlign w:val="center"/>
          </w:tcPr>
          <w:p>
            <w:pPr>
              <w:pStyle w:val="84"/>
              <w:rPr>
                <w:rFonts w:hAnsi="Times New Roman"/>
                <w:snapToGrid w:val="0"/>
                <w:color w:val="auto"/>
                <w:szCs w:val="22"/>
              </w:rPr>
            </w:pPr>
            <w:r>
              <w:rPr>
                <w:rFonts w:hAnsi="Times New Roman"/>
                <w:snapToGrid w:val="0"/>
                <w:color w:val="auto"/>
                <w:szCs w:val="22"/>
              </w:rPr>
              <w:t>治理措施</w:t>
            </w:r>
          </w:p>
        </w:tc>
        <w:tc>
          <w:tcPr>
            <w:tcW w:w="1319" w:type="pct"/>
            <w:gridSpan w:val="4"/>
            <w:shd w:val="clear" w:color="auto" w:fill="auto"/>
            <w:vAlign w:val="center"/>
          </w:tcPr>
          <w:p>
            <w:pPr>
              <w:pStyle w:val="84"/>
              <w:rPr>
                <w:rFonts w:hAnsi="Times New Roman"/>
                <w:snapToGrid w:val="0"/>
                <w:color w:val="auto"/>
                <w:szCs w:val="22"/>
              </w:rPr>
            </w:pPr>
            <w:r>
              <w:rPr>
                <w:rFonts w:hAnsi="Times New Roman"/>
                <w:snapToGrid w:val="0"/>
                <w:color w:val="auto"/>
                <w:szCs w:val="22"/>
              </w:rPr>
              <w:t>污染物排放</w:t>
            </w:r>
          </w:p>
        </w:tc>
        <w:tc>
          <w:tcPr>
            <w:tcW w:w="264"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排放时间（h）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6" w:hRule="atLeast"/>
        </w:trPr>
        <w:tc>
          <w:tcPr>
            <w:tcW w:w="239" w:type="pct"/>
            <w:vMerge w:val="continue"/>
            <w:shd w:val="clear" w:color="auto" w:fill="auto"/>
            <w:vAlign w:val="center"/>
          </w:tcPr>
          <w:p>
            <w:pPr>
              <w:pStyle w:val="84"/>
              <w:rPr>
                <w:rFonts w:hAnsi="Times New Roman"/>
                <w:snapToGrid w:val="0"/>
                <w:color w:val="auto"/>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251" w:type="pct"/>
            <w:vMerge w:val="continue"/>
            <w:shd w:val="clear" w:color="auto" w:fill="auto"/>
            <w:vAlign w:val="center"/>
          </w:tcPr>
          <w:p>
            <w:pPr>
              <w:pStyle w:val="84"/>
              <w:rPr>
                <w:rFonts w:hAnsi="Times New Roman"/>
                <w:snapToGrid w:val="0"/>
                <w:color w:val="auto"/>
                <w:szCs w:val="22"/>
              </w:rPr>
            </w:pPr>
          </w:p>
        </w:tc>
        <w:tc>
          <w:tcPr>
            <w:tcW w:w="302" w:type="pct"/>
            <w:vMerge w:val="continue"/>
            <w:shd w:val="clear" w:color="auto" w:fill="auto"/>
            <w:vAlign w:val="center"/>
          </w:tcPr>
          <w:p>
            <w:pPr>
              <w:pStyle w:val="84"/>
              <w:rPr>
                <w:rFonts w:hAnsi="Times New Roman"/>
                <w:snapToGrid w:val="0"/>
                <w:color w:val="auto"/>
                <w:szCs w:val="22"/>
              </w:rPr>
            </w:pPr>
          </w:p>
        </w:tc>
        <w:tc>
          <w:tcPr>
            <w:tcW w:w="253" w:type="pct"/>
            <w:shd w:val="clear" w:color="auto" w:fill="auto"/>
            <w:vAlign w:val="center"/>
          </w:tcPr>
          <w:p>
            <w:pPr>
              <w:pStyle w:val="84"/>
              <w:rPr>
                <w:rFonts w:hAnsi="Times New Roman"/>
                <w:snapToGrid w:val="0"/>
                <w:color w:val="auto"/>
                <w:szCs w:val="22"/>
              </w:rPr>
            </w:pPr>
            <w:r>
              <w:rPr>
                <w:rFonts w:hAnsi="Times New Roman"/>
                <w:snapToGrid w:val="0"/>
                <w:color w:val="auto"/>
                <w:szCs w:val="22"/>
              </w:rPr>
              <w:t>核算方法</w:t>
            </w:r>
          </w:p>
        </w:tc>
        <w:tc>
          <w:tcPr>
            <w:tcW w:w="3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废气产生量(m</w:t>
            </w:r>
            <w:r>
              <w:rPr>
                <w:rFonts w:hAnsi="Times New Roman"/>
                <w:snapToGrid w:val="0"/>
                <w:color w:val="auto"/>
                <w:szCs w:val="22"/>
                <w:vertAlign w:val="superscript"/>
              </w:rPr>
              <w:t>3</w:t>
            </w:r>
            <w:r>
              <w:rPr>
                <w:rFonts w:hAnsi="Times New Roman"/>
                <w:snapToGrid w:val="0"/>
                <w:color w:val="auto"/>
                <w:szCs w:val="22"/>
              </w:rPr>
              <w:t>/h)</w:t>
            </w:r>
          </w:p>
        </w:tc>
        <w:tc>
          <w:tcPr>
            <w:tcW w:w="401" w:type="pct"/>
            <w:shd w:val="clear" w:color="auto" w:fill="auto"/>
            <w:vAlign w:val="center"/>
          </w:tcPr>
          <w:p>
            <w:pPr>
              <w:pStyle w:val="84"/>
              <w:rPr>
                <w:rFonts w:hAnsi="Times New Roman"/>
                <w:snapToGrid w:val="0"/>
                <w:color w:val="auto"/>
                <w:szCs w:val="22"/>
              </w:rPr>
            </w:pPr>
            <w:r>
              <w:rPr>
                <w:rFonts w:hAnsi="Times New Roman"/>
                <w:snapToGrid w:val="0"/>
                <w:color w:val="auto"/>
                <w:szCs w:val="22"/>
              </w:rPr>
              <w:t>产生浓度(mg/m</w:t>
            </w:r>
            <w:r>
              <w:rPr>
                <w:rFonts w:hAnsi="Times New Roman"/>
                <w:snapToGrid w:val="0"/>
                <w:color w:val="auto"/>
                <w:szCs w:val="22"/>
                <w:vertAlign w:val="superscript"/>
              </w:rPr>
              <w:t>3</w:t>
            </w:r>
            <w:r>
              <w:rPr>
                <w:rFonts w:hAnsi="Times New Roman"/>
                <w:snapToGrid w:val="0"/>
                <w:color w:val="auto"/>
                <w:szCs w:val="22"/>
              </w:rPr>
              <w:t>)</w:t>
            </w:r>
          </w:p>
        </w:tc>
        <w:tc>
          <w:tcPr>
            <w:tcW w:w="359" w:type="pct"/>
            <w:shd w:val="clear" w:color="auto" w:fill="auto"/>
            <w:vAlign w:val="center"/>
          </w:tcPr>
          <w:p>
            <w:pPr>
              <w:pStyle w:val="84"/>
              <w:rPr>
                <w:rFonts w:hAnsi="Times New Roman"/>
                <w:snapToGrid w:val="0"/>
                <w:color w:val="auto"/>
                <w:szCs w:val="22"/>
              </w:rPr>
            </w:pPr>
            <w:r>
              <w:rPr>
                <w:rFonts w:hAnsi="Times New Roman"/>
                <w:snapToGrid w:val="0"/>
                <w:color w:val="auto"/>
                <w:szCs w:val="22"/>
              </w:rPr>
              <w:t>产生量（kg/h）</w:t>
            </w:r>
          </w:p>
        </w:tc>
        <w:tc>
          <w:tcPr>
            <w:tcW w:w="549" w:type="pct"/>
            <w:tcBorders>
              <w:bottom w:val="single" w:color="auto" w:sz="4" w:space="0"/>
            </w:tcBorders>
            <w:shd w:val="clear" w:color="auto" w:fill="auto"/>
            <w:vAlign w:val="center"/>
          </w:tcPr>
          <w:p>
            <w:pPr>
              <w:pStyle w:val="84"/>
              <w:rPr>
                <w:rFonts w:hAnsi="Times New Roman"/>
                <w:snapToGrid w:val="0"/>
                <w:color w:val="auto"/>
                <w:szCs w:val="22"/>
              </w:rPr>
            </w:pPr>
            <w:r>
              <w:rPr>
                <w:rFonts w:hAnsi="Times New Roman"/>
                <w:snapToGrid w:val="0"/>
                <w:color w:val="auto"/>
                <w:szCs w:val="22"/>
              </w:rPr>
              <w:t>工艺</w:t>
            </w:r>
          </w:p>
        </w:tc>
        <w:tc>
          <w:tcPr>
            <w:tcW w:w="402" w:type="pct"/>
            <w:tcBorders>
              <w:bottom w:val="single" w:color="auto" w:sz="4" w:space="0"/>
            </w:tcBorders>
            <w:shd w:val="clear" w:color="auto" w:fill="auto"/>
            <w:vAlign w:val="center"/>
          </w:tcPr>
          <w:p>
            <w:pPr>
              <w:pStyle w:val="84"/>
              <w:rPr>
                <w:rFonts w:hAnsi="Times New Roman"/>
                <w:snapToGrid w:val="0"/>
                <w:color w:val="auto"/>
                <w:szCs w:val="22"/>
              </w:rPr>
            </w:pPr>
            <w:r>
              <w:rPr>
                <w:rFonts w:hAnsi="Times New Roman"/>
                <w:snapToGrid w:val="0"/>
                <w:color w:val="auto"/>
                <w:szCs w:val="22"/>
              </w:rPr>
              <w:t>效率%</w:t>
            </w:r>
          </w:p>
        </w:tc>
        <w:tc>
          <w:tcPr>
            <w:tcW w:w="252" w:type="pct"/>
            <w:shd w:val="clear" w:color="auto" w:fill="auto"/>
            <w:vAlign w:val="center"/>
          </w:tcPr>
          <w:p>
            <w:pPr>
              <w:pStyle w:val="84"/>
              <w:rPr>
                <w:rFonts w:hAnsi="Times New Roman"/>
                <w:snapToGrid w:val="0"/>
                <w:color w:val="auto"/>
                <w:szCs w:val="22"/>
              </w:rPr>
            </w:pPr>
            <w:r>
              <w:rPr>
                <w:rFonts w:hAnsi="Times New Roman"/>
                <w:snapToGrid w:val="0"/>
                <w:color w:val="auto"/>
                <w:szCs w:val="22"/>
              </w:rPr>
              <w:t>核算方法</w:t>
            </w:r>
          </w:p>
        </w:tc>
        <w:tc>
          <w:tcPr>
            <w:tcW w:w="353" w:type="pct"/>
            <w:shd w:val="clear" w:color="auto" w:fill="auto"/>
            <w:vAlign w:val="center"/>
          </w:tcPr>
          <w:p>
            <w:pPr>
              <w:pStyle w:val="84"/>
              <w:rPr>
                <w:rFonts w:hAnsi="Times New Roman"/>
                <w:snapToGrid w:val="0"/>
                <w:color w:val="auto"/>
                <w:szCs w:val="22"/>
              </w:rPr>
            </w:pPr>
            <w:r>
              <w:rPr>
                <w:rFonts w:hAnsi="Times New Roman"/>
                <w:snapToGrid w:val="0"/>
                <w:color w:val="auto"/>
                <w:szCs w:val="22"/>
              </w:rPr>
              <w:t>废气排放量(m</w:t>
            </w:r>
            <w:r>
              <w:rPr>
                <w:rFonts w:hAnsi="Times New Roman"/>
                <w:snapToGrid w:val="0"/>
                <w:color w:val="auto"/>
                <w:szCs w:val="22"/>
                <w:vertAlign w:val="superscript"/>
              </w:rPr>
              <w:t>3</w:t>
            </w:r>
            <w:r>
              <w:rPr>
                <w:rFonts w:hAnsi="Times New Roman"/>
                <w:snapToGrid w:val="0"/>
                <w:color w:val="auto"/>
                <w:szCs w:val="22"/>
              </w:rPr>
              <w:t>/h)</w:t>
            </w:r>
          </w:p>
        </w:tc>
        <w:tc>
          <w:tcPr>
            <w:tcW w:w="352" w:type="pct"/>
            <w:shd w:val="clear" w:color="auto" w:fill="auto"/>
            <w:vAlign w:val="center"/>
          </w:tcPr>
          <w:p>
            <w:pPr>
              <w:pStyle w:val="84"/>
              <w:rPr>
                <w:rFonts w:hAnsi="Times New Roman"/>
                <w:snapToGrid w:val="0"/>
                <w:color w:val="auto"/>
                <w:szCs w:val="22"/>
              </w:rPr>
            </w:pPr>
            <w:r>
              <w:rPr>
                <w:rFonts w:hAnsi="Times New Roman"/>
                <w:snapToGrid w:val="0"/>
                <w:color w:val="auto"/>
                <w:szCs w:val="22"/>
              </w:rPr>
              <w:t>排放浓度(mg/m</w:t>
            </w:r>
            <w:r>
              <w:rPr>
                <w:rFonts w:hAnsi="Times New Roman"/>
                <w:snapToGrid w:val="0"/>
                <w:color w:val="auto"/>
                <w:szCs w:val="22"/>
                <w:vertAlign w:val="superscript"/>
              </w:rPr>
              <w:t>3</w:t>
            </w:r>
            <w:r>
              <w:rPr>
                <w:rFonts w:hAnsi="Times New Roman"/>
                <w:snapToGrid w:val="0"/>
                <w:color w:val="auto"/>
                <w:szCs w:val="22"/>
              </w:rPr>
              <w:t>)</w:t>
            </w:r>
          </w:p>
        </w:tc>
        <w:tc>
          <w:tcPr>
            <w:tcW w:w="361" w:type="pct"/>
            <w:shd w:val="clear" w:color="auto" w:fill="auto"/>
            <w:vAlign w:val="center"/>
          </w:tcPr>
          <w:p>
            <w:pPr>
              <w:pStyle w:val="84"/>
              <w:rPr>
                <w:rFonts w:hAnsi="Times New Roman"/>
                <w:snapToGrid w:val="0"/>
                <w:color w:val="auto"/>
                <w:szCs w:val="22"/>
              </w:rPr>
            </w:pPr>
            <w:r>
              <w:rPr>
                <w:rFonts w:hAnsi="Times New Roman"/>
                <w:snapToGrid w:val="0"/>
                <w:color w:val="auto"/>
                <w:szCs w:val="22"/>
              </w:rPr>
              <w:t>排放量（kg/h）</w:t>
            </w:r>
          </w:p>
        </w:tc>
        <w:tc>
          <w:tcPr>
            <w:tcW w:w="264" w:type="pct"/>
            <w:vMerge w:val="continue"/>
            <w:shd w:val="clear" w:color="auto" w:fill="auto"/>
            <w:vAlign w:val="center"/>
          </w:tcPr>
          <w:p>
            <w:pPr>
              <w:pStyle w:val="84"/>
              <w:rPr>
                <w:rFonts w:hAnsi="Times New Roman"/>
                <w:snapToGrid w:val="0"/>
                <w:color w:val="auto"/>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7" w:hRule="atLeast"/>
        </w:trPr>
        <w:tc>
          <w:tcPr>
            <w:tcW w:w="239"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待宰</w:t>
            </w:r>
          </w:p>
        </w:tc>
        <w:tc>
          <w:tcPr>
            <w:tcW w:w="353" w:type="pct"/>
            <w:vMerge w:val="restart"/>
            <w:shd w:val="clear" w:color="auto" w:fill="auto"/>
            <w:vAlign w:val="center"/>
          </w:tcPr>
          <w:p>
            <w:pPr>
              <w:pStyle w:val="84"/>
              <w:rPr>
                <w:rFonts w:hAnsi="Times New Roman"/>
                <w:snapToGrid w:val="0"/>
                <w:color w:val="auto"/>
                <w:szCs w:val="22"/>
              </w:rPr>
            </w:pPr>
            <w:r>
              <w:rPr>
                <w:rFonts w:hint="eastAsia" w:hAnsi="Times New Roman"/>
                <w:snapToGrid w:val="0"/>
                <w:color w:val="auto"/>
                <w:szCs w:val="22"/>
              </w:rPr>
              <w:t>待宰间</w:t>
            </w:r>
          </w:p>
        </w:tc>
        <w:tc>
          <w:tcPr>
            <w:tcW w:w="251"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排气筒</w:t>
            </w:r>
          </w:p>
        </w:tc>
        <w:tc>
          <w:tcPr>
            <w:tcW w:w="3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NH</w:t>
            </w:r>
            <w:r>
              <w:rPr>
                <w:rFonts w:hAnsi="Times New Roman"/>
                <w:snapToGrid w:val="0"/>
                <w:color w:val="auto"/>
                <w:szCs w:val="22"/>
                <w:vertAlign w:val="subscript"/>
              </w:rPr>
              <w:t>3</w:t>
            </w:r>
          </w:p>
        </w:tc>
        <w:tc>
          <w:tcPr>
            <w:tcW w:w="253"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产污系数法</w:t>
            </w:r>
          </w:p>
        </w:tc>
        <w:tc>
          <w:tcPr>
            <w:tcW w:w="302" w:type="pct"/>
            <w:vMerge w:val="restart"/>
            <w:shd w:val="clear" w:color="auto" w:fill="auto"/>
            <w:vAlign w:val="center"/>
          </w:tcPr>
          <w:p>
            <w:pPr>
              <w:pStyle w:val="84"/>
              <w:rPr>
                <w:rFonts w:hAnsi="Times New Roman"/>
                <w:snapToGrid w:val="0"/>
                <w:color w:val="auto"/>
                <w:szCs w:val="22"/>
              </w:rPr>
            </w:pPr>
            <w:r>
              <w:rPr>
                <w:rFonts w:hint="eastAsia" w:hAnsi="Times New Roman"/>
                <w:snapToGrid w:val="0"/>
                <w:color w:val="auto"/>
                <w:szCs w:val="22"/>
              </w:rPr>
              <w:t>5000</w:t>
            </w:r>
          </w:p>
        </w:tc>
        <w:tc>
          <w:tcPr>
            <w:tcW w:w="401" w:type="pct"/>
            <w:shd w:val="clear" w:color="auto" w:fill="auto"/>
            <w:vAlign w:val="center"/>
          </w:tcPr>
          <w:p>
            <w:pPr>
              <w:pStyle w:val="84"/>
              <w:rPr>
                <w:rFonts w:hint="default" w:hAnsi="Times New Roman" w:eastAsia="宋体"/>
                <w:snapToGrid w:val="0"/>
                <w:color w:val="auto"/>
                <w:szCs w:val="22"/>
                <w:lang w:val="en-US" w:eastAsia="zh-CN"/>
              </w:rPr>
            </w:pPr>
            <w:r>
              <w:rPr>
                <w:rFonts w:hint="eastAsia" w:hAnsi="Times New Roman"/>
                <w:snapToGrid w:val="0"/>
                <w:color w:val="auto"/>
                <w:szCs w:val="22"/>
                <w:lang w:val="en-US" w:eastAsia="zh-CN"/>
              </w:rPr>
              <w:t>0.911</w:t>
            </w:r>
          </w:p>
        </w:tc>
        <w:tc>
          <w:tcPr>
            <w:tcW w:w="359" w:type="pct"/>
            <w:shd w:val="clear" w:color="auto" w:fill="auto"/>
            <w:vAlign w:val="center"/>
          </w:tcPr>
          <w:p>
            <w:pPr>
              <w:pStyle w:val="84"/>
              <w:adjustRightInd w:val="0"/>
              <w:snapToGrid w:val="0"/>
              <w:rPr>
                <w:rFonts w:hint="default" w:hAnsi="Times New Roman" w:eastAsia="宋体"/>
                <w:snapToGrid w:val="0"/>
                <w:color w:val="auto"/>
                <w:szCs w:val="24"/>
                <w:lang w:val="en-US" w:eastAsia="zh-CN"/>
              </w:rPr>
            </w:pPr>
            <w:r>
              <w:rPr>
                <w:rFonts w:hint="eastAsia" w:hAnsi="Times New Roman"/>
                <w:snapToGrid w:val="0"/>
                <w:color w:val="auto"/>
                <w:szCs w:val="24"/>
                <w:lang w:val="en-US" w:eastAsia="zh-CN"/>
              </w:rPr>
              <w:t>0.0045</w:t>
            </w:r>
          </w:p>
        </w:tc>
        <w:tc>
          <w:tcPr>
            <w:tcW w:w="549"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待宰</w:t>
            </w:r>
            <w:r>
              <w:rPr>
                <w:rFonts w:hint="eastAsia" w:hAnsi="Times New Roman"/>
                <w:snapToGrid w:val="0"/>
                <w:color w:val="auto"/>
                <w:szCs w:val="22"/>
              </w:rPr>
              <w:t>间</w:t>
            </w:r>
            <w:r>
              <w:rPr>
                <w:rFonts w:hAnsi="Times New Roman"/>
                <w:snapToGrid w:val="0"/>
                <w:color w:val="auto"/>
                <w:szCs w:val="22"/>
              </w:rPr>
              <w:t>及时清扫，并投加或喷洒除臭剂+</w:t>
            </w:r>
            <w:r>
              <w:rPr>
                <w:rFonts w:hint="eastAsia" w:hAnsi="Times New Roman"/>
                <w:snapToGrid w:val="0"/>
                <w:color w:val="auto"/>
                <w:szCs w:val="22"/>
              </w:rPr>
              <w:t>负压收集+</w:t>
            </w:r>
            <w:r>
              <w:rPr>
                <w:rFonts w:hAnsi="Times New Roman"/>
                <w:snapToGrid w:val="0"/>
                <w:color w:val="auto"/>
                <w:szCs w:val="22"/>
              </w:rPr>
              <w:t>活性炭吸附装置净化处理</w:t>
            </w:r>
          </w:p>
        </w:tc>
        <w:tc>
          <w:tcPr>
            <w:tcW w:w="402" w:type="pct"/>
            <w:vMerge w:val="restart"/>
            <w:shd w:val="clear" w:color="auto" w:fill="auto"/>
            <w:vAlign w:val="center"/>
          </w:tcPr>
          <w:p>
            <w:pPr>
              <w:pStyle w:val="84"/>
              <w:rPr>
                <w:rFonts w:hAnsi="Times New Roman"/>
                <w:snapToGrid w:val="0"/>
                <w:color w:val="auto"/>
                <w:szCs w:val="22"/>
              </w:rPr>
            </w:pPr>
            <w:r>
              <w:rPr>
                <w:rFonts w:hint="eastAsia" w:hAnsi="Times New Roman"/>
                <w:bCs/>
                <w:snapToGrid w:val="0"/>
                <w:color w:val="auto"/>
                <w:szCs w:val="22"/>
              </w:rPr>
              <w:t>除臭剂效率50+活性炭效率70</w:t>
            </w:r>
          </w:p>
        </w:tc>
        <w:tc>
          <w:tcPr>
            <w:tcW w:w="252" w:type="pct"/>
            <w:vMerge w:val="restart"/>
            <w:shd w:val="clear" w:color="auto" w:fill="auto"/>
            <w:vAlign w:val="center"/>
          </w:tcPr>
          <w:p>
            <w:pPr>
              <w:pStyle w:val="84"/>
              <w:rPr>
                <w:rFonts w:hAnsi="Times New Roman"/>
                <w:snapToGrid w:val="0"/>
                <w:color w:val="auto"/>
                <w:szCs w:val="22"/>
              </w:rPr>
            </w:pPr>
            <w:r>
              <w:rPr>
                <w:rFonts w:hint="eastAsia" w:hAnsi="Times New Roman"/>
                <w:snapToGrid w:val="0"/>
                <w:color w:val="auto"/>
                <w:szCs w:val="22"/>
              </w:rPr>
              <w:t>物料衡算法</w:t>
            </w:r>
          </w:p>
        </w:tc>
        <w:tc>
          <w:tcPr>
            <w:tcW w:w="353" w:type="pct"/>
            <w:vMerge w:val="restart"/>
            <w:shd w:val="clear" w:color="auto" w:fill="auto"/>
            <w:vAlign w:val="center"/>
          </w:tcPr>
          <w:p>
            <w:pPr>
              <w:pStyle w:val="84"/>
              <w:rPr>
                <w:rFonts w:hAnsi="Times New Roman"/>
                <w:snapToGrid w:val="0"/>
                <w:color w:val="auto"/>
                <w:szCs w:val="22"/>
              </w:rPr>
            </w:pPr>
            <w:r>
              <w:rPr>
                <w:rFonts w:hint="eastAsia" w:hAnsi="Times New Roman"/>
                <w:snapToGrid w:val="0"/>
                <w:color w:val="auto"/>
                <w:szCs w:val="22"/>
              </w:rPr>
              <w:t>5000</w:t>
            </w:r>
          </w:p>
        </w:tc>
        <w:tc>
          <w:tcPr>
            <w:tcW w:w="352" w:type="pct"/>
            <w:shd w:val="clear" w:color="auto" w:fill="auto"/>
            <w:vAlign w:val="center"/>
          </w:tcPr>
          <w:p>
            <w:pPr>
              <w:pStyle w:val="84"/>
              <w:rPr>
                <w:rFonts w:hint="default" w:hAnsi="Times New Roman" w:eastAsia="宋体"/>
                <w:snapToGrid w:val="0"/>
                <w:color w:val="auto"/>
                <w:szCs w:val="22"/>
                <w:lang w:val="en-US" w:eastAsia="zh-CN"/>
              </w:rPr>
            </w:pPr>
            <w:r>
              <w:rPr>
                <w:rFonts w:hint="eastAsia" w:hAnsi="Times New Roman"/>
                <w:snapToGrid w:val="0"/>
                <w:color w:val="auto"/>
                <w:szCs w:val="22"/>
                <w:lang w:val="en-US" w:eastAsia="zh-CN"/>
              </w:rPr>
              <w:t>0.136</w:t>
            </w:r>
          </w:p>
        </w:tc>
        <w:tc>
          <w:tcPr>
            <w:tcW w:w="361" w:type="pct"/>
            <w:shd w:val="clear" w:color="auto" w:fill="auto"/>
            <w:vAlign w:val="center"/>
          </w:tcPr>
          <w:p>
            <w:pPr>
              <w:pStyle w:val="84"/>
              <w:adjustRightInd w:val="0"/>
              <w:snapToGrid w:val="0"/>
              <w:rPr>
                <w:rFonts w:hint="default" w:hAnsi="Times New Roman" w:eastAsia="宋体"/>
                <w:snapToGrid w:val="0"/>
                <w:color w:val="auto"/>
                <w:szCs w:val="24"/>
                <w:lang w:val="en-US" w:eastAsia="zh-CN"/>
              </w:rPr>
            </w:pPr>
            <w:r>
              <w:rPr>
                <w:rFonts w:hint="eastAsia" w:hAnsi="Times New Roman"/>
                <w:bCs/>
                <w:snapToGrid w:val="0"/>
                <w:color w:val="auto"/>
                <w:szCs w:val="24"/>
                <w:lang w:val="en-US" w:eastAsia="zh-CN"/>
              </w:rPr>
              <w:t>0.00069</w:t>
            </w:r>
          </w:p>
        </w:tc>
        <w:tc>
          <w:tcPr>
            <w:tcW w:w="264" w:type="pct"/>
            <w:vMerge w:val="restart"/>
            <w:shd w:val="clear" w:color="auto" w:fill="auto"/>
            <w:vAlign w:val="center"/>
          </w:tcPr>
          <w:p>
            <w:pPr>
              <w:pStyle w:val="84"/>
              <w:rPr>
                <w:rFonts w:hAnsi="Times New Roman"/>
                <w:snapToGrid w:val="0"/>
                <w:color w:val="auto"/>
                <w:szCs w:val="22"/>
              </w:rPr>
            </w:pPr>
            <w:r>
              <w:rPr>
                <w:rFonts w:hint="eastAsia" w:hAnsi="Times New Roman"/>
                <w:snapToGrid w:val="0"/>
                <w:color w:val="auto"/>
                <w:szCs w:val="22"/>
              </w:rPr>
              <w:t>7200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239" w:type="pct"/>
            <w:vMerge w:val="continue"/>
            <w:shd w:val="clear" w:color="auto" w:fill="auto"/>
            <w:vAlign w:val="center"/>
          </w:tcPr>
          <w:p>
            <w:pPr>
              <w:pStyle w:val="84"/>
              <w:rPr>
                <w:rFonts w:hAnsi="Times New Roman"/>
                <w:snapToGrid w:val="0"/>
                <w:color w:val="auto"/>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251" w:type="pct"/>
            <w:vMerge w:val="continue"/>
            <w:shd w:val="clear" w:color="auto" w:fill="auto"/>
            <w:vAlign w:val="center"/>
          </w:tcPr>
          <w:p>
            <w:pPr>
              <w:pStyle w:val="84"/>
              <w:jc w:val="both"/>
              <w:rPr>
                <w:rFonts w:hAnsi="Times New Roman"/>
                <w:snapToGrid w:val="0"/>
                <w:color w:val="auto"/>
                <w:szCs w:val="22"/>
              </w:rPr>
            </w:pPr>
          </w:p>
        </w:tc>
        <w:tc>
          <w:tcPr>
            <w:tcW w:w="3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H</w:t>
            </w:r>
            <w:r>
              <w:rPr>
                <w:rFonts w:hAnsi="Times New Roman"/>
                <w:snapToGrid w:val="0"/>
                <w:color w:val="auto"/>
                <w:szCs w:val="22"/>
                <w:vertAlign w:val="subscript"/>
              </w:rPr>
              <w:t>2</w:t>
            </w:r>
            <w:r>
              <w:rPr>
                <w:rFonts w:hAnsi="Times New Roman"/>
                <w:snapToGrid w:val="0"/>
                <w:color w:val="auto"/>
                <w:szCs w:val="22"/>
              </w:rPr>
              <w:t>S</w:t>
            </w:r>
          </w:p>
        </w:tc>
        <w:tc>
          <w:tcPr>
            <w:tcW w:w="253" w:type="pct"/>
            <w:vMerge w:val="continue"/>
            <w:shd w:val="clear" w:color="auto" w:fill="auto"/>
            <w:vAlign w:val="center"/>
          </w:tcPr>
          <w:p>
            <w:pPr>
              <w:pStyle w:val="84"/>
              <w:rPr>
                <w:rFonts w:hAnsi="Times New Roman"/>
                <w:snapToGrid w:val="0"/>
                <w:color w:val="auto"/>
                <w:szCs w:val="22"/>
              </w:rPr>
            </w:pPr>
          </w:p>
        </w:tc>
        <w:tc>
          <w:tcPr>
            <w:tcW w:w="302" w:type="pct"/>
            <w:vMerge w:val="continue"/>
            <w:shd w:val="clear" w:color="auto" w:fill="auto"/>
            <w:vAlign w:val="center"/>
          </w:tcPr>
          <w:p>
            <w:pPr>
              <w:pStyle w:val="84"/>
              <w:rPr>
                <w:rFonts w:hAnsi="Times New Roman"/>
                <w:snapToGrid w:val="0"/>
                <w:color w:val="FF0000"/>
                <w:szCs w:val="22"/>
              </w:rPr>
            </w:pPr>
          </w:p>
        </w:tc>
        <w:tc>
          <w:tcPr>
            <w:tcW w:w="401" w:type="pct"/>
            <w:shd w:val="clear" w:color="auto" w:fill="auto"/>
            <w:vAlign w:val="center"/>
          </w:tcPr>
          <w:p>
            <w:pPr>
              <w:pStyle w:val="84"/>
              <w:rPr>
                <w:rFonts w:hint="default" w:hAnsi="Times New Roman" w:eastAsia="宋体"/>
                <w:snapToGrid w:val="0"/>
                <w:color w:val="auto"/>
                <w:szCs w:val="22"/>
                <w:lang w:val="en-US" w:eastAsia="zh-CN"/>
              </w:rPr>
            </w:pPr>
            <w:r>
              <w:rPr>
                <w:rFonts w:hint="eastAsia" w:hAnsi="Times New Roman"/>
                <w:snapToGrid w:val="0"/>
                <w:color w:val="auto"/>
                <w:szCs w:val="22"/>
                <w:lang w:val="en-US" w:eastAsia="zh-CN"/>
              </w:rPr>
              <w:t>0.144</w:t>
            </w:r>
          </w:p>
        </w:tc>
        <w:tc>
          <w:tcPr>
            <w:tcW w:w="359" w:type="pct"/>
            <w:shd w:val="clear" w:color="auto" w:fill="auto"/>
            <w:vAlign w:val="center"/>
          </w:tcPr>
          <w:p>
            <w:pPr>
              <w:pStyle w:val="84"/>
              <w:adjustRightInd w:val="0"/>
              <w:snapToGrid w:val="0"/>
              <w:rPr>
                <w:rFonts w:hint="default" w:hAnsi="Times New Roman" w:eastAsia="宋体"/>
                <w:snapToGrid w:val="0"/>
                <w:color w:val="auto"/>
                <w:szCs w:val="24"/>
                <w:lang w:val="en-US" w:eastAsia="zh-CN"/>
              </w:rPr>
            </w:pPr>
            <w:r>
              <w:rPr>
                <w:rFonts w:hint="eastAsia" w:hAnsi="Times New Roman"/>
                <w:snapToGrid w:val="0"/>
                <w:color w:val="auto"/>
                <w:szCs w:val="24"/>
                <w:lang w:val="en-US" w:eastAsia="zh-CN"/>
              </w:rPr>
              <w:t>0.0007</w:t>
            </w:r>
          </w:p>
        </w:tc>
        <w:tc>
          <w:tcPr>
            <w:tcW w:w="549" w:type="pct"/>
            <w:vMerge w:val="continue"/>
            <w:shd w:val="clear" w:color="auto" w:fill="auto"/>
            <w:vAlign w:val="center"/>
          </w:tcPr>
          <w:p>
            <w:pPr>
              <w:pStyle w:val="84"/>
              <w:rPr>
                <w:rFonts w:hAnsi="Times New Roman"/>
                <w:snapToGrid w:val="0"/>
                <w:color w:val="auto"/>
                <w:szCs w:val="22"/>
              </w:rPr>
            </w:pPr>
          </w:p>
        </w:tc>
        <w:tc>
          <w:tcPr>
            <w:tcW w:w="402" w:type="pct"/>
            <w:vMerge w:val="continue"/>
            <w:shd w:val="clear" w:color="auto" w:fill="auto"/>
            <w:vAlign w:val="center"/>
          </w:tcPr>
          <w:p>
            <w:pPr>
              <w:pStyle w:val="84"/>
              <w:rPr>
                <w:rFonts w:hAnsi="Times New Roman"/>
                <w:snapToGrid w:val="0"/>
                <w:color w:val="auto"/>
                <w:szCs w:val="22"/>
              </w:rPr>
            </w:pPr>
          </w:p>
        </w:tc>
        <w:tc>
          <w:tcPr>
            <w:tcW w:w="252" w:type="pct"/>
            <w:vMerge w:val="continue"/>
            <w:shd w:val="clear" w:color="auto" w:fill="auto"/>
            <w:vAlign w:val="center"/>
          </w:tcPr>
          <w:p>
            <w:pPr>
              <w:pStyle w:val="84"/>
              <w:rPr>
                <w:rFonts w:hAnsi="Times New Roman"/>
                <w:snapToGrid w:val="0"/>
                <w:color w:val="auto"/>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352" w:type="pct"/>
            <w:shd w:val="clear" w:color="auto" w:fill="auto"/>
            <w:vAlign w:val="center"/>
          </w:tcPr>
          <w:p>
            <w:pPr>
              <w:pStyle w:val="84"/>
              <w:rPr>
                <w:rFonts w:hint="default" w:hAnsi="Times New Roman" w:eastAsia="宋体"/>
                <w:snapToGrid w:val="0"/>
                <w:color w:val="auto"/>
                <w:szCs w:val="22"/>
                <w:lang w:val="en-US" w:eastAsia="zh-CN"/>
              </w:rPr>
            </w:pPr>
            <w:r>
              <w:rPr>
                <w:rFonts w:hint="eastAsia" w:hAnsi="Times New Roman"/>
                <w:snapToGrid w:val="0"/>
                <w:color w:val="auto"/>
                <w:szCs w:val="22"/>
                <w:lang w:val="en-US" w:eastAsia="zh-CN"/>
              </w:rPr>
              <w:t>0.022</w:t>
            </w:r>
          </w:p>
        </w:tc>
        <w:tc>
          <w:tcPr>
            <w:tcW w:w="361" w:type="pct"/>
            <w:shd w:val="clear" w:color="auto" w:fill="auto"/>
            <w:vAlign w:val="center"/>
          </w:tcPr>
          <w:p>
            <w:pPr>
              <w:pStyle w:val="84"/>
              <w:adjustRightInd w:val="0"/>
              <w:snapToGrid w:val="0"/>
              <w:rPr>
                <w:rFonts w:hAnsi="Times New Roman"/>
                <w:snapToGrid w:val="0"/>
                <w:color w:val="auto"/>
                <w:szCs w:val="24"/>
              </w:rPr>
            </w:pPr>
            <w:r>
              <w:rPr>
                <w:rFonts w:hAnsi="Times New Roman"/>
                <w:snapToGrid w:val="0"/>
                <w:color w:val="auto"/>
                <w:szCs w:val="24"/>
              </w:rPr>
              <w:t>0.0</w:t>
            </w:r>
            <w:r>
              <w:rPr>
                <w:rFonts w:hint="eastAsia" w:hAnsi="Times New Roman"/>
                <w:snapToGrid w:val="0"/>
                <w:color w:val="auto"/>
                <w:szCs w:val="24"/>
              </w:rPr>
              <w:t>00</w:t>
            </w:r>
            <w:r>
              <w:rPr>
                <w:rFonts w:hint="eastAsia" w:hAnsi="Times New Roman"/>
                <w:snapToGrid w:val="0"/>
                <w:color w:val="auto"/>
                <w:szCs w:val="24"/>
                <w:lang w:val="en-US" w:eastAsia="zh-CN"/>
              </w:rPr>
              <w:t>11</w:t>
            </w:r>
          </w:p>
        </w:tc>
        <w:tc>
          <w:tcPr>
            <w:tcW w:w="264" w:type="pct"/>
            <w:vMerge w:val="continue"/>
            <w:shd w:val="clear" w:color="auto" w:fill="auto"/>
            <w:vAlign w:val="center"/>
          </w:tcPr>
          <w:p>
            <w:pPr>
              <w:pStyle w:val="84"/>
              <w:rPr>
                <w:rFonts w:hAnsi="Times New Roman"/>
                <w:snapToGrid w:val="0"/>
                <w:color w:val="auto"/>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239" w:type="pct"/>
            <w:vMerge w:val="continue"/>
            <w:shd w:val="clear" w:color="auto" w:fill="auto"/>
            <w:vAlign w:val="center"/>
          </w:tcPr>
          <w:p>
            <w:pPr>
              <w:pStyle w:val="84"/>
              <w:rPr>
                <w:rFonts w:hAnsi="Times New Roman"/>
                <w:snapToGrid w:val="0"/>
                <w:color w:val="auto"/>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251" w:type="pct"/>
            <w:vMerge w:val="continue"/>
            <w:shd w:val="clear" w:color="auto" w:fill="auto"/>
            <w:vAlign w:val="center"/>
          </w:tcPr>
          <w:p>
            <w:pPr>
              <w:pStyle w:val="84"/>
              <w:jc w:val="both"/>
              <w:rPr>
                <w:rFonts w:hAnsi="Times New Roman"/>
                <w:snapToGrid w:val="0"/>
                <w:color w:val="auto"/>
                <w:szCs w:val="22"/>
              </w:rPr>
            </w:pPr>
          </w:p>
        </w:tc>
        <w:tc>
          <w:tcPr>
            <w:tcW w:w="3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臭气浓度</w:t>
            </w:r>
          </w:p>
        </w:tc>
        <w:tc>
          <w:tcPr>
            <w:tcW w:w="253" w:type="pct"/>
            <w:vMerge w:val="continue"/>
            <w:shd w:val="clear" w:color="auto" w:fill="auto"/>
            <w:vAlign w:val="center"/>
          </w:tcPr>
          <w:p>
            <w:pPr>
              <w:pStyle w:val="84"/>
              <w:rPr>
                <w:rFonts w:hAnsi="Times New Roman"/>
                <w:snapToGrid w:val="0"/>
                <w:color w:val="auto"/>
                <w:szCs w:val="22"/>
              </w:rPr>
            </w:pPr>
          </w:p>
        </w:tc>
        <w:tc>
          <w:tcPr>
            <w:tcW w:w="302" w:type="pct"/>
            <w:vMerge w:val="continue"/>
            <w:shd w:val="clear" w:color="auto" w:fill="auto"/>
            <w:vAlign w:val="center"/>
          </w:tcPr>
          <w:p>
            <w:pPr>
              <w:pStyle w:val="84"/>
              <w:rPr>
                <w:rFonts w:hAnsi="Times New Roman"/>
                <w:snapToGrid w:val="0"/>
                <w:color w:val="FF0000"/>
                <w:szCs w:val="22"/>
              </w:rPr>
            </w:pPr>
          </w:p>
        </w:tc>
        <w:tc>
          <w:tcPr>
            <w:tcW w:w="760" w:type="pct"/>
            <w:gridSpan w:val="2"/>
            <w:shd w:val="clear" w:color="auto" w:fill="auto"/>
            <w:vAlign w:val="center"/>
          </w:tcPr>
          <w:p>
            <w:pPr>
              <w:pStyle w:val="84"/>
              <w:adjustRightInd w:val="0"/>
              <w:snapToGrid w:val="0"/>
              <w:rPr>
                <w:rFonts w:hAnsi="Times New Roman"/>
                <w:snapToGrid w:val="0"/>
                <w:color w:val="auto"/>
                <w:szCs w:val="24"/>
              </w:rPr>
            </w:pPr>
            <w:r>
              <w:rPr>
                <w:rFonts w:hint="eastAsia" w:hAnsi="Times New Roman"/>
                <w:snapToGrid w:val="0"/>
                <w:color w:val="auto"/>
                <w:szCs w:val="24"/>
              </w:rPr>
              <w:t>2700（无量纲）</w:t>
            </w:r>
          </w:p>
        </w:tc>
        <w:tc>
          <w:tcPr>
            <w:tcW w:w="549" w:type="pct"/>
            <w:vMerge w:val="continue"/>
            <w:shd w:val="clear" w:color="auto" w:fill="auto"/>
            <w:vAlign w:val="center"/>
          </w:tcPr>
          <w:p>
            <w:pPr>
              <w:pStyle w:val="84"/>
              <w:rPr>
                <w:rFonts w:hAnsi="Times New Roman"/>
                <w:snapToGrid w:val="0"/>
                <w:color w:val="auto"/>
                <w:szCs w:val="22"/>
              </w:rPr>
            </w:pPr>
          </w:p>
        </w:tc>
        <w:tc>
          <w:tcPr>
            <w:tcW w:w="402" w:type="pct"/>
            <w:vMerge w:val="continue"/>
            <w:shd w:val="clear" w:color="auto" w:fill="auto"/>
            <w:vAlign w:val="center"/>
          </w:tcPr>
          <w:p>
            <w:pPr>
              <w:pStyle w:val="84"/>
              <w:rPr>
                <w:rFonts w:hAnsi="Times New Roman"/>
                <w:snapToGrid w:val="0"/>
                <w:color w:val="auto"/>
                <w:szCs w:val="22"/>
              </w:rPr>
            </w:pPr>
          </w:p>
        </w:tc>
        <w:tc>
          <w:tcPr>
            <w:tcW w:w="252" w:type="pct"/>
            <w:vMerge w:val="continue"/>
            <w:shd w:val="clear" w:color="auto" w:fill="auto"/>
            <w:vAlign w:val="center"/>
          </w:tcPr>
          <w:p>
            <w:pPr>
              <w:pStyle w:val="84"/>
              <w:rPr>
                <w:rFonts w:hAnsi="Times New Roman"/>
                <w:snapToGrid w:val="0"/>
                <w:color w:val="auto"/>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714" w:type="pct"/>
            <w:gridSpan w:val="2"/>
            <w:shd w:val="clear" w:color="auto" w:fill="auto"/>
            <w:vAlign w:val="center"/>
          </w:tcPr>
          <w:p>
            <w:pPr>
              <w:pStyle w:val="84"/>
              <w:adjustRightInd w:val="0"/>
              <w:snapToGrid w:val="0"/>
              <w:rPr>
                <w:rFonts w:hAnsi="Times New Roman"/>
                <w:snapToGrid w:val="0"/>
                <w:color w:val="auto"/>
                <w:szCs w:val="24"/>
              </w:rPr>
            </w:pPr>
            <w:r>
              <w:rPr>
                <w:rFonts w:hint="eastAsia" w:hAnsi="Times New Roman"/>
                <w:bCs/>
                <w:snapToGrid w:val="0"/>
                <w:color w:val="auto"/>
                <w:szCs w:val="24"/>
              </w:rPr>
              <w:t>405（无量纲）</w:t>
            </w:r>
          </w:p>
        </w:tc>
        <w:tc>
          <w:tcPr>
            <w:tcW w:w="264" w:type="pct"/>
            <w:vMerge w:val="continue"/>
            <w:shd w:val="clear" w:color="auto" w:fill="auto"/>
            <w:vAlign w:val="center"/>
          </w:tcPr>
          <w:p>
            <w:pPr>
              <w:pStyle w:val="84"/>
              <w:rPr>
                <w:rFonts w:hAnsi="Times New Roman"/>
                <w:snapToGrid w:val="0"/>
                <w:color w:val="auto"/>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239" w:type="pct"/>
            <w:vMerge w:val="continue"/>
            <w:shd w:val="clear" w:color="auto" w:fill="auto"/>
            <w:vAlign w:val="center"/>
          </w:tcPr>
          <w:p>
            <w:pPr>
              <w:pStyle w:val="84"/>
              <w:rPr>
                <w:rFonts w:hAnsi="Times New Roman"/>
                <w:snapToGrid w:val="0"/>
                <w:color w:val="auto"/>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251"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无组织</w:t>
            </w:r>
          </w:p>
        </w:tc>
        <w:tc>
          <w:tcPr>
            <w:tcW w:w="3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NH</w:t>
            </w:r>
            <w:r>
              <w:rPr>
                <w:rFonts w:hAnsi="Times New Roman"/>
                <w:snapToGrid w:val="0"/>
                <w:color w:val="auto"/>
                <w:szCs w:val="22"/>
                <w:vertAlign w:val="subscript"/>
              </w:rPr>
              <w:t>3</w:t>
            </w:r>
          </w:p>
        </w:tc>
        <w:tc>
          <w:tcPr>
            <w:tcW w:w="253" w:type="pct"/>
            <w:vMerge w:val="continue"/>
            <w:shd w:val="clear" w:color="auto" w:fill="auto"/>
            <w:vAlign w:val="center"/>
          </w:tcPr>
          <w:p>
            <w:pPr>
              <w:pStyle w:val="84"/>
              <w:rPr>
                <w:rFonts w:hAnsi="Times New Roman"/>
                <w:snapToGrid w:val="0"/>
                <w:color w:val="auto"/>
                <w:szCs w:val="22"/>
              </w:rPr>
            </w:pPr>
          </w:p>
        </w:tc>
        <w:tc>
          <w:tcPr>
            <w:tcW w:w="302"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401"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359" w:type="pct"/>
            <w:shd w:val="clear" w:color="auto" w:fill="auto"/>
            <w:vAlign w:val="center"/>
          </w:tcPr>
          <w:p>
            <w:pPr>
              <w:pStyle w:val="84"/>
              <w:adjustRightInd w:val="0"/>
              <w:snapToGrid w:val="0"/>
              <w:rPr>
                <w:rFonts w:hint="default" w:hAnsi="Times New Roman" w:eastAsia="宋体"/>
                <w:snapToGrid w:val="0"/>
                <w:color w:val="auto"/>
                <w:szCs w:val="24"/>
                <w:lang w:val="en-US" w:eastAsia="zh-CN"/>
              </w:rPr>
            </w:pPr>
            <w:r>
              <w:rPr>
                <w:rFonts w:hint="eastAsia" w:hAnsi="Times New Roman"/>
                <w:bCs/>
                <w:snapToGrid w:val="0"/>
                <w:color w:val="auto"/>
                <w:szCs w:val="24"/>
                <w:lang w:val="en-US" w:eastAsia="zh-CN"/>
              </w:rPr>
              <w:t>0.00057</w:t>
            </w:r>
          </w:p>
        </w:tc>
        <w:tc>
          <w:tcPr>
            <w:tcW w:w="549"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4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252" w:type="pct"/>
            <w:vMerge w:val="continue"/>
            <w:shd w:val="clear" w:color="auto" w:fill="auto"/>
            <w:vAlign w:val="center"/>
          </w:tcPr>
          <w:p>
            <w:pPr>
              <w:pStyle w:val="84"/>
              <w:rPr>
                <w:rFonts w:hAnsi="Times New Roman"/>
                <w:snapToGrid w:val="0"/>
                <w:color w:val="auto"/>
                <w:szCs w:val="22"/>
              </w:rPr>
            </w:pPr>
          </w:p>
        </w:tc>
        <w:tc>
          <w:tcPr>
            <w:tcW w:w="353"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352"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361" w:type="pct"/>
            <w:shd w:val="clear" w:color="auto" w:fill="auto"/>
            <w:vAlign w:val="center"/>
          </w:tcPr>
          <w:p>
            <w:pPr>
              <w:pStyle w:val="84"/>
              <w:adjustRightInd w:val="0"/>
              <w:snapToGrid w:val="0"/>
              <w:rPr>
                <w:rFonts w:hAnsi="Times New Roman"/>
                <w:snapToGrid w:val="0"/>
                <w:color w:val="auto"/>
                <w:szCs w:val="24"/>
              </w:rPr>
            </w:pPr>
            <w:r>
              <w:rPr>
                <w:rFonts w:hint="eastAsia" w:hAnsi="Times New Roman"/>
                <w:bCs/>
                <w:snapToGrid w:val="0"/>
                <w:color w:val="auto"/>
                <w:szCs w:val="24"/>
                <w:lang w:val="en-US" w:eastAsia="zh-CN"/>
              </w:rPr>
              <w:t>0.00057</w:t>
            </w:r>
          </w:p>
        </w:tc>
        <w:tc>
          <w:tcPr>
            <w:tcW w:w="264" w:type="pct"/>
            <w:vMerge w:val="continue"/>
            <w:shd w:val="clear" w:color="auto" w:fill="auto"/>
            <w:vAlign w:val="center"/>
          </w:tcPr>
          <w:p>
            <w:pPr>
              <w:pStyle w:val="84"/>
              <w:rPr>
                <w:rFonts w:hAnsi="Times New Roman"/>
                <w:snapToGrid w:val="0"/>
                <w:color w:val="auto"/>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239" w:type="pct"/>
            <w:vMerge w:val="continue"/>
            <w:shd w:val="clear" w:color="auto" w:fill="auto"/>
            <w:vAlign w:val="center"/>
          </w:tcPr>
          <w:p>
            <w:pPr>
              <w:pStyle w:val="84"/>
              <w:rPr>
                <w:rFonts w:hAnsi="Times New Roman"/>
                <w:snapToGrid w:val="0"/>
                <w:color w:val="auto"/>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251" w:type="pct"/>
            <w:vMerge w:val="continue"/>
            <w:shd w:val="clear" w:color="auto" w:fill="auto"/>
            <w:vAlign w:val="center"/>
          </w:tcPr>
          <w:p>
            <w:pPr>
              <w:pStyle w:val="84"/>
              <w:jc w:val="both"/>
              <w:rPr>
                <w:rFonts w:hAnsi="Times New Roman"/>
                <w:snapToGrid w:val="0"/>
                <w:color w:val="auto"/>
                <w:szCs w:val="22"/>
              </w:rPr>
            </w:pPr>
          </w:p>
        </w:tc>
        <w:tc>
          <w:tcPr>
            <w:tcW w:w="3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H</w:t>
            </w:r>
            <w:r>
              <w:rPr>
                <w:rFonts w:hAnsi="Times New Roman"/>
                <w:snapToGrid w:val="0"/>
                <w:color w:val="auto"/>
                <w:szCs w:val="22"/>
                <w:vertAlign w:val="subscript"/>
              </w:rPr>
              <w:t>2</w:t>
            </w:r>
            <w:r>
              <w:rPr>
                <w:rFonts w:hAnsi="Times New Roman"/>
                <w:snapToGrid w:val="0"/>
                <w:color w:val="auto"/>
                <w:szCs w:val="22"/>
              </w:rPr>
              <w:t>S</w:t>
            </w:r>
          </w:p>
        </w:tc>
        <w:tc>
          <w:tcPr>
            <w:tcW w:w="253" w:type="pct"/>
            <w:vMerge w:val="continue"/>
            <w:shd w:val="clear" w:color="auto" w:fill="auto"/>
            <w:vAlign w:val="center"/>
          </w:tcPr>
          <w:p>
            <w:pPr>
              <w:pStyle w:val="84"/>
              <w:rPr>
                <w:rFonts w:hAnsi="Times New Roman"/>
                <w:snapToGrid w:val="0"/>
                <w:color w:val="auto"/>
                <w:szCs w:val="22"/>
              </w:rPr>
            </w:pPr>
          </w:p>
        </w:tc>
        <w:tc>
          <w:tcPr>
            <w:tcW w:w="302" w:type="pct"/>
            <w:vMerge w:val="continue"/>
            <w:shd w:val="clear" w:color="auto" w:fill="auto"/>
            <w:vAlign w:val="center"/>
          </w:tcPr>
          <w:p>
            <w:pPr>
              <w:pStyle w:val="84"/>
              <w:rPr>
                <w:rFonts w:hAnsi="Times New Roman"/>
                <w:snapToGrid w:val="0"/>
                <w:color w:val="auto"/>
                <w:szCs w:val="22"/>
              </w:rPr>
            </w:pPr>
          </w:p>
        </w:tc>
        <w:tc>
          <w:tcPr>
            <w:tcW w:w="401"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359" w:type="pct"/>
            <w:shd w:val="clear" w:color="auto" w:fill="auto"/>
            <w:vAlign w:val="center"/>
          </w:tcPr>
          <w:p>
            <w:pPr>
              <w:pStyle w:val="84"/>
              <w:adjustRightInd w:val="0"/>
              <w:snapToGrid w:val="0"/>
              <w:rPr>
                <w:rFonts w:hint="default" w:hAnsi="Times New Roman" w:eastAsia="宋体"/>
                <w:snapToGrid w:val="0"/>
                <w:color w:val="auto"/>
                <w:szCs w:val="24"/>
                <w:lang w:val="en-US" w:eastAsia="zh-CN"/>
              </w:rPr>
            </w:pPr>
            <w:r>
              <w:rPr>
                <w:rFonts w:hint="eastAsia" w:hAnsi="Times New Roman"/>
                <w:bCs/>
                <w:snapToGrid w:val="0"/>
                <w:color w:val="auto"/>
                <w:szCs w:val="24"/>
                <w:lang w:val="en-US" w:eastAsia="zh-CN"/>
              </w:rPr>
              <w:t>0.00009</w:t>
            </w:r>
          </w:p>
        </w:tc>
        <w:tc>
          <w:tcPr>
            <w:tcW w:w="549"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4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252" w:type="pct"/>
            <w:vMerge w:val="continue"/>
            <w:shd w:val="clear" w:color="auto" w:fill="auto"/>
            <w:vAlign w:val="center"/>
          </w:tcPr>
          <w:p>
            <w:pPr>
              <w:pStyle w:val="84"/>
              <w:rPr>
                <w:rFonts w:hAnsi="Times New Roman"/>
                <w:snapToGrid w:val="0"/>
                <w:color w:val="auto"/>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352"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361" w:type="pct"/>
            <w:shd w:val="clear" w:color="auto" w:fill="auto"/>
            <w:vAlign w:val="center"/>
          </w:tcPr>
          <w:p>
            <w:pPr>
              <w:pStyle w:val="84"/>
              <w:adjustRightInd w:val="0"/>
              <w:snapToGrid w:val="0"/>
              <w:rPr>
                <w:rFonts w:hAnsi="Times New Roman"/>
                <w:snapToGrid w:val="0"/>
                <w:color w:val="auto"/>
                <w:szCs w:val="24"/>
              </w:rPr>
            </w:pPr>
            <w:r>
              <w:rPr>
                <w:rFonts w:hint="eastAsia" w:hAnsi="Times New Roman"/>
                <w:bCs/>
                <w:snapToGrid w:val="0"/>
                <w:color w:val="auto"/>
                <w:szCs w:val="24"/>
                <w:lang w:val="en-US" w:eastAsia="zh-CN"/>
              </w:rPr>
              <w:t>0.00009</w:t>
            </w:r>
          </w:p>
        </w:tc>
        <w:tc>
          <w:tcPr>
            <w:tcW w:w="264" w:type="pct"/>
            <w:vMerge w:val="continue"/>
            <w:shd w:val="clear" w:color="auto" w:fill="auto"/>
            <w:vAlign w:val="center"/>
          </w:tcPr>
          <w:p>
            <w:pPr>
              <w:pStyle w:val="84"/>
              <w:rPr>
                <w:rFonts w:hAnsi="Times New Roman"/>
                <w:snapToGrid w:val="0"/>
                <w:color w:val="auto"/>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239" w:type="pct"/>
            <w:vMerge w:val="continue"/>
            <w:shd w:val="clear" w:color="auto" w:fill="auto"/>
            <w:vAlign w:val="center"/>
          </w:tcPr>
          <w:p>
            <w:pPr>
              <w:pStyle w:val="84"/>
              <w:rPr>
                <w:rFonts w:hAnsi="Times New Roman"/>
                <w:snapToGrid w:val="0"/>
                <w:color w:val="auto"/>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251" w:type="pct"/>
            <w:vMerge w:val="continue"/>
            <w:shd w:val="clear" w:color="auto" w:fill="auto"/>
            <w:vAlign w:val="center"/>
          </w:tcPr>
          <w:p>
            <w:pPr>
              <w:pStyle w:val="84"/>
              <w:jc w:val="both"/>
              <w:rPr>
                <w:rFonts w:hAnsi="Times New Roman"/>
                <w:snapToGrid w:val="0"/>
                <w:color w:val="auto"/>
                <w:szCs w:val="22"/>
              </w:rPr>
            </w:pPr>
          </w:p>
        </w:tc>
        <w:tc>
          <w:tcPr>
            <w:tcW w:w="3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臭气浓度</w:t>
            </w:r>
          </w:p>
        </w:tc>
        <w:tc>
          <w:tcPr>
            <w:tcW w:w="253" w:type="pct"/>
            <w:vMerge w:val="continue"/>
            <w:shd w:val="clear" w:color="auto" w:fill="auto"/>
            <w:vAlign w:val="center"/>
          </w:tcPr>
          <w:p>
            <w:pPr>
              <w:pStyle w:val="84"/>
              <w:rPr>
                <w:rFonts w:hAnsi="Times New Roman"/>
                <w:snapToGrid w:val="0"/>
                <w:color w:val="auto"/>
                <w:szCs w:val="22"/>
              </w:rPr>
            </w:pPr>
          </w:p>
        </w:tc>
        <w:tc>
          <w:tcPr>
            <w:tcW w:w="1063" w:type="pct"/>
            <w:gridSpan w:val="3"/>
            <w:shd w:val="clear" w:color="auto" w:fill="auto"/>
            <w:vAlign w:val="center"/>
          </w:tcPr>
          <w:p>
            <w:pPr>
              <w:pStyle w:val="84"/>
              <w:adjustRightInd w:val="0"/>
              <w:snapToGrid w:val="0"/>
              <w:rPr>
                <w:rFonts w:hAnsi="Times New Roman"/>
                <w:snapToGrid w:val="0"/>
                <w:color w:val="auto"/>
                <w:szCs w:val="24"/>
              </w:rPr>
            </w:pPr>
            <w:r>
              <w:rPr>
                <w:rFonts w:hint="eastAsia" w:hAnsi="Times New Roman"/>
                <w:bCs/>
                <w:snapToGrid w:val="0"/>
                <w:color w:val="auto"/>
                <w:szCs w:val="24"/>
              </w:rPr>
              <w:t>338（无量纲）</w:t>
            </w:r>
          </w:p>
        </w:tc>
        <w:tc>
          <w:tcPr>
            <w:tcW w:w="549"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4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252" w:type="pct"/>
            <w:vMerge w:val="continue"/>
            <w:shd w:val="clear" w:color="auto" w:fill="auto"/>
            <w:vAlign w:val="center"/>
          </w:tcPr>
          <w:p>
            <w:pPr>
              <w:pStyle w:val="84"/>
              <w:rPr>
                <w:rFonts w:hAnsi="Times New Roman"/>
                <w:snapToGrid w:val="0"/>
                <w:color w:val="auto"/>
                <w:szCs w:val="22"/>
              </w:rPr>
            </w:pPr>
          </w:p>
        </w:tc>
        <w:tc>
          <w:tcPr>
            <w:tcW w:w="1067" w:type="pct"/>
            <w:gridSpan w:val="3"/>
            <w:shd w:val="clear" w:color="auto" w:fill="auto"/>
            <w:vAlign w:val="center"/>
          </w:tcPr>
          <w:p>
            <w:pPr>
              <w:pStyle w:val="84"/>
              <w:adjustRightInd w:val="0"/>
              <w:snapToGrid w:val="0"/>
              <w:rPr>
                <w:rFonts w:hAnsi="Times New Roman"/>
                <w:snapToGrid w:val="0"/>
                <w:color w:val="auto"/>
                <w:szCs w:val="24"/>
              </w:rPr>
            </w:pPr>
            <w:r>
              <w:rPr>
                <w:rFonts w:hint="eastAsia" w:hAnsi="Times New Roman"/>
                <w:snapToGrid w:val="0"/>
                <w:color w:val="auto"/>
                <w:szCs w:val="22"/>
              </w:rPr>
              <w:t>厂界＜20（无量纲）</w:t>
            </w:r>
          </w:p>
        </w:tc>
        <w:tc>
          <w:tcPr>
            <w:tcW w:w="264" w:type="pct"/>
            <w:vMerge w:val="continue"/>
            <w:shd w:val="clear" w:color="auto" w:fill="auto"/>
            <w:vAlign w:val="center"/>
          </w:tcPr>
          <w:p>
            <w:pPr>
              <w:pStyle w:val="84"/>
              <w:rPr>
                <w:rFonts w:hAnsi="Times New Roman"/>
                <w:snapToGrid w:val="0"/>
                <w:color w:val="auto"/>
                <w:szCs w:val="22"/>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 w:hRule="atLeast"/>
        </w:trPr>
        <w:tc>
          <w:tcPr>
            <w:tcW w:w="239"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屠宰</w:t>
            </w:r>
          </w:p>
        </w:tc>
        <w:tc>
          <w:tcPr>
            <w:tcW w:w="353" w:type="pct"/>
            <w:vMerge w:val="restart"/>
            <w:shd w:val="clear" w:color="auto" w:fill="auto"/>
            <w:vAlign w:val="center"/>
          </w:tcPr>
          <w:p>
            <w:pPr>
              <w:pStyle w:val="84"/>
              <w:rPr>
                <w:rFonts w:hAnsi="Times New Roman"/>
                <w:snapToGrid w:val="0"/>
                <w:color w:val="auto"/>
                <w:szCs w:val="22"/>
              </w:rPr>
            </w:pPr>
            <w:r>
              <w:rPr>
                <w:rFonts w:hint="eastAsia" w:hAnsi="Times New Roman"/>
                <w:snapToGrid w:val="0"/>
                <w:color w:val="auto"/>
                <w:szCs w:val="22"/>
              </w:rPr>
              <w:t>屠宰</w:t>
            </w:r>
            <w:r>
              <w:rPr>
                <w:rFonts w:hAnsi="Times New Roman"/>
                <w:snapToGrid w:val="0"/>
                <w:color w:val="auto"/>
                <w:szCs w:val="22"/>
              </w:rPr>
              <w:t>车间</w:t>
            </w:r>
          </w:p>
        </w:tc>
        <w:tc>
          <w:tcPr>
            <w:tcW w:w="251"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排气筒</w:t>
            </w:r>
          </w:p>
        </w:tc>
        <w:tc>
          <w:tcPr>
            <w:tcW w:w="3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NH</w:t>
            </w:r>
            <w:r>
              <w:rPr>
                <w:rFonts w:hAnsi="Times New Roman"/>
                <w:snapToGrid w:val="0"/>
                <w:color w:val="auto"/>
                <w:szCs w:val="22"/>
                <w:vertAlign w:val="subscript"/>
              </w:rPr>
              <w:t>3</w:t>
            </w:r>
          </w:p>
        </w:tc>
        <w:tc>
          <w:tcPr>
            <w:tcW w:w="253"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类比法</w:t>
            </w:r>
          </w:p>
        </w:tc>
        <w:tc>
          <w:tcPr>
            <w:tcW w:w="302" w:type="pct"/>
            <w:vMerge w:val="restart"/>
            <w:shd w:val="clear" w:color="auto" w:fill="auto"/>
            <w:vAlign w:val="center"/>
          </w:tcPr>
          <w:p>
            <w:pPr>
              <w:pStyle w:val="84"/>
              <w:rPr>
                <w:rFonts w:hAnsi="Times New Roman"/>
                <w:snapToGrid w:val="0"/>
                <w:color w:val="auto"/>
                <w:szCs w:val="22"/>
              </w:rPr>
            </w:pPr>
            <w:r>
              <w:rPr>
                <w:rFonts w:hint="eastAsia" w:hAnsi="Times New Roman"/>
                <w:snapToGrid w:val="0"/>
                <w:color w:val="auto"/>
                <w:szCs w:val="22"/>
              </w:rPr>
              <w:t>5000</w:t>
            </w:r>
          </w:p>
        </w:tc>
        <w:tc>
          <w:tcPr>
            <w:tcW w:w="401" w:type="pct"/>
            <w:shd w:val="clear" w:color="auto" w:fill="auto"/>
            <w:vAlign w:val="center"/>
          </w:tcPr>
          <w:p>
            <w:pPr>
              <w:pStyle w:val="84"/>
              <w:rPr>
                <w:rFonts w:hint="default" w:hAnsi="Times New Roman" w:eastAsia="宋体"/>
                <w:snapToGrid w:val="0"/>
                <w:color w:val="auto"/>
                <w:lang w:val="en-US" w:eastAsia="zh-CN"/>
              </w:rPr>
            </w:pPr>
            <w:r>
              <w:rPr>
                <w:rFonts w:hint="eastAsia" w:hAnsi="Times New Roman"/>
                <w:snapToGrid w:val="0"/>
                <w:color w:val="auto"/>
                <w:lang w:val="en-US" w:eastAsia="zh-CN"/>
              </w:rPr>
              <w:t>20.667</w:t>
            </w:r>
          </w:p>
        </w:tc>
        <w:tc>
          <w:tcPr>
            <w:tcW w:w="359" w:type="pct"/>
            <w:shd w:val="clear" w:color="auto" w:fill="auto"/>
            <w:vAlign w:val="center"/>
          </w:tcPr>
          <w:p>
            <w:pPr>
              <w:pStyle w:val="84"/>
              <w:rPr>
                <w:rFonts w:hint="default" w:hAnsi="Times New Roman" w:eastAsia="宋体"/>
                <w:snapToGrid w:val="0"/>
                <w:color w:val="auto"/>
                <w:lang w:val="en-US" w:eastAsia="zh-CN"/>
              </w:rPr>
            </w:pPr>
            <w:r>
              <w:rPr>
                <w:rFonts w:hint="eastAsia" w:hAnsi="Times New Roman"/>
                <w:snapToGrid w:val="0"/>
                <w:color w:val="auto"/>
                <w:lang w:val="en-US" w:eastAsia="zh-CN"/>
              </w:rPr>
              <w:t>0.103</w:t>
            </w:r>
          </w:p>
        </w:tc>
        <w:tc>
          <w:tcPr>
            <w:tcW w:w="549" w:type="pct"/>
            <w:vMerge w:val="restart"/>
            <w:shd w:val="clear" w:color="auto" w:fill="auto"/>
            <w:vAlign w:val="center"/>
          </w:tcPr>
          <w:p>
            <w:pPr>
              <w:pStyle w:val="84"/>
              <w:rPr>
                <w:rFonts w:hAnsi="Times New Roman"/>
                <w:snapToGrid w:val="0"/>
                <w:color w:val="auto"/>
              </w:rPr>
            </w:pPr>
            <w:r>
              <w:rPr>
                <w:rFonts w:hAnsi="Times New Roman"/>
                <w:color w:val="auto"/>
              </w:rPr>
              <w:t>活性炭吸附装置净化处理</w:t>
            </w:r>
          </w:p>
        </w:tc>
        <w:tc>
          <w:tcPr>
            <w:tcW w:w="402" w:type="pct"/>
            <w:vMerge w:val="restart"/>
            <w:shd w:val="clear" w:color="auto" w:fill="auto"/>
            <w:vAlign w:val="center"/>
          </w:tcPr>
          <w:p>
            <w:pPr>
              <w:pStyle w:val="84"/>
              <w:rPr>
                <w:rFonts w:hAnsi="Times New Roman"/>
                <w:snapToGrid w:val="0"/>
                <w:color w:val="auto"/>
              </w:rPr>
            </w:pPr>
            <w:r>
              <w:rPr>
                <w:rFonts w:hint="eastAsia" w:hAnsi="Times New Roman"/>
                <w:snapToGrid w:val="0"/>
                <w:color w:val="auto"/>
              </w:rPr>
              <w:t>70</w:t>
            </w:r>
          </w:p>
        </w:tc>
        <w:tc>
          <w:tcPr>
            <w:tcW w:w="252" w:type="pct"/>
            <w:vMerge w:val="continue"/>
            <w:shd w:val="clear" w:color="auto" w:fill="auto"/>
            <w:vAlign w:val="center"/>
          </w:tcPr>
          <w:p>
            <w:pPr>
              <w:pStyle w:val="84"/>
              <w:rPr>
                <w:rFonts w:hAnsi="Times New Roman"/>
                <w:snapToGrid w:val="0"/>
                <w:color w:val="FF0000"/>
              </w:rPr>
            </w:pPr>
          </w:p>
        </w:tc>
        <w:tc>
          <w:tcPr>
            <w:tcW w:w="353" w:type="pct"/>
            <w:vMerge w:val="restart"/>
            <w:shd w:val="clear" w:color="auto" w:fill="auto"/>
            <w:vAlign w:val="center"/>
          </w:tcPr>
          <w:p>
            <w:pPr>
              <w:pStyle w:val="84"/>
              <w:rPr>
                <w:rFonts w:hAnsi="Times New Roman"/>
                <w:snapToGrid w:val="0"/>
                <w:color w:val="auto"/>
              </w:rPr>
            </w:pPr>
            <w:r>
              <w:rPr>
                <w:rFonts w:hint="eastAsia" w:hAnsi="Times New Roman"/>
                <w:snapToGrid w:val="0"/>
                <w:color w:val="auto"/>
              </w:rPr>
              <w:t>5000</w:t>
            </w:r>
          </w:p>
        </w:tc>
        <w:tc>
          <w:tcPr>
            <w:tcW w:w="352" w:type="pct"/>
            <w:shd w:val="clear" w:color="auto" w:fill="auto"/>
            <w:vAlign w:val="center"/>
          </w:tcPr>
          <w:p>
            <w:pPr>
              <w:pStyle w:val="84"/>
              <w:rPr>
                <w:rFonts w:hint="default" w:hAnsi="Times New Roman" w:eastAsia="宋体"/>
                <w:snapToGrid w:val="0"/>
                <w:color w:val="auto"/>
                <w:lang w:val="en-US" w:eastAsia="zh-CN"/>
              </w:rPr>
            </w:pPr>
            <w:r>
              <w:rPr>
                <w:rFonts w:hint="eastAsia" w:hAnsi="Times New Roman"/>
                <w:snapToGrid w:val="0"/>
                <w:color w:val="auto"/>
                <w:lang w:val="en-US" w:eastAsia="zh-CN"/>
              </w:rPr>
              <w:t>6.2</w:t>
            </w:r>
          </w:p>
        </w:tc>
        <w:tc>
          <w:tcPr>
            <w:tcW w:w="361" w:type="pct"/>
            <w:shd w:val="clear" w:color="auto" w:fill="auto"/>
            <w:vAlign w:val="center"/>
          </w:tcPr>
          <w:p>
            <w:pPr>
              <w:pStyle w:val="84"/>
              <w:rPr>
                <w:rFonts w:hint="default" w:hAnsi="Times New Roman" w:eastAsia="宋体"/>
                <w:snapToGrid w:val="0"/>
                <w:color w:val="auto"/>
                <w:lang w:val="en-US" w:eastAsia="zh-CN"/>
              </w:rPr>
            </w:pPr>
            <w:r>
              <w:rPr>
                <w:rFonts w:hint="eastAsia" w:hAnsi="Times New Roman"/>
                <w:snapToGrid w:val="0"/>
                <w:color w:val="auto"/>
                <w:lang w:val="en-US" w:eastAsia="zh-CN"/>
              </w:rPr>
              <w:t>0.031</w:t>
            </w:r>
          </w:p>
        </w:tc>
        <w:tc>
          <w:tcPr>
            <w:tcW w:w="264" w:type="pct"/>
            <w:vMerge w:val="restart"/>
            <w:shd w:val="clear" w:color="auto" w:fill="auto"/>
            <w:vAlign w:val="center"/>
          </w:tcPr>
          <w:p>
            <w:pPr>
              <w:pStyle w:val="84"/>
              <w:rPr>
                <w:rFonts w:hAnsi="Times New Roman"/>
                <w:snapToGrid w:val="0"/>
                <w:color w:val="auto"/>
              </w:rPr>
            </w:pPr>
            <w:r>
              <w:rPr>
                <w:rFonts w:hint="eastAsia" w:hAnsi="Times New Roman"/>
                <w:snapToGrid w:val="0"/>
                <w:color w:val="auto"/>
              </w:rPr>
              <w:t>2400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39" w:type="pct"/>
            <w:vMerge w:val="continue"/>
            <w:shd w:val="clear" w:color="auto" w:fill="auto"/>
            <w:vAlign w:val="center"/>
          </w:tcPr>
          <w:p>
            <w:pPr>
              <w:pStyle w:val="84"/>
              <w:rPr>
                <w:rFonts w:hAnsi="Times New Roman"/>
                <w:snapToGrid w:val="0"/>
                <w:color w:val="auto"/>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251" w:type="pct"/>
            <w:vMerge w:val="continue"/>
            <w:shd w:val="clear" w:color="auto" w:fill="auto"/>
            <w:vAlign w:val="center"/>
          </w:tcPr>
          <w:p>
            <w:pPr>
              <w:pStyle w:val="84"/>
              <w:rPr>
                <w:rFonts w:hAnsi="Times New Roman"/>
                <w:snapToGrid w:val="0"/>
                <w:color w:val="auto"/>
                <w:szCs w:val="22"/>
              </w:rPr>
            </w:pPr>
          </w:p>
        </w:tc>
        <w:tc>
          <w:tcPr>
            <w:tcW w:w="3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H</w:t>
            </w:r>
            <w:r>
              <w:rPr>
                <w:rFonts w:hAnsi="Times New Roman"/>
                <w:snapToGrid w:val="0"/>
                <w:color w:val="auto"/>
                <w:szCs w:val="22"/>
                <w:vertAlign w:val="subscript"/>
              </w:rPr>
              <w:t>2</w:t>
            </w:r>
            <w:r>
              <w:rPr>
                <w:rFonts w:hAnsi="Times New Roman"/>
                <w:snapToGrid w:val="0"/>
                <w:color w:val="auto"/>
                <w:szCs w:val="22"/>
              </w:rPr>
              <w:t>S</w:t>
            </w:r>
          </w:p>
        </w:tc>
        <w:tc>
          <w:tcPr>
            <w:tcW w:w="253" w:type="pct"/>
            <w:vMerge w:val="continue"/>
            <w:shd w:val="clear" w:color="auto" w:fill="auto"/>
            <w:vAlign w:val="center"/>
          </w:tcPr>
          <w:p>
            <w:pPr>
              <w:pStyle w:val="84"/>
              <w:rPr>
                <w:rFonts w:hAnsi="Times New Roman"/>
                <w:snapToGrid w:val="0"/>
                <w:color w:val="FF0000"/>
                <w:szCs w:val="22"/>
              </w:rPr>
            </w:pPr>
          </w:p>
        </w:tc>
        <w:tc>
          <w:tcPr>
            <w:tcW w:w="302" w:type="pct"/>
            <w:vMerge w:val="continue"/>
            <w:shd w:val="clear" w:color="auto" w:fill="auto"/>
            <w:vAlign w:val="center"/>
          </w:tcPr>
          <w:p>
            <w:pPr>
              <w:pStyle w:val="84"/>
              <w:rPr>
                <w:rFonts w:hAnsi="Times New Roman"/>
                <w:snapToGrid w:val="0"/>
                <w:color w:val="auto"/>
                <w:szCs w:val="22"/>
              </w:rPr>
            </w:pPr>
          </w:p>
        </w:tc>
        <w:tc>
          <w:tcPr>
            <w:tcW w:w="401" w:type="pct"/>
            <w:shd w:val="clear" w:color="auto" w:fill="auto"/>
            <w:vAlign w:val="center"/>
          </w:tcPr>
          <w:p>
            <w:pPr>
              <w:pStyle w:val="84"/>
              <w:rPr>
                <w:rFonts w:hint="default" w:hAnsi="Times New Roman" w:eastAsia="宋体"/>
                <w:snapToGrid w:val="0"/>
                <w:color w:val="auto"/>
                <w:lang w:val="en-US" w:eastAsia="zh-CN"/>
              </w:rPr>
            </w:pPr>
            <w:r>
              <w:rPr>
                <w:rFonts w:hint="eastAsia" w:hAnsi="Times New Roman"/>
                <w:snapToGrid w:val="0"/>
                <w:color w:val="auto"/>
                <w:lang w:val="en-US" w:eastAsia="zh-CN"/>
              </w:rPr>
              <w:t>2.2</w:t>
            </w:r>
          </w:p>
        </w:tc>
        <w:tc>
          <w:tcPr>
            <w:tcW w:w="359" w:type="pct"/>
            <w:shd w:val="clear" w:color="auto" w:fill="auto"/>
            <w:vAlign w:val="center"/>
          </w:tcPr>
          <w:p>
            <w:pPr>
              <w:pStyle w:val="84"/>
              <w:rPr>
                <w:rFonts w:hint="default" w:hAnsi="Times New Roman" w:eastAsia="宋体"/>
                <w:snapToGrid w:val="0"/>
                <w:color w:val="auto"/>
                <w:lang w:val="en-US" w:eastAsia="zh-CN"/>
              </w:rPr>
            </w:pPr>
            <w:r>
              <w:rPr>
                <w:rFonts w:hint="eastAsia" w:hAnsi="Times New Roman"/>
                <w:snapToGrid w:val="0"/>
                <w:color w:val="auto"/>
                <w:lang w:val="en-US" w:eastAsia="zh-CN"/>
              </w:rPr>
              <w:t>0.011</w:t>
            </w:r>
          </w:p>
        </w:tc>
        <w:tc>
          <w:tcPr>
            <w:tcW w:w="549" w:type="pct"/>
            <w:vMerge w:val="continue"/>
            <w:shd w:val="clear" w:color="auto" w:fill="auto"/>
            <w:vAlign w:val="center"/>
          </w:tcPr>
          <w:p>
            <w:pPr>
              <w:pStyle w:val="84"/>
              <w:rPr>
                <w:rFonts w:hAnsi="Times New Roman"/>
                <w:snapToGrid w:val="0"/>
                <w:color w:val="auto"/>
              </w:rPr>
            </w:pPr>
          </w:p>
        </w:tc>
        <w:tc>
          <w:tcPr>
            <w:tcW w:w="402" w:type="pct"/>
            <w:vMerge w:val="continue"/>
            <w:shd w:val="clear" w:color="auto" w:fill="auto"/>
            <w:vAlign w:val="center"/>
          </w:tcPr>
          <w:p>
            <w:pPr>
              <w:pStyle w:val="84"/>
              <w:rPr>
                <w:rFonts w:hAnsi="Times New Roman"/>
                <w:snapToGrid w:val="0"/>
                <w:color w:val="auto"/>
              </w:rPr>
            </w:pPr>
          </w:p>
        </w:tc>
        <w:tc>
          <w:tcPr>
            <w:tcW w:w="252" w:type="pct"/>
            <w:vMerge w:val="continue"/>
            <w:shd w:val="clear" w:color="auto" w:fill="auto"/>
            <w:vAlign w:val="center"/>
          </w:tcPr>
          <w:p>
            <w:pPr>
              <w:pStyle w:val="84"/>
              <w:rPr>
                <w:rFonts w:hAnsi="Times New Roman"/>
                <w:snapToGrid w:val="0"/>
                <w:color w:val="FF0000"/>
              </w:rPr>
            </w:pPr>
          </w:p>
        </w:tc>
        <w:tc>
          <w:tcPr>
            <w:tcW w:w="353" w:type="pct"/>
            <w:vMerge w:val="continue"/>
            <w:shd w:val="clear" w:color="auto" w:fill="auto"/>
            <w:vAlign w:val="center"/>
          </w:tcPr>
          <w:p>
            <w:pPr>
              <w:pStyle w:val="84"/>
              <w:rPr>
                <w:rFonts w:hAnsi="Times New Roman"/>
                <w:snapToGrid w:val="0"/>
                <w:color w:val="auto"/>
              </w:rPr>
            </w:pPr>
          </w:p>
        </w:tc>
        <w:tc>
          <w:tcPr>
            <w:tcW w:w="352" w:type="pct"/>
            <w:shd w:val="clear" w:color="auto" w:fill="auto"/>
            <w:vAlign w:val="center"/>
          </w:tcPr>
          <w:p>
            <w:pPr>
              <w:pStyle w:val="84"/>
              <w:rPr>
                <w:rFonts w:hint="default" w:hAnsi="Times New Roman" w:eastAsia="宋体"/>
                <w:snapToGrid w:val="0"/>
                <w:color w:val="auto"/>
                <w:lang w:val="en-US" w:eastAsia="zh-CN"/>
              </w:rPr>
            </w:pPr>
            <w:r>
              <w:rPr>
                <w:rFonts w:hint="eastAsia" w:hAnsi="Times New Roman"/>
                <w:snapToGrid w:val="0"/>
                <w:color w:val="auto"/>
                <w:lang w:val="en-US" w:eastAsia="zh-CN"/>
              </w:rPr>
              <w:t>0.66</w:t>
            </w:r>
          </w:p>
        </w:tc>
        <w:tc>
          <w:tcPr>
            <w:tcW w:w="361" w:type="pct"/>
            <w:shd w:val="clear" w:color="auto" w:fill="auto"/>
            <w:vAlign w:val="center"/>
          </w:tcPr>
          <w:p>
            <w:pPr>
              <w:pStyle w:val="84"/>
              <w:rPr>
                <w:rFonts w:hAnsi="Times New Roman"/>
                <w:snapToGrid w:val="0"/>
                <w:color w:val="auto"/>
              </w:rPr>
            </w:pPr>
            <w:r>
              <w:rPr>
                <w:rFonts w:ascii="Times New Roman" w:hAnsi="Times New Roman" w:eastAsia="宋体" w:cs="Times New Roman"/>
                <w:color w:val="auto"/>
              </w:rPr>
              <w:t>0.00</w:t>
            </w:r>
            <w:r>
              <w:rPr>
                <w:rFonts w:hint="eastAsia" w:ascii="Times New Roman" w:hAnsi="Times New Roman" w:eastAsia="宋体" w:cs="Times New Roman"/>
                <w:color w:val="auto"/>
                <w:lang w:val="en-US" w:eastAsia="zh-CN"/>
              </w:rPr>
              <w:t>3</w:t>
            </w:r>
            <w:r>
              <w:rPr>
                <w:rFonts w:hint="eastAsia" w:ascii="Times New Roman" w:hAnsi="Times New Roman" w:eastAsia="宋体" w:cs="Times New Roman"/>
                <w:color w:val="auto"/>
              </w:rPr>
              <w:t>3</w:t>
            </w:r>
          </w:p>
        </w:tc>
        <w:tc>
          <w:tcPr>
            <w:tcW w:w="264" w:type="pct"/>
            <w:vMerge w:val="continue"/>
            <w:shd w:val="clear" w:color="auto" w:fill="auto"/>
            <w:vAlign w:val="center"/>
          </w:tcPr>
          <w:p>
            <w:pPr>
              <w:pStyle w:val="84"/>
              <w:rPr>
                <w:rFonts w:hAnsi="Times New Roman"/>
                <w:snapToGrid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39" w:type="pct"/>
            <w:vMerge w:val="continue"/>
            <w:shd w:val="clear" w:color="auto" w:fill="auto"/>
            <w:vAlign w:val="center"/>
          </w:tcPr>
          <w:p>
            <w:pPr>
              <w:pStyle w:val="84"/>
              <w:rPr>
                <w:rFonts w:hAnsi="Times New Roman"/>
                <w:snapToGrid w:val="0"/>
                <w:color w:val="auto"/>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251" w:type="pct"/>
            <w:vMerge w:val="continue"/>
            <w:shd w:val="clear" w:color="auto" w:fill="auto"/>
            <w:vAlign w:val="center"/>
          </w:tcPr>
          <w:p>
            <w:pPr>
              <w:pStyle w:val="84"/>
              <w:rPr>
                <w:rFonts w:hAnsi="Times New Roman"/>
                <w:snapToGrid w:val="0"/>
                <w:color w:val="auto"/>
                <w:szCs w:val="22"/>
              </w:rPr>
            </w:pPr>
          </w:p>
        </w:tc>
        <w:tc>
          <w:tcPr>
            <w:tcW w:w="3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臭气浓度</w:t>
            </w:r>
          </w:p>
        </w:tc>
        <w:tc>
          <w:tcPr>
            <w:tcW w:w="253" w:type="pct"/>
            <w:vMerge w:val="continue"/>
            <w:shd w:val="clear" w:color="auto" w:fill="auto"/>
            <w:vAlign w:val="center"/>
          </w:tcPr>
          <w:p>
            <w:pPr>
              <w:pStyle w:val="84"/>
              <w:rPr>
                <w:rFonts w:hAnsi="Times New Roman"/>
                <w:snapToGrid w:val="0"/>
                <w:color w:val="FF0000"/>
                <w:szCs w:val="22"/>
              </w:rPr>
            </w:pPr>
          </w:p>
        </w:tc>
        <w:tc>
          <w:tcPr>
            <w:tcW w:w="302" w:type="pct"/>
            <w:vMerge w:val="continue"/>
            <w:shd w:val="clear" w:color="auto" w:fill="auto"/>
            <w:vAlign w:val="center"/>
          </w:tcPr>
          <w:p>
            <w:pPr>
              <w:pStyle w:val="84"/>
              <w:rPr>
                <w:rFonts w:hAnsi="Times New Roman"/>
                <w:snapToGrid w:val="0"/>
                <w:color w:val="auto"/>
                <w:szCs w:val="22"/>
              </w:rPr>
            </w:pPr>
          </w:p>
        </w:tc>
        <w:tc>
          <w:tcPr>
            <w:tcW w:w="760" w:type="pct"/>
            <w:gridSpan w:val="2"/>
            <w:shd w:val="clear" w:color="auto" w:fill="auto"/>
            <w:vAlign w:val="center"/>
          </w:tcPr>
          <w:p>
            <w:pPr>
              <w:pStyle w:val="84"/>
              <w:rPr>
                <w:rFonts w:hAnsi="Times New Roman"/>
                <w:snapToGrid w:val="0"/>
                <w:color w:val="auto"/>
              </w:rPr>
            </w:pPr>
            <w:r>
              <w:rPr>
                <w:rFonts w:hint="eastAsia" w:hAnsi="Times New Roman"/>
                <w:snapToGrid w:val="0"/>
                <w:color w:val="auto"/>
                <w:lang w:val="en-US" w:eastAsia="zh-CN"/>
              </w:rPr>
              <w:t>4386</w:t>
            </w:r>
            <w:r>
              <w:rPr>
                <w:rFonts w:hint="eastAsia" w:hAnsi="Times New Roman"/>
                <w:snapToGrid w:val="0"/>
                <w:color w:val="auto"/>
              </w:rPr>
              <w:t>（无量纲）</w:t>
            </w:r>
          </w:p>
        </w:tc>
        <w:tc>
          <w:tcPr>
            <w:tcW w:w="549" w:type="pct"/>
            <w:vMerge w:val="continue"/>
            <w:shd w:val="clear" w:color="auto" w:fill="auto"/>
            <w:vAlign w:val="center"/>
          </w:tcPr>
          <w:p>
            <w:pPr>
              <w:pStyle w:val="84"/>
              <w:rPr>
                <w:rFonts w:hAnsi="Times New Roman"/>
                <w:snapToGrid w:val="0"/>
                <w:color w:val="auto"/>
              </w:rPr>
            </w:pPr>
          </w:p>
        </w:tc>
        <w:tc>
          <w:tcPr>
            <w:tcW w:w="402" w:type="pct"/>
            <w:vMerge w:val="continue"/>
            <w:shd w:val="clear" w:color="auto" w:fill="auto"/>
            <w:vAlign w:val="center"/>
          </w:tcPr>
          <w:p>
            <w:pPr>
              <w:pStyle w:val="84"/>
              <w:rPr>
                <w:rFonts w:hAnsi="Times New Roman"/>
                <w:snapToGrid w:val="0"/>
                <w:color w:val="auto"/>
              </w:rPr>
            </w:pPr>
          </w:p>
        </w:tc>
        <w:tc>
          <w:tcPr>
            <w:tcW w:w="252" w:type="pct"/>
            <w:vMerge w:val="continue"/>
            <w:shd w:val="clear" w:color="auto" w:fill="auto"/>
            <w:vAlign w:val="center"/>
          </w:tcPr>
          <w:p>
            <w:pPr>
              <w:pStyle w:val="84"/>
              <w:rPr>
                <w:rFonts w:hAnsi="Times New Roman"/>
                <w:snapToGrid w:val="0"/>
                <w:color w:val="FF0000"/>
              </w:rPr>
            </w:pPr>
          </w:p>
        </w:tc>
        <w:tc>
          <w:tcPr>
            <w:tcW w:w="353" w:type="pct"/>
            <w:vMerge w:val="continue"/>
            <w:shd w:val="clear" w:color="auto" w:fill="auto"/>
            <w:vAlign w:val="center"/>
          </w:tcPr>
          <w:p>
            <w:pPr>
              <w:pStyle w:val="84"/>
              <w:rPr>
                <w:rFonts w:hAnsi="Times New Roman"/>
                <w:snapToGrid w:val="0"/>
                <w:color w:val="auto"/>
              </w:rPr>
            </w:pPr>
          </w:p>
        </w:tc>
        <w:tc>
          <w:tcPr>
            <w:tcW w:w="714" w:type="pct"/>
            <w:gridSpan w:val="2"/>
            <w:shd w:val="clear" w:color="auto" w:fill="auto"/>
            <w:vAlign w:val="center"/>
          </w:tcPr>
          <w:p>
            <w:pPr>
              <w:pStyle w:val="84"/>
              <w:rPr>
                <w:rFonts w:hAnsi="Times New Roman"/>
                <w:snapToGrid w:val="0"/>
                <w:color w:val="auto"/>
              </w:rPr>
            </w:pPr>
            <w:r>
              <w:rPr>
                <w:rFonts w:hint="eastAsia" w:hAnsi="Times New Roman"/>
                <w:color w:val="auto"/>
                <w:lang w:val="en-US" w:eastAsia="zh-CN"/>
              </w:rPr>
              <w:t>1316</w:t>
            </w:r>
            <w:r>
              <w:rPr>
                <w:rFonts w:hint="eastAsia" w:hAnsi="Times New Roman"/>
                <w:color w:val="auto"/>
              </w:rPr>
              <w:t>（无量纲）</w:t>
            </w:r>
          </w:p>
        </w:tc>
        <w:tc>
          <w:tcPr>
            <w:tcW w:w="264" w:type="pct"/>
            <w:vMerge w:val="continue"/>
            <w:shd w:val="clear" w:color="auto" w:fill="auto"/>
            <w:vAlign w:val="center"/>
          </w:tcPr>
          <w:p>
            <w:pPr>
              <w:pStyle w:val="84"/>
              <w:rPr>
                <w:rFonts w:hAnsi="Times New Roman"/>
                <w:snapToGrid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39" w:type="pct"/>
            <w:vMerge w:val="continue"/>
            <w:shd w:val="clear" w:color="auto" w:fill="auto"/>
            <w:vAlign w:val="center"/>
          </w:tcPr>
          <w:p>
            <w:pPr>
              <w:pStyle w:val="84"/>
              <w:rPr>
                <w:rFonts w:hAnsi="Times New Roman"/>
                <w:snapToGrid w:val="0"/>
                <w:color w:val="auto"/>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251"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无组织</w:t>
            </w:r>
          </w:p>
        </w:tc>
        <w:tc>
          <w:tcPr>
            <w:tcW w:w="3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NH</w:t>
            </w:r>
            <w:r>
              <w:rPr>
                <w:rFonts w:hAnsi="Times New Roman"/>
                <w:snapToGrid w:val="0"/>
                <w:color w:val="auto"/>
                <w:szCs w:val="22"/>
                <w:vertAlign w:val="subscript"/>
              </w:rPr>
              <w:t>3</w:t>
            </w:r>
          </w:p>
        </w:tc>
        <w:tc>
          <w:tcPr>
            <w:tcW w:w="253" w:type="pct"/>
            <w:vMerge w:val="continue"/>
            <w:shd w:val="clear" w:color="auto" w:fill="auto"/>
            <w:vAlign w:val="center"/>
          </w:tcPr>
          <w:p>
            <w:pPr>
              <w:pStyle w:val="84"/>
              <w:rPr>
                <w:rFonts w:hAnsi="Times New Roman"/>
                <w:snapToGrid w:val="0"/>
                <w:color w:val="FF0000"/>
                <w:szCs w:val="22"/>
              </w:rPr>
            </w:pPr>
          </w:p>
        </w:tc>
        <w:tc>
          <w:tcPr>
            <w:tcW w:w="302"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401"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359" w:type="pct"/>
            <w:shd w:val="clear" w:color="auto" w:fill="auto"/>
            <w:vAlign w:val="center"/>
          </w:tcPr>
          <w:p>
            <w:pPr>
              <w:pStyle w:val="84"/>
              <w:rPr>
                <w:rFonts w:hint="default" w:hAnsi="Times New Roman" w:eastAsia="宋体"/>
                <w:color w:val="auto"/>
                <w:lang w:val="en-US" w:eastAsia="zh-CN"/>
              </w:rPr>
            </w:pPr>
            <w:r>
              <w:rPr>
                <w:rFonts w:hint="eastAsia" w:hAnsi="Times New Roman"/>
                <w:color w:val="auto"/>
                <w:lang w:val="en-US" w:eastAsia="zh-CN"/>
              </w:rPr>
              <w:t>0.026</w:t>
            </w:r>
          </w:p>
        </w:tc>
        <w:tc>
          <w:tcPr>
            <w:tcW w:w="549"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4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252" w:type="pct"/>
            <w:vMerge w:val="continue"/>
            <w:shd w:val="clear" w:color="auto" w:fill="auto"/>
            <w:vAlign w:val="center"/>
          </w:tcPr>
          <w:p>
            <w:pPr>
              <w:pStyle w:val="84"/>
              <w:rPr>
                <w:rFonts w:hAnsi="Times New Roman"/>
                <w:snapToGrid w:val="0"/>
                <w:color w:val="FF0000"/>
                <w:szCs w:val="22"/>
              </w:rPr>
            </w:pPr>
          </w:p>
        </w:tc>
        <w:tc>
          <w:tcPr>
            <w:tcW w:w="353"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352"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361" w:type="pct"/>
            <w:shd w:val="clear" w:color="auto" w:fill="auto"/>
            <w:vAlign w:val="center"/>
          </w:tcPr>
          <w:p>
            <w:pPr>
              <w:pStyle w:val="84"/>
              <w:rPr>
                <w:rFonts w:hAnsi="Times New Roman"/>
                <w:color w:val="auto"/>
              </w:rPr>
            </w:pPr>
            <w:r>
              <w:rPr>
                <w:rFonts w:hint="eastAsia" w:hAnsi="Times New Roman"/>
                <w:color w:val="auto"/>
                <w:lang w:val="en-US" w:eastAsia="zh-CN"/>
              </w:rPr>
              <w:t>0.026</w:t>
            </w:r>
          </w:p>
        </w:tc>
        <w:tc>
          <w:tcPr>
            <w:tcW w:w="264" w:type="pct"/>
            <w:vMerge w:val="continue"/>
            <w:shd w:val="clear" w:color="auto" w:fill="auto"/>
            <w:vAlign w:val="center"/>
          </w:tcPr>
          <w:p>
            <w:pPr>
              <w:pStyle w:val="84"/>
              <w:rPr>
                <w:rFonts w:hAnsi="Times New Roman"/>
                <w:snapToGrid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39" w:type="pct"/>
            <w:vMerge w:val="continue"/>
            <w:shd w:val="clear" w:color="auto" w:fill="auto"/>
            <w:vAlign w:val="center"/>
          </w:tcPr>
          <w:p>
            <w:pPr>
              <w:pStyle w:val="84"/>
              <w:rPr>
                <w:rFonts w:hAnsi="Times New Roman"/>
                <w:snapToGrid w:val="0"/>
                <w:color w:val="auto"/>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251" w:type="pct"/>
            <w:vMerge w:val="continue"/>
            <w:shd w:val="clear" w:color="auto" w:fill="auto"/>
            <w:vAlign w:val="center"/>
          </w:tcPr>
          <w:p>
            <w:pPr>
              <w:pStyle w:val="84"/>
              <w:rPr>
                <w:rFonts w:hAnsi="Times New Roman"/>
                <w:snapToGrid w:val="0"/>
                <w:color w:val="auto"/>
                <w:szCs w:val="22"/>
              </w:rPr>
            </w:pPr>
          </w:p>
        </w:tc>
        <w:tc>
          <w:tcPr>
            <w:tcW w:w="3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H</w:t>
            </w:r>
            <w:r>
              <w:rPr>
                <w:rFonts w:hAnsi="Times New Roman"/>
                <w:snapToGrid w:val="0"/>
                <w:color w:val="auto"/>
                <w:szCs w:val="22"/>
                <w:vertAlign w:val="subscript"/>
              </w:rPr>
              <w:t>2</w:t>
            </w:r>
            <w:r>
              <w:rPr>
                <w:rFonts w:hAnsi="Times New Roman"/>
                <w:snapToGrid w:val="0"/>
                <w:color w:val="auto"/>
                <w:szCs w:val="22"/>
              </w:rPr>
              <w:t>S</w:t>
            </w:r>
          </w:p>
        </w:tc>
        <w:tc>
          <w:tcPr>
            <w:tcW w:w="253" w:type="pct"/>
            <w:vMerge w:val="continue"/>
            <w:shd w:val="clear" w:color="auto" w:fill="auto"/>
            <w:vAlign w:val="center"/>
          </w:tcPr>
          <w:p>
            <w:pPr>
              <w:pStyle w:val="84"/>
              <w:rPr>
                <w:rFonts w:hAnsi="Times New Roman"/>
                <w:snapToGrid w:val="0"/>
                <w:color w:val="FF0000"/>
                <w:szCs w:val="22"/>
              </w:rPr>
            </w:pPr>
          </w:p>
        </w:tc>
        <w:tc>
          <w:tcPr>
            <w:tcW w:w="302" w:type="pct"/>
            <w:vMerge w:val="continue"/>
            <w:shd w:val="clear" w:color="auto" w:fill="auto"/>
            <w:vAlign w:val="center"/>
          </w:tcPr>
          <w:p>
            <w:pPr>
              <w:pStyle w:val="84"/>
              <w:rPr>
                <w:rFonts w:hAnsi="Times New Roman"/>
                <w:snapToGrid w:val="0"/>
                <w:color w:val="auto"/>
                <w:szCs w:val="22"/>
              </w:rPr>
            </w:pPr>
          </w:p>
        </w:tc>
        <w:tc>
          <w:tcPr>
            <w:tcW w:w="401"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359" w:type="pct"/>
            <w:shd w:val="clear" w:color="auto" w:fill="auto"/>
            <w:vAlign w:val="center"/>
          </w:tcPr>
          <w:p>
            <w:pPr>
              <w:pStyle w:val="84"/>
              <w:rPr>
                <w:rFonts w:hint="default" w:hAnsi="Times New Roman" w:eastAsia="宋体"/>
                <w:color w:val="auto"/>
                <w:lang w:val="en-US" w:eastAsia="zh-CN"/>
              </w:rPr>
            </w:pPr>
            <w:r>
              <w:rPr>
                <w:rFonts w:hint="eastAsia" w:hAnsi="Times New Roman"/>
                <w:color w:val="auto"/>
                <w:szCs w:val="24"/>
                <w:lang w:val="en-US" w:eastAsia="zh-CN"/>
              </w:rPr>
              <w:t>0.0027</w:t>
            </w:r>
          </w:p>
        </w:tc>
        <w:tc>
          <w:tcPr>
            <w:tcW w:w="549"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4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252" w:type="pct"/>
            <w:vMerge w:val="continue"/>
            <w:shd w:val="clear" w:color="auto" w:fill="auto"/>
            <w:vAlign w:val="center"/>
          </w:tcPr>
          <w:p>
            <w:pPr>
              <w:pStyle w:val="84"/>
              <w:rPr>
                <w:rFonts w:hAnsi="Times New Roman"/>
                <w:snapToGrid w:val="0"/>
                <w:color w:val="FF0000"/>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352"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361" w:type="pct"/>
            <w:shd w:val="clear" w:color="auto" w:fill="auto"/>
            <w:vAlign w:val="center"/>
          </w:tcPr>
          <w:p>
            <w:pPr>
              <w:pStyle w:val="84"/>
              <w:rPr>
                <w:rFonts w:hAnsi="Times New Roman"/>
                <w:color w:val="auto"/>
              </w:rPr>
            </w:pPr>
            <w:r>
              <w:rPr>
                <w:rFonts w:hint="eastAsia" w:hAnsi="Times New Roman"/>
                <w:color w:val="auto"/>
                <w:szCs w:val="24"/>
                <w:lang w:val="en-US" w:eastAsia="zh-CN"/>
              </w:rPr>
              <w:t>0.0027</w:t>
            </w:r>
          </w:p>
        </w:tc>
        <w:tc>
          <w:tcPr>
            <w:tcW w:w="264" w:type="pct"/>
            <w:vMerge w:val="continue"/>
            <w:shd w:val="clear" w:color="auto" w:fill="auto"/>
            <w:vAlign w:val="center"/>
          </w:tcPr>
          <w:p>
            <w:pPr>
              <w:pStyle w:val="84"/>
              <w:rPr>
                <w:rFonts w:hAnsi="Times New Roman"/>
                <w:snapToGrid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39" w:type="pct"/>
            <w:vMerge w:val="continue"/>
            <w:shd w:val="clear" w:color="auto" w:fill="auto"/>
            <w:vAlign w:val="center"/>
          </w:tcPr>
          <w:p>
            <w:pPr>
              <w:pStyle w:val="84"/>
              <w:rPr>
                <w:rFonts w:hAnsi="Times New Roman"/>
                <w:snapToGrid w:val="0"/>
                <w:color w:val="auto"/>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251" w:type="pct"/>
            <w:vMerge w:val="continue"/>
            <w:shd w:val="clear" w:color="auto" w:fill="auto"/>
            <w:vAlign w:val="center"/>
          </w:tcPr>
          <w:p>
            <w:pPr>
              <w:pStyle w:val="84"/>
              <w:rPr>
                <w:rFonts w:hAnsi="Times New Roman"/>
                <w:snapToGrid w:val="0"/>
                <w:color w:val="auto"/>
                <w:szCs w:val="22"/>
              </w:rPr>
            </w:pPr>
          </w:p>
        </w:tc>
        <w:tc>
          <w:tcPr>
            <w:tcW w:w="3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臭气浓度</w:t>
            </w:r>
          </w:p>
        </w:tc>
        <w:tc>
          <w:tcPr>
            <w:tcW w:w="253" w:type="pct"/>
            <w:vMerge w:val="continue"/>
            <w:shd w:val="clear" w:color="auto" w:fill="auto"/>
            <w:vAlign w:val="center"/>
          </w:tcPr>
          <w:p>
            <w:pPr>
              <w:pStyle w:val="84"/>
              <w:rPr>
                <w:rFonts w:hAnsi="Times New Roman"/>
                <w:snapToGrid w:val="0"/>
                <w:color w:val="FF0000"/>
                <w:szCs w:val="22"/>
              </w:rPr>
            </w:pPr>
          </w:p>
        </w:tc>
        <w:tc>
          <w:tcPr>
            <w:tcW w:w="1063" w:type="pct"/>
            <w:gridSpan w:val="3"/>
            <w:shd w:val="clear" w:color="auto" w:fill="auto"/>
            <w:vAlign w:val="center"/>
          </w:tcPr>
          <w:p>
            <w:pPr>
              <w:pStyle w:val="84"/>
              <w:rPr>
                <w:rFonts w:hAnsi="Times New Roman"/>
                <w:bCs/>
                <w:color w:val="auto"/>
              </w:rPr>
            </w:pPr>
            <w:r>
              <w:rPr>
                <w:rFonts w:hint="eastAsia" w:hAnsi="Times New Roman"/>
                <w:bCs/>
                <w:color w:val="auto"/>
                <w:lang w:val="en-US" w:eastAsia="zh-CN"/>
              </w:rPr>
              <w:t>1096</w:t>
            </w:r>
            <w:r>
              <w:rPr>
                <w:rFonts w:hint="eastAsia" w:hAnsi="Times New Roman"/>
                <w:bCs/>
                <w:color w:val="auto"/>
              </w:rPr>
              <w:t>（无量纲）</w:t>
            </w:r>
          </w:p>
        </w:tc>
        <w:tc>
          <w:tcPr>
            <w:tcW w:w="549"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4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252" w:type="pct"/>
            <w:vMerge w:val="continue"/>
            <w:shd w:val="clear" w:color="auto" w:fill="auto"/>
            <w:vAlign w:val="center"/>
          </w:tcPr>
          <w:p>
            <w:pPr>
              <w:pStyle w:val="84"/>
              <w:rPr>
                <w:rFonts w:hAnsi="Times New Roman"/>
                <w:snapToGrid w:val="0"/>
                <w:color w:val="auto"/>
                <w:szCs w:val="22"/>
              </w:rPr>
            </w:pPr>
          </w:p>
        </w:tc>
        <w:tc>
          <w:tcPr>
            <w:tcW w:w="1067" w:type="pct"/>
            <w:gridSpan w:val="3"/>
            <w:shd w:val="clear" w:color="auto" w:fill="auto"/>
            <w:vAlign w:val="center"/>
          </w:tcPr>
          <w:p>
            <w:pPr>
              <w:pStyle w:val="84"/>
              <w:rPr>
                <w:rFonts w:hAnsi="Times New Roman"/>
                <w:bCs/>
                <w:color w:val="auto"/>
              </w:rPr>
            </w:pPr>
            <w:r>
              <w:rPr>
                <w:rFonts w:hint="eastAsia" w:hAnsi="Times New Roman"/>
                <w:snapToGrid w:val="0"/>
                <w:color w:val="auto"/>
                <w:szCs w:val="22"/>
              </w:rPr>
              <w:t>厂界＜20（无量纲）</w:t>
            </w:r>
          </w:p>
        </w:tc>
        <w:tc>
          <w:tcPr>
            <w:tcW w:w="264" w:type="pct"/>
            <w:vMerge w:val="continue"/>
            <w:shd w:val="clear" w:color="auto" w:fill="auto"/>
            <w:vAlign w:val="center"/>
          </w:tcPr>
          <w:p>
            <w:pPr>
              <w:pStyle w:val="84"/>
              <w:rPr>
                <w:rFonts w:hAnsi="Times New Roman"/>
                <w:snapToGrid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39"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水处理</w:t>
            </w:r>
          </w:p>
        </w:tc>
        <w:tc>
          <w:tcPr>
            <w:tcW w:w="353" w:type="pct"/>
            <w:vMerge w:val="restart"/>
            <w:shd w:val="clear" w:color="auto" w:fill="auto"/>
            <w:vAlign w:val="center"/>
          </w:tcPr>
          <w:p>
            <w:pPr>
              <w:pStyle w:val="84"/>
              <w:rPr>
                <w:rFonts w:hAnsi="Times New Roman"/>
                <w:snapToGrid w:val="0"/>
                <w:color w:val="auto"/>
                <w:szCs w:val="22"/>
              </w:rPr>
            </w:pPr>
            <w:r>
              <w:rPr>
                <w:rFonts w:hint="eastAsia" w:hAnsi="Times New Roman"/>
                <w:snapToGrid w:val="0"/>
                <w:color w:val="auto"/>
                <w:szCs w:val="22"/>
              </w:rPr>
              <w:t>污水处理站</w:t>
            </w:r>
          </w:p>
        </w:tc>
        <w:tc>
          <w:tcPr>
            <w:tcW w:w="251"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排气筒</w:t>
            </w:r>
          </w:p>
        </w:tc>
        <w:tc>
          <w:tcPr>
            <w:tcW w:w="3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NH</w:t>
            </w:r>
            <w:r>
              <w:rPr>
                <w:rFonts w:hAnsi="Times New Roman"/>
                <w:snapToGrid w:val="0"/>
                <w:color w:val="auto"/>
                <w:szCs w:val="22"/>
                <w:vertAlign w:val="subscript"/>
              </w:rPr>
              <w:t>3</w:t>
            </w:r>
          </w:p>
        </w:tc>
        <w:tc>
          <w:tcPr>
            <w:tcW w:w="253"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产污系数法</w:t>
            </w:r>
          </w:p>
        </w:tc>
        <w:tc>
          <w:tcPr>
            <w:tcW w:w="302" w:type="pct"/>
            <w:vMerge w:val="restart"/>
            <w:shd w:val="clear" w:color="auto" w:fill="auto"/>
            <w:vAlign w:val="center"/>
          </w:tcPr>
          <w:p>
            <w:pPr>
              <w:pStyle w:val="84"/>
              <w:rPr>
                <w:rFonts w:hAnsi="Times New Roman"/>
                <w:snapToGrid w:val="0"/>
                <w:color w:val="auto"/>
                <w:szCs w:val="22"/>
              </w:rPr>
            </w:pPr>
            <w:r>
              <w:rPr>
                <w:rFonts w:hint="eastAsia" w:hAnsi="Times New Roman"/>
                <w:snapToGrid w:val="0"/>
                <w:color w:val="auto"/>
                <w:szCs w:val="22"/>
              </w:rPr>
              <w:t>5000</w:t>
            </w:r>
          </w:p>
        </w:tc>
        <w:tc>
          <w:tcPr>
            <w:tcW w:w="401" w:type="pct"/>
            <w:shd w:val="clear" w:color="auto" w:fill="auto"/>
            <w:vAlign w:val="center"/>
          </w:tcPr>
          <w:p>
            <w:pPr>
              <w:pStyle w:val="84"/>
              <w:rPr>
                <w:rFonts w:hint="default" w:hAnsi="Times New Roman" w:eastAsia="宋体"/>
                <w:snapToGrid w:val="0"/>
                <w:color w:val="auto"/>
                <w:lang w:val="en-US" w:eastAsia="zh-CN"/>
              </w:rPr>
            </w:pPr>
            <w:r>
              <w:rPr>
                <w:rFonts w:hint="eastAsia" w:hAnsi="Times New Roman"/>
                <w:snapToGrid w:val="0"/>
                <w:color w:val="auto"/>
                <w:lang w:val="en-US" w:eastAsia="zh-CN"/>
              </w:rPr>
              <w:t>3.07</w:t>
            </w:r>
          </w:p>
        </w:tc>
        <w:tc>
          <w:tcPr>
            <w:tcW w:w="359" w:type="pct"/>
            <w:shd w:val="clear" w:color="auto" w:fill="auto"/>
            <w:vAlign w:val="center"/>
          </w:tcPr>
          <w:p>
            <w:pPr>
              <w:pStyle w:val="84"/>
              <w:rPr>
                <w:rFonts w:hint="default" w:hAnsi="Times New Roman" w:eastAsia="宋体"/>
                <w:bCs/>
                <w:color w:val="auto"/>
                <w:lang w:val="en-US" w:eastAsia="zh-CN"/>
              </w:rPr>
            </w:pPr>
            <w:r>
              <w:rPr>
                <w:rFonts w:hint="eastAsia" w:hAnsi="Times New Roman"/>
                <w:bCs/>
                <w:color w:val="auto"/>
                <w:lang w:val="en-US" w:eastAsia="zh-CN"/>
              </w:rPr>
              <w:t>0.0153</w:t>
            </w:r>
          </w:p>
        </w:tc>
        <w:tc>
          <w:tcPr>
            <w:tcW w:w="549" w:type="pct"/>
            <w:vMerge w:val="restart"/>
            <w:shd w:val="clear" w:color="auto" w:fill="auto"/>
            <w:vAlign w:val="center"/>
          </w:tcPr>
          <w:p>
            <w:pPr>
              <w:pStyle w:val="84"/>
              <w:rPr>
                <w:rFonts w:hAnsi="Times New Roman"/>
                <w:snapToGrid w:val="0"/>
                <w:color w:val="auto"/>
                <w:szCs w:val="22"/>
              </w:rPr>
            </w:pPr>
            <w:r>
              <w:rPr>
                <w:rFonts w:hAnsi="Times New Roman"/>
                <w:color w:val="auto"/>
                <w:szCs w:val="22"/>
              </w:rPr>
              <w:t>活性炭吸附装置净化处理</w:t>
            </w:r>
          </w:p>
        </w:tc>
        <w:tc>
          <w:tcPr>
            <w:tcW w:w="402" w:type="pct"/>
            <w:vMerge w:val="restart"/>
            <w:shd w:val="clear" w:color="auto" w:fill="auto"/>
            <w:vAlign w:val="center"/>
          </w:tcPr>
          <w:p>
            <w:pPr>
              <w:pStyle w:val="84"/>
              <w:rPr>
                <w:rFonts w:hAnsi="Times New Roman"/>
                <w:snapToGrid w:val="0"/>
                <w:color w:val="auto"/>
                <w:szCs w:val="22"/>
              </w:rPr>
            </w:pPr>
            <w:r>
              <w:rPr>
                <w:rFonts w:hint="eastAsia" w:hAnsi="Times New Roman"/>
                <w:snapToGrid w:val="0"/>
                <w:color w:val="auto"/>
                <w:szCs w:val="22"/>
              </w:rPr>
              <w:t>70</w:t>
            </w:r>
          </w:p>
        </w:tc>
        <w:tc>
          <w:tcPr>
            <w:tcW w:w="252" w:type="pct"/>
            <w:vMerge w:val="continue"/>
            <w:shd w:val="clear" w:color="auto" w:fill="auto"/>
            <w:vAlign w:val="center"/>
          </w:tcPr>
          <w:p>
            <w:pPr>
              <w:pStyle w:val="84"/>
              <w:rPr>
                <w:rFonts w:hAnsi="Times New Roman"/>
                <w:snapToGrid w:val="0"/>
                <w:color w:val="FF0000"/>
                <w:szCs w:val="22"/>
              </w:rPr>
            </w:pPr>
          </w:p>
        </w:tc>
        <w:tc>
          <w:tcPr>
            <w:tcW w:w="353" w:type="pct"/>
            <w:vMerge w:val="restart"/>
            <w:shd w:val="clear" w:color="auto" w:fill="auto"/>
            <w:vAlign w:val="center"/>
          </w:tcPr>
          <w:p>
            <w:pPr>
              <w:pStyle w:val="84"/>
              <w:rPr>
                <w:rFonts w:hAnsi="Times New Roman"/>
                <w:snapToGrid w:val="0"/>
                <w:color w:val="auto"/>
                <w:szCs w:val="22"/>
              </w:rPr>
            </w:pPr>
            <w:r>
              <w:rPr>
                <w:rFonts w:hint="eastAsia" w:hAnsi="Times New Roman"/>
                <w:snapToGrid w:val="0"/>
                <w:color w:val="auto"/>
                <w:szCs w:val="22"/>
              </w:rPr>
              <w:t>5000</w:t>
            </w:r>
          </w:p>
        </w:tc>
        <w:tc>
          <w:tcPr>
            <w:tcW w:w="352" w:type="pct"/>
            <w:shd w:val="clear" w:color="auto" w:fill="auto"/>
            <w:vAlign w:val="center"/>
          </w:tcPr>
          <w:p>
            <w:pPr>
              <w:pStyle w:val="84"/>
              <w:rPr>
                <w:rFonts w:hint="default" w:hAnsi="Times New Roman" w:eastAsia="宋体"/>
                <w:snapToGrid w:val="0"/>
                <w:color w:val="auto"/>
                <w:lang w:val="en-US" w:eastAsia="zh-CN"/>
              </w:rPr>
            </w:pPr>
            <w:r>
              <w:rPr>
                <w:rFonts w:hint="eastAsia" w:hAnsi="Times New Roman"/>
                <w:snapToGrid w:val="0"/>
                <w:color w:val="auto"/>
                <w:lang w:val="en-US" w:eastAsia="zh-CN"/>
              </w:rPr>
              <w:t>0.92</w:t>
            </w:r>
          </w:p>
        </w:tc>
        <w:tc>
          <w:tcPr>
            <w:tcW w:w="361" w:type="pct"/>
            <w:shd w:val="clear" w:color="auto" w:fill="auto"/>
            <w:vAlign w:val="center"/>
          </w:tcPr>
          <w:p>
            <w:pPr>
              <w:pStyle w:val="84"/>
              <w:rPr>
                <w:rFonts w:hint="default" w:hAnsi="Times New Roman" w:eastAsia="宋体"/>
                <w:bCs/>
                <w:color w:val="auto"/>
                <w:lang w:val="en-US" w:eastAsia="zh-CN"/>
              </w:rPr>
            </w:pPr>
            <w:r>
              <w:rPr>
                <w:rFonts w:hint="eastAsia" w:hAnsi="Times New Roman"/>
                <w:bCs/>
                <w:color w:val="auto"/>
                <w:lang w:val="en-US" w:eastAsia="zh-CN"/>
              </w:rPr>
              <w:t>0.0046</w:t>
            </w:r>
          </w:p>
        </w:tc>
        <w:tc>
          <w:tcPr>
            <w:tcW w:w="264" w:type="pct"/>
            <w:vMerge w:val="restart"/>
            <w:shd w:val="clear" w:color="auto" w:fill="auto"/>
            <w:vAlign w:val="center"/>
          </w:tcPr>
          <w:p>
            <w:pPr>
              <w:pStyle w:val="84"/>
              <w:rPr>
                <w:rFonts w:hAnsi="Times New Roman"/>
                <w:snapToGrid w:val="0"/>
                <w:color w:val="auto"/>
              </w:rPr>
            </w:pPr>
            <w:r>
              <w:rPr>
                <w:rFonts w:hint="eastAsia" w:hAnsi="Times New Roman"/>
                <w:snapToGrid w:val="0"/>
                <w:color w:val="auto"/>
              </w:rPr>
              <w:t>2400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39" w:type="pct"/>
            <w:vMerge w:val="continue"/>
            <w:shd w:val="clear" w:color="auto" w:fill="auto"/>
            <w:vAlign w:val="center"/>
          </w:tcPr>
          <w:p>
            <w:pPr>
              <w:pStyle w:val="84"/>
              <w:rPr>
                <w:rFonts w:hAnsi="Times New Roman"/>
                <w:snapToGrid w:val="0"/>
                <w:color w:val="auto"/>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251" w:type="pct"/>
            <w:vMerge w:val="continue"/>
            <w:shd w:val="clear" w:color="auto" w:fill="auto"/>
            <w:vAlign w:val="center"/>
          </w:tcPr>
          <w:p>
            <w:pPr>
              <w:pStyle w:val="84"/>
              <w:rPr>
                <w:rFonts w:hAnsi="Times New Roman"/>
                <w:snapToGrid w:val="0"/>
                <w:color w:val="auto"/>
                <w:szCs w:val="22"/>
              </w:rPr>
            </w:pPr>
          </w:p>
        </w:tc>
        <w:tc>
          <w:tcPr>
            <w:tcW w:w="3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H</w:t>
            </w:r>
            <w:r>
              <w:rPr>
                <w:rFonts w:hAnsi="Times New Roman"/>
                <w:snapToGrid w:val="0"/>
                <w:color w:val="auto"/>
                <w:szCs w:val="22"/>
                <w:vertAlign w:val="subscript"/>
              </w:rPr>
              <w:t>2</w:t>
            </w:r>
            <w:r>
              <w:rPr>
                <w:rFonts w:hAnsi="Times New Roman"/>
                <w:snapToGrid w:val="0"/>
                <w:color w:val="auto"/>
                <w:szCs w:val="22"/>
              </w:rPr>
              <w:t>S</w:t>
            </w:r>
          </w:p>
        </w:tc>
        <w:tc>
          <w:tcPr>
            <w:tcW w:w="253" w:type="pct"/>
            <w:vMerge w:val="continue"/>
            <w:shd w:val="clear" w:color="auto" w:fill="auto"/>
            <w:vAlign w:val="center"/>
          </w:tcPr>
          <w:p>
            <w:pPr>
              <w:pStyle w:val="84"/>
              <w:rPr>
                <w:rFonts w:hAnsi="Times New Roman"/>
                <w:snapToGrid w:val="0"/>
                <w:color w:val="auto"/>
                <w:szCs w:val="22"/>
              </w:rPr>
            </w:pPr>
          </w:p>
        </w:tc>
        <w:tc>
          <w:tcPr>
            <w:tcW w:w="302" w:type="pct"/>
            <w:vMerge w:val="continue"/>
            <w:shd w:val="clear" w:color="auto" w:fill="auto"/>
            <w:vAlign w:val="center"/>
          </w:tcPr>
          <w:p>
            <w:pPr>
              <w:pStyle w:val="84"/>
              <w:rPr>
                <w:rFonts w:hAnsi="Times New Roman"/>
                <w:snapToGrid w:val="0"/>
                <w:color w:val="auto"/>
                <w:szCs w:val="22"/>
              </w:rPr>
            </w:pPr>
          </w:p>
        </w:tc>
        <w:tc>
          <w:tcPr>
            <w:tcW w:w="401" w:type="pct"/>
            <w:shd w:val="clear" w:color="auto" w:fill="auto"/>
            <w:vAlign w:val="center"/>
          </w:tcPr>
          <w:p>
            <w:pPr>
              <w:pStyle w:val="84"/>
              <w:rPr>
                <w:rFonts w:hint="default" w:hAnsi="Times New Roman" w:eastAsia="宋体"/>
                <w:snapToGrid w:val="0"/>
                <w:color w:val="auto"/>
                <w:lang w:val="en-US" w:eastAsia="zh-CN"/>
              </w:rPr>
            </w:pPr>
            <w:r>
              <w:rPr>
                <w:rFonts w:hint="eastAsia" w:hAnsi="Times New Roman"/>
                <w:snapToGrid w:val="0"/>
                <w:color w:val="auto"/>
                <w:lang w:val="en-US" w:eastAsia="zh-CN"/>
              </w:rPr>
              <w:t>0.12</w:t>
            </w:r>
          </w:p>
        </w:tc>
        <w:tc>
          <w:tcPr>
            <w:tcW w:w="359" w:type="pct"/>
            <w:shd w:val="clear" w:color="auto" w:fill="auto"/>
            <w:vAlign w:val="center"/>
          </w:tcPr>
          <w:p>
            <w:pPr>
              <w:pStyle w:val="84"/>
              <w:rPr>
                <w:rFonts w:hint="default" w:hAnsi="Times New Roman" w:eastAsia="宋体"/>
                <w:bCs/>
                <w:color w:val="auto"/>
                <w:lang w:val="en-US" w:eastAsia="zh-CN"/>
              </w:rPr>
            </w:pPr>
            <w:r>
              <w:rPr>
                <w:rFonts w:hint="eastAsia" w:hAnsi="Times New Roman"/>
                <w:bCs/>
                <w:color w:val="auto"/>
                <w:lang w:val="en-US" w:eastAsia="zh-CN"/>
              </w:rPr>
              <w:t>0.0006</w:t>
            </w:r>
          </w:p>
        </w:tc>
        <w:tc>
          <w:tcPr>
            <w:tcW w:w="549" w:type="pct"/>
            <w:vMerge w:val="continue"/>
            <w:shd w:val="clear" w:color="auto" w:fill="auto"/>
            <w:vAlign w:val="center"/>
          </w:tcPr>
          <w:p>
            <w:pPr>
              <w:pStyle w:val="84"/>
              <w:rPr>
                <w:rFonts w:hAnsi="Times New Roman"/>
                <w:snapToGrid w:val="0"/>
                <w:color w:val="auto"/>
                <w:szCs w:val="22"/>
              </w:rPr>
            </w:pPr>
          </w:p>
        </w:tc>
        <w:tc>
          <w:tcPr>
            <w:tcW w:w="402" w:type="pct"/>
            <w:vMerge w:val="continue"/>
            <w:shd w:val="clear" w:color="auto" w:fill="auto"/>
            <w:vAlign w:val="center"/>
          </w:tcPr>
          <w:p>
            <w:pPr>
              <w:pStyle w:val="84"/>
              <w:rPr>
                <w:rFonts w:hAnsi="Times New Roman"/>
                <w:snapToGrid w:val="0"/>
                <w:color w:val="auto"/>
                <w:szCs w:val="22"/>
              </w:rPr>
            </w:pPr>
          </w:p>
        </w:tc>
        <w:tc>
          <w:tcPr>
            <w:tcW w:w="252" w:type="pct"/>
            <w:vMerge w:val="continue"/>
            <w:shd w:val="clear" w:color="auto" w:fill="auto"/>
            <w:vAlign w:val="center"/>
          </w:tcPr>
          <w:p>
            <w:pPr>
              <w:pStyle w:val="84"/>
              <w:rPr>
                <w:rFonts w:hAnsi="Times New Roman"/>
                <w:snapToGrid w:val="0"/>
                <w:color w:val="FF0000"/>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352" w:type="pct"/>
            <w:shd w:val="clear" w:color="auto" w:fill="auto"/>
            <w:vAlign w:val="center"/>
          </w:tcPr>
          <w:p>
            <w:pPr>
              <w:pStyle w:val="84"/>
              <w:rPr>
                <w:rFonts w:hint="default" w:hAnsi="Times New Roman" w:eastAsia="宋体"/>
                <w:snapToGrid w:val="0"/>
                <w:color w:val="auto"/>
                <w:lang w:val="en-US" w:eastAsia="zh-CN"/>
              </w:rPr>
            </w:pPr>
            <w:r>
              <w:rPr>
                <w:rFonts w:hint="eastAsia" w:hAnsi="Times New Roman"/>
                <w:snapToGrid w:val="0"/>
                <w:color w:val="auto"/>
                <w:lang w:val="en-US" w:eastAsia="zh-CN"/>
              </w:rPr>
              <w:t>0.036</w:t>
            </w:r>
          </w:p>
        </w:tc>
        <w:tc>
          <w:tcPr>
            <w:tcW w:w="361" w:type="pct"/>
            <w:shd w:val="clear" w:color="auto" w:fill="auto"/>
            <w:vAlign w:val="center"/>
          </w:tcPr>
          <w:p>
            <w:pPr>
              <w:pStyle w:val="84"/>
              <w:rPr>
                <w:rFonts w:hint="default" w:hAnsi="Times New Roman" w:eastAsia="宋体"/>
                <w:bCs/>
                <w:color w:val="auto"/>
                <w:lang w:val="en-US" w:eastAsia="zh-CN"/>
              </w:rPr>
            </w:pPr>
            <w:r>
              <w:rPr>
                <w:rFonts w:hint="eastAsia" w:hAnsi="Times New Roman"/>
                <w:bCs/>
                <w:color w:val="auto"/>
                <w:lang w:val="en-US" w:eastAsia="zh-CN"/>
              </w:rPr>
              <w:t>0.00018</w:t>
            </w:r>
          </w:p>
        </w:tc>
        <w:tc>
          <w:tcPr>
            <w:tcW w:w="264" w:type="pct"/>
            <w:vMerge w:val="continue"/>
            <w:shd w:val="clear" w:color="auto" w:fill="auto"/>
            <w:vAlign w:val="center"/>
          </w:tcPr>
          <w:p>
            <w:pPr>
              <w:pStyle w:val="84"/>
              <w:rPr>
                <w:rFonts w:hAnsi="Times New Roman"/>
                <w:snapToGrid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239" w:type="pct"/>
            <w:vMerge w:val="continue"/>
            <w:shd w:val="clear" w:color="auto" w:fill="auto"/>
            <w:vAlign w:val="center"/>
          </w:tcPr>
          <w:p>
            <w:pPr>
              <w:pStyle w:val="84"/>
              <w:rPr>
                <w:rFonts w:hAnsi="Times New Roman"/>
                <w:snapToGrid w:val="0"/>
                <w:color w:val="auto"/>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251" w:type="pct"/>
            <w:vMerge w:val="continue"/>
            <w:shd w:val="clear" w:color="auto" w:fill="auto"/>
            <w:vAlign w:val="center"/>
          </w:tcPr>
          <w:p>
            <w:pPr>
              <w:pStyle w:val="84"/>
              <w:rPr>
                <w:rFonts w:hAnsi="Times New Roman"/>
                <w:snapToGrid w:val="0"/>
                <w:color w:val="auto"/>
                <w:szCs w:val="22"/>
              </w:rPr>
            </w:pPr>
          </w:p>
        </w:tc>
        <w:tc>
          <w:tcPr>
            <w:tcW w:w="3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臭气浓度</w:t>
            </w:r>
          </w:p>
        </w:tc>
        <w:tc>
          <w:tcPr>
            <w:tcW w:w="253" w:type="pct"/>
            <w:vMerge w:val="continue"/>
            <w:shd w:val="clear" w:color="auto" w:fill="auto"/>
            <w:vAlign w:val="center"/>
          </w:tcPr>
          <w:p>
            <w:pPr>
              <w:pStyle w:val="84"/>
              <w:rPr>
                <w:rFonts w:hAnsi="Times New Roman"/>
                <w:snapToGrid w:val="0"/>
                <w:color w:val="auto"/>
                <w:szCs w:val="22"/>
              </w:rPr>
            </w:pPr>
          </w:p>
        </w:tc>
        <w:tc>
          <w:tcPr>
            <w:tcW w:w="302" w:type="pct"/>
            <w:vMerge w:val="continue"/>
            <w:shd w:val="clear" w:color="auto" w:fill="auto"/>
            <w:vAlign w:val="center"/>
          </w:tcPr>
          <w:p>
            <w:pPr>
              <w:pStyle w:val="84"/>
              <w:rPr>
                <w:rFonts w:hAnsi="Times New Roman"/>
                <w:snapToGrid w:val="0"/>
                <w:color w:val="auto"/>
                <w:szCs w:val="22"/>
              </w:rPr>
            </w:pPr>
          </w:p>
        </w:tc>
        <w:tc>
          <w:tcPr>
            <w:tcW w:w="760" w:type="pct"/>
            <w:gridSpan w:val="2"/>
            <w:shd w:val="clear" w:color="auto" w:fill="auto"/>
            <w:vAlign w:val="center"/>
          </w:tcPr>
          <w:p>
            <w:pPr>
              <w:pStyle w:val="84"/>
              <w:rPr>
                <w:rFonts w:hAnsi="Times New Roman"/>
                <w:bCs/>
                <w:color w:val="auto"/>
              </w:rPr>
            </w:pPr>
            <w:r>
              <w:rPr>
                <w:rFonts w:hint="eastAsia"/>
                <w:bCs/>
                <w:color w:val="auto"/>
                <w:kern w:val="0"/>
              </w:rPr>
              <w:t>2700</w:t>
            </w:r>
            <w:r>
              <w:rPr>
                <w:bCs/>
                <w:color w:val="auto"/>
                <w:kern w:val="0"/>
              </w:rPr>
              <w:t>（无量纲）</w:t>
            </w:r>
          </w:p>
        </w:tc>
        <w:tc>
          <w:tcPr>
            <w:tcW w:w="549" w:type="pct"/>
            <w:vMerge w:val="continue"/>
            <w:shd w:val="clear" w:color="auto" w:fill="auto"/>
            <w:vAlign w:val="center"/>
          </w:tcPr>
          <w:p>
            <w:pPr>
              <w:pStyle w:val="84"/>
              <w:rPr>
                <w:rFonts w:hAnsi="Times New Roman"/>
                <w:snapToGrid w:val="0"/>
                <w:color w:val="auto"/>
                <w:szCs w:val="22"/>
              </w:rPr>
            </w:pPr>
          </w:p>
        </w:tc>
        <w:tc>
          <w:tcPr>
            <w:tcW w:w="402" w:type="pct"/>
            <w:shd w:val="clear" w:color="auto" w:fill="auto"/>
            <w:vAlign w:val="center"/>
          </w:tcPr>
          <w:p>
            <w:pPr>
              <w:pStyle w:val="84"/>
              <w:rPr>
                <w:rFonts w:hAnsi="Times New Roman"/>
                <w:snapToGrid w:val="0"/>
                <w:color w:val="auto"/>
                <w:szCs w:val="22"/>
              </w:rPr>
            </w:pPr>
          </w:p>
        </w:tc>
        <w:tc>
          <w:tcPr>
            <w:tcW w:w="252" w:type="pct"/>
            <w:vMerge w:val="continue"/>
            <w:shd w:val="clear" w:color="auto" w:fill="auto"/>
            <w:vAlign w:val="center"/>
          </w:tcPr>
          <w:p>
            <w:pPr>
              <w:pStyle w:val="84"/>
              <w:rPr>
                <w:rFonts w:hAnsi="Times New Roman"/>
                <w:snapToGrid w:val="0"/>
                <w:color w:val="FF0000"/>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714" w:type="pct"/>
            <w:gridSpan w:val="2"/>
            <w:shd w:val="clear" w:color="auto" w:fill="auto"/>
            <w:vAlign w:val="center"/>
          </w:tcPr>
          <w:p>
            <w:pPr>
              <w:pStyle w:val="84"/>
              <w:rPr>
                <w:rFonts w:hAnsi="Times New Roman"/>
                <w:bCs/>
                <w:color w:val="auto"/>
              </w:rPr>
            </w:pPr>
            <w:r>
              <w:rPr>
                <w:rFonts w:hint="eastAsia" w:hAnsi="Times New Roman"/>
                <w:bCs/>
                <w:color w:val="auto"/>
              </w:rPr>
              <w:t>810</w:t>
            </w:r>
            <w:r>
              <w:rPr>
                <w:rFonts w:hAnsi="Times New Roman"/>
                <w:bCs/>
                <w:color w:val="auto"/>
              </w:rPr>
              <w:t>（无量纲）</w:t>
            </w:r>
          </w:p>
        </w:tc>
        <w:tc>
          <w:tcPr>
            <w:tcW w:w="264" w:type="pct"/>
            <w:vMerge w:val="continue"/>
            <w:shd w:val="clear" w:color="auto" w:fill="auto"/>
            <w:vAlign w:val="center"/>
          </w:tcPr>
          <w:p>
            <w:pPr>
              <w:pStyle w:val="84"/>
              <w:rPr>
                <w:rFonts w:hAnsi="Times New Roman"/>
                <w:snapToGrid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239" w:type="pct"/>
            <w:vMerge w:val="continue"/>
            <w:shd w:val="clear" w:color="auto" w:fill="auto"/>
            <w:vAlign w:val="center"/>
          </w:tcPr>
          <w:p>
            <w:pPr>
              <w:pStyle w:val="84"/>
              <w:rPr>
                <w:rFonts w:hAnsi="Times New Roman"/>
                <w:snapToGrid w:val="0"/>
                <w:color w:val="auto"/>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251"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无组织</w:t>
            </w:r>
          </w:p>
        </w:tc>
        <w:tc>
          <w:tcPr>
            <w:tcW w:w="3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NH</w:t>
            </w:r>
            <w:r>
              <w:rPr>
                <w:rFonts w:hAnsi="Times New Roman"/>
                <w:snapToGrid w:val="0"/>
                <w:color w:val="auto"/>
                <w:szCs w:val="22"/>
                <w:vertAlign w:val="subscript"/>
              </w:rPr>
              <w:t>3</w:t>
            </w:r>
          </w:p>
        </w:tc>
        <w:tc>
          <w:tcPr>
            <w:tcW w:w="253" w:type="pct"/>
            <w:vMerge w:val="continue"/>
            <w:shd w:val="clear" w:color="auto" w:fill="auto"/>
            <w:vAlign w:val="center"/>
          </w:tcPr>
          <w:p>
            <w:pPr>
              <w:pStyle w:val="84"/>
              <w:rPr>
                <w:rFonts w:hAnsi="Times New Roman"/>
                <w:snapToGrid w:val="0"/>
                <w:color w:val="auto"/>
                <w:szCs w:val="22"/>
              </w:rPr>
            </w:pPr>
          </w:p>
        </w:tc>
        <w:tc>
          <w:tcPr>
            <w:tcW w:w="302"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401"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359" w:type="pct"/>
            <w:shd w:val="clear" w:color="auto" w:fill="auto"/>
            <w:vAlign w:val="center"/>
          </w:tcPr>
          <w:p>
            <w:pPr>
              <w:pStyle w:val="84"/>
              <w:rPr>
                <w:rFonts w:hint="default" w:hAnsi="Times New Roman" w:eastAsia="宋体"/>
                <w:color w:val="auto"/>
                <w:lang w:val="en-US" w:eastAsia="zh-CN"/>
              </w:rPr>
            </w:pPr>
            <w:r>
              <w:rPr>
                <w:rFonts w:hint="eastAsia" w:hAnsi="Times New Roman"/>
                <w:color w:val="auto"/>
                <w:lang w:val="en-US" w:eastAsia="zh-CN"/>
              </w:rPr>
              <w:t>0.0038</w:t>
            </w:r>
          </w:p>
        </w:tc>
        <w:tc>
          <w:tcPr>
            <w:tcW w:w="549"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4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252" w:type="pct"/>
            <w:vMerge w:val="continue"/>
            <w:shd w:val="clear" w:color="auto" w:fill="auto"/>
            <w:vAlign w:val="center"/>
          </w:tcPr>
          <w:p>
            <w:pPr>
              <w:pStyle w:val="84"/>
              <w:rPr>
                <w:rFonts w:hAnsi="Times New Roman"/>
                <w:snapToGrid w:val="0"/>
                <w:color w:val="FF0000"/>
                <w:szCs w:val="22"/>
              </w:rPr>
            </w:pPr>
          </w:p>
        </w:tc>
        <w:tc>
          <w:tcPr>
            <w:tcW w:w="353" w:type="pct"/>
            <w:vMerge w:val="restar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352"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361" w:type="pct"/>
            <w:shd w:val="clear" w:color="auto" w:fill="auto"/>
            <w:vAlign w:val="center"/>
          </w:tcPr>
          <w:p>
            <w:pPr>
              <w:pStyle w:val="84"/>
              <w:rPr>
                <w:rFonts w:hAnsi="Times New Roman"/>
                <w:color w:val="auto"/>
              </w:rPr>
            </w:pPr>
            <w:r>
              <w:rPr>
                <w:rFonts w:hint="eastAsia" w:hAnsi="Times New Roman"/>
                <w:color w:val="auto"/>
                <w:lang w:val="en-US" w:eastAsia="zh-CN"/>
              </w:rPr>
              <w:t>0.0038</w:t>
            </w:r>
          </w:p>
        </w:tc>
        <w:tc>
          <w:tcPr>
            <w:tcW w:w="264" w:type="pct"/>
            <w:vMerge w:val="continue"/>
            <w:shd w:val="clear" w:color="auto" w:fill="auto"/>
            <w:vAlign w:val="center"/>
          </w:tcPr>
          <w:p>
            <w:pPr>
              <w:pStyle w:val="84"/>
              <w:rPr>
                <w:rFonts w:hAnsi="Times New Roman"/>
                <w:snapToGrid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9" w:type="pct"/>
            <w:vMerge w:val="continue"/>
            <w:shd w:val="clear" w:color="auto" w:fill="auto"/>
            <w:vAlign w:val="center"/>
          </w:tcPr>
          <w:p>
            <w:pPr>
              <w:pStyle w:val="84"/>
              <w:rPr>
                <w:rFonts w:hAnsi="Times New Roman"/>
                <w:snapToGrid w:val="0"/>
                <w:color w:val="auto"/>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251" w:type="pct"/>
            <w:vMerge w:val="continue"/>
            <w:shd w:val="clear" w:color="auto" w:fill="auto"/>
            <w:vAlign w:val="center"/>
          </w:tcPr>
          <w:p>
            <w:pPr>
              <w:pStyle w:val="84"/>
              <w:rPr>
                <w:rFonts w:hAnsi="Times New Roman"/>
                <w:snapToGrid w:val="0"/>
                <w:color w:val="auto"/>
                <w:szCs w:val="22"/>
              </w:rPr>
            </w:pPr>
          </w:p>
        </w:tc>
        <w:tc>
          <w:tcPr>
            <w:tcW w:w="3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H</w:t>
            </w:r>
            <w:r>
              <w:rPr>
                <w:rFonts w:hAnsi="Times New Roman"/>
                <w:snapToGrid w:val="0"/>
                <w:color w:val="auto"/>
                <w:szCs w:val="22"/>
                <w:vertAlign w:val="subscript"/>
              </w:rPr>
              <w:t>2</w:t>
            </w:r>
            <w:r>
              <w:rPr>
                <w:rFonts w:hAnsi="Times New Roman"/>
                <w:snapToGrid w:val="0"/>
                <w:color w:val="auto"/>
                <w:szCs w:val="22"/>
              </w:rPr>
              <w:t>S</w:t>
            </w:r>
          </w:p>
        </w:tc>
        <w:tc>
          <w:tcPr>
            <w:tcW w:w="253" w:type="pct"/>
            <w:vMerge w:val="continue"/>
            <w:shd w:val="clear" w:color="auto" w:fill="auto"/>
            <w:vAlign w:val="center"/>
          </w:tcPr>
          <w:p>
            <w:pPr>
              <w:pStyle w:val="84"/>
              <w:rPr>
                <w:rFonts w:hAnsi="Times New Roman"/>
                <w:snapToGrid w:val="0"/>
                <w:color w:val="auto"/>
                <w:szCs w:val="22"/>
              </w:rPr>
            </w:pPr>
          </w:p>
        </w:tc>
        <w:tc>
          <w:tcPr>
            <w:tcW w:w="302" w:type="pct"/>
            <w:vMerge w:val="continue"/>
            <w:shd w:val="clear" w:color="auto" w:fill="auto"/>
            <w:vAlign w:val="center"/>
          </w:tcPr>
          <w:p>
            <w:pPr>
              <w:pStyle w:val="84"/>
              <w:rPr>
                <w:rFonts w:hAnsi="Times New Roman"/>
                <w:snapToGrid w:val="0"/>
                <w:color w:val="auto"/>
                <w:szCs w:val="22"/>
              </w:rPr>
            </w:pPr>
          </w:p>
        </w:tc>
        <w:tc>
          <w:tcPr>
            <w:tcW w:w="401"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359" w:type="pct"/>
            <w:shd w:val="clear" w:color="auto" w:fill="auto"/>
            <w:vAlign w:val="center"/>
          </w:tcPr>
          <w:p>
            <w:pPr>
              <w:pStyle w:val="84"/>
              <w:rPr>
                <w:rFonts w:hint="default" w:hAnsi="Times New Roman" w:eastAsia="宋体"/>
                <w:color w:val="auto"/>
                <w:lang w:val="en-US" w:eastAsia="zh-CN"/>
              </w:rPr>
            </w:pPr>
            <w:r>
              <w:rPr>
                <w:rFonts w:hint="eastAsia" w:hAnsi="Times New Roman"/>
                <w:color w:val="auto"/>
                <w:lang w:val="en-US" w:eastAsia="zh-CN"/>
              </w:rPr>
              <w:t>0.00015</w:t>
            </w:r>
          </w:p>
        </w:tc>
        <w:tc>
          <w:tcPr>
            <w:tcW w:w="549"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4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252" w:type="pct"/>
            <w:vMerge w:val="continue"/>
            <w:shd w:val="clear" w:color="auto" w:fill="auto"/>
            <w:vAlign w:val="center"/>
          </w:tcPr>
          <w:p>
            <w:pPr>
              <w:pStyle w:val="84"/>
              <w:rPr>
                <w:rFonts w:hAnsi="Times New Roman"/>
                <w:snapToGrid w:val="0"/>
                <w:color w:val="FF0000"/>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352"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361" w:type="pct"/>
            <w:shd w:val="clear" w:color="auto" w:fill="auto"/>
            <w:vAlign w:val="center"/>
          </w:tcPr>
          <w:p>
            <w:pPr>
              <w:pStyle w:val="84"/>
              <w:rPr>
                <w:rFonts w:hAnsi="Times New Roman"/>
                <w:color w:val="auto"/>
              </w:rPr>
            </w:pPr>
            <w:r>
              <w:rPr>
                <w:rFonts w:hint="eastAsia" w:hAnsi="Times New Roman"/>
                <w:color w:val="auto"/>
                <w:lang w:val="en-US" w:eastAsia="zh-CN"/>
              </w:rPr>
              <w:t>0.00015</w:t>
            </w:r>
          </w:p>
        </w:tc>
        <w:tc>
          <w:tcPr>
            <w:tcW w:w="264" w:type="pct"/>
            <w:vMerge w:val="continue"/>
            <w:shd w:val="clear" w:color="auto" w:fill="auto"/>
            <w:vAlign w:val="center"/>
          </w:tcPr>
          <w:p>
            <w:pPr>
              <w:pStyle w:val="84"/>
              <w:rPr>
                <w:rFonts w:hAnsi="Times New Roman"/>
                <w:snapToGrid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9" w:type="pct"/>
            <w:vMerge w:val="continue"/>
            <w:shd w:val="clear" w:color="auto" w:fill="auto"/>
            <w:vAlign w:val="center"/>
          </w:tcPr>
          <w:p>
            <w:pPr>
              <w:pStyle w:val="84"/>
              <w:rPr>
                <w:rFonts w:hAnsi="Times New Roman"/>
                <w:snapToGrid w:val="0"/>
                <w:color w:val="auto"/>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251" w:type="pct"/>
            <w:vMerge w:val="continue"/>
            <w:shd w:val="clear" w:color="auto" w:fill="auto"/>
            <w:vAlign w:val="center"/>
          </w:tcPr>
          <w:p>
            <w:pPr>
              <w:pStyle w:val="84"/>
              <w:rPr>
                <w:rFonts w:hAnsi="Times New Roman"/>
                <w:snapToGrid w:val="0"/>
                <w:color w:val="auto"/>
                <w:szCs w:val="22"/>
              </w:rPr>
            </w:pPr>
          </w:p>
        </w:tc>
        <w:tc>
          <w:tcPr>
            <w:tcW w:w="3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臭气浓度</w:t>
            </w:r>
          </w:p>
        </w:tc>
        <w:tc>
          <w:tcPr>
            <w:tcW w:w="253" w:type="pct"/>
            <w:vMerge w:val="continue"/>
            <w:shd w:val="clear" w:color="auto" w:fill="auto"/>
            <w:vAlign w:val="center"/>
          </w:tcPr>
          <w:p>
            <w:pPr>
              <w:pStyle w:val="84"/>
              <w:rPr>
                <w:rFonts w:hAnsi="Times New Roman"/>
                <w:snapToGrid w:val="0"/>
                <w:color w:val="auto"/>
                <w:szCs w:val="22"/>
              </w:rPr>
            </w:pPr>
          </w:p>
        </w:tc>
        <w:tc>
          <w:tcPr>
            <w:tcW w:w="1063" w:type="pct"/>
            <w:gridSpan w:val="3"/>
            <w:shd w:val="clear" w:color="auto" w:fill="auto"/>
            <w:vAlign w:val="center"/>
          </w:tcPr>
          <w:p>
            <w:pPr>
              <w:pStyle w:val="84"/>
              <w:rPr>
                <w:rFonts w:hAnsi="Times New Roman"/>
                <w:bCs/>
                <w:color w:val="auto"/>
              </w:rPr>
            </w:pPr>
            <w:r>
              <w:rPr>
                <w:rFonts w:hint="eastAsia" w:hAnsi="Times New Roman"/>
                <w:bCs/>
                <w:color w:val="auto"/>
              </w:rPr>
              <w:t>675（无量纲）</w:t>
            </w:r>
          </w:p>
        </w:tc>
        <w:tc>
          <w:tcPr>
            <w:tcW w:w="549"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4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252" w:type="pct"/>
            <w:vMerge w:val="continue"/>
            <w:shd w:val="clear" w:color="auto" w:fill="auto"/>
            <w:vAlign w:val="center"/>
          </w:tcPr>
          <w:p>
            <w:pPr>
              <w:pStyle w:val="84"/>
              <w:rPr>
                <w:rFonts w:hAnsi="Times New Roman"/>
                <w:snapToGrid w:val="0"/>
                <w:color w:val="FF0000"/>
                <w:szCs w:val="22"/>
              </w:rPr>
            </w:pPr>
          </w:p>
        </w:tc>
        <w:tc>
          <w:tcPr>
            <w:tcW w:w="1067" w:type="pct"/>
            <w:gridSpan w:val="3"/>
            <w:shd w:val="clear" w:color="auto" w:fill="auto"/>
            <w:vAlign w:val="center"/>
          </w:tcPr>
          <w:p>
            <w:pPr>
              <w:pStyle w:val="84"/>
              <w:rPr>
                <w:rFonts w:hAnsi="Times New Roman"/>
                <w:bCs/>
                <w:color w:val="auto"/>
              </w:rPr>
            </w:pPr>
            <w:r>
              <w:rPr>
                <w:rFonts w:hint="eastAsia" w:hAnsi="Times New Roman"/>
                <w:snapToGrid w:val="0"/>
                <w:color w:val="auto"/>
                <w:szCs w:val="22"/>
              </w:rPr>
              <w:t>厂界＜20（无量纲）</w:t>
            </w:r>
          </w:p>
        </w:tc>
        <w:tc>
          <w:tcPr>
            <w:tcW w:w="264" w:type="pct"/>
            <w:vMerge w:val="continue"/>
            <w:shd w:val="clear" w:color="auto" w:fill="auto"/>
            <w:vAlign w:val="center"/>
          </w:tcPr>
          <w:p>
            <w:pPr>
              <w:pStyle w:val="84"/>
              <w:rPr>
                <w:rFonts w:hAnsi="Times New Roman"/>
                <w:snapToGrid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9" w:type="pct"/>
            <w:vMerge w:val="restart"/>
            <w:shd w:val="clear" w:color="auto" w:fill="auto"/>
            <w:vAlign w:val="center"/>
          </w:tcPr>
          <w:p>
            <w:pPr>
              <w:pStyle w:val="84"/>
              <w:rPr>
                <w:rFonts w:hint="eastAsia" w:hAnsi="Times New Roman" w:eastAsia="宋体"/>
                <w:snapToGrid w:val="0"/>
                <w:color w:val="auto"/>
                <w:szCs w:val="22"/>
                <w:lang w:val="en-US" w:eastAsia="zh-CN"/>
              </w:rPr>
            </w:pPr>
            <w:r>
              <w:rPr>
                <w:rFonts w:hint="eastAsia" w:hAnsi="Times New Roman"/>
                <w:snapToGrid w:val="0"/>
                <w:color w:val="auto"/>
                <w:szCs w:val="22"/>
                <w:lang w:val="en-US" w:eastAsia="zh-CN"/>
              </w:rPr>
              <w:t>锅炉房</w:t>
            </w:r>
          </w:p>
        </w:tc>
        <w:tc>
          <w:tcPr>
            <w:tcW w:w="353" w:type="pct"/>
            <w:vMerge w:val="restart"/>
            <w:shd w:val="clear" w:color="auto" w:fill="auto"/>
            <w:vAlign w:val="center"/>
          </w:tcPr>
          <w:p>
            <w:pPr>
              <w:pStyle w:val="84"/>
              <w:rPr>
                <w:rFonts w:hint="eastAsia" w:hAnsi="Times New Roman" w:eastAsia="宋体"/>
                <w:snapToGrid w:val="0"/>
                <w:color w:val="auto"/>
                <w:szCs w:val="22"/>
                <w:lang w:val="en-US" w:eastAsia="zh-CN"/>
              </w:rPr>
            </w:pPr>
            <w:r>
              <w:rPr>
                <w:rFonts w:hint="eastAsia" w:hAnsi="Times New Roman"/>
                <w:snapToGrid w:val="0"/>
                <w:color w:val="auto"/>
                <w:szCs w:val="22"/>
                <w:lang w:val="en-US" w:eastAsia="zh-CN"/>
              </w:rPr>
              <w:t>锅炉</w:t>
            </w:r>
          </w:p>
        </w:tc>
        <w:tc>
          <w:tcPr>
            <w:tcW w:w="251" w:type="pct"/>
            <w:vMerge w:val="restart"/>
            <w:shd w:val="clear" w:color="auto" w:fill="auto"/>
            <w:vAlign w:val="center"/>
          </w:tcPr>
          <w:p>
            <w:pPr>
              <w:pStyle w:val="84"/>
              <w:rPr>
                <w:rFonts w:hint="eastAsia" w:hAnsi="Times New Roman" w:eastAsia="宋体"/>
                <w:snapToGrid w:val="0"/>
                <w:color w:val="auto"/>
                <w:szCs w:val="22"/>
                <w:lang w:val="en-US" w:eastAsia="zh-CN"/>
              </w:rPr>
            </w:pPr>
            <w:r>
              <w:rPr>
                <w:rFonts w:hint="eastAsia" w:hAnsi="Times New Roman"/>
                <w:snapToGrid w:val="0"/>
                <w:color w:val="auto"/>
                <w:szCs w:val="22"/>
                <w:lang w:val="en-US" w:eastAsia="zh-CN"/>
              </w:rPr>
              <w:t>烟囱</w:t>
            </w:r>
          </w:p>
        </w:tc>
        <w:tc>
          <w:tcPr>
            <w:tcW w:w="302"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Ansi="Times New Roman"/>
                <w:snapToGrid w:val="0"/>
                <w:color w:val="auto"/>
                <w:szCs w:val="22"/>
              </w:rPr>
            </w:pPr>
            <w:r>
              <w:rPr>
                <w:rFonts w:hint="default" w:ascii="Times New Roman" w:hAnsi="Times New Roman" w:eastAsia="宋体" w:cs="Times New Roman"/>
                <w:bCs/>
                <w:color w:val="auto"/>
                <w:spacing w:val="0"/>
                <w:sz w:val="21"/>
                <w:szCs w:val="21"/>
              </w:rPr>
              <w:t>SO</w:t>
            </w:r>
            <w:r>
              <w:rPr>
                <w:rFonts w:hint="default" w:ascii="Times New Roman" w:hAnsi="Times New Roman" w:eastAsia="宋体" w:cs="Times New Roman"/>
                <w:bCs/>
                <w:color w:val="auto"/>
                <w:spacing w:val="0"/>
                <w:sz w:val="21"/>
                <w:szCs w:val="21"/>
                <w:vertAlign w:val="subscript"/>
              </w:rPr>
              <w:t>2</w:t>
            </w:r>
          </w:p>
        </w:tc>
        <w:tc>
          <w:tcPr>
            <w:tcW w:w="253" w:type="pct"/>
            <w:vMerge w:val="restart"/>
            <w:shd w:val="clear" w:color="auto" w:fill="auto"/>
            <w:vAlign w:val="center"/>
          </w:tcPr>
          <w:p>
            <w:pPr>
              <w:pStyle w:val="84"/>
              <w:rPr>
                <w:rFonts w:hAnsi="Times New Roman"/>
                <w:snapToGrid w:val="0"/>
                <w:color w:val="auto"/>
                <w:szCs w:val="22"/>
              </w:rPr>
            </w:pPr>
            <w:r>
              <w:rPr>
                <w:rFonts w:hint="eastAsia" w:hAnsi="Times New Roman"/>
                <w:snapToGrid w:val="0"/>
                <w:color w:val="auto"/>
                <w:szCs w:val="22"/>
              </w:rPr>
              <w:t>物料衡算法</w:t>
            </w:r>
          </w:p>
        </w:tc>
        <w:tc>
          <w:tcPr>
            <w:tcW w:w="302" w:type="pct"/>
            <w:vMerge w:val="restart"/>
            <w:shd w:val="clear" w:color="auto" w:fill="auto"/>
            <w:vAlign w:val="center"/>
          </w:tcPr>
          <w:p>
            <w:pPr>
              <w:pStyle w:val="84"/>
              <w:rPr>
                <w:rFonts w:hint="default" w:hAnsi="Times New Roman" w:eastAsia="宋体"/>
                <w:bCs/>
                <w:color w:val="auto"/>
                <w:lang w:val="en-US" w:eastAsia="zh-CN"/>
              </w:rPr>
            </w:pPr>
            <w:r>
              <w:rPr>
                <w:rFonts w:hint="eastAsia" w:hAnsi="Times New Roman"/>
                <w:bCs/>
                <w:color w:val="auto"/>
                <w:lang w:val="en-US" w:eastAsia="zh-CN"/>
              </w:rPr>
              <w:t>790.79</w:t>
            </w:r>
          </w:p>
        </w:tc>
        <w:tc>
          <w:tcPr>
            <w:tcW w:w="1128" w:type="dxa"/>
            <w:shd w:val="clear" w:color="auto" w:fill="auto"/>
            <w:vAlign w:val="center"/>
          </w:tcPr>
          <w:p>
            <w:pPr>
              <w:pStyle w:val="84"/>
              <w:rPr>
                <w:rFonts w:hint="eastAsia" w:hAnsi="Times New Roman"/>
                <w:bCs/>
                <w:color w:val="auto"/>
              </w:rPr>
            </w:pPr>
            <w:r>
              <w:rPr>
                <w:rFonts w:hint="eastAsia" w:hAnsi="Times New Roman"/>
                <w:snapToGrid w:val="0"/>
                <w:color w:val="auto"/>
                <w:szCs w:val="22"/>
                <w:lang w:val="en-US" w:eastAsia="zh-CN"/>
              </w:rPr>
              <w:t>35.53</w:t>
            </w:r>
          </w:p>
        </w:tc>
        <w:tc>
          <w:tcPr>
            <w:tcW w:w="1010" w:type="dxa"/>
            <w:shd w:val="clear" w:color="auto" w:fill="auto"/>
            <w:vAlign w:val="center"/>
          </w:tcPr>
          <w:p>
            <w:pPr>
              <w:pStyle w:val="84"/>
              <w:rPr>
                <w:rFonts w:hint="eastAsia" w:hAnsi="Times New Roman"/>
                <w:bCs/>
                <w:color w:val="auto"/>
              </w:rPr>
            </w:pPr>
            <w:r>
              <w:rPr>
                <w:rFonts w:hint="eastAsia" w:hAnsi="Times New Roman"/>
                <w:snapToGrid w:val="0"/>
                <w:color w:val="auto"/>
                <w:szCs w:val="22"/>
                <w:lang w:val="en-US" w:eastAsia="zh-CN"/>
              </w:rPr>
              <w:t>0.0281</w:t>
            </w:r>
          </w:p>
        </w:tc>
        <w:tc>
          <w:tcPr>
            <w:tcW w:w="549"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4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252" w:type="pct"/>
            <w:vMerge w:val="continue"/>
            <w:shd w:val="clear" w:color="auto" w:fill="auto"/>
            <w:vAlign w:val="center"/>
          </w:tcPr>
          <w:p>
            <w:pPr>
              <w:pStyle w:val="84"/>
              <w:rPr>
                <w:rFonts w:hAnsi="Times New Roman"/>
                <w:snapToGrid w:val="0"/>
                <w:color w:val="auto"/>
                <w:szCs w:val="22"/>
              </w:rPr>
            </w:pPr>
          </w:p>
        </w:tc>
        <w:tc>
          <w:tcPr>
            <w:tcW w:w="353" w:type="pct"/>
            <w:vMerge w:val="restart"/>
            <w:shd w:val="clear" w:color="auto" w:fill="auto"/>
            <w:vAlign w:val="center"/>
          </w:tcPr>
          <w:p>
            <w:pPr>
              <w:pStyle w:val="84"/>
              <w:rPr>
                <w:rFonts w:hint="eastAsia" w:hAnsi="Times New Roman"/>
                <w:snapToGrid w:val="0"/>
                <w:color w:val="auto"/>
                <w:szCs w:val="22"/>
              </w:rPr>
            </w:pPr>
            <w:r>
              <w:rPr>
                <w:rFonts w:hint="eastAsia" w:hAnsi="Times New Roman"/>
                <w:bCs/>
                <w:color w:val="auto"/>
                <w:lang w:val="en-US" w:eastAsia="zh-CN"/>
              </w:rPr>
              <w:t>790.79</w:t>
            </w:r>
          </w:p>
        </w:tc>
        <w:tc>
          <w:tcPr>
            <w:tcW w:w="352" w:type="pct"/>
            <w:shd w:val="clear" w:color="auto" w:fill="auto"/>
            <w:vAlign w:val="center"/>
          </w:tcPr>
          <w:p>
            <w:pPr>
              <w:pStyle w:val="84"/>
              <w:rPr>
                <w:rFonts w:hint="default" w:hAnsi="Times New Roman" w:eastAsia="宋体"/>
                <w:snapToGrid w:val="0"/>
                <w:color w:val="auto"/>
                <w:szCs w:val="22"/>
                <w:lang w:val="en-US" w:eastAsia="zh-CN"/>
              </w:rPr>
            </w:pPr>
            <w:r>
              <w:rPr>
                <w:rFonts w:hint="eastAsia" w:hAnsi="Times New Roman"/>
                <w:snapToGrid w:val="0"/>
                <w:color w:val="auto"/>
                <w:szCs w:val="22"/>
                <w:lang w:val="en-US" w:eastAsia="zh-CN"/>
              </w:rPr>
              <w:t>35.53</w:t>
            </w:r>
          </w:p>
        </w:tc>
        <w:tc>
          <w:tcPr>
            <w:tcW w:w="361" w:type="pct"/>
            <w:shd w:val="clear" w:color="auto" w:fill="auto"/>
            <w:vAlign w:val="center"/>
          </w:tcPr>
          <w:p>
            <w:pPr>
              <w:pStyle w:val="84"/>
              <w:rPr>
                <w:rFonts w:hint="default" w:hAnsi="Times New Roman" w:eastAsia="宋体"/>
                <w:snapToGrid w:val="0"/>
                <w:color w:val="auto"/>
                <w:szCs w:val="22"/>
                <w:lang w:val="en-US" w:eastAsia="zh-CN"/>
              </w:rPr>
            </w:pPr>
            <w:r>
              <w:rPr>
                <w:rFonts w:hint="eastAsia" w:hAnsi="Times New Roman"/>
                <w:snapToGrid w:val="0"/>
                <w:color w:val="auto"/>
                <w:szCs w:val="22"/>
                <w:lang w:val="en-US" w:eastAsia="zh-CN"/>
              </w:rPr>
              <w:t>0.0281</w:t>
            </w:r>
          </w:p>
        </w:tc>
        <w:tc>
          <w:tcPr>
            <w:tcW w:w="264" w:type="pct"/>
            <w:vMerge w:val="restart"/>
            <w:shd w:val="clear" w:color="auto" w:fill="auto"/>
            <w:vAlign w:val="center"/>
          </w:tcPr>
          <w:p>
            <w:pPr>
              <w:pStyle w:val="84"/>
              <w:rPr>
                <w:rFonts w:hint="default" w:hAnsi="Times New Roman" w:eastAsia="宋体"/>
                <w:snapToGrid w:val="0"/>
                <w:color w:val="auto"/>
                <w:lang w:val="en-US" w:eastAsia="zh-CN"/>
              </w:rPr>
            </w:pPr>
            <w:r>
              <w:rPr>
                <w:rFonts w:hint="eastAsia" w:hAnsi="Times New Roman"/>
                <w:snapToGrid w:val="0"/>
                <w:color w:val="auto"/>
                <w:lang w:val="en-US" w:eastAsia="zh-CN"/>
              </w:rPr>
              <w:t>3600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9" w:type="pct"/>
            <w:vMerge w:val="continue"/>
            <w:shd w:val="clear" w:color="auto" w:fill="auto"/>
            <w:vAlign w:val="center"/>
          </w:tcPr>
          <w:p>
            <w:pPr>
              <w:pStyle w:val="84"/>
              <w:rPr>
                <w:rFonts w:hAnsi="Times New Roman"/>
                <w:snapToGrid w:val="0"/>
                <w:color w:val="auto"/>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251" w:type="pct"/>
            <w:vMerge w:val="continue"/>
            <w:shd w:val="clear" w:color="auto" w:fill="auto"/>
            <w:vAlign w:val="center"/>
          </w:tcPr>
          <w:p>
            <w:pPr>
              <w:pStyle w:val="84"/>
              <w:rPr>
                <w:rFonts w:hAnsi="Times New Roman"/>
                <w:snapToGrid w:val="0"/>
                <w:color w:val="auto"/>
                <w:szCs w:val="22"/>
              </w:rPr>
            </w:pPr>
          </w:p>
        </w:tc>
        <w:tc>
          <w:tcPr>
            <w:tcW w:w="302" w:type="pct"/>
            <w:shd w:val="clear" w:color="auto" w:fill="auto"/>
            <w:vAlign w:val="center"/>
          </w:tcPr>
          <w:p>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0" w:firstLineChars="0"/>
              <w:jc w:val="center"/>
              <w:textAlignment w:val="auto"/>
              <w:rPr>
                <w:rFonts w:hAnsi="Times New Roman"/>
                <w:snapToGrid w:val="0"/>
                <w:color w:val="auto"/>
                <w:szCs w:val="22"/>
              </w:rPr>
            </w:pPr>
            <w:r>
              <w:rPr>
                <w:rFonts w:hint="default" w:ascii="Times New Roman" w:hAnsi="Times New Roman" w:eastAsia="宋体" w:cs="Times New Roman"/>
                <w:bCs/>
                <w:color w:val="auto"/>
                <w:spacing w:val="0"/>
                <w:sz w:val="21"/>
                <w:szCs w:val="21"/>
              </w:rPr>
              <w:t>NOx</w:t>
            </w:r>
          </w:p>
        </w:tc>
        <w:tc>
          <w:tcPr>
            <w:tcW w:w="253" w:type="pct"/>
            <w:vMerge w:val="continue"/>
            <w:shd w:val="clear" w:color="auto" w:fill="auto"/>
            <w:vAlign w:val="center"/>
          </w:tcPr>
          <w:p>
            <w:pPr>
              <w:pStyle w:val="84"/>
              <w:rPr>
                <w:rFonts w:hAnsi="Times New Roman"/>
                <w:snapToGrid w:val="0"/>
                <w:color w:val="auto"/>
                <w:szCs w:val="22"/>
              </w:rPr>
            </w:pPr>
          </w:p>
        </w:tc>
        <w:tc>
          <w:tcPr>
            <w:tcW w:w="302" w:type="pct"/>
            <w:vMerge w:val="continue"/>
            <w:shd w:val="clear" w:color="auto" w:fill="auto"/>
            <w:vAlign w:val="center"/>
          </w:tcPr>
          <w:p>
            <w:pPr>
              <w:pStyle w:val="84"/>
              <w:rPr>
                <w:rFonts w:hint="eastAsia" w:hAnsi="Times New Roman"/>
                <w:bCs/>
                <w:color w:val="FF0000"/>
              </w:rPr>
            </w:pPr>
          </w:p>
        </w:tc>
        <w:tc>
          <w:tcPr>
            <w:tcW w:w="1128" w:type="dxa"/>
            <w:shd w:val="clear" w:color="auto" w:fill="auto"/>
            <w:vAlign w:val="center"/>
          </w:tcPr>
          <w:p>
            <w:pPr>
              <w:pStyle w:val="84"/>
              <w:rPr>
                <w:rFonts w:hint="eastAsia" w:hAnsi="Times New Roman"/>
                <w:bCs/>
                <w:color w:val="FF0000"/>
              </w:rPr>
            </w:pPr>
            <w:r>
              <w:rPr>
                <w:rFonts w:hint="eastAsia" w:hAnsi="Times New Roman"/>
                <w:snapToGrid w:val="0"/>
                <w:color w:val="auto"/>
                <w:szCs w:val="22"/>
                <w:lang w:val="en-US" w:eastAsia="zh-CN"/>
              </w:rPr>
              <w:t>150</w:t>
            </w:r>
          </w:p>
        </w:tc>
        <w:tc>
          <w:tcPr>
            <w:tcW w:w="1010" w:type="dxa"/>
            <w:shd w:val="clear" w:color="auto" w:fill="auto"/>
            <w:vAlign w:val="center"/>
          </w:tcPr>
          <w:p>
            <w:pPr>
              <w:pStyle w:val="84"/>
              <w:rPr>
                <w:rFonts w:hint="eastAsia" w:hAnsi="Times New Roman"/>
                <w:bCs/>
                <w:color w:val="FF0000"/>
              </w:rPr>
            </w:pPr>
            <w:r>
              <w:rPr>
                <w:rFonts w:hint="eastAsia" w:hAnsi="Times New Roman"/>
                <w:snapToGrid w:val="0"/>
                <w:color w:val="auto"/>
                <w:szCs w:val="22"/>
                <w:lang w:val="en-US" w:eastAsia="zh-CN"/>
              </w:rPr>
              <w:t>0.1186</w:t>
            </w:r>
          </w:p>
        </w:tc>
        <w:tc>
          <w:tcPr>
            <w:tcW w:w="549"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402" w:type="pct"/>
            <w:shd w:val="clear" w:color="auto" w:fill="auto"/>
            <w:vAlign w:val="center"/>
          </w:tcPr>
          <w:p>
            <w:pPr>
              <w:pStyle w:val="84"/>
              <w:rPr>
                <w:rFonts w:hAnsi="Times New Roman"/>
                <w:snapToGrid w:val="0"/>
                <w:color w:val="auto"/>
                <w:szCs w:val="22"/>
              </w:rPr>
            </w:pPr>
            <w:r>
              <w:rPr>
                <w:rFonts w:hAnsi="Times New Roman"/>
                <w:snapToGrid w:val="0"/>
                <w:color w:val="auto"/>
                <w:szCs w:val="22"/>
              </w:rPr>
              <w:t>-</w:t>
            </w:r>
          </w:p>
        </w:tc>
        <w:tc>
          <w:tcPr>
            <w:tcW w:w="252" w:type="pct"/>
            <w:vMerge w:val="continue"/>
            <w:shd w:val="clear" w:color="auto" w:fill="auto"/>
            <w:vAlign w:val="center"/>
          </w:tcPr>
          <w:p>
            <w:pPr>
              <w:pStyle w:val="84"/>
              <w:rPr>
                <w:rFonts w:hAnsi="Times New Roman"/>
                <w:snapToGrid w:val="0"/>
                <w:color w:val="FF0000"/>
                <w:szCs w:val="22"/>
              </w:rPr>
            </w:pPr>
          </w:p>
        </w:tc>
        <w:tc>
          <w:tcPr>
            <w:tcW w:w="353" w:type="pct"/>
            <w:vMerge w:val="continue"/>
            <w:shd w:val="clear" w:color="auto" w:fill="auto"/>
            <w:vAlign w:val="center"/>
          </w:tcPr>
          <w:p>
            <w:pPr>
              <w:pStyle w:val="84"/>
              <w:rPr>
                <w:rFonts w:hint="eastAsia" w:hAnsi="Times New Roman"/>
                <w:snapToGrid w:val="0"/>
                <w:color w:val="FF0000"/>
                <w:szCs w:val="22"/>
              </w:rPr>
            </w:pPr>
          </w:p>
        </w:tc>
        <w:tc>
          <w:tcPr>
            <w:tcW w:w="352" w:type="pct"/>
            <w:shd w:val="clear" w:color="auto" w:fill="auto"/>
            <w:vAlign w:val="center"/>
          </w:tcPr>
          <w:p>
            <w:pPr>
              <w:pStyle w:val="84"/>
              <w:rPr>
                <w:rFonts w:hint="default" w:hAnsi="Times New Roman" w:eastAsia="宋体"/>
                <w:snapToGrid w:val="0"/>
                <w:color w:val="auto"/>
                <w:szCs w:val="22"/>
                <w:lang w:val="en-US" w:eastAsia="zh-CN"/>
              </w:rPr>
            </w:pPr>
            <w:r>
              <w:rPr>
                <w:rFonts w:hint="eastAsia" w:hAnsi="Times New Roman"/>
                <w:snapToGrid w:val="0"/>
                <w:color w:val="auto"/>
                <w:szCs w:val="22"/>
                <w:lang w:val="en-US" w:eastAsia="zh-CN"/>
              </w:rPr>
              <w:t>150</w:t>
            </w:r>
          </w:p>
        </w:tc>
        <w:tc>
          <w:tcPr>
            <w:tcW w:w="361" w:type="pct"/>
            <w:shd w:val="clear" w:color="auto" w:fill="auto"/>
            <w:vAlign w:val="center"/>
          </w:tcPr>
          <w:p>
            <w:pPr>
              <w:pStyle w:val="84"/>
              <w:rPr>
                <w:rFonts w:hint="default" w:hAnsi="Times New Roman" w:eastAsia="宋体"/>
                <w:snapToGrid w:val="0"/>
                <w:color w:val="auto"/>
                <w:szCs w:val="22"/>
                <w:lang w:val="en-US" w:eastAsia="zh-CN"/>
              </w:rPr>
            </w:pPr>
            <w:r>
              <w:rPr>
                <w:rFonts w:hint="eastAsia" w:hAnsi="Times New Roman"/>
                <w:snapToGrid w:val="0"/>
                <w:color w:val="auto"/>
                <w:szCs w:val="22"/>
                <w:lang w:val="en-US" w:eastAsia="zh-CN"/>
              </w:rPr>
              <w:t>0.1186</w:t>
            </w:r>
          </w:p>
        </w:tc>
        <w:tc>
          <w:tcPr>
            <w:tcW w:w="264" w:type="pct"/>
            <w:vMerge w:val="continue"/>
            <w:shd w:val="clear" w:color="auto" w:fill="auto"/>
            <w:vAlign w:val="center"/>
          </w:tcPr>
          <w:p>
            <w:pPr>
              <w:pStyle w:val="84"/>
              <w:rPr>
                <w:rFonts w:hAnsi="Times New Roman"/>
                <w:snapToGrid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9" w:type="pct"/>
            <w:vMerge w:val="continue"/>
            <w:shd w:val="clear" w:color="auto" w:fill="auto"/>
            <w:vAlign w:val="center"/>
          </w:tcPr>
          <w:p>
            <w:pPr>
              <w:pStyle w:val="84"/>
              <w:rPr>
                <w:rFonts w:hAnsi="Times New Roman"/>
                <w:snapToGrid w:val="0"/>
                <w:color w:val="auto"/>
                <w:szCs w:val="22"/>
              </w:rPr>
            </w:pPr>
          </w:p>
        </w:tc>
        <w:tc>
          <w:tcPr>
            <w:tcW w:w="353" w:type="pct"/>
            <w:vMerge w:val="continue"/>
            <w:shd w:val="clear" w:color="auto" w:fill="auto"/>
            <w:vAlign w:val="center"/>
          </w:tcPr>
          <w:p>
            <w:pPr>
              <w:pStyle w:val="84"/>
              <w:rPr>
                <w:rFonts w:hAnsi="Times New Roman"/>
                <w:snapToGrid w:val="0"/>
                <w:color w:val="auto"/>
                <w:szCs w:val="22"/>
              </w:rPr>
            </w:pPr>
          </w:p>
        </w:tc>
        <w:tc>
          <w:tcPr>
            <w:tcW w:w="251" w:type="pct"/>
            <w:vMerge w:val="continue"/>
            <w:shd w:val="clear" w:color="auto" w:fill="auto"/>
            <w:vAlign w:val="center"/>
          </w:tcPr>
          <w:p>
            <w:pPr>
              <w:pStyle w:val="84"/>
              <w:rPr>
                <w:rFonts w:hAnsi="Times New Roman"/>
                <w:snapToGrid w:val="0"/>
                <w:color w:val="auto"/>
                <w:szCs w:val="22"/>
              </w:rPr>
            </w:pPr>
          </w:p>
        </w:tc>
        <w:tc>
          <w:tcPr>
            <w:tcW w:w="302" w:type="pct"/>
            <w:shd w:val="clear" w:color="auto" w:fill="auto"/>
            <w:vAlign w:val="center"/>
          </w:tcPr>
          <w:p>
            <w:pPr>
              <w:pStyle w:val="41"/>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0" w:firstLineChars="0"/>
              <w:jc w:val="center"/>
              <w:textAlignment w:val="auto"/>
              <w:rPr>
                <w:rFonts w:hAnsi="Times New Roman"/>
                <w:snapToGrid w:val="0"/>
                <w:color w:val="auto"/>
                <w:szCs w:val="22"/>
              </w:rPr>
            </w:pPr>
            <w:r>
              <w:rPr>
                <w:rFonts w:hint="default" w:ascii="Times New Roman" w:hAnsi="Times New Roman" w:eastAsia="宋体" w:cs="Times New Roman"/>
                <w:bCs/>
                <w:color w:val="auto"/>
                <w:spacing w:val="0"/>
                <w:sz w:val="21"/>
                <w:szCs w:val="21"/>
              </w:rPr>
              <w:t>颗粒物</w:t>
            </w:r>
          </w:p>
        </w:tc>
        <w:tc>
          <w:tcPr>
            <w:tcW w:w="253" w:type="pct"/>
            <w:vMerge w:val="continue"/>
            <w:shd w:val="clear" w:color="auto" w:fill="auto"/>
            <w:vAlign w:val="center"/>
          </w:tcPr>
          <w:p>
            <w:pPr>
              <w:pStyle w:val="84"/>
              <w:rPr>
                <w:rFonts w:hAnsi="Times New Roman"/>
                <w:snapToGrid w:val="0"/>
                <w:color w:val="auto"/>
                <w:szCs w:val="22"/>
              </w:rPr>
            </w:pPr>
          </w:p>
        </w:tc>
        <w:tc>
          <w:tcPr>
            <w:tcW w:w="302" w:type="pct"/>
            <w:vMerge w:val="continue"/>
            <w:shd w:val="clear" w:color="auto" w:fill="auto"/>
            <w:vAlign w:val="center"/>
          </w:tcPr>
          <w:p>
            <w:pPr>
              <w:pStyle w:val="84"/>
              <w:rPr>
                <w:rFonts w:hint="eastAsia" w:hAnsi="Times New Roman"/>
                <w:bCs/>
                <w:color w:val="FF0000"/>
              </w:rPr>
            </w:pPr>
          </w:p>
        </w:tc>
        <w:tc>
          <w:tcPr>
            <w:tcW w:w="401" w:type="pct"/>
            <w:shd w:val="clear" w:color="auto" w:fill="auto"/>
            <w:vAlign w:val="center"/>
          </w:tcPr>
          <w:p>
            <w:pPr>
              <w:pStyle w:val="84"/>
              <w:rPr>
                <w:rFonts w:hint="default" w:hAnsi="Times New Roman" w:eastAsia="宋体"/>
                <w:bCs/>
                <w:color w:val="auto"/>
                <w:lang w:val="en-US" w:eastAsia="zh-CN"/>
              </w:rPr>
            </w:pPr>
            <w:r>
              <w:rPr>
                <w:rFonts w:hint="eastAsia" w:hAnsi="Times New Roman"/>
                <w:bCs/>
                <w:color w:val="auto"/>
                <w:lang w:val="en-US" w:eastAsia="zh-CN"/>
              </w:rPr>
              <w:t>13025</w:t>
            </w:r>
          </w:p>
        </w:tc>
        <w:tc>
          <w:tcPr>
            <w:tcW w:w="359" w:type="pct"/>
            <w:shd w:val="clear" w:color="auto" w:fill="auto"/>
            <w:vAlign w:val="center"/>
          </w:tcPr>
          <w:p>
            <w:pPr>
              <w:pStyle w:val="84"/>
              <w:rPr>
                <w:rFonts w:hint="default" w:hAnsi="Times New Roman" w:eastAsia="宋体"/>
                <w:bCs/>
                <w:color w:val="auto"/>
                <w:lang w:val="en-US" w:eastAsia="zh-CN"/>
              </w:rPr>
            </w:pPr>
            <w:r>
              <w:rPr>
                <w:rFonts w:hint="eastAsia" w:hAnsi="Times New Roman"/>
                <w:bCs/>
                <w:color w:val="auto"/>
                <w:lang w:val="en-US" w:eastAsia="zh-CN"/>
              </w:rPr>
              <w:t>10.3</w:t>
            </w:r>
          </w:p>
        </w:tc>
        <w:tc>
          <w:tcPr>
            <w:tcW w:w="549" w:type="pct"/>
            <w:shd w:val="clear" w:color="auto" w:fill="auto"/>
            <w:vAlign w:val="center"/>
          </w:tcPr>
          <w:p>
            <w:pPr>
              <w:pStyle w:val="84"/>
              <w:rPr>
                <w:rFonts w:hint="eastAsia" w:hAnsi="Times New Roman" w:eastAsia="宋体"/>
                <w:snapToGrid w:val="0"/>
                <w:color w:val="auto"/>
                <w:szCs w:val="22"/>
                <w:lang w:val="en-US" w:eastAsia="zh-CN"/>
              </w:rPr>
            </w:pPr>
            <w:r>
              <w:rPr>
                <w:rFonts w:hint="eastAsia" w:hAnsi="Times New Roman"/>
                <w:snapToGrid w:val="0"/>
                <w:color w:val="auto"/>
                <w:szCs w:val="22"/>
                <w:lang w:val="en-US" w:eastAsia="zh-CN"/>
              </w:rPr>
              <w:t>布袋除尘器</w:t>
            </w:r>
          </w:p>
        </w:tc>
        <w:tc>
          <w:tcPr>
            <w:tcW w:w="402" w:type="pct"/>
            <w:shd w:val="clear" w:color="auto" w:fill="auto"/>
            <w:vAlign w:val="center"/>
          </w:tcPr>
          <w:p>
            <w:pPr>
              <w:pStyle w:val="84"/>
              <w:rPr>
                <w:rFonts w:hint="default" w:hAnsi="Times New Roman" w:eastAsia="宋体"/>
                <w:snapToGrid w:val="0"/>
                <w:color w:val="auto"/>
                <w:szCs w:val="22"/>
                <w:lang w:val="en-US" w:eastAsia="zh-CN"/>
              </w:rPr>
            </w:pPr>
            <w:r>
              <w:rPr>
                <w:rFonts w:hint="eastAsia" w:hAnsi="Times New Roman"/>
                <w:snapToGrid w:val="0"/>
                <w:color w:val="auto"/>
                <w:szCs w:val="22"/>
                <w:lang w:val="en-US" w:eastAsia="zh-CN"/>
              </w:rPr>
              <w:t>99.8</w:t>
            </w:r>
          </w:p>
        </w:tc>
        <w:tc>
          <w:tcPr>
            <w:tcW w:w="252" w:type="pct"/>
            <w:vMerge w:val="continue"/>
            <w:shd w:val="clear" w:color="auto" w:fill="auto"/>
            <w:vAlign w:val="center"/>
          </w:tcPr>
          <w:p>
            <w:pPr>
              <w:pStyle w:val="84"/>
              <w:rPr>
                <w:rFonts w:hAnsi="Times New Roman"/>
                <w:snapToGrid w:val="0"/>
                <w:color w:val="FF0000"/>
                <w:szCs w:val="22"/>
              </w:rPr>
            </w:pPr>
          </w:p>
        </w:tc>
        <w:tc>
          <w:tcPr>
            <w:tcW w:w="353" w:type="pct"/>
            <w:vMerge w:val="continue"/>
            <w:shd w:val="clear" w:color="auto" w:fill="auto"/>
            <w:vAlign w:val="center"/>
          </w:tcPr>
          <w:p>
            <w:pPr>
              <w:pStyle w:val="84"/>
              <w:rPr>
                <w:rFonts w:hint="eastAsia" w:hAnsi="Times New Roman"/>
                <w:snapToGrid w:val="0"/>
                <w:color w:val="FF0000"/>
                <w:szCs w:val="22"/>
              </w:rPr>
            </w:pPr>
          </w:p>
        </w:tc>
        <w:tc>
          <w:tcPr>
            <w:tcW w:w="990" w:type="dxa"/>
            <w:shd w:val="clear" w:color="auto" w:fill="auto"/>
            <w:vAlign w:val="center"/>
          </w:tcPr>
          <w:p>
            <w:pPr>
              <w:pStyle w:val="84"/>
              <w:rPr>
                <w:rFonts w:hint="default" w:hAnsi="Times New Roman"/>
                <w:snapToGrid w:val="0"/>
                <w:color w:val="FF0000"/>
                <w:szCs w:val="22"/>
                <w:lang w:val="en-US"/>
              </w:rPr>
            </w:pPr>
            <w:r>
              <w:rPr>
                <w:rFonts w:hint="eastAsia" w:hAnsi="Times New Roman"/>
                <w:bCs/>
                <w:color w:val="auto"/>
                <w:lang w:val="en-US" w:eastAsia="zh-CN"/>
              </w:rPr>
              <w:t>26.05</w:t>
            </w:r>
          </w:p>
        </w:tc>
        <w:tc>
          <w:tcPr>
            <w:tcW w:w="1018" w:type="dxa"/>
            <w:shd w:val="clear" w:color="auto" w:fill="auto"/>
            <w:vAlign w:val="center"/>
          </w:tcPr>
          <w:p>
            <w:pPr>
              <w:pStyle w:val="84"/>
              <w:rPr>
                <w:rFonts w:hint="default" w:hAnsi="Times New Roman"/>
                <w:snapToGrid w:val="0"/>
                <w:color w:val="FF0000"/>
                <w:szCs w:val="22"/>
                <w:lang w:val="en-US"/>
              </w:rPr>
            </w:pPr>
            <w:r>
              <w:rPr>
                <w:rFonts w:hint="eastAsia" w:hAnsi="Times New Roman"/>
                <w:bCs/>
                <w:color w:val="auto"/>
                <w:lang w:val="en-US" w:eastAsia="zh-CN"/>
              </w:rPr>
              <w:t>0.0206</w:t>
            </w:r>
          </w:p>
        </w:tc>
        <w:tc>
          <w:tcPr>
            <w:tcW w:w="264" w:type="pct"/>
            <w:vMerge w:val="continue"/>
            <w:shd w:val="clear" w:color="auto" w:fill="auto"/>
            <w:vAlign w:val="center"/>
          </w:tcPr>
          <w:p>
            <w:pPr>
              <w:pStyle w:val="84"/>
              <w:rPr>
                <w:rFonts w:hAnsi="Times New Roman"/>
                <w:snapToGrid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39" w:type="pct"/>
            <w:shd w:val="clear" w:color="auto" w:fill="auto"/>
            <w:vAlign w:val="center"/>
          </w:tcPr>
          <w:p>
            <w:pPr>
              <w:pStyle w:val="84"/>
              <w:rPr>
                <w:rFonts w:hAnsi="Times New Roman"/>
                <w:snapToGrid w:val="0"/>
                <w:color w:val="auto"/>
                <w:szCs w:val="22"/>
              </w:rPr>
            </w:pPr>
            <w:r>
              <w:rPr>
                <w:rFonts w:hint="eastAsia" w:hAnsi="Times New Roman"/>
                <w:snapToGrid w:val="0"/>
                <w:color w:val="auto"/>
                <w:szCs w:val="22"/>
              </w:rPr>
              <w:t>食堂</w:t>
            </w:r>
          </w:p>
        </w:tc>
        <w:tc>
          <w:tcPr>
            <w:tcW w:w="353" w:type="pct"/>
            <w:shd w:val="clear" w:color="auto" w:fill="auto"/>
            <w:vAlign w:val="center"/>
          </w:tcPr>
          <w:p>
            <w:pPr>
              <w:pStyle w:val="84"/>
              <w:rPr>
                <w:rFonts w:hAnsi="Times New Roman"/>
                <w:snapToGrid w:val="0"/>
                <w:color w:val="auto"/>
                <w:szCs w:val="22"/>
              </w:rPr>
            </w:pPr>
            <w:r>
              <w:rPr>
                <w:rFonts w:hint="eastAsia" w:hAnsi="Times New Roman"/>
                <w:snapToGrid w:val="0"/>
                <w:color w:val="auto"/>
                <w:szCs w:val="22"/>
              </w:rPr>
              <w:t>灶头</w:t>
            </w:r>
          </w:p>
        </w:tc>
        <w:tc>
          <w:tcPr>
            <w:tcW w:w="251" w:type="pct"/>
            <w:shd w:val="clear" w:color="auto" w:fill="auto"/>
            <w:vAlign w:val="center"/>
          </w:tcPr>
          <w:p>
            <w:pPr>
              <w:pStyle w:val="84"/>
              <w:rPr>
                <w:rFonts w:hAnsi="Times New Roman"/>
                <w:snapToGrid w:val="0"/>
                <w:color w:val="auto"/>
                <w:szCs w:val="22"/>
              </w:rPr>
            </w:pPr>
            <w:r>
              <w:rPr>
                <w:rFonts w:hint="eastAsia" w:hAnsi="Times New Roman"/>
                <w:snapToGrid w:val="0"/>
                <w:color w:val="auto"/>
                <w:szCs w:val="22"/>
              </w:rPr>
              <w:t>排气筒</w:t>
            </w:r>
          </w:p>
        </w:tc>
        <w:tc>
          <w:tcPr>
            <w:tcW w:w="302" w:type="pct"/>
            <w:shd w:val="clear" w:color="auto" w:fill="auto"/>
            <w:vAlign w:val="center"/>
          </w:tcPr>
          <w:p>
            <w:pPr>
              <w:pStyle w:val="84"/>
              <w:rPr>
                <w:rFonts w:hAnsi="Times New Roman"/>
                <w:snapToGrid w:val="0"/>
                <w:color w:val="auto"/>
                <w:szCs w:val="22"/>
              </w:rPr>
            </w:pPr>
            <w:r>
              <w:rPr>
                <w:rFonts w:hint="eastAsia" w:hAnsi="Times New Roman"/>
                <w:snapToGrid w:val="0"/>
                <w:color w:val="auto"/>
                <w:szCs w:val="22"/>
              </w:rPr>
              <w:t>油烟</w:t>
            </w:r>
          </w:p>
        </w:tc>
        <w:tc>
          <w:tcPr>
            <w:tcW w:w="253" w:type="pct"/>
            <w:shd w:val="clear" w:color="auto" w:fill="auto"/>
            <w:vAlign w:val="center"/>
          </w:tcPr>
          <w:p>
            <w:pPr>
              <w:pStyle w:val="84"/>
              <w:rPr>
                <w:rFonts w:hAnsi="Times New Roman"/>
                <w:snapToGrid w:val="0"/>
                <w:color w:val="auto"/>
                <w:szCs w:val="22"/>
              </w:rPr>
            </w:pPr>
            <w:r>
              <w:rPr>
                <w:rFonts w:hAnsi="Times New Roman"/>
                <w:snapToGrid w:val="0"/>
                <w:color w:val="auto"/>
                <w:szCs w:val="22"/>
              </w:rPr>
              <w:t>产污系数</w:t>
            </w:r>
          </w:p>
        </w:tc>
        <w:tc>
          <w:tcPr>
            <w:tcW w:w="302" w:type="pct"/>
            <w:shd w:val="clear" w:color="auto" w:fill="auto"/>
            <w:vAlign w:val="center"/>
          </w:tcPr>
          <w:p>
            <w:pPr>
              <w:pStyle w:val="84"/>
              <w:rPr>
                <w:rFonts w:hint="default" w:hAnsi="Times New Roman" w:eastAsia="宋体"/>
                <w:snapToGrid w:val="0"/>
                <w:color w:val="auto"/>
                <w:szCs w:val="22"/>
                <w:lang w:val="en-US" w:eastAsia="zh-CN"/>
              </w:rPr>
            </w:pPr>
            <w:r>
              <w:rPr>
                <w:rFonts w:hint="eastAsia" w:hAnsi="Times New Roman"/>
                <w:bCs/>
                <w:snapToGrid w:val="0"/>
                <w:color w:val="auto"/>
                <w:szCs w:val="22"/>
                <w:lang w:val="en-US" w:eastAsia="zh-CN"/>
              </w:rPr>
              <w:t>2500</w:t>
            </w:r>
          </w:p>
        </w:tc>
        <w:tc>
          <w:tcPr>
            <w:tcW w:w="401" w:type="pct"/>
            <w:shd w:val="clear" w:color="auto" w:fill="auto"/>
            <w:vAlign w:val="center"/>
          </w:tcPr>
          <w:p>
            <w:pPr>
              <w:pStyle w:val="84"/>
              <w:rPr>
                <w:rFonts w:hint="eastAsia" w:hAnsi="Times New Roman" w:eastAsia="宋体"/>
                <w:snapToGrid w:val="0"/>
                <w:color w:val="auto"/>
                <w:szCs w:val="22"/>
                <w:lang w:eastAsia="zh-CN"/>
              </w:rPr>
            </w:pPr>
            <w:r>
              <w:rPr>
                <w:rFonts w:hint="eastAsia" w:hAnsi="Times New Roman"/>
                <w:snapToGrid w:val="0"/>
                <w:color w:val="auto"/>
                <w:szCs w:val="22"/>
                <w:lang w:val="en-US" w:eastAsia="zh-CN"/>
              </w:rPr>
              <w:t>4</w:t>
            </w:r>
          </w:p>
        </w:tc>
        <w:tc>
          <w:tcPr>
            <w:tcW w:w="359" w:type="pct"/>
            <w:shd w:val="clear" w:color="auto" w:fill="auto"/>
            <w:vAlign w:val="center"/>
          </w:tcPr>
          <w:p>
            <w:pPr>
              <w:pStyle w:val="84"/>
              <w:rPr>
                <w:rFonts w:hint="eastAsia" w:hAnsi="Times New Roman" w:eastAsia="宋体"/>
                <w:color w:val="auto"/>
                <w:lang w:eastAsia="zh-CN"/>
              </w:rPr>
            </w:pPr>
            <w:r>
              <w:rPr>
                <w:rFonts w:hint="eastAsia" w:hAnsi="Times New Roman"/>
                <w:bCs/>
                <w:color w:val="auto"/>
                <w:lang w:eastAsia="zh-CN"/>
              </w:rPr>
              <w:t>0.01</w:t>
            </w:r>
          </w:p>
        </w:tc>
        <w:tc>
          <w:tcPr>
            <w:tcW w:w="549" w:type="pct"/>
            <w:shd w:val="clear" w:color="auto" w:fill="auto"/>
            <w:vAlign w:val="center"/>
          </w:tcPr>
          <w:p>
            <w:pPr>
              <w:pStyle w:val="84"/>
              <w:rPr>
                <w:rFonts w:hAnsi="Times New Roman"/>
                <w:snapToGrid w:val="0"/>
                <w:color w:val="auto"/>
                <w:szCs w:val="22"/>
              </w:rPr>
            </w:pPr>
            <w:r>
              <w:rPr>
                <w:rFonts w:hAnsi="Times New Roman"/>
                <w:bCs/>
                <w:snapToGrid w:val="0"/>
                <w:color w:val="auto"/>
                <w:szCs w:val="22"/>
              </w:rPr>
              <w:t>油烟净化装置</w:t>
            </w:r>
          </w:p>
        </w:tc>
        <w:tc>
          <w:tcPr>
            <w:tcW w:w="402" w:type="pct"/>
            <w:shd w:val="clear" w:color="auto" w:fill="auto"/>
            <w:vAlign w:val="center"/>
          </w:tcPr>
          <w:p>
            <w:pPr>
              <w:pStyle w:val="84"/>
              <w:rPr>
                <w:rFonts w:hAnsi="Times New Roman"/>
                <w:snapToGrid w:val="0"/>
                <w:color w:val="auto"/>
                <w:szCs w:val="22"/>
              </w:rPr>
            </w:pPr>
            <w:r>
              <w:rPr>
                <w:rFonts w:hint="eastAsia" w:hAnsi="Times New Roman"/>
                <w:snapToGrid w:val="0"/>
                <w:color w:val="auto"/>
                <w:szCs w:val="22"/>
              </w:rPr>
              <w:t>60</w:t>
            </w:r>
          </w:p>
        </w:tc>
        <w:tc>
          <w:tcPr>
            <w:tcW w:w="252" w:type="pct"/>
            <w:vMerge w:val="continue"/>
            <w:shd w:val="clear" w:color="auto" w:fill="auto"/>
            <w:vAlign w:val="center"/>
          </w:tcPr>
          <w:p>
            <w:pPr>
              <w:pStyle w:val="84"/>
              <w:rPr>
                <w:rFonts w:hAnsi="Times New Roman"/>
                <w:snapToGrid w:val="0"/>
                <w:color w:val="auto"/>
                <w:szCs w:val="22"/>
              </w:rPr>
            </w:pPr>
          </w:p>
        </w:tc>
        <w:tc>
          <w:tcPr>
            <w:tcW w:w="353" w:type="pct"/>
            <w:shd w:val="clear" w:color="auto" w:fill="auto"/>
            <w:vAlign w:val="center"/>
          </w:tcPr>
          <w:p>
            <w:pPr>
              <w:pStyle w:val="84"/>
              <w:rPr>
                <w:rFonts w:hAnsi="Times New Roman"/>
                <w:snapToGrid w:val="0"/>
                <w:color w:val="auto"/>
                <w:szCs w:val="22"/>
              </w:rPr>
            </w:pPr>
            <w:r>
              <w:rPr>
                <w:rFonts w:hint="eastAsia" w:hAnsi="Times New Roman"/>
                <w:snapToGrid w:val="0"/>
                <w:color w:val="auto"/>
                <w:szCs w:val="22"/>
                <w:lang w:val="en-US" w:eastAsia="zh-CN"/>
              </w:rPr>
              <w:t>25</w:t>
            </w:r>
            <w:r>
              <w:rPr>
                <w:rFonts w:hint="eastAsia" w:hAnsi="Times New Roman"/>
                <w:snapToGrid w:val="0"/>
                <w:color w:val="auto"/>
                <w:szCs w:val="22"/>
              </w:rPr>
              <w:t>00</w:t>
            </w:r>
          </w:p>
        </w:tc>
        <w:tc>
          <w:tcPr>
            <w:tcW w:w="352" w:type="pct"/>
            <w:shd w:val="clear" w:color="auto" w:fill="auto"/>
            <w:vAlign w:val="center"/>
          </w:tcPr>
          <w:p>
            <w:pPr>
              <w:pStyle w:val="84"/>
              <w:rPr>
                <w:rFonts w:hint="eastAsia" w:hAnsi="Times New Roman" w:eastAsia="宋体"/>
                <w:snapToGrid w:val="0"/>
                <w:color w:val="auto"/>
                <w:szCs w:val="22"/>
                <w:lang w:eastAsia="zh-CN"/>
              </w:rPr>
            </w:pPr>
            <w:r>
              <w:rPr>
                <w:rFonts w:hint="eastAsia" w:hAnsi="Times New Roman"/>
                <w:snapToGrid w:val="0"/>
                <w:color w:val="auto"/>
                <w:szCs w:val="22"/>
                <w:lang w:eastAsia="zh-CN"/>
              </w:rPr>
              <w:t>1.6</w:t>
            </w:r>
          </w:p>
        </w:tc>
        <w:tc>
          <w:tcPr>
            <w:tcW w:w="361" w:type="pct"/>
            <w:shd w:val="clear" w:color="auto" w:fill="auto"/>
            <w:vAlign w:val="center"/>
          </w:tcPr>
          <w:p>
            <w:pPr>
              <w:pStyle w:val="84"/>
              <w:rPr>
                <w:rFonts w:hint="eastAsia" w:hAnsi="Times New Roman" w:eastAsia="宋体"/>
                <w:color w:val="auto"/>
                <w:lang w:eastAsia="zh-CN"/>
              </w:rPr>
            </w:pPr>
            <w:r>
              <w:rPr>
                <w:rFonts w:hint="eastAsia" w:hAnsi="Times New Roman"/>
                <w:bCs/>
                <w:color w:val="auto"/>
                <w:lang w:eastAsia="zh-CN"/>
              </w:rPr>
              <w:t>0.004</w:t>
            </w:r>
          </w:p>
        </w:tc>
        <w:tc>
          <w:tcPr>
            <w:tcW w:w="264" w:type="pct"/>
            <w:shd w:val="clear" w:color="auto" w:fill="auto"/>
            <w:vAlign w:val="center"/>
          </w:tcPr>
          <w:p>
            <w:pPr>
              <w:pStyle w:val="84"/>
              <w:rPr>
                <w:rFonts w:hAnsi="Times New Roman"/>
                <w:snapToGrid w:val="0"/>
                <w:color w:val="auto"/>
              </w:rPr>
            </w:pPr>
            <w:r>
              <w:rPr>
                <w:rFonts w:hint="eastAsia" w:hAnsi="Times New Roman"/>
                <w:snapToGrid w:val="0"/>
                <w:color w:val="auto"/>
              </w:rPr>
              <w:t>1800</w:t>
            </w:r>
          </w:p>
        </w:tc>
      </w:tr>
    </w:tbl>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b/>
          <w:color w:val="auto"/>
          <w:sz w:val="24"/>
        </w:rPr>
      </w:pPr>
      <w:r>
        <w:rPr>
          <w:b/>
          <w:color w:val="auto"/>
          <w:sz w:val="24"/>
        </w:rPr>
        <w:t>表3-3-</w:t>
      </w:r>
      <w:r>
        <w:rPr>
          <w:rFonts w:hint="eastAsia"/>
          <w:b/>
          <w:color w:val="auto"/>
          <w:sz w:val="24"/>
        </w:rPr>
        <w:t>12</w:t>
      </w:r>
      <w:r>
        <w:rPr>
          <w:rFonts w:hint="eastAsia"/>
          <w:b/>
          <w:color w:val="auto"/>
          <w:sz w:val="24"/>
          <w:lang w:val="en-US" w:eastAsia="zh-CN"/>
        </w:rPr>
        <w:t xml:space="preserve"> </w:t>
      </w:r>
      <w:r>
        <w:rPr>
          <w:b/>
          <w:color w:val="auto"/>
          <w:sz w:val="24"/>
        </w:rPr>
        <w:t>非正常工况下废气污染物参数</w:t>
      </w:r>
    </w:p>
    <w:tbl>
      <w:tblPr>
        <w:tblStyle w:val="46"/>
        <w:tblW w:w="4998"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984"/>
        <w:gridCol w:w="1532"/>
        <w:gridCol w:w="2519"/>
        <w:gridCol w:w="1305"/>
        <w:gridCol w:w="1801"/>
        <w:gridCol w:w="54"/>
        <w:gridCol w:w="1748"/>
        <w:gridCol w:w="1350"/>
        <w:gridCol w:w="1351"/>
        <w:gridCol w:w="152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6" w:hRule="atLeast"/>
          <w:jc w:val="center"/>
        </w:trPr>
        <w:tc>
          <w:tcPr>
            <w:tcW w:w="347" w:type="pct"/>
            <w:tcBorders>
              <w:top w:val="single" w:color="000000" w:sz="12" w:space="0"/>
              <w:left w:val="nil"/>
              <w:bottom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序号</w:t>
            </w:r>
          </w:p>
        </w:tc>
        <w:tc>
          <w:tcPr>
            <w:tcW w:w="540" w:type="pct"/>
            <w:tcBorders>
              <w:top w:val="single" w:color="000000" w:sz="12" w:space="0"/>
              <w:left w:val="single" w:color="auto" w:sz="6" w:space="0"/>
              <w:bottom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正常排放源</w:t>
            </w:r>
          </w:p>
        </w:tc>
        <w:tc>
          <w:tcPr>
            <w:tcW w:w="888" w:type="pct"/>
            <w:tcBorders>
              <w:top w:val="single" w:color="000000" w:sz="12" w:space="0"/>
              <w:left w:val="single" w:color="000000" w:sz="6" w:space="0"/>
              <w:bottom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非正常排放原因</w:t>
            </w:r>
          </w:p>
        </w:tc>
        <w:tc>
          <w:tcPr>
            <w:tcW w:w="460" w:type="pct"/>
            <w:tcBorders>
              <w:top w:val="single" w:color="000000" w:sz="12" w:space="0"/>
              <w:left w:val="single" w:color="000000" w:sz="6" w:space="0"/>
              <w:bottom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污染物</w:t>
            </w:r>
          </w:p>
        </w:tc>
        <w:tc>
          <w:tcPr>
            <w:tcW w:w="635" w:type="pct"/>
            <w:tcBorders>
              <w:top w:val="single" w:color="000000" w:sz="12" w:space="0"/>
              <w:left w:val="single" w:color="auto" w:sz="6" w:space="0"/>
              <w:bottom w:val="single" w:color="000000" w:sz="6" w:space="0"/>
              <w:right w:val="single" w:color="000000" w:sz="6" w:space="0"/>
            </w:tcBorders>
            <w:vAlign w:val="center"/>
          </w:tcPr>
          <w:p>
            <w:pPr>
              <w:spacing w:line="0" w:lineRule="atLeast"/>
              <w:jc w:val="center"/>
              <w:rPr>
                <w:color w:val="auto"/>
                <w:kern w:val="0"/>
                <w:szCs w:val="21"/>
              </w:rPr>
            </w:pPr>
            <w:r>
              <w:rPr>
                <w:color w:val="auto"/>
                <w:kern w:val="0"/>
                <w:szCs w:val="21"/>
              </w:rPr>
              <w:t>非正常排放浓度/μg/m</w:t>
            </w:r>
            <w:r>
              <w:rPr>
                <w:color w:val="auto"/>
                <w:kern w:val="0"/>
                <w:szCs w:val="21"/>
                <w:vertAlign w:val="superscript"/>
              </w:rPr>
              <w:t>3</w:t>
            </w:r>
          </w:p>
        </w:tc>
        <w:tc>
          <w:tcPr>
            <w:tcW w:w="635" w:type="pct"/>
            <w:gridSpan w:val="2"/>
            <w:tcBorders>
              <w:top w:val="single" w:color="000000" w:sz="12" w:space="0"/>
              <w:left w:val="single" w:color="000000" w:sz="6" w:space="0"/>
              <w:bottom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非正常排放速率（kg/h）</w:t>
            </w:r>
          </w:p>
        </w:tc>
        <w:tc>
          <w:tcPr>
            <w:tcW w:w="476" w:type="pct"/>
            <w:tcBorders>
              <w:top w:val="single" w:color="000000" w:sz="12" w:space="0"/>
              <w:left w:val="single" w:color="000000" w:sz="6" w:space="0"/>
              <w:bottom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单次持续时间/h</w:t>
            </w:r>
          </w:p>
        </w:tc>
        <w:tc>
          <w:tcPr>
            <w:tcW w:w="476" w:type="pct"/>
            <w:tcBorders>
              <w:top w:val="single" w:color="000000" w:sz="12" w:space="0"/>
              <w:left w:val="single" w:color="000000" w:sz="6" w:space="0"/>
              <w:bottom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年发生频次/次</w:t>
            </w:r>
          </w:p>
        </w:tc>
        <w:tc>
          <w:tcPr>
            <w:tcW w:w="537" w:type="pct"/>
            <w:tcBorders>
              <w:top w:val="single" w:color="000000" w:sz="12" w:space="0"/>
              <w:left w:val="single" w:color="auto" w:sz="6" w:space="0"/>
              <w:bottom w:val="single" w:color="000000" w:sz="6" w:space="0"/>
              <w:right w:val="nil"/>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应该对措施</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87" w:hRule="atLeast"/>
          <w:jc w:val="center"/>
        </w:trPr>
        <w:tc>
          <w:tcPr>
            <w:tcW w:w="347" w:type="pct"/>
            <w:vMerge w:val="restart"/>
            <w:tcBorders>
              <w:top w:val="single" w:color="000000" w:sz="6" w:space="0"/>
              <w:left w:val="nil"/>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1</w:t>
            </w:r>
          </w:p>
        </w:tc>
        <w:tc>
          <w:tcPr>
            <w:tcW w:w="540" w:type="pct"/>
            <w:vMerge w:val="restart"/>
            <w:tcBorders>
              <w:top w:val="single" w:color="000000" w:sz="6" w:space="0"/>
              <w:left w:val="single" w:color="auto" w:sz="6" w:space="0"/>
              <w:right w:val="single" w:color="000000" w:sz="6" w:space="0"/>
            </w:tcBorders>
            <w:vAlign w:val="center"/>
          </w:tcPr>
          <w:p>
            <w:pPr>
              <w:pStyle w:val="74"/>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屠宰车间</w:t>
            </w:r>
            <w:r>
              <w:rPr>
                <w:rFonts w:ascii="Times New Roman" w:hAnsi="Times New Roman" w:eastAsia="宋体" w:cs="Times New Roman"/>
                <w:color w:val="auto"/>
                <w:sz w:val="21"/>
                <w:szCs w:val="21"/>
              </w:rPr>
              <w:t>排气筒（</w:t>
            </w:r>
            <w:r>
              <w:rPr>
                <w:rFonts w:hint="eastAsia" w:ascii="Times New Roman" w:hAnsi="Times New Roman" w:eastAsia="宋体" w:cs="Times New Roman"/>
                <w:color w:val="auto"/>
                <w:sz w:val="21"/>
                <w:szCs w:val="21"/>
              </w:rPr>
              <w:t>DA001</w:t>
            </w:r>
            <w:r>
              <w:rPr>
                <w:rFonts w:ascii="Times New Roman" w:hAnsi="Times New Roman" w:eastAsia="宋体" w:cs="Times New Roman"/>
                <w:color w:val="auto"/>
                <w:sz w:val="21"/>
                <w:szCs w:val="21"/>
              </w:rPr>
              <w:t>）</w:t>
            </w:r>
          </w:p>
        </w:tc>
        <w:tc>
          <w:tcPr>
            <w:tcW w:w="888" w:type="pct"/>
            <w:vMerge w:val="restart"/>
            <w:tcBorders>
              <w:left w:val="single" w:color="000000" w:sz="6" w:space="0"/>
              <w:right w:val="single" w:color="000000" w:sz="6" w:space="0"/>
            </w:tcBorders>
            <w:vAlign w:val="center"/>
          </w:tcPr>
          <w:p>
            <w:pPr>
              <w:pStyle w:val="74"/>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除臭装置故障、管理不当，除臭效率为</w:t>
            </w:r>
            <w:r>
              <w:rPr>
                <w:rFonts w:hint="eastAsia" w:ascii="Times New Roman" w:hAnsi="Times New Roman" w:eastAsia="宋体" w:cs="Times New Roman"/>
                <w:color w:val="auto"/>
                <w:sz w:val="21"/>
                <w:szCs w:val="21"/>
              </w:rPr>
              <w:t>3</w:t>
            </w:r>
            <w:r>
              <w:rPr>
                <w:rFonts w:ascii="Times New Roman" w:hAnsi="Times New Roman" w:eastAsia="宋体" w:cs="Times New Roman"/>
                <w:color w:val="auto"/>
                <w:sz w:val="21"/>
                <w:szCs w:val="21"/>
              </w:rPr>
              <w:t>0%</w:t>
            </w:r>
          </w:p>
        </w:tc>
        <w:tc>
          <w:tcPr>
            <w:tcW w:w="460" w:type="pct"/>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NH</w:t>
            </w:r>
            <w:r>
              <w:rPr>
                <w:rFonts w:ascii="Times New Roman" w:hAnsi="Times New Roman" w:eastAsia="宋体" w:cs="Times New Roman"/>
                <w:color w:val="auto"/>
                <w:sz w:val="21"/>
                <w:szCs w:val="21"/>
                <w:vertAlign w:val="subscript"/>
              </w:rPr>
              <w:t>3</w:t>
            </w:r>
          </w:p>
        </w:tc>
        <w:tc>
          <w:tcPr>
            <w:tcW w:w="635" w:type="pct"/>
            <w:tcBorders>
              <w:top w:val="single" w:color="000000" w:sz="6" w:space="0"/>
              <w:left w:val="single" w:color="auto" w:sz="6" w:space="0"/>
              <w:bottom w:val="single" w:color="000000" w:sz="6" w:space="0"/>
              <w:right w:val="single" w:color="000000" w:sz="6" w:space="0"/>
            </w:tcBorders>
            <w:vAlign w:val="center"/>
          </w:tcPr>
          <w:p>
            <w:pPr>
              <w:pStyle w:val="84"/>
              <w:rPr>
                <w:rFonts w:hint="default" w:hAnsi="Times New Roman" w:eastAsia="宋体"/>
                <w:snapToGrid w:val="0"/>
                <w:color w:val="auto"/>
                <w:szCs w:val="22"/>
                <w:lang w:val="en-US" w:eastAsia="zh-CN"/>
              </w:rPr>
            </w:pPr>
            <w:r>
              <w:rPr>
                <w:rFonts w:hint="eastAsia" w:hAnsi="Times New Roman"/>
                <w:snapToGrid w:val="0"/>
                <w:color w:val="auto"/>
                <w:szCs w:val="22"/>
                <w:lang w:val="en-US" w:eastAsia="zh-CN"/>
              </w:rPr>
              <w:t>14466.9</w:t>
            </w:r>
          </w:p>
        </w:tc>
        <w:tc>
          <w:tcPr>
            <w:tcW w:w="635" w:type="pct"/>
            <w:gridSpan w:val="2"/>
            <w:tcBorders>
              <w:left w:val="single" w:color="000000" w:sz="6" w:space="0"/>
              <w:right w:val="single" w:color="000000" w:sz="6" w:space="0"/>
            </w:tcBorders>
            <w:vAlign w:val="center"/>
          </w:tcPr>
          <w:p>
            <w:pPr>
              <w:pStyle w:val="84"/>
              <w:rPr>
                <w:rFonts w:hint="default" w:hAnsi="Times New Roman" w:eastAsia="宋体"/>
                <w:snapToGrid w:val="0"/>
                <w:color w:val="auto"/>
                <w:szCs w:val="22"/>
                <w:lang w:val="en-US" w:eastAsia="zh-CN"/>
              </w:rPr>
            </w:pPr>
            <w:r>
              <w:rPr>
                <w:rFonts w:hint="eastAsia" w:hAnsi="Times New Roman"/>
                <w:snapToGrid w:val="0"/>
                <w:color w:val="auto"/>
                <w:szCs w:val="22"/>
                <w:lang w:val="en-US" w:eastAsia="zh-CN"/>
              </w:rPr>
              <w:t>0.0721</w:t>
            </w:r>
          </w:p>
        </w:tc>
        <w:tc>
          <w:tcPr>
            <w:tcW w:w="476" w:type="pct"/>
            <w:vMerge w:val="restart"/>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p>
        </w:tc>
        <w:tc>
          <w:tcPr>
            <w:tcW w:w="476" w:type="pct"/>
            <w:vMerge w:val="restart"/>
            <w:tcBorders>
              <w:left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p>
        </w:tc>
        <w:tc>
          <w:tcPr>
            <w:tcW w:w="537" w:type="pct"/>
            <w:vMerge w:val="restart"/>
            <w:tcBorders>
              <w:left w:val="single" w:color="auto" w:sz="6" w:space="0"/>
              <w:right w:val="nil"/>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及时检修，加强维护</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continue"/>
            <w:tcBorders>
              <w:left w:val="nil"/>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p>
        </w:tc>
        <w:tc>
          <w:tcPr>
            <w:tcW w:w="540" w:type="pct"/>
            <w:vMerge w:val="continue"/>
            <w:tcBorders>
              <w:left w:val="single" w:color="auto"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p>
        </w:tc>
        <w:tc>
          <w:tcPr>
            <w:tcW w:w="888" w:type="pct"/>
            <w:vMerge w:val="continue"/>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p>
        </w:tc>
        <w:tc>
          <w:tcPr>
            <w:tcW w:w="460" w:type="pct"/>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H</w:t>
            </w:r>
            <w:r>
              <w:rPr>
                <w:rFonts w:ascii="Times New Roman" w:hAnsi="Times New Roman" w:eastAsia="宋体" w:cs="Times New Roman"/>
                <w:color w:val="auto"/>
                <w:sz w:val="21"/>
                <w:szCs w:val="21"/>
                <w:vertAlign w:val="subscript"/>
              </w:rPr>
              <w:t>2</w:t>
            </w:r>
            <w:r>
              <w:rPr>
                <w:rFonts w:ascii="Times New Roman" w:hAnsi="Times New Roman" w:eastAsia="宋体" w:cs="Times New Roman"/>
                <w:color w:val="auto"/>
                <w:sz w:val="21"/>
                <w:szCs w:val="21"/>
              </w:rPr>
              <w:t>S</w:t>
            </w:r>
          </w:p>
        </w:tc>
        <w:tc>
          <w:tcPr>
            <w:tcW w:w="635" w:type="pct"/>
            <w:tcBorders>
              <w:top w:val="single" w:color="000000" w:sz="6" w:space="0"/>
              <w:left w:val="single" w:color="auto" w:sz="6" w:space="0"/>
              <w:bottom w:val="single" w:color="000000" w:sz="6" w:space="0"/>
              <w:right w:val="single" w:color="000000" w:sz="6" w:space="0"/>
            </w:tcBorders>
            <w:vAlign w:val="center"/>
          </w:tcPr>
          <w:p>
            <w:pPr>
              <w:pStyle w:val="84"/>
              <w:rPr>
                <w:rFonts w:hint="default" w:hAnsi="Times New Roman" w:eastAsia="宋体"/>
                <w:snapToGrid w:val="0"/>
                <w:color w:val="auto"/>
                <w:szCs w:val="22"/>
                <w:lang w:val="en-US" w:eastAsia="zh-CN"/>
              </w:rPr>
            </w:pPr>
            <w:r>
              <w:rPr>
                <w:rFonts w:hint="eastAsia" w:hAnsi="Times New Roman"/>
                <w:snapToGrid w:val="0"/>
                <w:color w:val="auto"/>
                <w:szCs w:val="22"/>
                <w:lang w:val="en-US" w:eastAsia="zh-CN"/>
              </w:rPr>
              <w:t>1540</w:t>
            </w:r>
          </w:p>
        </w:tc>
        <w:tc>
          <w:tcPr>
            <w:tcW w:w="635" w:type="pct"/>
            <w:gridSpan w:val="2"/>
            <w:tcBorders>
              <w:left w:val="single" w:color="000000" w:sz="6" w:space="0"/>
              <w:right w:val="single" w:color="000000" w:sz="6" w:space="0"/>
            </w:tcBorders>
            <w:vAlign w:val="center"/>
          </w:tcPr>
          <w:p>
            <w:pPr>
              <w:pStyle w:val="84"/>
              <w:rPr>
                <w:rFonts w:hint="default" w:hAnsi="Times New Roman" w:eastAsia="宋体"/>
                <w:snapToGrid w:val="0"/>
                <w:color w:val="auto"/>
                <w:szCs w:val="22"/>
                <w:lang w:val="en-US" w:eastAsia="zh-CN"/>
              </w:rPr>
            </w:pPr>
            <w:r>
              <w:rPr>
                <w:rFonts w:hint="eastAsia" w:hAnsi="Times New Roman"/>
                <w:snapToGrid w:val="0"/>
                <w:color w:val="auto"/>
                <w:szCs w:val="22"/>
                <w:lang w:val="en-US" w:eastAsia="zh-CN"/>
              </w:rPr>
              <w:t>0.0077</w:t>
            </w:r>
          </w:p>
        </w:tc>
        <w:tc>
          <w:tcPr>
            <w:tcW w:w="476" w:type="pct"/>
            <w:vMerge w:val="continue"/>
            <w:tcBorders>
              <w:left w:val="single" w:color="000000" w:sz="6" w:space="0"/>
              <w:right w:val="single" w:color="000000" w:sz="6" w:space="0"/>
            </w:tcBorders>
            <w:vAlign w:val="center"/>
          </w:tcPr>
          <w:p>
            <w:pPr>
              <w:pStyle w:val="84"/>
              <w:spacing w:line="0" w:lineRule="atLeast"/>
              <w:rPr>
                <w:rFonts w:hAnsi="Times New Roman"/>
                <w:color w:val="FF0000"/>
              </w:rPr>
            </w:pPr>
          </w:p>
        </w:tc>
        <w:tc>
          <w:tcPr>
            <w:tcW w:w="476" w:type="pct"/>
            <w:vMerge w:val="continue"/>
            <w:tcBorders>
              <w:left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FF0000"/>
                <w:sz w:val="21"/>
                <w:szCs w:val="21"/>
              </w:rPr>
            </w:pPr>
          </w:p>
        </w:tc>
        <w:tc>
          <w:tcPr>
            <w:tcW w:w="537" w:type="pct"/>
            <w:vMerge w:val="continue"/>
            <w:tcBorders>
              <w:left w:val="single" w:color="auto" w:sz="6" w:space="0"/>
              <w:right w:val="nil"/>
            </w:tcBorders>
            <w:vAlign w:val="center"/>
          </w:tcPr>
          <w:p>
            <w:pPr>
              <w:pStyle w:val="74"/>
              <w:spacing w:line="0" w:lineRule="atLeast"/>
              <w:ind w:firstLine="0" w:firstLineChars="0"/>
              <w:jc w:val="center"/>
              <w:rPr>
                <w:rFonts w:ascii="Times New Roman" w:hAnsi="Times New Roman" w:eastAsia="宋体" w:cs="Times New Roman"/>
                <w:color w:val="FF000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continue"/>
            <w:tcBorders>
              <w:left w:val="nil"/>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p>
        </w:tc>
        <w:tc>
          <w:tcPr>
            <w:tcW w:w="540" w:type="pct"/>
            <w:vMerge w:val="continue"/>
            <w:tcBorders>
              <w:left w:val="single" w:color="auto"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p>
        </w:tc>
        <w:tc>
          <w:tcPr>
            <w:tcW w:w="888" w:type="pct"/>
            <w:vMerge w:val="continue"/>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p>
        </w:tc>
        <w:tc>
          <w:tcPr>
            <w:tcW w:w="460" w:type="pct"/>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臭气浓度（无量纲）</w:t>
            </w:r>
          </w:p>
        </w:tc>
        <w:tc>
          <w:tcPr>
            <w:tcW w:w="1270" w:type="pct"/>
            <w:gridSpan w:val="3"/>
            <w:tcBorders>
              <w:top w:val="single" w:color="000000" w:sz="6" w:space="0"/>
              <w:left w:val="single" w:color="auto" w:sz="6" w:space="0"/>
              <w:bottom w:val="single" w:color="000000" w:sz="6" w:space="0"/>
              <w:right w:val="single" w:color="000000" w:sz="6" w:space="0"/>
            </w:tcBorders>
            <w:vAlign w:val="center"/>
          </w:tcPr>
          <w:p>
            <w:pPr>
              <w:pStyle w:val="84"/>
              <w:rPr>
                <w:rFonts w:hint="default" w:hAnsi="Times New Roman" w:eastAsia="宋体"/>
                <w:snapToGrid w:val="0"/>
                <w:color w:val="auto"/>
                <w:szCs w:val="22"/>
                <w:lang w:val="en-US" w:eastAsia="zh-CN"/>
              </w:rPr>
            </w:pPr>
            <w:r>
              <w:rPr>
                <w:rFonts w:hint="eastAsia" w:hAnsi="Times New Roman"/>
                <w:snapToGrid w:val="0"/>
                <w:color w:val="auto"/>
                <w:szCs w:val="22"/>
                <w:lang w:val="en-US" w:eastAsia="zh-CN"/>
              </w:rPr>
              <w:t>3070.2</w:t>
            </w:r>
          </w:p>
        </w:tc>
        <w:tc>
          <w:tcPr>
            <w:tcW w:w="476" w:type="pct"/>
            <w:vMerge w:val="continue"/>
            <w:tcBorders>
              <w:left w:val="single" w:color="000000" w:sz="6" w:space="0"/>
              <w:right w:val="single" w:color="000000" w:sz="6" w:space="0"/>
            </w:tcBorders>
            <w:vAlign w:val="center"/>
          </w:tcPr>
          <w:p>
            <w:pPr>
              <w:pStyle w:val="84"/>
              <w:spacing w:line="0" w:lineRule="atLeast"/>
              <w:rPr>
                <w:rFonts w:hAnsi="Times New Roman"/>
                <w:color w:val="FF0000"/>
              </w:rPr>
            </w:pPr>
          </w:p>
        </w:tc>
        <w:tc>
          <w:tcPr>
            <w:tcW w:w="476" w:type="pct"/>
            <w:vMerge w:val="continue"/>
            <w:tcBorders>
              <w:left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FF0000"/>
                <w:sz w:val="21"/>
                <w:szCs w:val="21"/>
              </w:rPr>
            </w:pPr>
          </w:p>
        </w:tc>
        <w:tc>
          <w:tcPr>
            <w:tcW w:w="537" w:type="pct"/>
            <w:vMerge w:val="continue"/>
            <w:tcBorders>
              <w:left w:val="single" w:color="auto" w:sz="6" w:space="0"/>
              <w:right w:val="nil"/>
            </w:tcBorders>
            <w:vAlign w:val="center"/>
          </w:tcPr>
          <w:p>
            <w:pPr>
              <w:pStyle w:val="74"/>
              <w:spacing w:line="0" w:lineRule="atLeast"/>
              <w:ind w:firstLine="0" w:firstLineChars="0"/>
              <w:jc w:val="center"/>
              <w:rPr>
                <w:rFonts w:ascii="Times New Roman" w:hAnsi="Times New Roman" w:eastAsia="宋体" w:cs="Times New Roman"/>
                <w:color w:val="FF000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restart"/>
            <w:tcBorders>
              <w:left w:val="nil"/>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w:t>
            </w:r>
          </w:p>
        </w:tc>
        <w:tc>
          <w:tcPr>
            <w:tcW w:w="540" w:type="pct"/>
            <w:vMerge w:val="restart"/>
            <w:tcBorders>
              <w:left w:val="single" w:color="auto"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污水处理站排气筒（</w:t>
            </w:r>
            <w:r>
              <w:rPr>
                <w:rFonts w:hint="eastAsia" w:ascii="Times New Roman" w:hAnsi="Times New Roman" w:eastAsia="宋体" w:cs="Times New Roman"/>
                <w:color w:val="auto"/>
                <w:sz w:val="21"/>
                <w:szCs w:val="21"/>
              </w:rPr>
              <w:t>DA002</w:t>
            </w:r>
            <w:r>
              <w:rPr>
                <w:rFonts w:ascii="Times New Roman" w:hAnsi="Times New Roman" w:eastAsia="宋体" w:cs="Times New Roman"/>
                <w:color w:val="auto"/>
                <w:sz w:val="21"/>
                <w:szCs w:val="21"/>
              </w:rPr>
              <w:t>）</w:t>
            </w:r>
          </w:p>
        </w:tc>
        <w:tc>
          <w:tcPr>
            <w:tcW w:w="888" w:type="pct"/>
            <w:vMerge w:val="continue"/>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p>
        </w:tc>
        <w:tc>
          <w:tcPr>
            <w:tcW w:w="460" w:type="pct"/>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NH</w:t>
            </w:r>
            <w:r>
              <w:rPr>
                <w:rFonts w:ascii="Times New Roman" w:hAnsi="Times New Roman" w:eastAsia="宋体" w:cs="Times New Roman"/>
                <w:color w:val="auto"/>
                <w:sz w:val="21"/>
                <w:szCs w:val="21"/>
                <w:vertAlign w:val="subscript"/>
              </w:rPr>
              <w:t>3</w:t>
            </w:r>
          </w:p>
        </w:tc>
        <w:tc>
          <w:tcPr>
            <w:tcW w:w="635" w:type="pct"/>
            <w:tcBorders>
              <w:top w:val="single" w:color="000000" w:sz="6" w:space="0"/>
              <w:left w:val="single" w:color="auto" w:sz="6" w:space="0"/>
              <w:bottom w:val="single" w:color="000000" w:sz="6" w:space="0"/>
              <w:right w:val="single" w:color="000000" w:sz="6" w:space="0"/>
            </w:tcBorders>
            <w:vAlign w:val="center"/>
          </w:tcPr>
          <w:p>
            <w:pPr>
              <w:pStyle w:val="84"/>
              <w:rPr>
                <w:rFonts w:hint="default" w:hAnsi="Times New Roman" w:eastAsia="宋体"/>
                <w:snapToGrid w:val="0"/>
                <w:color w:val="auto"/>
                <w:szCs w:val="22"/>
                <w:lang w:val="en-US" w:eastAsia="zh-CN"/>
              </w:rPr>
            </w:pPr>
            <w:r>
              <w:rPr>
                <w:rFonts w:hint="eastAsia" w:hAnsi="Times New Roman"/>
                <w:snapToGrid w:val="0"/>
                <w:color w:val="auto"/>
                <w:szCs w:val="22"/>
                <w:lang w:val="en-US" w:eastAsia="zh-CN"/>
              </w:rPr>
              <w:t>2149</w:t>
            </w:r>
          </w:p>
        </w:tc>
        <w:tc>
          <w:tcPr>
            <w:tcW w:w="635" w:type="pct"/>
            <w:gridSpan w:val="2"/>
            <w:tcBorders>
              <w:left w:val="single" w:color="000000" w:sz="6" w:space="0"/>
              <w:right w:val="single" w:color="000000" w:sz="6" w:space="0"/>
            </w:tcBorders>
            <w:vAlign w:val="center"/>
          </w:tcPr>
          <w:p>
            <w:pPr>
              <w:pStyle w:val="84"/>
              <w:rPr>
                <w:rFonts w:hint="default" w:hAnsi="Times New Roman" w:eastAsia="宋体"/>
                <w:bCs/>
                <w:color w:val="auto"/>
                <w:lang w:val="en-US" w:eastAsia="zh-CN"/>
              </w:rPr>
            </w:pPr>
            <w:r>
              <w:rPr>
                <w:rFonts w:hint="eastAsia" w:hAnsi="Times New Roman"/>
                <w:bCs/>
                <w:color w:val="auto"/>
                <w:lang w:val="en-US" w:eastAsia="zh-CN"/>
              </w:rPr>
              <w:t>0.0107</w:t>
            </w:r>
          </w:p>
        </w:tc>
        <w:tc>
          <w:tcPr>
            <w:tcW w:w="476" w:type="pct"/>
            <w:vMerge w:val="continue"/>
            <w:tcBorders>
              <w:left w:val="single" w:color="000000" w:sz="6" w:space="0"/>
              <w:right w:val="single" w:color="000000" w:sz="6" w:space="0"/>
            </w:tcBorders>
            <w:vAlign w:val="center"/>
          </w:tcPr>
          <w:p>
            <w:pPr>
              <w:pStyle w:val="84"/>
              <w:spacing w:line="0" w:lineRule="atLeast"/>
              <w:rPr>
                <w:rFonts w:hAnsi="Times New Roman"/>
                <w:color w:val="FF0000"/>
              </w:rPr>
            </w:pPr>
          </w:p>
        </w:tc>
        <w:tc>
          <w:tcPr>
            <w:tcW w:w="476" w:type="pct"/>
            <w:vMerge w:val="continue"/>
            <w:tcBorders>
              <w:left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FF0000"/>
                <w:sz w:val="21"/>
                <w:szCs w:val="21"/>
              </w:rPr>
            </w:pPr>
          </w:p>
        </w:tc>
        <w:tc>
          <w:tcPr>
            <w:tcW w:w="537" w:type="pct"/>
            <w:vMerge w:val="continue"/>
            <w:tcBorders>
              <w:left w:val="single" w:color="auto" w:sz="6" w:space="0"/>
              <w:right w:val="nil"/>
            </w:tcBorders>
            <w:vAlign w:val="center"/>
          </w:tcPr>
          <w:p>
            <w:pPr>
              <w:pStyle w:val="74"/>
              <w:spacing w:line="0" w:lineRule="atLeast"/>
              <w:ind w:firstLine="0" w:firstLineChars="0"/>
              <w:jc w:val="center"/>
              <w:rPr>
                <w:rFonts w:ascii="Times New Roman" w:hAnsi="Times New Roman" w:eastAsia="宋体" w:cs="Times New Roman"/>
                <w:color w:val="FF000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continue"/>
            <w:tcBorders>
              <w:left w:val="nil"/>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p>
        </w:tc>
        <w:tc>
          <w:tcPr>
            <w:tcW w:w="540" w:type="pct"/>
            <w:vMerge w:val="continue"/>
            <w:tcBorders>
              <w:left w:val="single" w:color="auto"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p>
        </w:tc>
        <w:tc>
          <w:tcPr>
            <w:tcW w:w="888" w:type="pct"/>
            <w:vMerge w:val="continue"/>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p>
        </w:tc>
        <w:tc>
          <w:tcPr>
            <w:tcW w:w="460" w:type="pct"/>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H</w:t>
            </w:r>
            <w:r>
              <w:rPr>
                <w:rFonts w:ascii="Times New Roman" w:hAnsi="Times New Roman" w:eastAsia="宋体" w:cs="Times New Roman"/>
                <w:color w:val="auto"/>
                <w:sz w:val="21"/>
                <w:szCs w:val="21"/>
                <w:vertAlign w:val="subscript"/>
              </w:rPr>
              <w:t>2</w:t>
            </w:r>
            <w:r>
              <w:rPr>
                <w:rFonts w:ascii="Times New Roman" w:hAnsi="Times New Roman" w:eastAsia="宋体" w:cs="Times New Roman"/>
                <w:color w:val="auto"/>
                <w:sz w:val="21"/>
                <w:szCs w:val="21"/>
              </w:rPr>
              <w:t>S</w:t>
            </w:r>
          </w:p>
        </w:tc>
        <w:tc>
          <w:tcPr>
            <w:tcW w:w="635" w:type="pct"/>
            <w:tcBorders>
              <w:top w:val="single" w:color="000000" w:sz="6" w:space="0"/>
              <w:left w:val="single" w:color="auto" w:sz="6" w:space="0"/>
              <w:bottom w:val="single" w:color="000000" w:sz="6" w:space="0"/>
              <w:right w:val="single" w:color="000000" w:sz="6" w:space="0"/>
            </w:tcBorders>
            <w:vAlign w:val="center"/>
          </w:tcPr>
          <w:p>
            <w:pPr>
              <w:pStyle w:val="84"/>
              <w:rPr>
                <w:rFonts w:hint="default" w:hAnsi="Times New Roman" w:eastAsia="宋体"/>
                <w:snapToGrid w:val="0"/>
                <w:color w:val="auto"/>
                <w:szCs w:val="22"/>
                <w:lang w:val="en-US" w:eastAsia="zh-CN"/>
              </w:rPr>
            </w:pPr>
            <w:r>
              <w:rPr>
                <w:rFonts w:hint="eastAsia" w:hAnsi="Times New Roman"/>
                <w:snapToGrid w:val="0"/>
                <w:color w:val="auto"/>
                <w:szCs w:val="22"/>
                <w:lang w:val="en-US" w:eastAsia="zh-CN"/>
              </w:rPr>
              <w:t>84</w:t>
            </w:r>
          </w:p>
        </w:tc>
        <w:tc>
          <w:tcPr>
            <w:tcW w:w="635" w:type="pct"/>
            <w:gridSpan w:val="2"/>
            <w:tcBorders>
              <w:left w:val="single" w:color="000000" w:sz="6" w:space="0"/>
              <w:right w:val="single" w:color="000000" w:sz="6" w:space="0"/>
            </w:tcBorders>
            <w:vAlign w:val="center"/>
          </w:tcPr>
          <w:p>
            <w:pPr>
              <w:pStyle w:val="84"/>
              <w:rPr>
                <w:rFonts w:hint="default" w:hAnsi="Times New Roman" w:eastAsia="宋体"/>
                <w:bCs/>
                <w:color w:val="auto"/>
                <w:lang w:val="en-US" w:eastAsia="zh-CN"/>
              </w:rPr>
            </w:pPr>
            <w:r>
              <w:rPr>
                <w:rFonts w:hint="eastAsia" w:hAnsi="Times New Roman"/>
                <w:bCs/>
                <w:color w:val="auto"/>
                <w:lang w:val="en-US" w:eastAsia="zh-CN"/>
              </w:rPr>
              <w:t>0.00042</w:t>
            </w:r>
          </w:p>
        </w:tc>
        <w:tc>
          <w:tcPr>
            <w:tcW w:w="476" w:type="pct"/>
            <w:vMerge w:val="continue"/>
            <w:tcBorders>
              <w:left w:val="single" w:color="000000" w:sz="6" w:space="0"/>
              <w:right w:val="single" w:color="000000" w:sz="6" w:space="0"/>
            </w:tcBorders>
            <w:vAlign w:val="center"/>
          </w:tcPr>
          <w:p>
            <w:pPr>
              <w:pStyle w:val="84"/>
              <w:spacing w:line="0" w:lineRule="atLeast"/>
              <w:rPr>
                <w:rFonts w:hAnsi="Times New Roman"/>
                <w:color w:val="FF0000"/>
              </w:rPr>
            </w:pPr>
          </w:p>
        </w:tc>
        <w:tc>
          <w:tcPr>
            <w:tcW w:w="476" w:type="pct"/>
            <w:vMerge w:val="continue"/>
            <w:tcBorders>
              <w:left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FF0000"/>
                <w:sz w:val="21"/>
                <w:szCs w:val="21"/>
              </w:rPr>
            </w:pPr>
          </w:p>
        </w:tc>
        <w:tc>
          <w:tcPr>
            <w:tcW w:w="537" w:type="pct"/>
            <w:vMerge w:val="continue"/>
            <w:tcBorders>
              <w:left w:val="single" w:color="auto" w:sz="6" w:space="0"/>
              <w:right w:val="nil"/>
            </w:tcBorders>
            <w:vAlign w:val="center"/>
          </w:tcPr>
          <w:p>
            <w:pPr>
              <w:pStyle w:val="74"/>
              <w:spacing w:line="0" w:lineRule="atLeast"/>
              <w:ind w:firstLine="0" w:firstLineChars="0"/>
              <w:jc w:val="center"/>
              <w:rPr>
                <w:rFonts w:ascii="Times New Roman" w:hAnsi="Times New Roman" w:eastAsia="宋体" w:cs="Times New Roman"/>
                <w:color w:val="FF000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continue"/>
            <w:tcBorders>
              <w:left w:val="nil"/>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p>
        </w:tc>
        <w:tc>
          <w:tcPr>
            <w:tcW w:w="540" w:type="pct"/>
            <w:vMerge w:val="continue"/>
            <w:tcBorders>
              <w:left w:val="single" w:color="auto"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p>
        </w:tc>
        <w:tc>
          <w:tcPr>
            <w:tcW w:w="888" w:type="pct"/>
            <w:vMerge w:val="continue"/>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p>
        </w:tc>
        <w:tc>
          <w:tcPr>
            <w:tcW w:w="460" w:type="pct"/>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臭气浓度（无量纲）</w:t>
            </w:r>
          </w:p>
        </w:tc>
        <w:tc>
          <w:tcPr>
            <w:tcW w:w="1270" w:type="pct"/>
            <w:gridSpan w:val="3"/>
            <w:tcBorders>
              <w:top w:val="single" w:color="000000" w:sz="6" w:space="0"/>
              <w:left w:val="single" w:color="auto" w:sz="6" w:space="0"/>
              <w:bottom w:val="single" w:color="000000" w:sz="6" w:space="0"/>
              <w:right w:val="single" w:color="000000" w:sz="6" w:space="0"/>
            </w:tcBorders>
            <w:vAlign w:val="center"/>
          </w:tcPr>
          <w:p>
            <w:pPr>
              <w:pStyle w:val="84"/>
              <w:rPr>
                <w:rFonts w:hint="default" w:hAnsi="Times New Roman" w:eastAsia="宋体"/>
                <w:bCs/>
                <w:color w:val="auto"/>
                <w:lang w:val="en-US" w:eastAsia="zh-CN"/>
              </w:rPr>
            </w:pPr>
            <w:r>
              <w:rPr>
                <w:rFonts w:hint="eastAsia" w:hAnsi="Times New Roman"/>
                <w:bCs/>
                <w:color w:val="auto"/>
                <w:lang w:val="en-US" w:eastAsia="zh-CN"/>
              </w:rPr>
              <w:t>1890</w:t>
            </w:r>
          </w:p>
        </w:tc>
        <w:tc>
          <w:tcPr>
            <w:tcW w:w="476" w:type="pct"/>
            <w:vMerge w:val="continue"/>
            <w:tcBorders>
              <w:left w:val="single" w:color="000000" w:sz="6" w:space="0"/>
              <w:right w:val="single" w:color="000000" w:sz="6" w:space="0"/>
            </w:tcBorders>
            <w:vAlign w:val="center"/>
          </w:tcPr>
          <w:p>
            <w:pPr>
              <w:pStyle w:val="84"/>
              <w:spacing w:line="0" w:lineRule="atLeast"/>
              <w:rPr>
                <w:rFonts w:hAnsi="Times New Roman"/>
                <w:color w:val="FF0000"/>
              </w:rPr>
            </w:pPr>
          </w:p>
        </w:tc>
        <w:tc>
          <w:tcPr>
            <w:tcW w:w="476" w:type="pct"/>
            <w:vMerge w:val="continue"/>
            <w:tcBorders>
              <w:left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FF0000"/>
                <w:sz w:val="21"/>
                <w:szCs w:val="21"/>
              </w:rPr>
            </w:pPr>
          </w:p>
        </w:tc>
        <w:tc>
          <w:tcPr>
            <w:tcW w:w="537" w:type="pct"/>
            <w:vMerge w:val="continue"/>
            <w:tcBorders>
              <w:left w:val="single" w:color="auto" w:sz="6" w:space="0"/>
              <w:right w:val="nil"/>
            </w:tcBorders>
            <w:vAlign w:val="center"/>
          </w:tcPr>
          <w:p>
            <w:pPr>
              <w:pStyle w:val="74"/>
              <w:spacing w:line="0" w:lineRule="atLeast"/>
              <w:ind w:firstLine="0" w:firstLineChars="0"/>
              <w:jc w:val="center"/>
              <w:rPr>
                <w:rFonts w:ascii="Times New Roman" w:hAnsi="Times New Roman" w:eastAsia="宋体" w:cs="Times New Roman"/>
                <w:color w:val="FF000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restart"/>
            <w:tcBorders>
              <w:left w:val="nil"/>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3</w:t>
            </w:r>
          </w:p>
        </w:tc>
        <w:tc>
          <w:tcPr>
            <w:tcW w:w="540" w:type="pct"/>
            <w:vMerge w:val="restart"/>
            <w:tcBorders>
              <w:left w:val="single" w:color="auto"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待宰间排气筒（</w:t>
            </w:r>
            <w:r>
              <w:rPr>
                <w:rFonts w:hint="eastAsia" w:ascii="Times New Roman" w:hAnsi="Times New Roman" w:eastAsia="宋体" w:cs="Times New Roman"/>
                <w:color w:val="auto"/>
                <w:sz w:val="21"/>
                <w:szCs w:val="21"/>
              </w:rPr>
              <w:t>DA00</w:t>
            </w:r>
            <w:r>
              <w:rPr>
                <w:rFonts w:hint="eastAsia" w:ascii="Times New Roman" w:hAnsi="Times New Roman" w:eastAsia="宋体" w:cs="Times New Roman"/>
                <w:color w:val="auto"/>
                <w:sz w:val="21"/>
                <w:szCs w:val="21"/>
                <w:lang w:val="en-US" w:eastAsia="zh-CN"/>
              </w:rPr>
              <w:t>3</w:t>
            </w:r>
            <w:r>
              <w:rPr>
                <w:rFonts w:hint="eastAsia" w:ascii="Times New Roman" w:hAnsi="Times New Roman" w:eastAsia="宋体" w:cs="Times New Roman"/>
                <w:color w:val="auto"/>
                <w:sz w:val="21"/>
                <w:szCs w:val="21"/>
              </w:rPr>
              <w:t>）</w:t>
            </w:r>
          </w:p>
        </w:tc>
        <w:tc>
          <w:tcPr>
            <w:tcW w:w="888" w:type="pct"/>
            <w:vMerge w:val="continue"/>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p>
        </w:tc>
        <w:tc>
          <w:tcPr>
            <w:tcW w:w="460" w:type="pct"/>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NH</w:t>
            </w:r>
            <w:r>
              <w:rPr>
                <w:rFonts w:ascii="Times New Roman" w:hAnsi="Times New Roman" w:eastAsia="宋体" w:cs="Times New Roman"/>
                <w:color w:val="auto"/>
                <w:sz w:val="21"/>
                <w:szCs w:val="21"/>
                <w:vertAlign w:val="subscript"/>
              </w:rPr>
              <w:t>3</w:t>
            </w:r>
          </w:p>
        </w:tc>
        <w:tc>
          <w:tcPr>
            <w:tcW w:w="635" w:type="pct"/>
            <w:tcBorders>
              <w:top w:val="single" w:color="000000" w:sz="6" w:space="0"/>
              <w:left w:val="single" w:color="auto" w:sz="6" w:space="0"/>
              <w:bottom w:val="single" w:color="000000" w:sz="6" w:space="0"/>
              <w:right w:val="single" w:color="000000" w:sz="6" w:space="0"/>
            </w:tcBorders>
            <w:vAlign w:val="center"/>
          </w:tcPr>
          <w:p>
            <w:pPr>
              <w:pStyle w:val="84"/>
              <w:rPr>
                <w:rFonts w:hint="default" w:hAnsi="Times New Roman" w:eastAsia="宋体"/>
                <w:snapToGrid w:val="0"/>
                <w:color w:val="auto"/>
                <w:szCs w:val="22"/>
                <w:lang w:val="en-US" w:eastAsia="zh-CN"/>
              </w:rPr>
            </w:pPr>
            <w:r>
              <w:rPr>
                <w:rFonts w:hint="eastAsia" w:hAnsi="Times New Roman"/>
                <w:snapToGrid w:val="0"/>
                <w:color w:val="auto"/>
                <w:szCs w:val="22"/>
                <w:lang w:val="en-US" w:eastAsia="zh-CN"/>
              </w:rPr>
              <w:t>637.7</w:t>
            </w:r>
          </w:p>
        </w:tc>
        <w:tc>
          <w:tcPr>
            <w:tcW w:w="635" w:type="pct"/>
            <w:gridSpan w:val="2"/>
            <w:tcBorders>
              <w:left w:val="single" w:color="000000" w:sz="6" w:space="0"/>
              <w:right w:val="single" w:color="000000" w:sz="6" w:space="0"/>
            </w:tcBorders>
            <w:vAlign w:val="center"/>
          </w:tcPr>
          <w:p>
            <w:pPr>
              <w:pStyle w:val="84"/>
              <w:rPr>
                <w:rFonts w:hint="default" w:hAnsi="Times New Roman" w:eastAsia="宋体"/>
                <w:bCs/>
                <w:color w:val="auto"/>
                <w:lang w:val="en-US" w:eastAsia="zh-CN"/>
              </w:rPr>
            </w:pPr>
            <w:r>
              <w:rPr>
                <w:rFonts w:hint="eastAsia" w:hAnsi="Times New Roman"/>
                <w:bCs/>
                <w:color w:val="auto"/>
                <w:lang w:val="en-US" w:eastAsia="zh-CN"/>
              </w:rPr>
              <w:t>0.00315</w:t>
            </w:r>
          </w:p>
        </w:tc>
        <w:tc>
          <w:tcPr>
            <w:tcW w:w="476" w:type="pct"/>
            <w:vMerge w:val="continue"/>
            <w:tcBorders>
              <w:left w:val="single" w:color="000000" w:sz="6" w:space="0"/>
              <w:right w:val="single" w:color="000000" w:sz="6" w:space="0"/>
            </w:tcBorders>
            <w:vAlign w:val="center"/>
          </w:tcPr>
          <w:p>
            <w:pPr>
              <w:pStyle w:val="84"/>
              <w:spacing w:line="0" w:lineRule="atLeast"/>
              <w:rPr>
                <w:rFonts w:hAnsi="Times New Roman"/>
                <w:color w:val="FF0000"/>
              </w:rPr>
            </w:pPr>
          </w:p>
        </w:tc>
        <w:tc>
          <w:tcPr>
            <w:tcW w:w="476" w:type="pct"/>
            <w:vMerge w:val="continue"/>
            <w:tcBorders>
              <w:left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FF0000"/>
                <w:sz w:val="21"/>
                <w:szCs w:val="21"/>
              </w:rPr>
            </w:pPr>
          </w:p>
        </w:tc>
        <w:tc>
          <w:tcPr>
            <w:tcW w:w="537" w:type="pct"/>
            <w:vMerge w:val="continue"/>
            <w:tcBorders>
              <w:left w:val="single" w:color="auto" w:sz="6" w:space="0"/>
              <w:right w:val="nil"/>
            </w:tcBorders>
            <w:vAlign w:val="center"/>
          </w:tcPr>
          <w:p>
            <w:pPr>
              <w:pStyle w:val="74"/>
              <w:spacing w:line="0" w:lineRule="atLeast"/>
              <w:ind w:firstLine="0" w:firstLineChars="0"/>
              <w:jc w:val="center"/>
              <w:rPr>
                <w:rFonts w:ascii="Times New Roman" w:hAnsi="Times New Roman" w:eastAsia="宋体" w:cs="Times New Roman"/>
                <w:color w:val="FF000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continue"/>
            <w:tcBorders>
              <w:left w:val="nil"/>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p>
        </w:tc>
        <w:tc>
          <w:tcPr>
            <w:tcW w:w="540" w:type="pct"/>
            <w:vMerge w:val="continue"/>
            <w:tcBorders>
              <w:left w:val="single" w:color="auto"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p>
        </w:tc>
        <w:tc>
          <w:tcPr>
            <w:tcW w:w="888" w:type="pct"/>
            <w:vMerge w:val="continue"/>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p>
        </w:tc>
        <w:tc>
          <w:tcPr>
            <w:tcW w:w="460" w:type="pct"/>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H</w:t>
            </w:r>
            <w:r>
              <w:rPr>
                <w:rFonts w:ascii="Times New Roman" w:hAnsi="Times New Roman" w:eastAsia="宋体" w:cs="Times New Roman"/>
                <w:color w:val="auto"/>
                <w:sz w:val="21"/>
                <w:szCs w:val="21"/>
                <w:vertAlign w:val="subscript"/>
              </w:rPr>
              <w:t>2</w:t>
            </w:r>
            <w:r>
              <w:rPr>
                <w:rFonts w:ascii="Times New Roman" w:hAnsi="Times New Roman" w:eastAsia="宋体" w:cs="Times New Roman"/>
                <w:color w:val="auto"/>
                <w:sz w:val="21"/>
                <w:szCs w:val="21"/>
              </w:rPr>
              <w:t>S</w:t>
            </w:r>
          </w:p>
        </w:tc>
        <w:tc>
          <w:tcPr>
            <w:tcW w:w="635" w:type="pct"/>
            <w:tcBorders>
              <w:top w:val="single" w:color="000000" w:sz="6" w:space="0"/>
              <w:left w:val="single" w:color="auto" w:sz="6" w:space="0"/>
              <w:bottom w:val="single" w:color="000000" w:sz="6" w:space="0"/>
              <w:right w:val="single" w:color="000000" w:sz="6" w:space="0"/>
            </w:tcBorders>
            <w:vAlign w:val="center"/>
          </w:tcPr>
          <w:p>
            <w:pPr>
              <w:pStyle w:val="84"/>
              <w:rPr>
                <w:rFonts w:hint="default" w:hAnsi="Times New Roman" w:eastAsia="宋体"/>
                <w:snapToGrid w:val="0"/>
                <w:color w:val="auto"/>
                <w:szCs w:val="22"/>
                <w:lang w:val="en-US" w:eastAsia="zh-CN"/>
              </w:rPr>
            </w:pPr>
            <w:r>
              <w:rPr>
                <w:rFonts w:hint="eastAsia" w:hAnsi="Times New Roman"/>
                <w:snapToGrid w:val="0"/>
                <w:color w:val="auto"/>
                <w:szCs w:val="22"/>
                <w:lang w:val="en-US" w:eastAsia="zh-CN"/>
              </w:rPr>
              <w:t>100.8</w:t>
            </w:r>
          </w:p>
        </w:tc>
        <w:tc>
          <w:tcPr>
            <w:tcW w:w="635" w:type="pct"/>
            <w:gridSpan w:val="2"/>
            <w:tcBorders>
              <w:left w:val="single" w:color="000000" w:sz="6" w:space="0"/>
              <w:right w:val="single" w:color="000000" w:sz="6" w:space="0"/>
            </w:tcBorders>
            <w:vAlign w:val="center"/>
          </w:tcPr>
          <w:p>
            <w:pPr>
              <w:pStyle w:val="84"/>
              <w:rPr>
                <w:rFonts w:hint="default" w:hAnsi="Times New Roman" w:eastAsia="宋体"/>
                <w:bCs/>
                <w:color w:val="auto"/>
                <w:lang w:val="en-US" w:eastAsia="zh-CN"/>
              </w:rPr>
            </w:pPr>
            <w:r>
              <w:rPr>
                <w:rFonts w:hint="eastAsia" w:hAnsi="Times New Roman"/>
                <w:bCs/>
                <w:color w:val="auto"/>
                <w:lang w:val="en-US" w:eastAsia="zh-CN"/>
              </w:rPr>
              <w:t>0.00049</w:t>
            </w:r>
          </w:p>
        </w:tc>
        <w:tc>
          <w:tcPr>
            <w:tcW w:w="476" w:type="pct"/>
            <w:vMerge w:val="continue"/>
            <w:tcBorders>
              <w:left w:val="single" w:color="000000" w:sz="6" w:space="0"/>
              <w:right w:val="single" w:color="000000" w:sz="6" w:space="0"/>
            </w:tcBorders>
            <w:vAlign w:val="center"/>
          </w:tcPr>
          <w:p>
            <w:pPr>
              <w:pStyle w:val="84"/>
              <w:spacing w:line="0" w:lineRule="atLeast"/>
              <w:rPr>
                <w:rFonts w:hAnsi="Times New Roman"/>
                <w:color w:val="FF0000"/>
              </w:rPr>
            </w:pPr>
          </w:p>
        </w:tc>
        <w:tc>
          <w:tcPr>
            <w:tcW w:w="476" w:type="pct"/>
            <w:vMerge w:val="continue"/>
            <w:tcBorders>
              <w:left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FF0000"/>
                <w:sz w:val="21"/>
                <w:szCs w:val="21"/>
              </w:rPr>
            </w:pPr>
          </w:p>
        </w:tc>
        <w:tc>
          <w:tcPr>
            <w:tcW w:w="537" w:type="pct"/>
            <w:vMerge w:val="continue"/>
            <w:tcBorders>
              <w:left w:val="single" w:color="auto" w:sz="6" w:space="0"/>
              <w:right w:val="nil"/>
            </w:tcBorders>
            <w:vAlign w:val="center"/>
          </w:tcPr>
          <w:p>
            <w:pPr>
              <w:pStyle w:val="74"/>
              <w:spacing w:line="0" w:lineRule="atLeast"/>
              <w:ind w:firstLine="0" w:firstLineChars="0"/>
              <w:jc w:val="center"/>
              <w:rPr>
                <w:rFonts w:ascii="Times New Roman" w:hAnsi="Times New Roman" w:eastAsia="宋体" w:cs="Times New Roman"/>
                <w:color w:val="FF000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continue"/>
            <w:tcBorders>
              <w:left w:val="nil"/>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p>
        </w:tc>
        <w:tc>
          <w:tcPr>
            <w:tcW w:w="540" w:type="pct"/>
            <w:vMerge w:val="continue"/>
            <w:tcBorders>
              <w:left w:val="single" w:color="auto"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p>
        </w:tc>
        <w:tc>
          <w:tcPr>
            <w:tcW w:w="888" w:type="pct"/>
            <w:vMerge w:val="continue"/>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p>
        </w:tc>
        <w:tc>
          <w:tcPr>
            <w:tcW w:w="460" w:type="pct"/>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臭气浓度（无量纲）</w:t>
            </w:r>
          </w:p>
        </w:tc>
        <w:tc>
          <w:tcPr>
            <w:tcW w:w="1270" w:type="pct"/>
            <w:gridSpan w:val="3"/>
            <w:tcBorders>
              <w:top w:val="single" w:color="000000" w:sz="6" w:space="0"/>
              <w:left w:val="single" w:color="auto" w:sz="6" w:space="0"/>
              <w:bottom w:val="single" w:color="000000" w:sz="6" w:space="0"/>
              <w:right w:val="single" w:color="000000" w:sz="6" w:space="0"/>
            </w:tcBorders>
            <w:vAlign w:val="center"/>
          </w:tcPr>
          <w:p>
            <w:pPr>
              <w:pStyle w:val="84"/>
              <w:rPr>
                <w:rFonts w:hint="default" w:hAnsi="Times New Roman" w:eastAsia="宋体"/>
                <w:bCs/>
                <w:color w:val="auto"/>
                <w:lang w:val="en-US" w:eastAsia="zh-CN"/>
              </w:rPr>
            </w:pPr>
            <w:r>
              <w:rPr>
                <w:rFonts w:hint="eastAsia" w:hAnsi="Times New Roman"/>
                <w:bCs/>
                <w:color w:val="auto"/>
                <w:lang w:val="en-US" w:eastAsia="zh-CN"/>
              </w:rPr>
              <w:t>1890</w:t>
            </w:r>
          </w:p>
        </w:tc>
        <w:tc>
          <w:tcPr>
            <w:tcW w:w="476" w:type="pct"/>
            <w:vMerge w:val="continue"/>
            <w:tcBorders>
              <w:left w:val="single" w:color="000000" w:sz="6" w:space="0"/>
              <w:right w:val="single" w:color="000000" w:sz="6" w:space="0"/>
            </w:tcBorders>
            <w:vAlign w:val="center"/>
          </w:tcPr>
          <w:p>
            <w:pPr>
              <w:pStyle w:val="84"/>
              <w:spacing w:line="0" w:lineRule="atLeast"/>
              <w:rPr>
                <w:rFonts w:hAnsi="Times New Roman"/>
                <w:color w:val="FF0000"/>
              </w:rPr>
            </w:pPr>
          </w:p>
        </w:tc>
        <w:tc>
          <w:tcPr>
            <w:tcW w:w="476" w:type="pct"/>
            <w:vMerge w:val="continue"/>
            <w:tcBorders>
              <w:left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FF0000"/>
                <w:sz w:val="21"/>
                <w:szCs w:val="21"/>
              </w:rPr>
            </w:pPr>
          </w:p>
        </w:tc>
        <w:tc>
          <w:tcPr>
            <w:tcW w:w="537" w:type="pct"/>
            <w:vMerge w:val="continue"/>
            <w:tcBorders>
              <w:left w:val="single" w:color="auto" w:sz="6" w:space="0"/>
              <w:right w:val="nil"/>
            </w:tcBorders>
            <w:vAlign w:val="center"/>
          </w:tcPr>
          <w:p>
            <w:pPr>
              <w:pStyle w:val="74"/>
              <w:spacing w:line="0" w:lineRule="atLeast"/>
              <w:ind w:firstLine="0" w:firstLineChars="0"/>
              <w:jc w:val="center"/>
              <w:rPr>
                <w:rFonts w:ascii="Times New Roman" w:hAnsi="Times New Roman" w:eastAsia="宋体" w:cs="Times New Roman"/>
                <w:color w:val="FF0000"/>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tcBorders>
              <w:left w:val="nil"/>
              <w:right w:val="single" w:color="auto" w:sz="6" w:space="0"/>
            </w:tcBorders>
            <w:vAlign w:val="center"/>
          </w:tcPr>
          <w:p>
            <w:pPr>
              <w:pStyle w:val="74"/>
              <w:spacing w:line="0" w:lineRule="atLeast"/>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540" w:type="pct"/>
            <w:tcBorders>
              <w:left w:val="single" w:color="auto" w:sz="6" w:space="0"/>
              <w:right w:val="single" w:color="000000" w:sz="6" w:space="0"/>
            </w:tcBorders>
            <w:vAlign w:val="center"/>
          </w:tcPr>
          <w:p>
            <w:pPr>
              <w:pStyle w:val="74"/>
              <w:spacing w:line="0" w:lineRule="atLeast"/>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锅炉房烟囱（DA005）</w:t>
            </w:r>
          </w:p>
        </w:tc>
        <w:tc>
          <w:tcPr>
            <w:tcW w:w="888" w:type="pct"/>
            <w:tcBorders>
              <w:left w:val="single" w:color="000000" w:sz="6" w:space="0"/>
              <w:bottom w:val="single" w:color="auto" w:sz="12" w:space="0"/>
              <w:right w:val="single" w:color="auto" w:sz="4"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布袋破损少部分，除尘效率下降到85%</w:t>
            </w:r>
          </w:p>
        </w:tc>
        <w:tc>
          <w:tcPr>
            <w:tcW w:w="460" w:type="pct"/>
            <w:tcBorders>
              <w:left w:val="single" w:color="auto" w:sz="4" w:space="0"/>
              <w:bottom w:val="single" w:color="auto" w:sz="12"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eastAsia="宋体" w:cs="Times New Roman"/>
                <w:color w:val="FF0000"/>
                <w:sz w:val="21"/>
                <w:szCs w:val="21"/>
              </w:rPr>
            </w:pPr>
            <w:r>
              <w:rPr>
                <w:rFonts w:hint="default" w:ascii="Times New Roman" w:hAnsi="Times New Roman" w:eastAsia="宋体" w:cs="Times New Roman"/>
                <w:bCs/>
                <w:color w:val="auto"/>
                <w:spacing w:val="0"/>
                <w:sz w:val="21"/>
                <w:szCs w:val="21"/>
              </w:rPr>
              <w:t>颗粒物</w:t>
            </w:r>
          </w:p>
        </w:tc>
        <w:tc>
          <w:tcPr>
            <w:tcW w:w="654" w:type="pct"/>
            <w:gridSpan w:val="2"/>
            <w:tcBorders>
              <w:top w:val="single" w:color="000000" w:sz="6" w:space="0"/>
              <w:left w:val="single" w:color="auto" w:sz="4" w:space="0"/>
              <w:bottom w:val="single" w:color="auto" w:sz="12" w:space="0"/>
              <w:right w:val="single" w:color="auto" w:sz="4" w:space="0"/>
            </w:tcBorders>
            <w:vAlign w:val="center"/>
          </w:tcPr>
          <w:p>
            <w:pPr>
              <w:pStyle w:val="84"/>
              <w:rPr>
                <w:rFonts w:hint="default" w:hAnsi="Times New Roman" w:eastAsia="宋体"/>
                <w:bCs/>
                <w:color w:val="auto"/>
                <w:lang w:val="en-US" w:eastAsia="zh-CN"/>
              </w:rPr>
            </w:pPr>
            <w:r>
              <w:rPr>
                <w:rFonts w:hint="eastAsia" w:hAnsi="Times New Roman"/>
                <w:bCs/>
                <w:color w:val="auto"/>
                <w:lang w:val="en-US" w:eastAsia="zh-CN"/>
              </w:rPr>
              <w:t>1953750</w:t>
            </w:r>
          </w:p>
        </w:tc>
        <w:tc>
          <w:tcPr>
            <w:tcW w:w="616" w:type="pct"/>
            <w:tcBorders>
              <w:top w:val="single" w:color="000000" w:sz="6" w:space="0"/>
              <w:left w:val="single" w:color="auto" w:sz="4" w:space="0"/>
              <w:bottom w:val="single" w:color="auto" w:sz="12" w:space="0"/>
              <w:right w:val="single" w:color="auto" w:sz="4" w:space="0"/>
            </w:tcBorders>
            <w:vAlign w:val="center"/>
          </w:tcPr>
          <w:p>
            <w:pPr>
              <w:pStyle w:val="84"/>
              <w:rPr>
                <w:rFonts w:hint="default" w:hAnsi="Times New Roman" w:eastAsia="宋体"/>
                <w:bCs/>
                <w:color w:val="auto"/>
                <w:lang w:val="en-US" w:eastAsia="zh-CN"/>
              </w:rPr>
            </w:pPr>
            <w:r>
              <w:rPr>
                <w:rFonts w:hint="eastAsia" w:hAnsi="Times New Roman"/>
                <w:bCs/>
                <w:color w:val="auto"/>
                <w:lang w:val="en-US" w:eastAsia="zh-CN"/>
              </w:rPr>
              <w:t>1.545</w:t>
            </w:r>
          </w:p>
        </w:tc>
        <w:tc>
          <w:tcPr>
            <w:tcW w:w="476" w:type="pct"/>
            <w:vMerge w:val="continue"/>
            <w:tcBorders>
              <w:left w:val="single" w:color="000000" w:sz="6" w:space="0"/>
              <w:right w:val="single" w:color="000000" w:sz="6" w:space="0"/>
            </w:tcBorders>
            <w:vAlign w:val="center"/>
          </w:tcPr>
          <w:p>
            <w:pPr>
              <w:pStyle w:val="84"/>
              <w:spacing w:line="0" w:lineRule="atLeast"/>
              <w:rPr>
                <w:rFonts w:hAnsi="Times New Roman"/>
                <w:color w:val="FF0000"/>
              </w:rPr>
            </w:pPr>
          </w:p>
        </w:tc>
        <w:tc>
          <w:tcPr>
            <w:tcW w:w="476" w:type="pct"/>
            <w:vMerge w:val="continue"/>
            <w:tcBorders>
              <w:left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FF0000"/>
                <w:sz w:val="21"/>
                <w:szCs w:val="21"/>
              </w:rPr>
            </w:pPr>
          </w:p>
        </w:tc>
        <w:tc>
          <w:tcPr>
            <w:tcW w:w="537" w:type="pct"/>
            <w:vMerge w:val="continue"/>
            <w:tcBorders>
              <w:left w:val="single" w:color="auto" w:sz="6" w:space="0"/>
              <w:right w:val="nil"/>
            </w:tcBorders>
            <w:vAlign w:val="center"/>
          </w:tcPr>
          <w:p>
            <w:pPr>
              <w:pStyle w:val="74"/>
              <w:spacing w:line="0" w:lineRule="atLeast"/>
              <w:ind w:firstLine="0" w:firstLineChars="0"/>
              <w:jc w:val="center"/>
              <w:rPr>
                <w:rFonts w:ascii="Times New Roman" w:hAnsi="Times New Roman" w:eastAsia="宋体" w:cs="Times New Roman"/>
                <w:color w:val="FF0000"/>
                <w:sz w:val="21"/>
                <w:szCs w:val="21"/>
              </w:rPr>
            </w:pPr>
          </w:p>
        </w:tc>
      </w:tr>
    </w:tbl>
    <w:p>
      <w:pPr>
        <w:spacing w:line="360" w:lineRule="auto"/>
        <w:outlineLvl w:val="3"/>
        <w:rPr>
          <w:b/>
          <w:color w:val="auto"/>
          <w:sz w:val="24"/>
        </w:rPr>
      </w:pPr>
      <w:r>
        <w:rPr>
          <w:b/>
          <w:color w:val="auto"/>
          <w:sz w:val="24"/>
        </w:rPr>
        <w:t>3.</w:t>
      </w:r>
      <w:r>
        <w:rPr>
          <w:rFonts w:hint="eastAsia"/>
          <w:b/>
          <w:color w:val="auto"/>
          <w:sz w:val="24"/>
        </w:rPr>
        <w:t>3</w:t>
      </w:r>
      <w:r>
        <w:rPr>
          <w:b/>
          <w:color w:val="auto"/>
          <w:sz w:val="24"/>
        </w:rPr>
        <w:t>.2.3噪声污染分析</w:t>
      </w:r>
    </w:p>
    <w:p>
      <w:pPr>
        <w:spacing w:line="360" w:lineRule="auto"/>
        <w:ind w:firstLine="480" w:firstLineChars="200"/>
        <w:contextualSpacing/>
        <w:rPr>
          <w:color w:val="auto"/>
          <w:sz w:val="24"/>
        </w:rPr>
      </w:pPr>
      <w:r>
        <w:rPr>
          <w:rFonts w:hint="eastAsia"/>
          <w:color w:val="auto"/>
          <w:sz w:val="24"/>
        </w:rPr>
        <w:t>（1）设备噪声</w:t>
      </w:r>
    </w:p>
    <w:p>
      <w:pPr>
        <w:spacing w:line="360" w:lineRule="auto"/>
        <w:ind w:firstLine="480" w:firstLineChars="200"/>
        <w:contextualSpacing/>
        <w:rPr>
          <w:color w:val="auto"/>
          <w:sz w:val="24"/>
        </w:rPr>
      </w:pPr>
      <w:r>
        <w:rPr>
          <w:color w:val="auto"/>
          <w:sz w:val="24"/>
        </w:rPr>
        <w:t>本项目设备主要噪声源是</w:t>
      </w:r>
      <w:r>
        <w:rPr>
          <w:rFonts w:hint="eastAsia"/>
          <w:color w:val="auto"/>
          <w:sz w:val="24"/>
        </w:rPr>
        <w:t>制冷压缩机、屠宰分割设备、给水泵、污泥泵、风机</w:t>
      </w:r>
      <w:r>
        <w:rPr>
          <w:color w:val="auto"/>
          <w:sz w:val="24"/>
        </w:rPr>
        <w:t>等设备噪声，噪声值在</w:t>
      </w:r>
      <w:r>
        <w:rPr>
          <w:rFonts w:hint="eastAsia"/>
          <w:color w:val="auto"/>
          <w:sz w:val="24"/>
        </w:rPr>
        <w:t>70~90</w:t>
      </w:r>
      <w:r>
        <w:rPr>
          <w:color w:val="auto"/>
          <w:sz w:val="24"/>
        </w:rPr>
        <w:t>dB(A)之间。</w:t>
      </w:r>
    </w:p>
    <w:p>
      <w:pPr>
        <w:spacing w:line="360" w:lineRule="auto"/>
        <w:ind w:firstLine="480" w:firstLineChars="200"/>
        <w:contextualSpacing/>
        <w:rPr>
          <w:color w:val="auto"/>
          <w:sz w:val="24"/>
        </w:rPr>
      </w:pPr>
      <w:r>
        <w:rPr>
          <w:rFonts w:hint="eastAsia"/>
          <w:color w:val="auto"/>
          <w:sz w:val="24"/>
        </w:rPr>
        <w:t>（2）动物叫声</w:t>
      </w:r>
    </w:p>
    <w:p>
      <w:pPr>
        <w:spacing w:line="360" w:lineRule="auto"/>
        <w:ind w:firstLine="480" w:firstLineChars="200"/>
        <w:contextualSpacing/>
        <w:rPr>
          <w:color w:val="auto"/>
          <w:sz w:val="24"/>
        </w:rPr>
      </w:pPr>
      <w:r>
        <w:rPr>
          <w:rFonts w:hint="eastAsia"/>
          <w:color w:val="auto"/>
          <w:sz w:val="24"/>
        </w:rPr>
        <w:t>本项目待宰间内的肉牛会发出叫声，</w:t>
      </w:r>
      <w:r>
        <w:rPr>
          <w:color w:val="auto"/>
          <w:sz w:val="24"/>
        </w:rPr>
        <w:t>特别是宰前不给牲畜进食，牲畜由于饥饿难奈而发出嚎叫声；肉牛在屠宰间由于恐惧也会发出嚎叫声，据统计，其噪声的峰值可达100dB(A)。动物叫声为偶发噪声。</w:t>
      </w:r>
    </w:p>
    <w:p>
      <w:pPr>
        <w:spacing w:line="360" w:lineRule="auto"/>
        <w:ind w:firstLine="480" w:firstLineChars="200"/>
        <w:contextualSpacing/>
        <w:rPr>
          <w:color w:val="auto"/>
          <w:sz w:val="24"/>
        </w:rPr>
      </w:pPr>
      <w:r>
        <w:rPr>
          <w:color w:val="auto"/>
          <w:sz w:val="24"/>
        </w:rPr>
        <w:t>噪声源强见下表3-3-</w:t>
      </w:r>
      <w:r>
        <w:rPr>
          <w:rFonts w:hint="eastAsia"/>
          <w:color w:val="auto"/>
          <w:sz w:val="24"/>
        </w:rPr>
        <w:t>13</w:t>
      </w:r>
      <w:r>
        <w:rPr>
          <w:color w:val="auto"/>
          <w:sz w:val="24"/>
        </w:rPr>
        <w:t>。</w:t>
      </w:r>
    </w:p>
    <w:p>
      <w:pPr>
        <w:pStyle w:val="76"/>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textAlignment w:val="auto"/>
        <w:rPr>
          <w:rFonts w:hint="eastAsia" w:ascii="Times New Roman" w:hAnsi="Times New Roman" w:eastAsia="宋体" w:cs="Times New Roman"/>
          <w:color w:val="auto"/>
          <w:sz w:val="24"/>
          <w:szCs w:val="24"/>
          <w:lang w:eastAsia="zh-CN"/>
        </w:rPr>
      </w:pPr>
      <w:r>
        <w:rPr>
          <w:rFonts w:ascii="Times New Roman" w:hAnsi="Times New Roman" w:cs="Times New Roman"/>
          <w:color w:val="auto"/>
          <w:sz w:val="24"/>
          <w:szCs w:val="24"/>
        </w:rPr>
        <w:t>表3-3-</w:t>
      </w:r>
      <w:r>
        <w:rPr>
          <w:rFonts w:hint="eastAsia" w:ascii="Times New Roman" w:hAnsi="Times New Roman" w:cs="Times New Roman"/>
          <w:color w:val="auto"/>
          <w:sz w:val="24"/>
          <w:szCs w:val="24"/>
        </w:rPr>
        <w:t>13</w:t>
      </w:r>
      <w:r>
        <w:rPr>
          <w:rFonts w:ascii="Times New Roman" w:hAnsi="Times New Roman" w:cs="Times New Roman"/>
          <w:color w:val="auto"/>
          <w:sz w:val="24"/>
          <w:szCs w:val="24"/>
        </w:rPr>
        <w:t>噪声源强一览表</w:t>
      </w:r>
    </w:p>
    <w:tbl>
      <w:tblPr>
        <w:tblStyle w:val="46"/>
        <w:tblpPr w:leftFromText="180" w:rightFromText="180" w:vertAnchor="text" w:tblpXSpec="center" w:tblpY="1"/>
        <w:tblOverlap w:val="never"/>
        <w:tblW w:w="1392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2"/>
        <w:gridCol w:w="712"/>
        <w:gridCol w:w="1415"/>
        <w:gridCol w:w="1181"/>
        <w:gridCol w:w="1181"/>
        <w:gridCol w:w="710"/>
        <w:gridCol w:w="710"/>
        <w:gridCol w:w="713"/>
        <w:gridCol w:w="944"/>
        <w:gridCol w:w="1180"/>
        <w:gridCol w:w="712"/>
        <w:gridCol w:w="710"/>
        <w:gridCol w:w="1181"/>
        <w:gridCol w:w="1183"/>
        <w:gridCol w:w="6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712" w:type="dxa"/>
            <w:vMerge w:val="restart"/>
            <w:vAlign w:val="center"/>
          </w:tcPr>
          <w:p>
            <w:pPr>
              <w:pStyle w:val="143"/>
              <w:spacing w:line="0" w:lineRule="atLeast"/>
              <w:ind w:firstLine="0" w:firstLineChars="0"/>
              <w:jc w:val="center"/>
              <w:rPr>
                <w:color w:val="auto"/>
                <w:sz w:val="21"/>
                <w:szCs w:val="21"/>
              </w:rPr>
            </w:pPr>
            <w:r>
              <w:rPr>
                <w:color w:val="auto"/>
                <w:sz w:val="21"/>
                <w:szCs w:val="21"/>
              </w:rPr>
              <w:t>序号</w:t>
            </w:r>
          </w:p>
        </w:tc>
        <w:tc>
          <w:tcPr>
            <w:tcW w:w="712" w:type="dxa"/>
            <w:vMerge w:val="restart"/>
            <w:vAlign w:val="center"/>
          </w:tcPr>
          <w:p>
            <w:pPr>
              <w:pStyle w:val="143"/>
              <w:spacing w:line="0" w:lineRule="atLeast"/>
              <w:ind w:firstLine="0" w:firstLineChars="0"/>
              <w:jc w:val="center"/>
              <w:rPr>
                <w:color w:val="auto"/>
                <w:sz w:val="21"/>
                <w:szCs w:val="21"/>
              </w:rPr>
            </w:pPr>
            <w:r>
              <w:rPr>
                <w:color w:val="auto"/>
                <w:sz w:val="21"/>
                <w:szCs w:val="21"/>
              </w:rPr>
              <w:t>建筑物名称</w:t>
            </w:r>
          </w:p>
        </w:tc>
        <w:tc>
          <w:tcPr>
            <w:tcW w:w="1415" w:type="dxa"/>
            <w:vMerge w:val="restart"/>
            <w:vAlign w:val="center"/>
          </w:tcPr>
          <w:p>
            <w:pPr>
              <w:pStyle w:val="143"/>
              <w:spacing w:line="0" w:lineRule="atLeast"/>
              <w:ind w:firstLine="0" w:firstLineChars="0"/>
              <w:jc w:val="center"/>
              <w:rPr>
                <w:color w:val="auto"/>
                <w:sz w:val="21"/>
                <w:szCs w:val="21"/>
              </w:rPr>
            </w:pPr>
            <w:r>
              <w:rPr>
                <w:color w:val="auto"/>
                <w:sz w:val="21"/>
                <w:szCs w:val="21"/>
              </w:rPr>
              <w:t>声源名称</w:t>
            </w:r>
          </w:p>
        </w:tc>
        <w:tc>
          <w:tcPr>
            <w:tcW w:w="1181" w:type="dxa"/>
            <w:vAlign w:val="center"/>
          </w:tcPr>
          <w:p>
            <w:pPr>
              <w:pStyle w:val="143"/>
              <w:spacing w:line="0" w:lineRule="atLeast"/>
              <w:ind w:firstLine="0" w:firstLineChars="0"/>
              <w:jc w:val="center"/>
              <w:rPr>
                <w:color w:val="auto"/>
                <w:sz w:val="21"/>
                <w:szCs w:val="21"/>
              </w:rPr>
            </w:pPr>
            <w:r>
              <w:rPr>
                <w:color w:val="auto"/>
                <w:sz w:val="21"/>
                <w:szCs w:val="21"/>
              </w:rPr>
              <w:t>声源源强</w:t>
            </w:r>
          </w:p>
        </w:tc>
        <w:tc>
          <w:tcPr>
            <w:tcW w:w="1181" w:type="dxa"/>
            <w:vMerge w:val="restart"/>
            <w:vAlign w:val="center"/>
          </w:tcPr>
          <w:p>
            <w:pPr>
              <w:pStyle w:val="143"/>
              <w:spacing w:line="0" w:lineRule="atLeast"/>
              <w:ind w:firstLine="0" w:firstLineChars="0"/>
              <w:jc w:val="center"/>
              <w:rPr>
                <w:color w:val="auto"/>
                <w:sz w:val="21"/>
                <w:szCs w:val="21"/>
              </w:rPr>
            </w:pPr>
            <w:r>
              <w:rPr>
                <w:color w:val="auto"/>
                <w:sz w:val="21"/>
                <w:szCs w:val="21"/>
              </w:rPr>
              <w:t>声源控制措施</w:t>
            </w:r>
          </w:p>
        </w:tc>
        <w:tc>
          <w:tcPr>
            <w:tcW w:w="2133" w:type="dxa"/>
            <w:gridSpan w:val="3"/>
            <w:vAlign w:val="center"/>
          </w:tcPr>
          <w:p>
            <w:pPr>
              <w:pStyle w:val="143"/>
              <w:spacing w:line="0" w:lineRule="atLeast"/>
              <w:ind w:firstLine="0" w:firstLineChars="0"/>
              <w:jc w:val="center"/>
              <w:rPr>
                <w:color w:val="auto"/>
                <w:sz w:val="21"/>
                <w:szCs w:val="21"/>
              </w:rPr>
            </w:pPr>
            <w:r>
              <w:rPr>
                <w:color w:val="auto"/>
                <w:sz w:val="21"/>
                <w:szCs w:val="21"/>
              </w:rPr>
              <w:t>空间相对位置/m</w:t>
            </w:r>
          </w:p>
        </w:tc>
        <w:tc>
          <w:tcPr>
            <w:tcW w:w="944" w:type="dxa"/>
            <w:vMerge w:val="restart"/>
            <w:vAlign w:val="center"/>
          </w:tcPr>
          <w:p>
            <w:pPr>
              <w:pStyle w:val="143"/>
              <w:spacing w:line="0" w:lineRule="atLeast"/>
              <w:ind w:firstLine="0" w:firstLineChars="0"/>
              <w:jc w:val="center"/>
              <w:rPr>
                <w:color w:val="auto"/>
                <w:sz w:val="21"/>
                <w:szCs w:val="21"/>
              </w:rPr>
            </w:pPr>
            <w:r>
              <w:rPr>
                <w:color w:val="auto"/>
                <w:sz w:val="21"/>
                <w:szCs w:val="21"/>
              </w:rPr>
              <w:t>距室内边界距离</w:t>
            </w:r>
          </w:p>
        </w:tc>
        <w:tc>
          <w:tcPr>
            <w:tcW w:w="1180" w:type="dxa"/>
            <w:vMerge w:val="restart"/>
            <w:vAlign w:val="center"/>
          </w:tcPr>
          <w:p>
            <w:pPr>
              <w:pStyle w:val="143"/>
              <w:spacing w:line="0" w:lineRule="atLeast"/>
              <w:ind w:firstLine="0" w:firstLineChars="0"/>
              <w:jc w:val="center"/>
              <w:rPr>
                <w:color w:val="auto"/>
                <w:sz w:val="21"/>
                <w:szCs w:val="21"/>
              </w:rPr>
            </w:pPr>
            <w:r>
              <w:rPr>
                <w:color w:val="auto"/>
                <w:sz w:val="21"/>
                <w:szCs w:val="21"/>
              </w:rPr>
              <w:t>室内边界声级/dB（A）</w:t>
            </w:r>
          </w:p>
        </w:tc>
        <w:tc>
          <w:tcPr>
            <w:tcW w:w="712" w:type="dxa"/>
            <w:vMerge w:val="restart"/>
            <w:vAlign w:val="center"/>
          </w:tcPr>
          <w:p>
            <w:pPr>
              <w:pStyle w:val="143"/>
              <w:spacing w:line="0" w:lineRule="atLeast"/>
              <w:ind w:firstLine="0" w:firstLineChars="0"/>
              <w:jc w:val="center"/>
              <w:rPr>
                <w:color w:val="auto"/>
                <w:sz w:val="21"/>
                <w:szCs w:val="21"/>
              </w:rPr>
            </w:pPr>
            <w:r>
              <w:rPr>
                <w:color w:val="auto"/>
                <w:sz w:val="21"/>
                <w:szCs w:val="21"/>
              </w:rPr>
              <w:t>运行时段</w:t>
            </w:r>
          </w:p>
        </w:tc>
        <w:tc>
          <w:tcPr>
            <w:tcW w:w="710" w:type="dxa"/>
            <w:vMerge w:val="restart"/>
            <w:vAlign w:val="center"/>
          </w:tcPr>
          <w:p>
            <w:pPr>
              <w:pStyle w:val="143"/>
              <w:spacing w:line="0" w:lineRule="atLeast"/>
              <w:ind w:firstLine="0" w:firstLineChars="0"/>
              <w:jc w:val="center"/>
              <w:rPr>
                <w:color w:val="auto"/>
                <w:sz w:val="21"/>
                <w:szCs w:val="21"/>
              </w:rPr>
            </w:pPr>
            <w:r>
              <w:rPr>
                <w:color w:val="auto"/>
                <w:sz w:val="21"/>
                <w:szCs w:val="21"/>
              </w:rPr>
              <w:t>建筑物插入损失</w:t>
            </w:r>
          </w:p>
        </w:tc>
        <w:tc>
          <w:tcPr>
            <w:tcW w:w="2364" w:type="dxa"/>
            <w:gridSpan w:val="2"/>
            <w:vAlign w:val="center"/>
          </w:tcPr>
          <w:p>
            <w:pPr>
              <w:pStyle w:val="143"/>
              <w:spacing w:line="0" w:lineRule="atLeast"/>
              <w:ind w:firstLine="0" w:firstLineChars="0"/>
              <w:jc w:val="center"/>
              <w:rPr>
                <w:color w:val="auto"/>
                <w:sz w:val="21"/>
                <w:szCs w:val="21"/>
              </w:rPr>
            </w:pPr>
            <w:r>
              <w:rPr>
                <w:color w:val="auto"/>
                <w:sz w:val="21"/>
                <w:szCs w:val="21"/>
              </w:rPr>
              <w:t>建筑物外噪声</w:t>
            </w:r>
          </w:p>
        </w:tc>
        <w:tc>
          <w:tcPr>
            <w:tcW w:w="682" w:type="dxa"/>
            <w:vMerge w:val="restart"/>
            <w:vAlign w:val="center"/>
          </w:tcPr>
          <w:p>
            <w:pPr>
              <w:pStyle w:val="143"/>
              <w:spacing w:line="0" w:lineRule="atLeast"/>
              <w:ind w:firstLine="0" w:firstLineChars="0"/>
              <w:jc w:val="center"/>
              <w:rPr>
                <w:color w:val="auto"/>
                <w:sz w:val="21"/>
                <w:szCs w:val="21"/>
              </w:rPr>
            </w:pPr>
            <w:r>
              <w:rPr>
                <w:color w:val="auto"/>
                <w:sz w:val="21"/>
                <w:szCs w:val="21"/>
              </w:rPr>
              <w:t>持续时间/h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trPr>
        <w:tc>
          <w:tcPr>
            <w:tcW w:w="712" w:type="dxa"/>
            <w:vMerge w:val="continue"/>
            <w:vAlign w:val="center"/>
          </w:tcPr>
          <w:p>
            <w:pPr>
              <w:pStyle w:val="143"/>
              <w:spacing w:line="0" w:lineRule="atLeast"/>
              <w:ind w:firstLine="0" w:firstLineChars="0"/>
              <w:jc w:val="center"/>
              <w:rPr>
                <w:color w:val="auto"/>
                <w:sz w:val="21"/>
                <w:szCs w:val="21"/>
              </w:rPr>
            </w:pPr>
          </w:p>
        </w:tc>
        <w:tc>
          <w:tcPr>
            <w:tcW w:w="712" w:type="dxa"/>
            <w:vMerge w:val="continue"/>
            <w:vAlign w:val="center"/>
          </w:tcPr>
          <w:p>
            <w:pPr>
              <w:pStyle w:val="143"/>
              <w:spacing w:line="0" w:lineRule="atLeast"/>
              <w:ind w:firstLine="0" w:firstLineChars="0"/>
              <w:jc w:val="center"/>
              <w:rPr>
                <w:color w:val="auto"/>
                <w:sz w:val="21"/>
                <w:szCs w:val="21"/>
              </w:rPr>
            </w:pPr>
          </w:p>
        </w:tc>
        <w:tc>
          <w:tcPr>
            <w:tcW w:w="1415" w:type="dxa"/>
            <w:vMerge w:val="continue"/>
            <w:vAlign w:val="center"/>
          </w:tcPr>
          <w:p>
            <w:pPr>
              <w:pStyle w:val="143"/>
              <w:spacing w:line="0" w:lineRule="atLeast"/>
              <w:ind w:firstLine="0" w:firstLineChars="0"/>
              <w:jc w:val="center"/>
              <w:rPr>
                <w:color w:val="auto"/>
                <w:sz w:val="21"/>
                <w:szCs w:val="21"/>
              </w:rPr>
            </w:pPr>
          </w:p>
        </w:tc>
        <w:tc>
          <w:tcPr>
            <w:tcW w:w="1181" w:type="dxa"/>
            <w:vAlign w:val="center"/>
          </w:tcPr>
          <w:p>
            <w:pPr>
              <w:pStyle w:val="143"/>
              <w:spacing w:line="0" w:lineRule="atLeast"/>
              <w:ind w:firstLine="0" w:firstLineChars="0"/>
              <w:jc w:val="center"/>
              <w:rPr>
                <w:color w:val="auto"/>
                <w:sz w:val="21"/>
                <w:szCs w:val="21"/>
              </w:rPr>
            </w:pPr>
            <w:r>
              <w:rPr>
                <w:color w:val="auto"/>
                <w:sz w:val="21"/>
                <w:szCs w:val="21"/>
              </w:rPr>
              <w:t>声功率级/dB（A）</w:t>
            </w:r>
          </w:p>
        </w:tc>
        <w:tc>
          <w:tcPr>
            <w:tcW w:w="1181" w:type="dxa"/>
            <w:vMerge w:val="continue"/>
            <w:vAlign w:val="center"/>
          </w:tcPr>
          <w:p>
            <w:pPr>
              <w:pStyle w:val="143"/>
              <w:spacing w:line="0" w:lineRule="atLeast"/>
              <w:ind w:firstLine="0" w:firstLineChars="0"/>
              <w:jc w:val="center"/>
              <w:rPr>
                <w:color w:val="auto"/>
                <w:sz w:val="21"/>
                <w:szCs w:val="21"/>
              </w:rPr>
            </w:pPr>
          </w:p>
        </w:tc>
        <w:tc>
          <w:tcPr>
            <w:tcW w:w="710" w:type="dxa"/>
            <w:vAlign w:val="center"/>
          </w:tcPr>
          <w:p>
            <w:pPr>
              <w:pStyle w:val="143"/>
              <w:spacing w:line="0" w:lineRule="atLeast"/>
              <w:ind w:firstLine="0" w:firstLineChars="0"/>
              <w:jc w:val="center"/>
              <w:rPr>
                <w:color w:val="auto"/>
                <w:sz w:val="21"/>
                <w:szCs w:val="21"/>
              </w:rPr>
            </w:pPr>
            <w:r>
              <w:rPr>
                <w:color w:val="auto"/>
                <w:sz w:val="21"/>
                <w:szCs w:val="21"/>
              </w:rPr>
              <w:t>X</w:t>
            </w:r>
          </w:p>
        </w:tc>
        <w:tc>
          <w:tcPr>
            <w:tcW w:w="710" w:type="dxa"/>
            <w:vAlign w:val="center"/>
          </w:tcPr>
          <w:p>
            <w:pPr>
              <w:pStyle w:val="143"/>
              <w:spacing w:line="0" w:lineRule="atLeast"/>
              <w:ind w:firstLine="0" w:firstLineChars="0"/>
              <w:jc w:val="center"/>
              <w:rPr>
                <w:color w:val="auto"/>
                <w:sz w:val="21"/>
                <w:szCs w:val="21"/>
              </w:rPr>
            </w:pPr>
            <w:r>
              <w:rPr>
                <w:color w:val="auto"/>
                <w:sz w:val="21"/>
                <w:szCs w:val="21"/>
              </w:rPr>
              <w:t>Y</w:t>
            </w:r>
          </w:p>
        </w:tc>
        <w:tc>
          <w:tcPr>
            <w:tcW w:w="713" w:type="dxa"/>
            <w:vAlign w:val="center"/>
          </w:tcPr>
          <w:p>
            <w:pPr>
              <w:pStyle w:val="143"/>
              <w:spacing w:line="0" w:lineRule="atLeast"/>
              <w:ind w:firstLine="0" w:firstLineChars="0"/>
              <w:jc w:val="center"/>
              <w:rPr>
                <w:color w:val="auto"/>
                <w:sz w:val="21"/>
                <w:szCs w:val="21"/>
              </w:rPr>
            </w:pPr>
            <w:r>
              <w:rPr>
                <w:color w:val="auto"/>
                <w:sz w:val="21"/>
                <w:szCs w:val="21"/>
              </w:rPr>
              <w:t>Z</w:t>
            </w:r>
          </w:p>
        </w:tc>
        <w:tc>
          <w:tcPr>
            <w:tcW w:w="944" w:type="dxa"/>
            <w:vMerge w:val="continue"/>
            <w:vAlign w:val="center"/>
          </w:tcPr>
          <w:p>
            <w:pPr>
              <w:pStyle w:val="143"/>
              <w:spacing w:line="0" w:lineRule="atLeast"/>
              <w:ind w:firstLine="0" w:firstLineChars="0"/>
              <w:jc w:val="center"/>
              <w:rPr>
                <w:color w:val="auto"/>
                <w:sz w:val="21"/>
                <w:szCs w:val="21"/>
              </w:rPr>
            </w:pPr>
          </w:p>
        </w:tc>
        <w:tc>
          <w:tcPr>
            <w:tcW w:w="1180" w:type="dxa"/>
            <w:vMerge w:val="continue"/>
            <w:vAlign w:val="center"/>
          </w:tcPr>
          <w:p>
            <w:pPr>
              <w:pStyle w:val="143"/>
              <w:spacing w:line="0" w:lineRule="atLeast"/>
              <w:ind w:firstLine="0" w:firstLineChars="0"/>
              <w:jc w:val="center"/>
              <w:rPr>
                <w:color w:val="auto"/>
                <w:sz w:val="21"/>
                <w:szCs w:val="21"/>
              </w:rPr>
            </w:pPr>
          </w:p>
        </w:tc>
        <w:tc>
          <w:tcPr>
            <w:tcW w:w="712" w:type="dxa"/>
            <w:vMerge w:val="continue"/>
            <w:vAlign w:val="center"/>
          </w:tcPr>
          <w:p>
            <w:pPr>
              <w:pStyle w:val="143"/>
              <w:spacing w:line="0" w:lineRule="atLeast"/>
              <w:ind w:firstLine="0" w:firstLineChars="0"/>
              <w:jc w:val="center"/>
              <w:rPr>
                <w:color w:val="auto"/>
                <w:sz w:val="21"/>
                <w:szCs w:val="21"/>
              </w:rPr>
            </w:pPr>
          </w:p>
        </w:tc>
        <w:tc>
          <w:tcPr>
            <w:tcW w:w="710" w:type="dxa"/>
            <w:vMerge w:val="continue"/>
            <w:vAlign w:val="center"/>
          </w:tcPr>
          <w:p>
            <w:pPr>
              <w:pStyle w:val="143"/>
              <w:spacing w:line="0" w:lineRule="atLeast"/>
              <w:ind w:firstLine="0" w:firstLineChars="0"/>
              <w:jc w:val="center"/>
              <w:rPr>
                <w:color w:val="auto"/>
                <w:sz w:val="21"/>
                <w:szCs w:val="21"/>
              </w:rPr>
            </w:pPr>
          </w:p>
        </w:tc>
        <w:tc>
          <w:tcPr>
            <w:tcW w:w="1181" w:type="dxa"/>
            <w:vAlign w:val="center"/>
          </w:tcPr>
          <w:p>
            <w:pPr>
              <w:pStyle w:val="143"/>
              <w:spacing w:line="0" w:lineRule="atLeast"/>
              <w:ind w:firstLine="0" w:firstLineChars="0"/>
              <w:jc w:val="center"/>
              <w:rPr>
                <w:color w:val="auto"/>
                <w:sz w:val="21"/>
                <w:szCs w:val="21"/>
              </w:rPr>
            </w:pPr>
            <w:r>
              <w:rPr>
                <w:color w:val="auto"/>
                <w:sz w:val="21"/>
                <w:szCs w:val="21"/>
              </w:rPr>
              <w:t>声压级/dB（A）</w:t>
            </w:r>
          </w:p>
        </w:tc>
        <w:tc>
          <w:tcPr>
            <w:tcW w:w="1183" w:type="dxa"/>
            <w:vAlign w:val="center"/>
          </w:tcPr>
          <w:p>
            <w:pPr>
              <w:pStyle w:val="143"/>
              <w:spacing w:line="0" w:lineRule="atLeast"/>
              <w:ind w:firstLine="0" w:firstLineChars="0"/>
              <w:jc w:val="center"/>
              <w:rPr>
                <w:color w:val="auto"/>
                <w:sz w:val="21"/>
                <w:szCs w:val="21"/>
              </w:rPr>
            </w:pPr>
            <w:r>
              <w:rPr>
                <w:color w:val="auto"/>
                <w:sz w:val="21"/>
                <w:szCs w:val="21"/>
              </w:rPr>
              <w:t>建筑物外距离</w:t>
            </w:r>
          </w:p>
        </w:tc>
        <w:tc>
          <w:tcPr>
            <w:tcW w:w="682" w:type="dxa"/>
            <w:vMerge w:val="continue"/>
            <w:vAlign w:val="center"/>
          </w:tcPr>
          <w:p>
            <w:pPr>
              <w:pStyle w:val="143"/>
              <w:spacing w:line="0" w:lineRule="atLeas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7" w:hRule="atLeast"/>
        </w:trPr>
        <w:tc>
          <w:tcPr>
            <w:tcW w:w="712" w:type="dxa"/>
            <w:vAlign w:val="center"/>
          </w:tcPr>
          <w:p>
            <w:pPr>
              <w:pStyle w:val="143"/>
              <w:spacing w:line="0" w:lineRule="atLeast"/>
              <w:ind w:firstLine="0" w:firstLineChars="0"/>
              <w:jc w:val="center"/>
              <w:rPr>
                <w:rFonts w:ascii="Times New Roman" w:hAnsi="Times New Roman" w:eastAsia="宋体" w:cs="Times New Roman"/>
                <w:b w:val="0"/>
                <w:bCs w:val="0"/>
                <w:color w:val="auto"/>
                <w:kern w:val="2"/>
                <w:sz w:val="21"/>
                <w:szCs w:val="21"/>
                <w:lang w:val="en-US" w:eastAsia="zh-CN" w:bidi="ar-SA"/>
              </w:rPr>
            </w:pPr>
            <w:r>
              <w:rPr>
                <w:rFonts w:hint="eastAsia"/>
                <w:color w:val="auto"/>
                <w:sz w:val="21"/>
                <w:szCs w:val="21"/>
              </w:rPr>
              <w:t>1</w:t>
            </w:r>
          </w:p>
        </w:tc>
        <w:tc>
          <w:tcPr>
            <w:tcW w:w="712" w:type="dxa"/>
            <w:vMerge w:val="restart"/>
            <w:vAlign w:val="center"/>
          </w:tcPr>
          <w:p>
            <w:pPr>
              <w:pStyle w:val="727"/>
              <w:spacing w:after="0" w:line="0" w:lineRule="atLeast"/>
              <w:textAlignment w:val="center"/>
              <w:rPr>
                <w:rFonts w:hAnsi="宋体"/>
                <w:color w:val="auto"/>
                <w:kern w:val="2"/>
                <w:sz w:val="21"/>
                <w:szCs w:val="21"/>
              </w:rPr>
            </w:pPr>
            <w:r>
              <w:rPr>
                <w:rFonts w:hint="eastAsia" w:hAnsi="宋体"/>
                <w:color w:val="auto"/>
                <w:kern w:val="2"/>
                <w:sz w:val="21"/>
                <w:szCs w:val="21"/>
              </w:rPr>
              <w:t>屠宰</w:t>
            </w:r>
            <w:r>
              <w:rPr>
                <w:rFonts w:hAnsi="宋体"/>
                <w:color w:val="auto"/>
                <w:kern w:val="2"/>
                <w:sz w:val="21"/>
                <w:szCs w:val="21"/>
              </w:rPr>
              <w:t>车间</w:t>
            </w:r>
          </w:p>
        </w:tc>
        <w:tc>
          <w:tcPr>
            <w:tcW w:w="1415" w:type="dxa"/>
            <w:vAlign w:val="center"/>
          </w:tcPr>
          <w:p>
            <w:pPr>
              <w:spacing w:line="0" w:lineRule="atLeast"/>
              <w:contextualSpacing/>
              <w:jc w:val="center"/>
              <w:rPr>
                <w:color w:val="auto"/>
                <w:szCs w:val="21"/>
              </w:rPr>
            </w:pPr>
            <w:r>
              <w:rPr>
                <w:rFonts w:hint="eastAsia"/>
                <w:color w:val="auto"/>
                <w:szCs w:val="21"/>
              </w:rPr>
              <w:t>牵牛机</w:t>
            </w:r>
          </w:p>
        </w:tc>
        <w:tc>
          <w:tcPr>
            <w:tcW w:w="1181" w:type="dxa"/>
            <w:vAlign w:val="center"/>
          </w:tcPr>
          <w:p>
            <w:pPr>
              <w:spacing w:line="0" w:lineRule="atLeast"/>
              <w:jc w:val="center"/>
              <w:rPr>
                <w:snapToGrid w:val="0"/>
                <w:color w:val="auto"/>
                <w:szCs w:val="21"/>
              </w:rPr>
            </w:pPr>
            <w:r>
              <w:rPr>
                <w:snapToGrid w:val="0"/>
                <w:color w:val="auto"/>
                <w:szCs w:val="21"/>
              </w:rPr>
              <w:t>75</w:t>
            </w:r>
          </w:p>
        </w:tc>
        <w:tc>
          <w:tcPr>
            <w:tcW w:w="1181" w:type="dxa"/>
            <w:vMerge w:val="restart"/>
            <w:vAlign w:val="center"/>
          </w:tcPr>
          <w:p>
            <w:pPr>
              <w:pStyle w:val="143"/>
              <w:spacing w:line="0" w:lineRule="atLeast"/>
              <w:ind w:firstLine="0" w:firstLineChars="0"/>
              <w:jc w:val="center"/>
              <w:rPr>
                <w:color w:val="FF0000"/>
                <w:sz w:val="21"/>
                <w:szCs w:val="21"/>
              </w:rPr>
            </w:pPr>
            <w:r>
              <w:rPr>
                <w:snapToGrid w:val="0"/>
                <w:color w:val="auto"/>
                <w:sz w:val="21"/>
                <w:szCs w:val="21"/>
              </w:rPr>
              <w:t>选用低噪声设备、厂房隔声、</w:t>
            </w:r>
            <w:r>
              <w:rPr>
                <w:rFonts w:hint="eastAsia"/>
                <w:snapToGrid w:val="0"/>
                <w:color w:val="auto"/>
                <w:sz w:val="21"/>
                <w:szCs w:val="21"/>
              </w:rPr>
              <w:t>基础减振、</w:t>
            </w:r>
            <w:r>
              <w:rPr>
                <w:snapToGrid w:val="0"/>
                <w:color w:val="auto"/>
                <w:sz w:val="21"/>
                <w:szCs w:val="21"/>
              </w:rPr>
              <w:t>绿化降噪措施</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lang w:val="en-US" w:eastAsia="zh-CN"/>
              </w:rPr>
              <w:t>-</w:t>
            </w:r>
            <w:r>
              <w:rPr>
                <w:rFonts w:hint="eastAsia"/>
                <w:color w:val="auto"/>
                <w:sz w:val="21"/>
                <w:szCs w:val="21"/>
              </w:rPr>
              <w:t>65</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49</w:t>
            </w:r>
          </w:p>
        </w:tc>
        <w:tc>
          <w:tcPr>
            <w:tcW w:w="713" w:type="dxa"/>
            <w:vAlign w:val="center"/>
          </w:tcPr>
          <w:p>
            <w:pPr>
              <w:pStyle w:val="143"/>
              <w:spacing w:line="0" w:lineRule="atLeast"/>
              <w:ind w:firstLine="0" w:firstLineChars="0"/>
              <w:jc w:val="center"/>
              <w:rPr>
                <w:color w:val="auto"/>
                <w:sz w:val="21"/>
                <w:szCs w:val="21"/>
              </w:rPr>
            </w:pPr>
            <w:r>
              <w:rPr>
                <w:rFonts w:hint="eastAsia"/>
                <w:color w:val="auto"/>
                <w:sz w:val="21"/>
                <w:szCs w:val="21"/>
              </w:rPr>
              <w:t>2</w:t>
            </w:r>
          </w:p>
        </w:tc>
        <w:tc>
          <w:tcPr>
            <w:tcW w:w="944" w:type="dxa"/>
            <w:vAlign w:val="center"/>
          </w:tcPr>
          <w:p>
            <w:pPr>
              <w:pStyle w:val="143"/>
              <w:spacing w:line="0" w:lineRule="atLeast"/>
              <w:ind w:firstLine="0" w:firstLineChars="0"/>
              <w:jc w:val="center"/>
              <w:rPr>
                <w:color w:val="auto"/>
                <w:sz w:val="21"/>
                <w:szCs w:val="21"/>
              </w:rPr>
            </w:pPr>
            <w:r>
              <w:rPr>
                <w:rFonts w:hint="eastAsia"/>
                <w:color w:val="auto"/>
                <w:sz w:val="21"/>
                <w:szCs w:val="21"/>
              </w:rPr>
              <w:t>10</w:t>
            </w:r>
          </w:p>
        </w:tc>
        <w:tc>
          <w:tcPr>
            <w:tcW w:w="1180" w:type="dxa"/>
            <w:vAlign w:val="center"/>
          </w:tcPr>
          <w:p>
            <w:pPr>
              <w:pStyle w:val="143"/>
              <w:spacing w:line="0" w:lineRule="atLeast"/>
              <w:ind w:firstLine="0" w:firstLineChars="0"/>
              <w:jc w:val="center"/>
              <w:rPr>
                <w:color w:val="auto"/>
                <w:sz w:val="21"/>
                <w:szCs w:val="21"/>
              </w:rPr>
            </w:pPr>
            <w:r>
              <w:rPr>
                <w:rFonts w:hint="eastAsia"/>
                <w:color w:val="auto"/>
                <w:sz w:val="21"/>
                <w:szCs w:val="21"/>
              </w:rPr>
              <w:t>55.0</w:t>
            </w:r>
          </w:p>
        </w:tc>
        <w:tc>
          <w:tcPr>
            <w:tcW w:w="712" w:type="dxa"/>
            <w:vAlign w:val="center"/>
          </w:tcPr>
          <w:p>
            <w:pPr>
              <w:pStyle w:val="143"/>
              <w:spacing w:line="0" w:lineRule="atLeast"/>
              <w:ind w:firstLine="0" w:firstLineChars="0"/>
              <w:jc w:val="center"/>
              <w:rPr>
                <w:color w:val="auto"/>
                <w:sz w:val="21"/>
                <w:szCs w:val="21"/>
              </w:rPr>
            </w:pPr>
            <w:r>
              <w:rPr>
                <w:rFonts w:hint="eastAsia"/>
                <w:color w:val="auto"/>
                <w:sz w:val="21"/>
                <w:szCs w:val="21"/>
              </w:rPr>
              <w:t>连续</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20</w:t>
            </w:r>
          </w:p>
        </w:tc>
        <w:tc>
          <w:tcPr>
            <w:tcW w:w="1181" w:type="dxa"/>
            <w:vAlign w:val="center"/>
          </w:tcPr>
          <w:p>
            <w:pPr>
              <w:pStyle w:val="143"/>
              <w:spacing w:line="0" w:lineRule="atLeast"/>
              <w:ind w:firstLine="0" w:firstLineChars="0"/>
              <w:jc w:val="center"/>
              <w:rPr>
                <w:color w:val="auto"/>
                <w:sz w:val="21"/>
                <w:szCs w:val="21"/>
              </w:rPr>
            </w:pPr>
            <w:r>
              <w:rPr>
                <w:rFonts w:hint="eastAsia"/>
                <w:color w:val="auto"/>
                <w:sz w:val="21"/>
                <w:szCs w:val="21"/>
              </w:rPr>
              <w:t>35.0</w:t>
            </w:r>
          </w:p>
        </w:tc>
        <w:tc>
          <w:tcPr>
            <w:tcW w:w="1183" w:type="dxa"/>
            <w:vAlign w:val="center"/>
          </w:tcPr>
          <w:p>
            <w:pPr>
              <w:pStyle w:val="143"/>
              <w:spacing w:line="0" w:lineRule="atLeast"/>
              <w:ind w:firstLine="0" w:firstLineChars="0"/>
              <w:jc w:val="center"/>
              <w:rPr>
                <w:color w:val="auto"/>
                <w:sz w:val="21"/>
                <w:szCs w:val="21"/>
              </w:rPr>
            </w:pPr>
            <w:r>
              <w:rPr>
                <w:rFonts w:hint="eastAsia"/>
                <w:color w:val="auto"/>
                <w:sz w:val="21"/>
                <w:szCs w:val="21"/>
              </w:rPr>
              <w:t>1m</w:t>
            </w:r>
          </w:p>
        </w:tc>
        <w:tc>
          <w:tcPr>
            <w:tcW w:w="682" w:type="dxa"/>
            <w:vMerge w:val="restart"/>
            <w:vAlign w:val="center"/>
          </w:tcPr>
          <w:p>
            <w:pPr>
              <w:pStyle w:val="143"/>
              <w:spacing w:line="0" w:lineRule="atLeast"/>
              <w:ind w:firstLine="0" w:firstLineChars="0"/>
              <w:jc w:val="center"/>
              <w:rPr>
                <w:color w:val="FF0000"/>
                <w:sz w:val="21"/>
                <w:szCs w:val="21"/>
              </w:rPr>
            </w:pPr>
            <w:r>
              <w:rPr>
                <w:rFonts w:hint="eastAsia"/>
                <w:color w:val="auto"/>
                <w:sz w:val="21"/>
                <w:szCs w:val="21"/>
              </w:rPr>
              <w:t>2400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712" w:type="dxa"/>
            <w:vAlign w:val="center"/>
          </w:tcPr>
          <w:p>
            <w:pPr>
              <w:pStyle w:val="143"/>
              <w:spacing w:line="0" w:lineRule="atLeast"/>
              <w:ind w:firstLine="0" w:firstLineChars="0"/>
              <w:jc w:val="center"/>
              <w:rPr>
                <w:rFonts w:hint="eastAsia" w:ascii="Times New Roman" w:hAnsi="Times New Roman" w:eastAsia="宋体" w:cs="Times New Roman"/>
                <w:b w:val="0"/>
                <w:bCs w:val="0"/>
                <w:color w:val="auto"/>
                <w:kern w:val="2"/>
                <w:sz w:val="21"/>
                <w:szCs w:val="21"/>
                <w:lang w:val="en-US" w:eastAsia="zh-CN" w:bidi="ar-SA"/>
              </w:rPr>
            </w:pPr>
            <w:r>
              <w:rPr>
                <w:rFonts w:hint="eastAsia"/>
                <w:color w:val="auto"/>
                <w:sz w:val="21"/>
                <w:szCs w:val="21"/>
              </w:rPr>
              <w:t>2</w:t>
            </w:r>
          </w:p>
        </w:tc>
        <w:tc>
          <w:tcPr>
            <w:tcW w:w="712" w:type="dxa"/>
            <w:vMerge w:val="continue"/>
            <w:vAlign w:val="center"/>
          </w:tcPr>
          <w:p>
            <w:pPr>
              <w:pStyle w:val="727"/>
              <w:spacing w:after="0" w:line="0" w:lineRule="atLeast"/>
              <w:textAlignment w:val="center"/>
              <w:rPr>
                <w:rFonts w:hAnsi="宋体"/>
                <w:color w:val="auto"/>
                <w:kern w:val="2"/>
                <w:sz w:val="21"/>
                <w:szCs w:val="21"/>
              </w:rPr>
            </w:pPr>
          </w:p>
        </w:tc>
        <w:tc>
          <w:tcPr>
            <w:tcW w:w="1415" w:type="dxa"/>
            <w:vAlign w:val="center"/>
          </w:tcPr>
          <w:p>
            <w:pPr>
              <w:spacing w:line="0" w:lineRule="atLeast"/>
              <w:contextualSpacing/>
              <w:jc w:val="center"/>
              <w:rPr>
                <w:color w:val="auto"/>
                <w:szCs w:val="21"/>
              </w:rPr>
            </w:pPr>
            <w:r>
              <w:rPr>
                <w:rFonts w:hint="eastAsia"/>
                <w:color w:val="auto"/>
                <w:szCs w:val="21"/>
              </w:rPr>
              <w:t>提升机</w:t>
            </w:r>
          </w:p>
        </w:tc>
        <w:tc>
          <w:tcPr>
            <w:tcW w:w="1181" w:type="dxa"/>
            <w:vAlign w:val="center"/>
          </w:tcPr>
          <w:p>
            <w:pPr>
              <w:spacing w:line="0" w:lineRule="atLeast"/>
              <w:jc w:val="center"/>
              <w:rPr>
                <w:snapToGrid w:val="0"/>
                <w:color w:val="auto"/>
                <w:szCs w:val="21"/>
              </w:rPr>
            </w:pPr>
            <w:r>
              <w:rPr>
                <w:snapToGrid w:val="0"/>
                <w:color w:val="auto"/>
                <w:szCs w:val="21"/>
              </w:rPr>
              <w:t>75</w:t>
            </w:r>
          </w:p>
        </w:tc>
        <w:tc>
          <w:tcPr>
            <w:tcW w:w="1181" w:type="dxa"/>
            <w:vMerge w:val="continue"/>
            <w:vAlign w:val="center"/>
          </w:tcPr>
          <w:p>
            <w:pPr>
              <w:pStyle w:val="143"/>
              <w:spacing w:line="0" w:lineRule="atLeast"/>
              <w:ind w:firstLine="0" w:firstLineChars="0"/>
              <w:jc w:val="center"/>
              <w:rPr>
                <w:snapToGrid w:val="0"/>
                <w:color w:val="FF0000"/>
                <w:sz w:val="21"/>
                <w:szCs w:val="21"/>
              </w:rPr>
            </w:pP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lang w:val="en-US" w:eastAsia="zh-CN"/>
              </w:rPr>
              <w:t>-</w:t>
            </w:r>
            <w:r>
              <w:rPr>
                <w:rFonts w:hint="eastAsia"/>
                <w:color w:val="auto"/>
                <w:sz w:val="21"/>
                <w:szCs w:val="21"/>
              </w:rPr>
              <w:t>63</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51</w:t>
            </w:r>
          </w:p>
        </w:tc>
        <w:tc>
          <w:tcPr>
            <w:tcW w:w="713" w:type="dxa"/>
            <w:vAlign w:val="center"/>
          </w:tcPr>
          <w:p>
            <w:pPr>
              <w:pStyle w:val="143"/>
              <w:spacing w:line="0" w:lineRule="atLeast"/>
              <w:ind w:firstLine="0" w:firstLineChars="0"/>
              <w:jc w:val="center"/>
              <w:rPr>
                <w:color w:val="auto"/>
                <w:sz w:val="21"/>
                <w:szCs w:val="21"/>
              </w:rPr>
            </w:pPr>
            <w:r>
              <w:rPr>
                <w:rFonts w:hint="eastAsia"/>
                <w:color w:val="auto"/>
                <w:sz w:val="21"/>
                <w:szCs w:val="21"/>
              </w:rPr>
              <w:t>3</w:t>
            </w:r>
          </w:p>
        </w:tc>
        <w:tc>
          <w:tcPr>
            <w:tcW w:w="944" w:type="dxa"/>
            <w:vAlign w:val="center"/>
          </w:tcPr>
          <w:p>
            <w:pPr>
              <w:pStyle w:val="143"/>
              <w:spacing w:line="0" w:lineRule="atLeast"/>
              <w:ind w:firstLine="0" w:firstLineChars="0"/>
              <w:jc w:val="center"/>
              <w:rPr>
                <w:color w:val="auto"/>
                <w:sz w:val="21"/>
                <w:szCs w:val="21"/>
              </w:rPr>
            </w:pPr>
            <w:r>
              <w:rPr>
                <w:rFonts w:hint="eastAsia"/>
                <w:color w:val="auto"/>
                <w:sz w:val="21"/>
                <w:szCs w:val="21"/>
              </w:rPr>
              <w:t>9</w:t>
            </w:r>
          </w:p>
        </w:tc>
        <w:tc>
          <w:tcPr>
            <w:tcW w:w="1180" w:type="dxa"/>
            <w:vAlign w:val="center"/>
          </w:tcPr>
          <w:p>
            <w:pPr>
              <w:pStyle w:val="143"/>
              <w:spacing w:line="0" w:lineRule="atLeast"/>
              <w:ind w:firstLine="0" w:firstLineChars="0"/>
              <w:jc w:val="center"/>
              <w:rPr>
                <w:color w:val="auto"/>
                <w:sz w:val="21"/>
                <w:szCs w:val="21"/>
              </w:rPr>
            </w:pPr>
            <w:r>
              <w:rPr>
                <w:rFonts w:hint="eastAsia"/>
                <w:color w:val="auto"/>
                <w:sz w:val="21"/>
                <w:szCs w:val="21"/>
              </w:rPr>
              <w:t>55.9</w:t>
            </w:r>
          </w:p>
        </w:tc>
        <w:tc>
          <w:tcPr>
            <w:tcW w:w="712" w:type="dxa"/>
            <w:vAlign w:val="center"/>
          </w:tcPr>
          <w:p>
            <w:pPr>
              <w:pStyle w:val="143"/>
              <w:spacing w:line="0" w:lineRule="atLeast"/>
              <w:ind w:firstLine="0" w:firstLineChars="0"/>
              <w:jc w:val="center"/>
              <w:rPr>
                <w:color w:val="auto"/>
                <w:sz w:val="21"/>
                <w:szCs w:val="21"/>
              </w:rPr>
            </w:pPr>
            <w:r>
              <w:rPr>
                <w:rFonts w:hint="eastAsia"/>
                <w:color w:val="auto"/>
                <w:sz w:val="21"/>
                <w:szCs w:val="21"/>
              </w:rPr>
              <w:t>连续</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20</w:t>
            </w:r>
          </w:p>
        </w:tc>
        <w:tc>
          <w:tcPr>
            <w:tcW w:w="1181" w:type="dxa"/>
            <w:vAlign w:val="center"/>
          </w:tcPr>
          <w:p>
            <w:pPr>
              <w:pStyle w:val="143"/>
              <w:spacing w:line="0" w:lineRule="atLeast"/>
              <w:ind w:firstLine="0" w:firstLineChars="0"/>
              <w:jc w:val="center"/>
              <w:rPr>
                <w:color w:val="auto"/>
                <w:sz w:val="21"/>
                <w:szCs w:val="21"/>
              </w:rPr>
            </w:pPr>
            <w:r>
              <w:rPr>
                <w:rFonts w:hint="eastAsia"/>
                <w:color w:val="auto"/>
                <w:sz w:val="21"/>
                <w:szCs w:val="21"/>
              </w:rPr>
              <w:t>35.9</w:t>
            </w:r>
          </w:p>
        </w:tc>
        <w:tc>
          <w:tcPr>
            <w:tcW w:w="1183" w:type="dxa"/>
            <w:vAlign w:val="center"/>
          </w:tcPr>
          <w:p>
            <w:pPr>
              <w:pStyle w:val="143"/>
              <w:spacing w:line="0" w:lineRule="atLeast"/>
              <w:ind w:firstLine="0" w:firstLineChars="0"/>
              <w:jc w:val="center"/>
              <w:rPr>
                <w:color w:val="auto"/>
                <w:sz w:val="21"/>
                <w:szCs w:val="21"/>
              </w:rPr>
            </w:pPr>
            <w:r>
              <w:rPr>
                <w:rFonts w:hint="eastAsia"/>
                <w:color w:val="auto"/>
                <w:sz w:val="21"/>
                <w:szCs w:val="21"/>
              </w:rPr>
              <w:t>1m</w:t>
            </w:r>
          </w:p>
        </w:tc>
        <w:tc>
          <w:tcPr>
            <w:tcW w:w="682" w:type="dxa"/>
            <w:vMerge w:val="continue"/>
            <w:vAlign w:val="center"/>
          </w:tcPr>
          <w:p>
            <w:pPr>
              <w:pStyle w:val="143"/>
              <w:spacing w:line="0" w:lineRule="atLeast"/>
              <w:ind w:firstLine="0" w:firstLineChars="0"/>
              <w:jc w:val="center"/>
              <w:rPr>
                <w:color w:val="FF000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712" w:type="dxa"/>
            <w:vAlign w:val="center"/>
          </w:tcPr>
          <w:p>
            <w:pPr>
              <w:pStyle w:val="143"/>
              <w:spacing w:line="0" w:lineRule="atLeast"/>
              <w:ind w:firstLine="0" w:firstLineChars="0"/>
              <w:jc w:val="center"/>
              <w:rPr>
                <w:rFonts w:hint="eastAsia" w:ascii="Times New Roman" w:hAnsi="Times New Roman" w:eastAsia="宋体" w:cs="Times New Roman"/>
                <w:b w:val="0"/>
                <w:bCs w:val="0"/>
                <w:color w:val="auto"/>
                <w:kern w:val="2"/>
                <w:sz w:val="21"/>
                <w:szCs w:val="21"/>
                <w:lang w:val="en-US" w:eastAsia="zh-CN" w:bidi="ar-SA"/>
              </w:rPr>
            </w:pPr>
            <w:r>
              <w:rPr>
                <w:rFonts w:hint="eastAsia"/>
                <w:color w:val="auto"/>
                <w:sz w:val="21"/>
                <w:szCs w:val="21"/>
              </w:rPr>
              <w:t>3</w:t>
            </w:r>
          </w:p>
        </w:tc>
        <w:tc>
          <w:tcPr>
            <w:tcW w:w="712" w:type="dxa"/>
            <w:vMerge w:val="continue"/>
            <w:vAlign w:val="center"/>
          </w:tcPr>
          <w:p>
            <w:pPr>
              <w:pStyle w:val="727"/>
              <w:spacing w:after="0" w:line="0" w:lineRule="atLeast"/>
              <w:textAlignment w:val="center"/>
              <w:rPr>
                <w:rFonts w:hAnsi="宋体"/>
                <w:color w:val="auto"/>
                <w:kern w:val="2"/>
                <w:sz w:val="21"/>
                <w:szCs w:val="21"/>
              </w:rPr>
            </w:pPr>
          </w:p>
        </w:tc>
        <w:tc>
          <w:tcPr>
            <w:tcW w:w="1415" w:type="dxa"/>
            <w:vAlign w:val="center"/>
          </w:tcPr>
          <w:p>
            <w:pPr>
              <w:spacing w:line="0" w:lineRule="atLeast"/>
              <w:contextualSpacing/>
              <w:jc w:val="center"/>
              <w:rPr>
                <w:rFonts w:hint="eastAsia" w:eastAsia="宋体"/>
                <w:color w:val="auto"/>
                <w:szCs w:val="21"/>
                <w:lang w:val="en-US" w:eastAsia="zh-CN"/>
              </w:rPr>
            </w:pPr>
            <w:r>
              <w:rPr>
                <w:rFonts w:hint="eastAsia"/>
                <w:color w:val="auto"/>
                <w:szCs w:val="21"/>
                <w:lang w:val="en-US" w:eastAsia="zh-CN"/>
              </w:rPr>
              <w:t>电锯</w:t>
            </w:r>
          </w:p>
        </w:tc>
        <w:tc>
          <w:tcPr>
            <w:tcW w:w="1181" w:type="dxa"/>
            <w:vAlign w:val="center"/>
          </w:tcPr>
          <w:p>
            <w:pPr>
              <w:spacing w:line="0" w:lineRule="atLeast"/>
              <w:jc w:val="center"/>
              <w:rPr>
                <w:snapToGrid w:val="0"/>
                <w:color w:val="auto"/>
                <w:szCs w:val="21"/>
              </w:rPr>
            </w:pPr>
            <w:r>
              <w:rPr>
                <w:rFonts w:hint="eastAsia"/>
                <w:snapToGrid w:val="0"/>
                <w:color w:val="000000" w:themeColor="text1"/>
                <w:szCs w:val="21"/>
              </w:rPr>
              <w:t>70</w:t>
            </w:r>
          </w:p>
        </w:tc>
        <w:tc>
          <w:tcPr>
            <w:tcW w:w="1181" w:type="dxa"/>
            <w:vMerge w:val="continue"/>
            <w:vAlign w:val="center"/>
          </w:tcPr>
          <w:p>
            <w:pPr>
              <w:pStyle w:val="143"/>
              <w:spacing w:line="0" w:lineRule="atLeast"/>
              <w:ind w:firstLine="0" w:firstLineChars="0"/>
              <w:jc w:val="center"/>
              <w:rPr>
                <w:snapToGrid w:val="0"/>
                <w:color w:val="FF0000"/>
                <w:sz w:val="21"/>
                <w:szCs w:val="21"/>
              </w:rPr>
            </w:pPr>
          </w:p>
        </w:tc>
        <w:tc>
          <w:tcPr>
            <w:tcW w:w="710" w:type="dxa"/>
            <w:vAlign w:val="center"/>
          </w:tcPr>
          <w:p>
            <w:pPr>
              <w:pStyle w:val="19"/>
              <w:keepNext w:val="0"/>
              <w:keepLines w:val="0"/>
              <w:pageBreakBefore w:val="0"/>
              <w:widowControl w:val="0"/>
              <w:kinsoku/>
              <w:wordWrap/>
              <w:overflowPunct/>
              <w:topLinePunct w:val="0"/>
              <w:autoSpaceDE/>
              <w:autoSpaceDN/>
              <w:bidi w:val="0"/>
              <w:adjustRightInd w:val="0"/>
              <w:snapToGrid w:val="0"/>
              <w:spacing w:after="0" w:line="300" w:lineRule="exact"/>
              <w:jc w:val="center"/>
              <w:textAlignment w:val="auto"/>
              <w:rPr>
                <w:rFonts w:hint="default"/>
                <w:color w:val="auto"/>
                <w:sz w:val="21"/>
                <w:szCs w:val="21"/>
                <w:lang w:val="en-US"/>
              </w:rPr>
            </w:pPr>
            <w:r>
              <w:rPr>
                <w:rFonts w:hint="eastAsia" w:cs="Times New Roman"/>
                <w:color w:val="auto"/>
                <w:sz w:val="21"/>
                <w:szCs w:val="21"/>
                <w:highlight w:val="none"/>
                <w:u w:val="none"/>
                <w:lang w:val="en-US" w:eastAsia="zh-CN"/>
              </w:rPr>
              <w:t>-</w:t>
            </w:r>
            <w:r>
              <w:rPr>
                <w:rFonts w:hint="eastAsia" w:ascii="Times New Roman" w:hAnsi="Times New Roman" w:cs="Times New Roman"/>
                <w:color w:val="auto"/>
                <w:sz w:val="21"/>
                <w:szCs w:val="21"/>
                <w:highlight w:val="none"/>
                <w:u w:val="none"/>
                <w:lang w:val="en-US" w:eastAsia="zh-CN"/>
              </w:rPr>
              <w:t>15</w:t>
            </w:r>
          </w:p>
        </w:tc>
        <w:tc>
          <w:tcPr>
            <w:tcW w:w="710" w:type="dxa"/>
            <w:vAlign w:val="center"/>
          </w:tcPr>
          <w:p>
            <w:pPr>
              <w:pStyle w:val="19"/>
              <w:keepNext w:val="0"/>
              <w:keepLines w:val="0"/>
              <w:pageBreakBefore w:val="0"/>
              <w:widowControl w:val="0"/>
              <w:kinsoku/>
              <w:wordWrap/>
              <w:overflowPunct/>
              <w:topLinePunct w:val="0"/>
              <w:autoSpaceDE/>
              <w:autoSpaceDN/>
              <w:bidi w:val="0"/>
              <w:adjustRightInd w:val="0"/>
              <w:snapToGrid w:val="0"/>
              <w:spacing w:after="0" w:line="300" w:lineRule="exact"/>
              <w:jc w:val="center"/>
              <w:textAlignment w:val="auto"/>
              <w:rPr>
                <w:rFonts w:hint="eastAsia"/>
                <w:color w:val="auto"/>
                <w:sz w:val="21"/>
                <w:szCs w:val="21"/>
              </w:rPr>
            </w:pPr>
            <w:r>
              <w:rPr>
                <w:rFonts w:hint="default" w:ascii="Times New Roman" w:hAnsi="Times New Roman" w:cs="Times New Roman"/>
                <w:color w:val="auto"/>
                <w:sz w:val="21"/>
                <w:szCs w:val="21"/>
                <w:highlight w:val="none"/>
                <w:u w:val="none"/>
                <w:lang w:val="en-US" w:eastAsia="zh-CN"/>
              </w:rPr>
              <w:t>20</w:t>
            </w:r>
          </w:p>
        </w:tc>
        <w:tc>
          <w:tcPr>
            <w:tcW w:w="713" w:type="dxa"/>
            <w:vAlign w:val="center"/>
          </w:tcPr>
          <w:p>
            <w:pPr>
              <w:pStyle w:val="143"/>
              <w:spacing w:line="0" w:lineRule="atLeast"/>
              <w:ind w:firstLine="0" w:firstLineChars="0"/>
              <w:jc w:val="center"/>
              <w:rPr>
                <w:rFonts w:hint="eastAsia" w:eastAsia="宋体"/>
                <w:color w:val="auto"/>
                <w:sz w:val="21"/>
                <w:szCs w:val="21"/>
                <w:lang w:val="en-US" w:eastAsia="zh-CN"/>
              </w:rPr>
            </w:pPr>
            <w:r>
              <w:rPr>
                <w:rFonts w:hint="eastAsia"/>
                <w:color w:val="auto"/>
                <w:sz w:val="21"/>
                <w:szCs w:val="21"/>
                <w:lang w:val="en-US" w:eastAsia="zh-CN"/>
              </w:rPr>
              <w:t>4</w:t>
            </w:r>
          </w:p>
        </w:tc>
        <w:tc>
          <w:tcPr>
            <w:tcW w:w="944"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10</w:t>
            </w:r>
          </w:p>
        </w:tc>
        <w:tc>
          <w:tcPr>
            <w:tcW w:w="1180"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50</w:t>
            </w:r>
          </w:p>
        </w:tc>
        <w:tc>
          <w:tcPr>
            <w:tcW w:w="712" w:type="dxa"/>
            <w:vAlign w:val="center"/>
          </w:tcPr>
          <w:p>
            <w:pPr>
              <w:pStyle w:val="143"/>
              <w:spacing w:line="0" w:lineRule="atLeast"/>
              <w:ind w:firstLine="0" w:firstLineChars="0"/>
              <w:jc w:val="center"/>
              <w:rPr>
                <w:rFonts w:hint="eastAsia"/>
                <w:color w:val="auto"/>
                <w:sz w:val="21"/>
                <w:szCs w:val="21"/>
              </w:rPr>
            </w:pPr>
            <w:r>
              <w:rPr>
                <w:rFonts w:hint="eastAsia"/>
                <w:color w:val="auto"/>
                <w:sz w:val="21"/>
                <w:szCs w:val="21"/>
              </w:rPr>
              <w:t>连续</w:t>
            </w:r>
          </w:p>
        </w:tc>
        <w:tc>
          <w:tcPr>
            <w:tcW w:w="710" w:type="dxa"/>
            <w:vAlign w:val="center"/>
          </w:tcPr>
          <w:p>
            <w:pPr>
              <w:pStyle w:val="143"/>
              <w:spacing w:line="0" w:lineRule="atLeast"/>
              <w:ind w:firstLine="0" w:firstLineChars="0"/>
              <w:jc w:val="center"/>
              <w:rPr>
                <w:rFonts w:hint="eastAsia"/>
                <w:color w:val="auto"/>
                <w:sz w:val="21"/>
                <w:szCs w:val="21"/>
              </w:rPr>
            </w:pPr>
            <w:r>
              <w:rPr>
                <w:rFonts w:hint="eastAsia"/>
                <w:color w:val="auto"/>
                <w:sz w:val="21"/>
                <w:szCs w:val="21"/>
              </w:rPr>
              <w:t>20</w:t>
            </w:r>
          </w:p>
        </w:tc>
        <w:tc>
          <w:tcPr>
            <w:tcW w:w="1181"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30.0</w:t>
            </w:r>
          </w:p>
        </w:tc>
        <w:tc>
          <w:tcPr>
            <w:tcW w:w="1183" w:type="dxa"/>
            <w:vAlign w:val="center"/>
          </w:tcPr>
          <w:p>
            <w:pPr>
              <w:spacing w:line="0" w:lineRule="atLeast"/>
              <w:ind w:firstLine="0" w:firstLineChars="0"/>
              <w:jc w:val="center"/>
              <w:rPr>
                <w:rFonts w:hint="eastAsia"/>
                <w:color w:val="FF0000"/>
                <w:sz w:val="21"/>
                <w:szCs w:val="21"/>
              </w:rPr>
            </w:pPr>
            <w:r>
              <w:rPr>
                <w:rFonts w:hint="eastAsia"/>
                <w:color w:val="auto"/>
                <w:sz w:val="21"/>
                <w:szCs w:val="21"/>
              </w:rPr>
              <w:t>1m</w:t>
            </w:r>
          </w:p>
        </w:tc>
        <w:tc>
          <w:tcPr>
            <w:tcW w:w="682" w:type="dxa"/>
            <w:vMerge w:val="continue"/>
            <w:vAlign w:val="center"/>
          </w:tcPr>
          <w:p>
            <w:pPr>
              <w:pStyle w:val="143"/>
              <w:spacing w:line="0" w:lineRule="atLeast"/>
              <w:ind w:firstLine="0" w:firstLineChars="0"/>
              <w:jc w:val="center"/>
              <w:rPr>
                <w:color w:val="FF000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712" w:type="dxa"/>
            <w:vAlign w:val="center"/>
          </w:tcPr>
          <w:p>
            <w:pPr>
              <w:pStyle w:val="143"/>
              <w:spacing w:line="0" w:lineRule="atLeast"/>
              <w:ind w:firstLine="0" w:firstLineChars="0"/>
              <w:jc w:val="center"/>
              <w:rPr>
                <w:rFonts w:hint="eastAsia" w:ascii="Times New Roman" w:hAnsi="Times New Roman" w:eastAsia="宋体" w:cs="Times New Roman"/>
                <w:b w:val="0"/>
                <w:bCs w:val="0"/>
                <w:color w:val="auto"/>
                <w:kern w:val="2"/>
                <w:sz w:val="21"/>
                <w:szCs w:val="21"/>
                <w:lang w:val="en-US" w:eastAsia="zh-CN" w:bidi="ar-SA"/>
              </w:rPr>
            </w:pPr>
            <w:r>
              <w:rPr>
                <w:rFonts w:hint="eastAsia"/>
                <w:color w:val="auto"/>
                <w:sz w:val="21"/>
                <w:szCs w:val="21"/>
              </w:rPr>
              <w:t>4</w:t>
            </w:r>
          </w:p>
        </w:tc>
        <w:tc>
          <w:tcPr>
            <w:tcW w:w="712" w:type="dxa"/>
            <w:vMerge w:val="continue"/>
            <w:vAlign w:val="center"/>
          </w:tcPr>
          <w:p>
            <w:pPr>
              <w:pStyle w:val="727"/>
              <w:spacing w:after="0" w:line="0" w:lineRule="atLeast"/>
              <w:textAlignment w:val="center"/>
              <w:rPr>
                <w:rFonts w:hAnsi="宋体"/>
                <w:color w:val="auto"/>
                <w:kern w:val="2"/>
                <w:sz w:val="21"/>
                <w:szCs w:val="21"/>
              </w:rPr>
            </w:pPr>
          </w:p>
        </w:tc>
        <w:tc>
          <w:tcPr>
            <w:tcW w:w="1415" w:type="dxa"/>
            <w:vAlign w:val="center"/>
          </w:tcPr>
          <w:p>
            <w:pPr>
              <w:spacing w:line="0" w:lineRule="atLeast"/>
              <w:contextualSpacing/>
              <w:jc w:val="center"/>
              <w:rPr>
                <w:rFonts w:hint="eastAsia" w:eastAsia="宋体"/>
                <w:color w:val="auto"/>
                <w:szCs w:val="21"/>
                <w:lang w:val="en-US" w:eastAsia="zh-CN"/>
              </w:rPr>
            </w:pPr>
            <w:r>
              <w:rPr>
                <w:rFonts w:hint="eastAsia"/>
                <w:color w:val="auto"/>
                <w:szCs w:val="21"/>
                <w:lang w:val="en-US" w:eastAsia="zh-CN"/>
              </w:rPr>
              <w:t>劈半机</w:t>
            </w:r>
          </w:p>
        </w:tc>
        <w:tc>
          <w:tcPr>
            <w:tcW w:w="1181" w:type="dxa"/>
            <w:vAlign w:val="center"/>
          </w:tcPr>
          <w:p>
            <w:pPr>
              <w:spacing w:line="0" w:lineRule="atLeast"/>
              <w:jc w:val="center"/>
              <w:rPr>
                <w:snapToGrid w:val="0"/>
                <w:color w:val="auto"/>
                <w:szCs w:val="21"/>
              </w:rPr>
            </w:pPr>
            <w:r>
              <w:rPr>
                <w:snapToGrid w:val="0"/>
                <w:color w:val="000000" w:themeColor="text1"/>
                <w:szCs w:val="21"/>
              </w:rPr>
              <w:t>80</w:t>
            </w:r>
          </w:p>
        </w:tc>
        <w:tc>
          <w:tcPr>
            <w:tcW w:w="1181" w:type="dxa"/>
            <w:vMerge w:val="continue"/>
            <w:vAlign w:val="center"/>
          </w:tcPr>
          <w:p>
            <w:pPr>
              <w:pStyle w:val="143"/>
              <w:spacing w:line="0" w:lineRule="atLeast"/>
              <w:ind w:firstLine="0" w:firstLineChars="0"/>
              <w:jc w:val="center"/>
              <w:rPr>
                <w:snapToGrid w:val="0"/>
                <w:color w:val="FF0000"/>
                <w:sz w:val="21"/>
                <w:szCs w:val="21"/>
              </w:rPr>
            </w:pPr>
          </w:p>
        </w:tc>
        <w:tc>
          <w:tcPr>
            <w:tcW w:w="710" w:type="dxa"/>
            <w:vAlign w:val="center"/>
          </w:tcPr>
          <w:p>
            <w:pPr>
              <w:pStyle w:val="143"/>
              <w:spacing w:line="0" w:lineRule="atLeast"/>
              <w:ind w:firstLine="0" w:firstLineChars="0"/>
              <w:jc w:val="center"/>
              <w:rPr>
                <w:rFonts w:hint="eastAsia"/>
                <w:color w:val="auto"/>
                <w:sz w:val="21"/>
                <w:szCs w:val="21"/>
              </w:rPr>
            </w:pPr>
            <w:r>
              <w:rPr>
                <w:rFonts w:hint="eastAsia"/>
                <w:color w:val="auto"/>
                <w:sz w:val="21"/>
                <w:szCs w:val="21"/>
                <w:lang w:val="en-US" w:eastAsia="zh-CN"/>
              </w:rPr>
              <w:t>-</w:t>
            </w:r>
            <w:r>
              <w:rPr>
                <w:rFonts w:hint="eastAsia"/>
                <w:color w:val="auto"/>
                <w:sz w:val="21"/>
                <w:szCs w:val="21"/>
              </w:rPr>
              <w:t>60</w:t>
            </w:r>
          </w:p>
        </w:tc>
        <w:tc>
          <w:tcPr>
            <w:tcW w:w="710" w:type="dxa"/>
            <w:vAlign w:val="center"/>
          </w:tcPr>
          <w:p>
            <w:pPr>
              <w:pStyle w:val="143"/>
              <w:spacing w:line="0" w:lineRule="atLeast"/>
              <w:ind w:firstLine="0" w:firstLineChars="0"/>
              <w:jc w:val="center"/>
              <w:rPr>
                <w:rFonts w:hint="eastAsia"/>
                <w:color w:val="auto"/>
                <w:sz w:val="21"/>
                <w:szCs w:val="21"/>
              </w:rPr>
            </w:pPr>
            <w:r>
              <w:rPr>
                <w:rFonts w:hint="eastAsia"/>
                <w:color w:val="auto"/>
                <w:sz w:val="21"/>
                <w:szCs w:val="21"/>
              </w:rPr>
              <w:t>54</w:t>
            </w:r>
          </w:p>
        </w:tc>
        <w:tc>
          <w:tcPr>
            <w:tcW w:w="713" w:type="dxa"/>
            <w:vAlign w:val="center"/>
          </w:tcPr>
          <w:p>
            <w:pPr>
              <w:pStyle w:val="143"/>
              <w:spacing w:line="0" w:lineRule="atLeast"/>
              <w:ind w:firstLine="0" w:firstLineChars="0"/>
              <w:jc w:val="center"/>
              <w:rPr>
                <w:rFonts w:hint="eastAsia"/>
                <w:color w:val="auto"/>
                <w:sz w:val="21"/>
                <w:szCs w:val="21"/>
              </w:rPr>
            </w:pPr>
            <w:r>
              <w:rPr>
                <w:rFonts w:hint="eastAsia"/>
                <w:color w:val="auto"/>
                <w:sz w:val="21"/>
                <w:szCs w:val="21"/>
              </w:rPr>
              <w:t>2</w:t>
            </w:r>
          </w:p>
        </w:tc>
        <w:tc>
          <w:tcPr>
            <w:tcW w:w="944" w:type="dxa"/>
            <w:vAlign w:val="center"/>
          </w:tcPr>
          <w:p>
            <w:pPr>
              <w:pStyle w:val="143"/>
              <w:spacing w:line="0" w:lineRule="atLeast"/>
              <w:ind w:firstLine="0" w:firstLineChars="0"/>
              <w:jc w:val="center"/>
              <w:rPr>
                <w:rFonts w:hint="eastAsia" w:eastAsia="宋体"/>
                <w:color w:val="auto"/>
                <w:sz w:val="21"/>
                <w:szCs w:val="21"/>
                <w:lang w:val="en-US" w:eastAsia="zh-CN"/>
              </w:rPr>
            </w:pPr>
            <w:r>
              <w:rPr>
                <w:rFonts w:hint="eastAsia"/>
                <w:color w:val="auto"/>
                <w:sz w:val="21"/>
                <w:szCs w:val="21"/>
                <w:lang w:val="en-US" w:eastAsia="zh-CN"/>
              </w:rPr>
              <w:t>7</w:t>
            </w:r>
          </w:p>
        </w:tc>
        <w:tc>
          <w:tcPr>
            <w:tcW w:w="1180"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63</w:t>
            </w:r>
          </w:p>
        </w:tc>
        <w:tc>
          <w:tcPr>
            <w:tcW w:w="712" w:type="dxa"/>
            <w:vAlign w:val="center"/>
          </w:tcPr>
          <w:p>
            <w:pPr>
              <w:pStyle w:val="143"/>
              <w:spacing w:line="0" w:lineRule="atLeast"/>
              <w:ind w:firstLine="0" w:firstLineChars="0"/>
              <w:jc w:val="center"/>
              <w:rPr>
                <w:rFonts w:hint="eastAsia"/>
                <w:color w:val="auto"/>
                <w:sz w:val="21"/>
                <w:szCs w:val="21"/>
              </w:rPr>
            </w:pPr>
            <w:r>
              <w:rPr>
                <w:rFonts w:hint="eastAsia"/>
                <w:color w:val="auto"/>
                <w:sz w:val="21"/>
                <w:szCs w:val="21"/>
              </w:rPr>
              <w:t>连续</w:t>
            </w:r>
          </w:p>
        </w:tc>
        <w:tc>
          <w:tcPr>
            <w:tcW w:w="710" w:type="dxa"/>
            <w:vAlign w:val="center"/>
          </w:tcPr>
          <w:p>
            <w:pPr>
              <w:pStyle w:val="143"/>
              <w:spacing w:line="0" w:lineRule="atLeast"/>
              <w:ind w:firstLine="0" w:firstLineChars="0"/>
              <w:jc w:val="center"/>
              <w:rPr>
                <w:rFonts w:hint="eastAsia"/>
                <w:color w:val="auto"/>
                <w:sz w:val="21"/>
                <w:szCs w:val="21"/>
              </w:rPr>
            </w:pPr>
            <w:r>
              <w:rPr>
                <w:rFonts w:hint="eastAsia"/>
                <w:color w:val="auto"/>
                <w:sz w:val="21"/>
                <w:szCs w:val="21"/>
              </w:rPr>
              <w:t>20</w:t>
            </w:r>
          </w:p>
        </w:tc>
        <w:tc>
          <w:tcPr>
            <w:tcW w:w="1181"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43.0</w:t>
            </w:r>
          </w:p>
        </w:tc>
        <w:tc>
          <w:tcPr>
            <w:tcW w:w="1183" w:type="dxa"/>
            <w:vAlign w:val="center"/>
          </w:tcPr>
          <w:p>
            <w:pPr>
              <w:spacing w:line="0" w:lineRule="atLeast"/>
              <w:ind w:firstLine="0" w:firstLineChars="0"/>
              <w:jc w:val="center"/>
              <w:rPr>
                <w:rFonts w:hint="eastAsia"/>
                <w:color w:val="FF0000"/>
                <w:sz w:val="21"/>
                <w:szCs w:val="21"/>
              </w:rPr>
            </w:pPr>
            <w:r>
              <w:rPr>
                <w:rFonts w:hint="eastAsia"/>
                <w:color w:val="auto"/>
                <w:sz w:val="21"/>
                <w:szCs w:val="21"/>
              </w:rPr>
              <w:t>1m</w:t>
            </w:r>
          </w:p>
        </w:tc>
        <w:tc>
          <w:tcPr>
            <w:tcW w:w="682" w:type="dxa"/>
            <w:vMerge w:val="continue"/>
            <w:vAlign w:val="center"/>
          </w:tcPr>
          <w:p>
            <w:pPr>
              <w:pStyle w:val="143"/>
              <w:spacing w:line="0" w:lineRule="atLeast"/>
              <w:ind w:firstLine="0" w:firstLineChars="0"/>
              <w:jc w:val="center"/>
              <w:rPr>
                <w:color w:val="FF000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712" w:type="dxa"/>
            <w:vAlign w:val="center"/>
          </w:tcPr>
          <w:p>
            <w:pPr>
              <w:pStyle w:val="143"/>
              <w:spacing w:line="0" w:lineRule="atLeast"/>
              <w:ind w:firstLine="0" w:firstLineChars="0"/>
              <w:jc w:val="center"/>
              <w:rPr>
                <w:rFonts w:hint="eastAsia" w:ascii="Times New Roman" w:hAnsi="Times New Roman" w:eastAsia="宋体" w:cs="Times New Roman"/>
                <w:b w:val="0"/>
                <w:bCs w:val="0"/>
                <w:color w:val="auto"/>
                <w:kern w:val="2"/>
                <w:sz w:val="21"/>
                <w:szCs w:val="21"/>
                <w:lang w:val="en-US" w:eastAsia="zh-CN" w:bidi="ar-SA"/>
              </w:rPr>
            </w:pPr>
            <w:r>
              <w:rPr>
                <w:rFonts w:hint="eastAsia"/>
                <w:color w:val="auto"/>
                <w:sz w:val="21"/>
                <w:szCs w:val="21"/>
              </w:rPr>
              <w:t>5</w:t>
            </w:r>
          </w:p>
        </w:tc>
        <w:tc>
          <w:tcPr>
            <w:tcW w:w="712" w:type="dxa"/>
            <w:vMerge w:val="continue"/>
            <w:vAlign w:val="center"/>
          </w:tcPr>
          <w:p>
            <w:pPr>
              <w:pStyle w:val="727"/>
              <w:spacing w:after="0" w:line="0" w:lineRule="atLeast"/>
              <w:textAlignment w:val="center"/>
              <w:rPr>
                <w:rFonts w:hAnsi="宋体"/>
                <w:color w:val="auto"/>
                <w:kern w:val="2"/>
                <w:sz w:val="21"/>
                <w:szCs w:val="21"/>
              </w:rPr>
            </w:pPr>
          </w:p>
        </w:tc>
        <w:tc>
          <w:tcPr>
            <w:tcW w:w="1415" w:type="dxa"/>
            <w:vAlign w:val="center"/>
          </w:tcPr>
          <w:p>
            <w:pPr>
              <w:spacing w:line="0" w:lineRule="atLeast"/>
              <w:contextualSpacing/>
              <w:jc w:val="center"/>
              <w:rPr>
                <w:rFonts w:hint="eastAsia" w:eastAsia="宋体"/>
                <w:color w:val="auto"/>
                <w:szCs w:val="21"/>
                <w:lang w:val="en-US" w:eastAsia="zh-CN"/>
              </w:rPr>
            </w:pPr>
            <w:r>
              <w:rPr>
                <w:rFonts w:hint="eastAsia"/>
                <w:color w:val="auto"/>
                <w:szCs w:val="21"/>
                <w:lang w:val="en-US" w:eastAsia="zh-CN"/>
              </w:rPr>
              <w:t>劈头机</w:t>
            </w:r>
          </w:p>
        </w:tc>
        <w:tc>
          <w:tcPr>
            <w:tcW w:w="1181" w:type="dxa"/>
            <w:vAlign w:val="center"/>
          </w:tcPr>
          <w:p>
            <w:pPr>
              <w:spacing w:line="0" w:lineRule="atLeast"/>
              <w:jc w:val="center"/>
              <w:rPr>
                <w:snapToGrid w:val="0"/>
                <w:color w:val="auto"/>
                <w:szCs w:val="21"/>
              </w:rPr>
            </w:pPr>
            <w:r>
              <w:rPr>
                <w:rFonts w:hint="eastAsia"/>
                <w:snapToGrid w:val="0"/>
                <w:color w:val="000000" w:themeColor="text1"/>
                <w:szCs w:val="21"/>
              </w:rPr>
              <w:t>70</w:t>
            </w:r>
          </w:p>
        </w:tc>
        <w:tc>
          <w:tcPr>
            <w:tcW w:w="1181" w:type="dxa"/>
            <w:vMerge w:val="continue"/>
            <w:vAlign w:val="center"/>
          </w:tcPr>
          <w:p>
            <w:pPr>
              <w:pStyle w:val="143"/>
              <w:spacing w:line="0" w:lineRule="atLeast"/>
              <w:ind w:firstLine="0" w:firstLineChars="0"/>
              <w:jc w:val="center"/>
              <w:rPr>
                <w:snapToGrid w:val="0"/>
                <w:color w:val="FF0000"/>
                <w:sz w:val="21"/>
                <w:szCs w:val="21"/>
              </w:rPr>
            </w:pPr>
          </w:p>
        </w:tc>
        <w:tc>
          <w:tcPr>
            <w:tcW w:w="710" w:type="dxa"/>
            <w:vAlign w:val="center"/>
          </w:tcPr>
          <w:p>
            <w:pPr>
              <w:pStyle w:val="143"/>
              <w:spacing w:line="0" w:lineRule="atLeast"/>
              <w:ind w:firstLine="0" w:firstLineChars="0"/>
              <w:jc w:val="center"/>
              <w:rPr>
                <w:rFonts w:hint="eastAsia"/>
                <w:color w:val="auto"/>
                <w:sz w:val="21"/>
                <w:szCs w:val="21"/>
              </w:rPr>
            </w:pPr>
            <w:r>
              <w:rPr>
                <w:rFonts w:hint="eastAsia"/>
                <w:sz w:val="21"/>
                <w:szCs w:val="21"/>
                <w:lang w:val="en-US" w:eastAsia="zh-CN"/>
              </w:rPr>
              <w:t>-</w:t>
            </w:r>
            <w:r>
              <w:rPr>
                <w:rFonts w:hint="eastAsia"/>
                <w:sz w:val="21"/>
                <w:szCs w:val="21"/>
              </w:rPr>
              <w:t>58</w:t>
            </w:r>
          </w:p>
        </w:tc>
        <w:tc>
          <w:tcPr>
            <w:tcW w:w="710" w:type="dxa"/>
            <w:vAlign w:val="center"/>
          </w:tcPr>
          <w:p>
            <w:pPr>
              <w:pStyle w:val="143"/>
              <w:spacing w:line="0" w:lineRule="atLeast"/>
              <w:ind w:firstLine="0" w:firstLineChars="0"/>
              <w:jc w:val="center"/>
              <w:rPr>
                <w:rFonts w:hint="eastAsia"/>
                <w:color w:val="auto"/>
                <w:sz w:val="21"/>
                <w:szCs w:val="21"/>
              </w:rPr>
            </w:pPr>
            <w:r>
              <w:rPr>
                <w:rFonts w:hint="eastAsia"/>
                <w:sz w:val="21"/>
                <w:szCs w:val="21"/>
              </w:rPr>
              <w:t>55</w:t>
            </w:r>
          </w:p>
        </w:tc>
        <w:tc>
          <w:tcPr>
            <w:tcW w:w="713" w:type="dxa"/>
            <w:vAlign w:val="center"/>
          </w:tcPr>
          <w:p>
            <w:pPr>
              <w:pStyle w:val="143"/>
              <w:spacing w:line="0" w:lineRule="atLeast"/>
              <w:ind w:firstLine="0" w:firstLineChars="0"/>
              <w:jc w:val="center"/>
              <w:rPr>
                <w:rFonts w:hint="eastAsia"/>
                <w:color w:val="auto"/>
                <w:sz w:val="21"/>
                <w:szCs w:val="21"/>
              </w:rPr>
            </w:pPr>
            <w:r>
              <w:rPr>
                <w:rFonts w:hint="eastAsia"/>
                <w:sz w:val="21"/>
                <w:szCs w:val="21"/>
              </w:rPr>
              <w:t>3</w:t>
            </w:r>
          </w:p>
        </w:tc>
        <w:tc>
          <w:tcPr>
            <w:tcW w:w="944" w:type="dxa"/>
            <w:vAlign w:val="center"/>
          </w:tcPr>
          <w:p>
            <w:pPr>
              <w:pStyle w:val="143"/>
              <w:spacing w:line="0" w:lineRule="atLeast"/>
              <w:ind w:firstLine="0" w:firstLineChars="0"/>
              <w:jc w:val="center"/>
              <w:rPr>
                <w:rFonts w:hint="eastAsia" w:eastAsia="宋体"/>
                <w:color w:val="auto"/>
                <w:sz w:val="21"/>
                <w:szCs w:val="21"/>
                <w:lang w:val="en-US" w:eastAsia="zh-CN"/>
              </w:rPr>
            </w:pPr>
            <w:r>
              <w:rPr>
                <w:rFonts w:hint="eastAsia"/>
                <w:color w:val="auto"/>
                <w:sz w:val="21"/>
                <w:szCs w:val="21"/>
                <w:lang w:val="en-US" w:eastAsia="zh-CN"/>
              </w:rPr>
              <w:t>6</w:t>
            </w:r>
          </w:p>
        </w:tc>
        <w:tc>
          <w:tcPr>
            <w:tcW w:w="1180"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54.4</w:t>
            </w:r>
          </w:p>
        </w:tc>
        <w:tc>
          <w:tcPr>
            <w:tcW w:w="712" w:type="dxa"/>
            <w:vAlign w:val="center"/>
          </w:tcPr>
          <w:p>
            <w:pPr>
              <w:pStyle w:val="143"/>
              <w:spacing w:line="0" w:lineRule="atLeast"/>
              <w:ind w:firstLine="0" w:firstLineChars="0"/>
              <w:jc w:val="center"/>
              <w:rPr>
                <w:rFonts w:hint="eastAsia"/>
                <w:color w:val="auto"/>
                <w:sz w:val="21"/>
                <w:szCs w:val="21"/>
              </w:rPr>
            </w:pPr>
            <w:r>
              <w:rPr>
                <w:rFonts w:hint="eastAsia"/>
                <w:color w:val="auto"/>
                <w:sz w:val="21"/>
                <w:szCs w:val="21"/>
              </w:rPr>
              <w:t>连续</w:t>
            </w:r>
          </w:p>
        </w:tc>
        <w:tc>
          <w:tcPr>
            <w:tcW w:w="710" w:type="dxa"/>
            <w:vAlign w:val="center"/>
          </w:tcPr>
          <w:p>
            <w:pPr>
              <w:pStyle w:val="143"/>
              <w:spacing w:line="0" w:lineRule="atLeast"/>
              <w:ind w:firstLine="0" w:firstLineChars="0"/>
              <w:jc w:val="center"/>
              <w:rPr>
                <w:rFonts w:hint="eastAsia"/>
                <w:color w:val="auto"/>
                <w:sz w:val="21"/>
                <w:szCs w:val="21"/>
              </w:rPr>
            </w:pPr>
            <w:r>
              <w:rPr>
                <w:rFonts w:hint="eastAsia"/>
                <w:color w:val="auto"/>
                <w:sz w:val="21"/>
                <w:szCs w:val="21"/>
              </w:rPr>
              <w:t>20</w:t>
            </w:r>
          </w:p>
        </w:tc>
        <w:tc>
          <w:tcPr>
            <w:tcW w:w="1181"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34.4</w:t>
            </w:r>
          </w:p>
        </w:tc>
        <w:tc>
          <w:tcPr>
            <w:tcW w:w="1183" w:type="dxa"/>
            <w:vAlign w:val="center"/>
          </w:tcPr>
          <w:p>
            <w:pPr>
              <w:spacing w:line="0" w:lineRule="atLeast"/>
              <w:ind w:firstLine="0" w:firstLineChars="0"/>
              <w:jc w:val="center"/>
              <w:rPr>
                <w:rFonts w:hint="eastAsia"/>
                <w:color w:val="FF0000"/>
                <w:sz w:val="21"/>
                <w:szCs w:val="21"/>
              </w:rPr>
            </w:pPr>
            <w:r>
              <w:rPr>
                <w:rFonts w:hint="eastAsia"/>
                <w:color w:val="auto"/>
                <w:sz w:val="21"/>
                <w:szCs w:val="21"/>
              </w:rPr>
              <w:t>1m</w:t>
            </w:r>
          </w:p>
        </w:tc>
        <w:tc>
          <w:tcPr>
            <w:tcW w:w="682" w:type="dxa"/>
            <w:vMerge w:val="continue"/>
            <w:vAlign w:val="center"/>
          </w:tcPr>
          <w:p>
            <w:pPr>
              <w:pStyle w:val="143"/>
              <w:spacing w:line="0" w:lineRule="atLeast"/>
              <w:ind w:firstLine="0" w:firstLineChars="0"/>
              <w:jc w:val="center"/>
              <w:rPr>
                <w:color w:val="FF000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712" w:type="dxa"/>
            <w:vAlign w:val="center"/>
          </w:tcPr>
          <w:p>
            <w:pPr>
              <w:pStyle w:val="143"/>
              <w:spacing w:line="0" w:lineRule="atLeast"/>
              <w:ind w:firstLine="0" w:firstLineChars="0"/>
              <w:jc w:val="center"/>
              <w:rPr>
                <w:rFonts w:hint="eastAsia" w:ascii="Times New Roman" w:hAnsi="Times New Roman" w:eastAsia="宋体" w:cs="Times New Roman"/>
                <w:b w:val="0"/>
                <w:bCs w:val="0"/>
                <w:color w:val="auto"/>
                <w:kern w:val="2"/>
                <w:sz w:val="21"/>
                <w:szCs w:val="21"/>
                <w:lang w:val="en-US" w:eastAsia="zh-CN" w:bidi="ar-SA"/>
              </w:rPr>
            </w:pPr>
            <w:r>
              <w:rPr>
                <w:rFonts w:hint="eastAsia"/>
                <w:color w:val="auto"/>
                <w:sz w:val="21"/>
                <w:szCs w:val="21"/>
              </w:rPr>
              <w:t>6</w:t>
            </w:r>
          </w:p>
        </w:tc>
        <w:tc>
          <w:tcPr>
            <w:tcW w:w="712" w:type="dxa"/>
            <w:vMerge w:val="continue"/>
            <w:vAlign w:val="center"/>
          </w:tcPr>
          <w:p>
            <w:pPr>
              <w:pStyle w:val="727"/>
              <w:spacing w:after="0" w:line="0" w:lineRule="atLeast"/>
              <w:textAlignment w:val="center"/>
              <w:rPr>
                <w:rFonts w:hAnsi="宋体"/>
                <w:color w:val="auto"/>
                <w:kern w:val="2"/>
                <w:sz w:val="21"/>
                <w:szCs w:val="21"/>
              </w:rPr>
            </w:pPr>
          </w:p>
        </w:tc>
        <w:tc>
          <w:tcPr>
            <w:tcW w:w="1415" w:type="dxa"/>
            <w:vAlign w:val="center"/>
          </w:tcPr>
          <w:p>
            <w:pPr>
              <w:spacing w:line="0" w:lineRule="atLeast"/>
              <w:contextualSpacing/>
              <w:jc w:val="center"/>
              <w:rPr>
                <w:rFonts w:hint="eastAsia"/>
                <w:color w:val="auto"/>
                <w:szCs w:val="21"/>
              </w:rPr>
            </w:pPr>
            <w:r>
              <w:rPr>
                <w:rFonts w:hint="eastAsia" w:eastAsiaTheme="minorEastAsia"/>
                <w:color w:val="auto"/>
                <w:szCs w:val="21"/>
                <w:lang w:val="en-US" w:eastAsia="zh-CN"/>
              </w:rPr>
              <w:t>切蹄机</w:t>
            </w:r>
          </w:p>
        </w:tc>
        <w:tc>
          <w:tcPr>
            <w:tcW w:w="1181" w:type="dxa"/>
            <w:vAlign w:val="center"/>
          </w:tcPr>
          <w:p>
            <w:pPr>
              <w:spacing w:line="0" w:lineRule="atLeast"/>
              <w:jc w:val="center"/>
              <w:rPr>
                <w:snapToGrid w:val="0"/>
                <w:color w:val="auto"/>
                <w:szCs w:val="21"/>
              </w:rPr>
            </w:pPr>
            <w:r>
              <w:rPr>
                <w:rFonts w:hint="eastAsia"/>
                <w:snapToGrid w:val="0"/>
                <w:color w:val="000000" w:themeColor="text1"/>
                <w:szCs w:val="21"/>
              </w:rPr>
              <w:t>70</w:t>
            </w:r>
          </w:p>
        </w:tc>
        <w:tc>
          <w:tcPr>
            <w:tcW w:w="1181" w:type="dxa"/>
            <w:vMerge w:val="continue"/>
            <w:vAlign w:val="center"/>
          </w:tcPr>
          <w:p>
            <w:pPr>
              <w:pStyle w:val="143"/>
              <w:spacing w:line="0" w:lineRule="atLeast"/>
              <w:ind w:firstLine="0" w:firstLineChars="0"/>
              <w:jc w:val="center"/>
              <w:rPr>
                <w:snapToGrid w:val="0"/>
                <w:color w:val="FF0000"/>
                <w:sz w:val="21"/>
                <w:szCs w:val="21"/>
              </w:rPr>
            </w:pPr>
          </w:p>
        </w:tc>
        <w:tc>
          <w:tcPr>
            <w:tcW w:w="710" w:type="dxa"/>
            <w:vAlign w:val="center"/>
          </w:tcPr>
          <w:p>
            <w:pPr>
              <w:pStyle w:val="143"/>
              <w:spacing w:line="0" w:lineRule="atLeast"/>
              <w:ind w:firstLine="0" w:firstLineChars="0"/>
              <w:jc w:val="center"/>
              <w:rPr>
                <w:rFonts w:hint="eastAsia"/>
                <w:color w:val="auto"/>
                <w:sz w:val="21"/>
                <w:szCs w:val="21"/>
              </w:rPr>
            </w:pPr>
            <w:r>
              <w:rPr>
                <w:rFonts w:hint="eastAsia"/>
                <w:sz w:val="21"/>
                <w:szCs w:val="21"/>
                <w:lang w:val="en-US" w:eastAsia="zh-CN"/>
              </w:rPr>
              <w:t>-</w:t>
            </w:r>
            <w:r>
              <w:rPr>
                <w:rFonts w:hint="eastAsia"/>
                <w:sz w:val="21"/>
                <w:szCs w:val="21"/>
              </w:rPr>
              <w:t>57</w:t>
            </w:r>
          </w:p>
        </w:tc>
        <w:tc>
          <w:tcPr>
            <w:tcW w:w="710" w:type="dxa"/>
            <w:vAlign w:val="center"/>
          </w:tcPr>
          <w:p>
            <w:pPr>
              <w:pStyle w:val="143"/>
              <w:spacing w:line="0" w:lineRule="atLeast"/>
              <w:ind w:firstLine="0" w:firstLineChars="0"/>
              <w:jc w:val="center"/>
              <w:rPr>
                <w:rFonts w:hint="eastAsia"/>
                <w:color w:val="auto"/>
                <w:sz w:val="21"/>
                <w:szCs w:val="21"/>
              </w:rPr>
            </w:pPr>
            <w:r>
              <w:rPr>
                <w:rFonts w:hint="eastAsia"/>
                <w:sz w:val="21"/>
                <w:szCs w:val="21"/>
              </w:rPr>
              <w:t>60</w:t>
            </w:r>
          </w:p>
        </w:tc>
        <w:tc>
          <w:tcPr>
            <w:tcW w:w="713" w:type="dxa"/>
            <w:vAlign w:val="center"/>
          </w:tcPr>
          <w:p>
            <w:pPr>
              <w:pStyle w:val="143"/>
              <w:spacing w:line="0" w:lineRule="atLeast"/>
              <w:ind w:firstLine="0" w:firstLineChars="0"/>
              <w:jc w:val="center"/>
              <w:rPr>
                <w:rFonts w:hint="eastAsia"/>
                <w:color w:val="auto"/>
                <w:sz w:val="21"/>
                <w:szCs w:val="21"/>
              </w:rPr>
            </w:pPr>
            <w:r>
              <w:rPr>
                <w:rFonts w:hint="eastAsia"/>
                <w:sz w:val="21"/>
                <w:szCs w:val="21"/>
              </w:rPr>
              <w:t>3</w:t>
            </w:r>
          </w:p>
        </w:tc>
        <w:tc>
          <w:tcPr>
            <w:tcW w:w="944" w:type="dxa"/>
            <w:vAlign w:val="center"/>
          </w:tcPr>
          <w:p>
            <w:pPr>
              <w:pStyle w:val="143"/>
              <w:spacing w:line="0" w:lineRule="atLeast"/>
              <w:ind w:firstLine="0" w:firstLineChars="0"/>
              <w:jc w:val="center"/>
              <w:rPr>
                <w:rFonts w:hint="eastAsia" w:eastAsia="宋体"/>
                <w:color w:val="auto"/>
                <w:sz w:val="21"/>
                <w:szCs w:val="21"/>
                <w:lang w:val="en-US" w:eastAsia="zh-CN"/>
              </w:rPr>
            </w:pPr>
            <w:r>
              <w:rPr>
                <w:rFonts w:hint="eastAsia"/>
                <w:color w:val="auto"/>
                <w:sz w:val="21"/>
                <w:szCs w:val="21"/>
                <w:lang w:val="en-US" w:eastAsia="zh-CN"/>
              </w:rPr>
              <w:t>7</w:t>
            </w:r>
          </w:p>
        </w:tc>
        <w:tc>
          <w:tcPr>
            <w:tcW w:w="1180"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53</w:t>
            </w:r>
          </w:p>
        </w:tc>
        <w:tc>
          <w:tcPr>
            <w:tcW w:w="712" w:type="dxa"/>
            <w:vAlign w:val="center"/>
          </w:tcPr>
          <w:p>
            <w:pPr>
              <w:pStyle w:val="143"/>
              <w:spacing w:line="0" w:lineRule="atLeast"/>
              <w:ind w:firstLine="0" w:firstLineChars="0"/>
              <w:jc w:val="center"/>
              <w:rPr>
                <w:rFonts w:hint="eastAsia"/>
                <w:color w:val="auto"/>
                <w:sz w:val="21"/>
                <w:szCs w:val="21"/>
              </w:rPr>
            </w:pPr>
            <w:r>
              <w:rPr>
                <w:rFonts w:hint="eastAsia"/>
                <w:color w:val="auto"/>
                <w:sz w:val="21"/>
                <w:szCs w:val="21"/>
              </w:rPr>
              <w:t>连续</w:t>
            </w:r>
          </w:p>
        </w:tc>
        <w:tc>
          <w:tcPr>
            <w:tcW w:w="710" w:type="dxa"/>
            <w:vAlign w:val="center"/>
          </w:tcPr>
          <w:p>
            <w:pPr>
              <w:pStyle w:val="143"/>
              <w:spacing w:line="0" w:lineRule="atLeast"/>
              <w:ind w:firstLine="0" w:firstLineChars="0"/>
              <w:jc w:val="center"/>
              <w:rPr>
                <w:rFonts w:hint="eastAsia"/>
                <w:color w:val="auto"/>
                <w:sz w:val="21"/>
                <w:szCs w:val="21"/>
              </w:rPr>
            </w:pPr>
            <w:r>
              <w:rPr>
                <w:rFonts w:hint="eastAsia"/>
                <w:color w:val="auto"/>
                <w:sz w:val="21"/>
                <w:szCs w:val="21"/>
              </w:rPr>
              <w:t>20</w:t>
            </w:r>
          </w:p>
        </w:tc>
        <w:tc>
          <w:tcPr>
            <w:tcW w:w="1181"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33.0</w:t>
            </w:r>
          </w:p>
        </w:tc>
        <w:tc>
          <w:tcPr>
            <w:tcW w:w="1183" w:type="dxa"/>
            <w:vAlign w:val="center"/>
          </w:tcPr>
          <w:p>
            <w:pPr>
              <w:spacing w:line="0" w:lineRule="atLeast"/>
              <w:ind w:firstLine="0" w:firstLineChars="0"/>
              <w:jc w:val="center"/>
              <w:rPr>
                <w:rFonts w:hint="eastAsia"/>
                <w:color w:val="FF0000"/>
                <w:sz w:val="21"/>
                <w:szCs w:val="21"/>
              </w:rPr>
            </w:pPr>
            <w:r>
              <w:rPr>
                <w:rFonts w:hint="eastAsia"/>
                <w:color w:val="auto"/>
                <w:sz w:val="21"/>
                <w:szCs w:val="21"/>
              </w:rPr>
              <w:t>1m</w:t>
            </w:r>
          </w:p>
        </w:tc>
        <w:tc>
          <w:tcPr>
            <w:tcW w:w="682" w:type="dxa"/>
            <w:vMerge w:val="continue"/>
            <w:vAlign w:val="center"/>
          </w:tcPr>
          <w:p>
            <w:pPr>
              <w:pStyle w:val="143"/>
              <w:spacing w:line="0" w:lineRule="atLeast"/>
              <w:ind w:firstLine="0" w:firstLineChars="0"/>
              <w:jc w:val="center"/>
              <w:rPr>
                <w:color w:val="FF000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712" w:type="dxa"/>
            <w:vAlign w:val="center"/>
          </w:tcPr>
          <w:p>
            <w:pPr>
              <w:pStyle w:val="143"/>
              <w:spacing w:line="0" w:lineRule="atLeast"/>
              <w:ind w:firstLine="0" w:firstLineChars="0"/>
              <w:jc w:val="center"/>
              <w:rPr>
                <w:rFonts w:hint="eastAsia" w:ascii="Times New Roman" w:hAnsi="Times New Roman" w:eastAsia="宋体" w:cs="Times New Roman"/>
                <w:b w:val="0"/>
                <w:bCs w:val="0"/>
                <w:color w:val="auto"/>
                <w:kern w:val="2"/>
                <w:sz w:val="21"/>
                <w:szCs w:val="21"/>
                <w:lang w:val="en-US" w:eastAsia="zh-CN" w:bidi="ar-SA"/>
              </w:rPr>
            </w:pPr>
            <w:r>
              <w:rPr>
                <w:rFonts w:hint="eastAsia"/>
                <w:color w:val="auto"/>
                <w:sz w:val="21"/>
                <w:szCs w:val="21"/>
              </w:rPr>
              <w:t>7</w:t>
            </w:r>
          </w:p>
        </w:tc>
        <w:tc>
          <w:tcPr>
            <w:tcW w:w="712" w:type="dxa"/>
            <w:vMerge w:val="continue"/>
            <w:vAlign w:val="center"/>
          </w:tcPr>
          <w:p>
            <w:pPr>
              <w:pStyle w:val="727"/>
              <w:spacing w:after="0" w:line="0" w:lineRule="atLeast"/>
              <w:textAlignment w:val="center"/>
              <w:rPr>
                <w:rFonts w:hAnsi="宋体"/>
                <w:color w:val="auto"/>
                <w:kern w:val="2"/>
                <w:sz w:val="21"/>
                <w:szCs w:val="21"/>
              </w:rPr>
            </w:pPr>
          </w:p>
        </w:tc>
        <w:tc>
          <w:tcPr>
            <w:tcW w:w="1415" w:type="dxa"/>
            <w:vAlign w:val="center"/>
          </w:tcPr>
          <w:p>
            <w:pPr>
              <w:spacing w:line="0" w:lineRule="atLeast"/>
              <w:contextualSpacing/>
              <w:jc w:val="center"/>
              <w:rPr>
                <w:rFonts w:hint="eastAsia"/>
                <w:color w:val="auto"/>
                <w:szCs w:val="21"/>
              </w:rPr>
            </w:pPr>
            <w:r>
              <w:rPr>
                <w:rFonts w:hint="eastAsia" w:eastAsiaTheme="minorEastAsia"/>
                <w:color w:val="auto"/>
                <w:szCs w:val="21"/>
                <w:lang w:val="en-US" w:eastAsia="zh-CN"/>
              </w:rPr>
              <w:t>分割线</w:t>
            </w:r>
          </w:p>
        </w:tc>
        <w:tc>
          <w:tcPr>
            <w:tcW w:w="1181" w:type="dxa"/>
            <w:vAlign w:val="center"/>
          </w:tcPr>
          <w:p>
            <w:pPr>
              <w:spacing w:line="0" w:lineRule="atLeast"/>
              <w:jc w:val="center"/>
              <w:rPr>
                <w:rFonts w:hint="default" w:eastAsia="宋体"/>
                <w:snapToGrid w:val="0"/>
                <w:color w:val="auto"/>
                <w:szCs w:val="21"/>
                <w:lang w:val="en-US" w:eastAsia="zh-CN"/>
              </w:rPr>
            </w:pPr>
            <w:r>
              <w:rPr>
                <w:rFonts w:hint="eastAsia"/>
                <w:snapToGrid w:val="0"/>
                <w:color w:val="auto"/>
                <w:szCs w:val="21"/>
                <w:lang w:val="en-US" w:eastAsia="zh-CN"/>
              </w:rPr>
              <w:t>70</w:t>
            </w:r>
          </w:p>
        </w:tc>
        <w:tc>
          <w:tcPr>
            <w:tcW w:w="1181" w:type="dxa"/>
            <w:vMerge w:val="continue"/>
            <w:vAlign w:val="center"/>
          </w:tcPr>
          <w:p>
            <w:pPr>
              <w:pStyle w:val="143"/>
              <w:spacing w:line="0" w:lineRule="atLeast"/>
              <w:ind w:firstLine="0" w:firstLineChars="0"/>
              <w:jc w:val="center"/>
              <w:rPr>
                <w:snapToGrid w:val="0"/>
                <w:color w:val="FF0000"/>
                <w:sz w:val="21"/>
                <w:szCs w:val="21"/>
              </w:rPr>
            </w:pPr>
          </w:p>
        </w:tc>
        <w:tc>
          <w:tcPr>
            <w:tcW w:w="710" w:type="dxa"/>
            <w:vAlign w:val="center"/>
          </w:tcPr>
          <w:p>
            <w:pPr>
              <w:pStyle w:val="38"/>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rFonts w:hint="eastAsia"/>
                <w:color w:val="auto"/>
                <w:sz w:val="21"/>
                <w:szCs w:val="21"/>
              </w:rPr>
            </w:pPr>
            <w:r>
              <w:rPr>
                <w:rFonts w:hint="eastAsia" w:cs="Times New Roman"/>
                <w:b w:val="0"/>
                <w:bCs w:val="0"/>
                <w:smallCaps w:val="0"/>
                <w:color w:val="auto"/>
                <w:kern w:val="0"/>
                <w:sz w:val="21"/>
                <w:szCs w:val="21"/>
                <w:vertAlign w:val="baseline"/>
                <w:lang w:val="en-US" w:eastAsia="zh-CN"/>
              </w:rPr>
              <w:t>-</w:t>
            </w:r>
            <w:r>
              <w:rPr>
                <w:rFonts w:hint="default" w:ascii="Times New Roman" w:hAnsi="Times New Roman" w:eastAsia="宋体" w:cs="Times New Roman"/>
                <w:b w:val="0"/>
                <w:bCs w:val="0"/>
                <w:smallCaps w:val="0"/>
                <w:color w:val="auto"/>
                <w:kern w:val="0"/>
                <w:sz w:val="21"/>
                <w:szCs w:val="21"/>
                <w:vertAlign w:val="baseline"/>
                <w:lang w:val="en-US" w:eastAsia="zh-CN"/>
              </w:rPr>
              <w:t>35</w:t>
            </w:r>
          </w:p>
        </w:tc>
        <w:tc>
          <w:tcPr>
            <w:tcW w:w="710" w:type="dxa"/>
            <w:vAlign w:val="center"/>
          </w:tcPr>
          <w:p>
            <w:pPr>
              <w:pStyle w:val="38"/>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rFonts w:hint="eastAsia"/>
                <w:color w:val="auto"/>
                <w:sz w:val="21"/>
                <w:szCs w:val="21"/>
              </w:rPr>
            </w:pPr>
            <w:r>
              <w:rPr>
                <w:rFonts w:hint="default" w:ascii="Times New Roman" w:hAnsi="Times New Roman" w:eastAsia="宋体" w:cs="Times New Roman"/>
                <w:b w:val="0"/>
                <w:bCs w:val="0"/>
                <w:smallCaps w:val="0"/>
                <w:color w:val="auto"/>
                <w:kern w:val="0"/>
                <w:sz w:val="21"/>
                <w:szCs w:val="21"/>
                <w:vertAlign w:val="baseline"/>
                <w:lang w:val="en-US" w:eastAsia="zh-CN"/>
              </w:rPr>
              <w:t>65</w:t>
            </w:r>
          </w:p>
        </w:tc>
        <w:tc>
          <w:tcPr>
            <w:tcW w:w="713" w:type="dxa"/>
            <w:vAlign w:val="center"/>
          </w:tcPr>
          <w:p>
            <w:pPr>
              <w:pStyle w:val="38"/>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rFonts w:hint="eastAsia"/>
                <w:color w:val="auto"/>
                <w:sz w:val="21"/>
                <w:szCs w:val="21"/>
              </w:rPr>
            </w:pPr>
            <w:r>
              <w:rPr>
                <w:rFonts w:hint="default" w:ascii="Times New Roman" w:hAnsi="Times New Roman" w:eastAsia="宋体" w:cs="Times New Roman"/>
                <w:b w:val="0"/>
                <w:bCs w:val="0"/>
                <w:smallCaps w:val="0"/>
                <w:color w:val="auto"/>
                <w:kern w:val="0"/>
                <w:sz w:val="21"/>
                <w:szCs w:val="21"/>
                <w:vertAlign w:val="baseline"/>
                <w:lang w:val="en-US" w:eastAsia="zh-CN"/>
              </w:rPr>
              <w:t>2.5</w:t>
            </w:r>
          </w:p>
        </w:tc>
        <w:tc>
          <w:tcPr>
            <w:tcW w:w="944"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10</w:t>
            </w:r>
          </w:p>
        </w:tc>
        <w:tc>
          <w:tcPr>
            <w:tcW w:w="1180"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50</w:t>
            </w:r>
          </w:p>
        </w:tc>
        <w:tc>
          <w:tcPr>
            <w:tcW w:w="712" w:type="dxa"/>
            <w:vAlign w:val="center"/>
          </w:tcPr>
          <w:p>
            <w:pPr>
              <w:pStyle w:val="143"/>
              <w:spacing w:line="0" w:lineRule="atLeast"/>
              <w:ind w:firstLine="0" w:firstLineChars="0"/>
              <w:jc w:val="center"/>
              <w:rPr>
                <w:rFonts w:hint="eastAsia"/>
                <w:color w:val="auto"/>
                <w:sz w:val="21"/>
                <w:szCs w:val="21"/>
              </w:rPr>
            </w:pPr>
            <w:r>
              <w:rPr>
                <w:rFonts w:hint="eastAsia"/>
                <w:color w:val="auto"/>
                <w:sz w:val="21"/>
                <w:szCs w:val="21"/>
              </w:rPr>
              <w:t>连续</w:t>
            </w:r>
          </w:p>
        </w:tc>
        <w:tc>
          <w:tcPr>
            <w:tcW w:w="710" w:type="dxa"/>
            <w:vAlign w:val="center"/>
          </w:tcPr>
          <w:p>
            <w:pPr>
              <w:pStyle w:val="143"/>
              <w:spacing w:line="0" w:lineRule="atLeast"/>
              <w:ind w:firstLine="0" w:firstLineChars="0"/>
              <w:jc w:val="center"/>
              <w:rPr>
                <w:rFonts w:hint="eastAsia"/>
                <w:color w:val="auto"/>
                <w:sz w:val="21"/>
                <w:szCs w:val="21"/>
              </w:rPr>
            </w:pPr>
            <w:r>
              <w:rPr>
                <w:rFonts w:hint="eastAsia"/>
                <w:color w:val="auto"/>
                <w:sz w:val="21"/>
                <w:szCs w:val="21"/>
              </w:rPr>
              <w:t>20</w:t>
            </w:r>
          </w:p>
        </w:tc>
        <w:tc>
          <w:tcPr>
            <w:tcW w:w="1181"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30.0</w:t>
            </w:r>
          </w:p>
        </w:tc>
        <w:tc>
          <w:tcPr>
            <w:tcW w:w="1183" w:type="dxa"/>
            <w:vAlign w:val="center"/>
          </w:tcPr>
          <w:p>
            <w:pPr>
              <w:spacing w:line="0" w:lineRule="atLeast"/>
              <w:ind w:firstLine="0" w:firstLineChars="0"/>
              <w:jc w:val="center"/>
              <w:rPr>
                <w:rFonts w:hint="eastAsia"/>
                <w:color w:val="FF0000"/>
                <w:sz w:val="21"/>
                <w:szCs w:val="21"/>
              </w:rPr>
            </w:pPr>
            <w:r>
              <w:rPr>
                <w:rFonts w:hint="eastAsia"/>
                <w:color w:val="auto"/>
                <w:sz w:val="21"/>
                <w:szCs w:val="21"/>
              </w:rPr>
              <w:t>1m</w:t>
            </w:r>
          </w:p>
        </w:tc>
        <w:tc>
          <w:tcPr>
            <w:tcW w:w="682" w:type="dxa"/>
            <w:vMerge w:val="continue"/>
            <w:vAlign w:val="center"/>
          </w:tcPr>
          <w:p>
            <w:pPr>
              <w:pStyle w:val="143"/>
              <w:spacing w:line="0" w:lineRule="atLeast"/>
              <w:ind w:firstLine="0" w:firstLineChars="0"/>
              <w:jc w:val="center"/>
              <w:rPr>
                <w:color w:val="FF000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712" w:type="dxa"/>
            <w:vAlign w:val="center"/>
          </w:tcPr>
          <w:p>
            <w:pPr>
              <w:pStyle w:val="143"/>
              <w:spacing w:line="0" w:lineRule="atLeast"/>
              <w:ind w:firstLine="0" w:firstLineChars="0"/>
              <w:jc w:val="center"/>
              <w:rPr>
                <w:rFonts w:ascii="Times New Roman" w:hAnsi="Times New Roman" w:eastAsia="宋体" w:cs="Times New Roman"/>
                <w:b w:val="0"/>
                <w:bCs w:val="0"/>
                <w:color w:val="auto"/>
                <w:kern w:val="2"/>
                <w:sz w:val="21"/>
                <w:szCs w:val="21"/>
                <w:lang w:val="en-US" w:eastAsia="zh-CN" w:bidi="ar-SA"/>
              </w:rPr>
            </w:pPr>
            <w:r>
              <w:rPr>
                <w:rFonts w:hint="eastAsia"/>
                <w:color w:val="auto"/>
                <w:sz w:val="21"/>
                <w:szCs w:val="21"/>
              </w:rPr>
              <w:t>8</w:t>
            </w:r>
          </w:p>
        </w:tc>
        <w:tc>
          <w:tcPr>
            <w:tcW w:w="712" w:type="dxa"/>
            <w:vMerge w:val="continue"/>
            <w:vAlign w:val="center"/>
          </w:tcPr>
          <w:p>
            <w:pPr>
              <w:pStyle w:val="727"/>
              <w:spacing w:after="0" w:line="0" w:lineRule="atLeast"/>
              <w:textAlignment w:val="center"/>
              <w:rPr>
                <w:rFonts w:hAnsi="宋体"/>
                <w:color w:val="auto"/>
                <w:kern w:val="2"/>
                <w:sz w:val="21"/>
                <w:szCs w:val="21"/>
              </w:rPr>
            </w:pPr>
          </w:p>
        </w:tc>
        <w:tc>
          <w:tcPr>
            <w:tcW w:w="1415" w:type="dxa"/>
            <w:vAlign w:val="center"/>
          </w:tcPr>
          <w:p>
            <w:pPr>
              <w:spacing w:line="0" w:lineRule="atLeast"/>
              <w:jc w:val="center"/>
              <w:rPr>
                <w:color w:val="auto"/>
                <w:szCs w:val="21"/>
              </w:rPr>
            </w:pPr>
            <w:r>
              <w:rPr>
                <w:rFonts w:hint="eastAsia"/>
                <w:color w:val="auto"/>
                <w:szCs w:val="21"/>
              </w:rPr>
              <w:t>牛放血线自动线</w:t>
            </w:r>
          </w:p>
        </w:tc>
        <w:tc>
          <w:tcPr>
            <w:tcW w:w="1181" w:type="dxa"/>
            <w:vAlign w:val="center"/>
          </w:tcPr>
          <w:p>
            <w:pPr>
              <w:spacing w:line="0" w:lineRule="atLeast"/>
              <w:jc w:val="center"/>
              <w:rPr>
                <w:snapToGrid w:val="0"/>
                <w:color w:val="auto"/>
                <w:szCs w:val="21"/>
              </w:rPr>
            </w:pPr>
            <w:r>
              <w:rPr>
                <w:rFonts w:hint="eastAsia"/>
                <w:snapToGrid w:val="0"/>
                <w:color w:val="auto"/>
                <w:szCs w:val="21"/>
              </w:rPr>
              <w:t>70</w:t>
            </w:r>
          </w:p>
        </w:tc>
        <w:tc>
          <w:tcPr>
            <w:tcW w:w="1181" w:type="dxa"/>
            <w:vMerge w:val="continue"/>
            <w:vAlign w:val="center"/>
          </w:tcPr>
          <w:p>
            <w:pPr>
              <w:pStyle w:val="143"/>
              <w:spacing w:line="0" w:lineRule="atLeast"/>
              <w:ind w:firstLine="0" w:firstLineChars="0"/>
              <w:jc w:val="center"/>
              <w:rPr>
                <w:snapToGrid w:val="0"/>
                <w:color w:val="FF0000"/>
                <w:sz w:val="21"/>
                <w:szCs w:val="21"/>
              </w:rPr>
            </w:pP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lang w:val="en-US" w:eastAsia="zh-CN"/>
              </w:rPr>
              <w:t>-</w:t>
            </w:r>
            <w:r>
              <w:rPr>
                <w:rFonts w:hint="eastAsia"/>
                <w:color w:val="auto"/>
                <w:sz w:val="21"/>
                <w:szCs w:val="21"/>
              </w:rPr>
              <w:t>62</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52</w:t>
            </w:r>
          </w:p>
        </w:tc>
        <w:tc>
          <w:tcPr>
            <w:tcW w:w="713" w:type="dxa"/>
            <w:vAlign w:val="center"/>
          </w:tcPr>
          <w:p>
            <w:pPr>
              <w:pStyle w:val="143"/>
              <w:spacing w:line="0" w:lineRule="atLeast"/>
              <w:ind w:firstLine="0" w:firstLineChars="0"/>
              <w:jc w:val="center"/>
              <w:rPr>
                <w:color w:val="auto"/>
                <w:sz w:val="21"/>
                <w:szCs w:val="21"/>
              </w:rPr>
            </w:pPr>
            <w:r>
              <w:rPr>
                <w:rFonts w:hint="eastAsia"/>
                <w:color w:val="auto"/>
                <w:sz w:val="21"/>
                <w:szCs w:val="21"/>
              </w:rPr>
              <w:t>2</w:t>
            </w:r>
          </w:p>
        </w:tc>
        <w:tc>
          <w:tcPr>
            <w:tcW w:w="944" w:type="dxa"/>
            <w:vAlign w:val="center"/>
          </w:tcPr>
          <w:p>
            <w:pPr>
              <w:pStyle w:val="143"/>
              <w:spacing w:line="0" w:lineRule="atLeast"/>
              <w:ind w:firstLine="0" w:firstLineChars="0"/>
              <w:jc w:val="center"/>
              <w:rPr>
                <w:color w:val="auto"/>
                <w:sz w:val="21"/>
                <w:szCs w:val="21"/>
              </w:rPr>
            </w:pPr>
            <w:r>
              <w:rPr>
                <w:rFonts w:hint="eastAsia"/>
                <w:color w:val="auto"/>
                <w:sz w:val="21"/>
                <w:szCs w:val="21"/>
              </w:rPr>
              <w:t>7</w:t>
            </w:r>
          </w:p>
        </w:tc>
        <w:tc>
          <w:tcPr>
            <w:tcW w:w="1180" w:type="dxa"/>
            <w:vAlign w:val="center"/>
          </w:tcPr>
          <w:p>
            <w:pPr>
              <w:pStyle w:val="143"/>
              <w:spacing w:line="0" w:lineRule="atLeast"/>
              <w:ind w:firstLine="0" w:firstLineChars="0"/>
              <w:jc w:val="center"/>
              <w:rPr>
                <w:color w:val="auto"/>
                <w:sz w:val="21"/>
                <w:szCs w:val="21"/>
              </w:rPr>
            </w:pPr>
            <w:r>
              <w:rPr>
                <w:rFonts w:hint="eastAsia"/>
                <w:color w:val="auto"/>
                <w:sz w:val="21"/>
                <w:szCs w:val="21"/>
              </w:rPr>
              <w:t>53.0</w:t>
            </w:r>
          </w:p>
        </w:tc>
        <w:tc>
          <w:tcPr>
            <w:tcW w:w="712" w:type="dxa"/>
            <w:vAlign w:val="center"/>
          </w:tcPr>
          <w:p>
            <w:pPr>
              <w:pStyle w:val="143"/>
              <w:spacing w:line="0" w:lineRule="atLeast"/>
              <w:ind w:firstLine="0" w:firstLineChars="0"/>
              <w:jc w:val="center"/>
              <w:rPr>
                <w:color w:val="auto"/>
                <w:sz w:val="21"/>
                <w:szCs w:val="21"/>
              </w:rPr>
            </w:pPr>
            <w:r>
              <w:rPr>
                <w:rFonts w:hint="eastAsia"/>
                <w:color w:val="auto"/>
                <w:sz w:val="21"/>
                <w:szCs w:val="21"/>
              </w:rPr>
              <w:t>连续</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20</w:t>
            </w:r>
          </w:p>
        </w:tc>
        <w:tc>
          <w:tcPr>
            <w:tcW w:w="1181" w:type="dxa"/>
            <w:vAlign w:val="center"/>
          </w:tcPr>
          <w:p>
            <w:pPr>
              <w:pStyle w:val="143"/>
              <w:spacing w:line="0" w:lineRule="atLeast"/>
              <w:ind w:firstLine="0" w:firstLineChars="0"/>
              <w:jc w:val="center"/>
              <w:rPr>
                <w:color w:val="auto"/>
                <w:sz w:val="21"/>
                <w:szCs w:val="21"/>
              </w:rPr>
            </w:pPr>
            <w:r>
              <w:rPr>
                <w:rFonts w:hint="eastAsia"/>
                <w:color w:val="auto"/>
                <w:sz w:val="21"/>
                <w:szCs w:val="21"/>
              </w:rPr>
              <w:t>33.0</w:t>
            </w:r>
          </w:p>
        </w:tc>
        <w:tc>
          <w:tcPr>
            <w:tcW w:w="1183" w:type="dxa"/>
            <w:vAlign w:val="center"/>
          </w:tcPr>
          <w:p>
            <w:pPr>
              <w:pStyle w:val="143"/>
              <w:spacing w:line="0" w:lineRule="atLeast"/>
              <w:ind w:firstLine="0" w:firstLineChars="0"/>
              <w:jc w:val="center"/>
              <w:rPr>
                <w:color w:val="auto"/>
                <w:sz w:val="21"/>
                <w:szCs w:val="21"/>
              </w:rPr>
            </w:pPr>
            <w:r>
              <w:rPr>
                <w:rFonts w:hint="eastAsia"/>
                <w:color w:val="auto"/>
                <w:sz w:val="21"/>
                <w:szCs w:val="21"/>
              </w:rPr>
              <w:t>1m</w:t>
            </w:r>
          </w:p>
        </w:tc>
        <w:tc>
          <w:tcPr>
            <w:tcW w:w="682" w:type="dxa"/>
            <w:vMerge w:val="continue"/>
            <w:vAlign w:val="center"/>
          </w:tcPr>
          <w:p>
            <w:pPr>
              <w:pStyle w:val="143"/>
              <w:spacing w:line="0" w:lineRule="atLeas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712" w:type="dxa"/>
            <w:vAlign w:val="center"/>
          </w:tcPr>
          <w:p>
            <w:pPr>
              <w:pStyle w:val="143"/>
              <w:spacing w:line="0" w:lineRule="atLeast"/>
              <w:ind w:firstLine="0" w:firstLineChars="0"/>
              <w:jc w:val="center"/>
              <w:rPr>
                <w:rFonts w:ascii="Times New Roman" w:hAnsi="Times New Roman" w:eastAsia="宋体" w:cs="Times New Roman"/>
                <w:b w:val="0"/>
                <w:bCs w:val="0"/>
                <w:color w:val="auto"/>
                <w:kern w:val="2"/>
                <w:sz w:val="21"/>
                <w:szCs w:val="21"/>
                <w:lang w:val="en-US" w:eastAsia="zh-CN" w:bidi="ar-SA"/>
              </w:rPr>
            </w:pPr>
            <w:r>
              <w:rPr>
                <w:rFonts w:hint="eastAsia"/>
                <w:color w:val="auto"/>
                <w:sz w:val="21"/>
                <w:szCs w:val="21"/>
              </w:rPr>
              <w:t>9</w:t>
            </w:r>
          </w:p>
        </w:tc>
        <w:tc>
          <w:tcPr>
            <w:tcW w:w="712" w:type="dxa"/>
            <w:vMerge w:val="continue"/>
            <w:vAlign w:val="center"/>
          </w:tcPr>
          <w:p>
            <w:pPr>
              <w:pStyle w:val="727"/>
              <w:spacing w:after="0" w:line="0" w:lineRule="atLeast"/>
              <w:textAlignment w:val="center"/>
              <w:rPr>
                <w:rFonts w:hAnsi="宋体"/>
                <w:color w:val="auto"/>
                <w:kern w:val="2"/>
                <w:sz w:val="21"/>
                <w:szCs w:val="21"/>
              </w:rPr>
            </w:pPr>
          </w:p>
        </w:tc>
        <w:tc>
          <w:tcPr>
            <w:tcW w:w="1415" w:type="dxa"/>
            <w:vAlign w:val="center"/>
          </w:tcPr>
          <w:p>
            <w:pPr>
              <w:spacing w:line="0" w:lineRule="atLeast"/>
              <w:jc w:val="center"/>
              <w:rPr>
                <w:rFonts w:hint="eastAsia" w:eastAsia="宋体"/>
                <w:color w:val="auto"/>
                <w:szCs w:val="21"/>
                <w:lang w:eastAsia="zh-CN"/>
              </w:rPr>
            </w:pPr>
            <w:r>
              <w:rPr>
                <w:rFonts w:hint="eastAsia"/>
                <w:color w:val="auto"/>
                <w:szCs w:val="21"/>
                <w:lang w:eastAsia="zh-CN"/>
              </w:rPr>
              <w:t>剥皮机</w:t>
            </w:r>
          </w:p>
        </w:tc>
        <w:tc>
          <w:tcPr>
            <w:tcW w:w="1181" w:type="dxa"/>
            <w:vAlign w:val="center"/>
          </w:tcPr>
          <w:p>
            <w:pPr>
              <w:spacing w:line="0" w:lineRule="atLeast"/>
              <w:jc w:val="center"/>
              <w:rPr>
                <w:snapToGrid w:val="0"/>
                <w:color w:val="auto"/>
                <w:szCs w:val="21"/>
              </w:rPr>
            </w:pPr>
            <w:r>
              <w:rPr>
                <w:snapToGrid w:val="0"/>
                <w:color w:val="auto"/>
                <w:szCs w:val="21"/>
              </w:rPr>
              <w:t>80</w:t>
            </w:r>
          </w:p>
        </w:tc>
        <w:tc>
          <w:tcPr>
            <w:tcW w:w="1181" w:type="dxa"/>
            <w:vMerge w:val="continue"/>
            <w:vAlign w:val="center"/>
          </w:tcPr>
          <w:p>
            <w:pPr>
              <w:pStyle w:val="143"/>
              <w:spacing w:line="0" w:lineRule="atLeast"/>
              <w:ind w:firstLine="0" w:firstLineChars="0"/>
              <w:jc w:val="center"/>
              <w:rPr>
                <w:snapToGrid w:val="0"/>
                <w:color w:val="FF0000"/>
                <w:sz w:val="21"/>
                <w:szCs w:val="21"/>
              </w:rPr>
            </w:pP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lang w:val="en-US" w:eastAsia="zh-CN"/>
              </w:rPr>
              <w:t>-</w:t>
            </w:r>
            <w:r>
              <w:rPr>
                <w:rFonts w:hint="eastAsia"/>
                <w:color w:val="auto"/>
                <w:sz w:val="21"/>
                <w:szCs w:val="21"/>
              </w:rPr>
              <w:t>60</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54</w:t>
            </w:r>
          </w:p>
        </w:tc>
        <w:tc>
          <w:tcPr>
            <w:tcW w:w="713" w:type="dxa"/>
            <w:vAlign w:val="center"/>
          </w:tcPr>
          <w:p>
            <w:pPr>
              <w:pStyle w:val="143"/>
              <w:spacing w:line="0" w:lineRule="atLeast"/>
              <w:ind w:firstLine="0" w:firstLineChars="0"/>
              <w:jc w:val="center"/>
              <w:rPr>
                <w:color w:val="auto"/>
                <w:sz w:val="21"/>
                <w:szCs w:val="21"/>
              </w:rPr>
            </w:pPr>
            <w:r>
              <w:rPr>
                <w:rFonts w:hint="eastAsia"/>
                <w:color w:val="auto"/>
                <w:sz w:val="21"/>
                <w:szCs w:val="21"/>
              </w:rPr>
              <w:t>2</w:t>
            </w:r>
          </w:p>
        </w:tc>
        <w:tc>
          <w:tcPr>
            <w:tcW w:w="944" w:type="dxa"/>
            <w:vAlign w:val="center"/>
          </w:tcPr>
          <w:p>
            <w:pPr>
              <w:pStyle w:val="143"/>
              <w:spacing w:line="0" w:lineRule="atLeast"/>
              <w:ind w:firstLine="0" w:firstLineChars="0"/>
              <w:jc w:val="center"/>
              <w:rPr>
                <w:color w:val="auto"/>
                <w:sz w:val="21"/>
                <w:szCs w:val="21"/>
              </w:rPr>
            </w:pPr>
            <w:r>
              <w:rPr>
                <w:rFonts w:hint="eastAsia"/>
                <w:color w:val="auto"/>
                <w:sz w:val="21"/>
                <w:szCs w:val="21"/>
              </w:rPr>
              <w:t>7</w:t>
            </w:r>
          </w:p>
        </w:tc>
        <w:tc>
          <w:tcPr>
            <w:tcW w:w="1180" w:type="dxa"/>
            <w:vAlign w:val="center"/>
          </w:tcPr>
          <w:p>
            <w:pPr>
              <w:pStyle w:val="143"/>
              <w:spacing w:line="0" w:lineRule="atLeast"/>
              <w:ind w:firstLine="0" w:firstLineChars="0"/>
              <w:jc w:val="center"/>
              <w:rPr>
                <w:color w:val="auto"/>
                <w:sz w:val="21"/>
                <w:szCs w:val="21"/>
              </w:rPr>
            </w:pPr>
            <w:r>
              <w:rPr>
                <w:rFonts w:hint="eastAsia"/>
                <w:color w:val="auto"/>
                <w:sz w:val="21"/>
                <w:szCs w:val="21"/>
              </w:rPr>
              <w:t>63.0</w:t>
            </w:r>
          </w:p>
        </w:tc>
        <w:tc>
          <w:tcPr>
            <w:tcW w:w="712" w:type="dxa"/>
            <w:vAlign w:val="center"/>
          </w:tcPr>
          <w:p>
            <w:pPr>
              <w:pStyle w:val="143"/>
              <w:spacing w:line="0" w:lineRule="atLeast"/>
              <w:ind w:firstLine="0" w:firstLineChars="0"/>
              <w:jc w:val="center"/>
              <w:rPr>
                <w:color w:val="auto"/>
                <w:sz w:val="21"/>
                <w:szCs w:val="21"/>
              </w:rPr>
            </w:pPr>
            <w:r>
              <w:rPr>
                <w:rFonts w:hint="eastAsia"/>
                <w:color w:val="auto"/>
                <w:sz w:val="21"/>
                <w:szCs w:val="21"/>
              </w:rPr>
              <w:t>连续</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20</w:t>
            </w:r>
          </w:p>
        </w:tc>
        <w:tc>
          <w:tcPr>
            <w:tcW w:w="1181" w:type="dxa"/>
            <w:vAlign w:val="center"/>
          </w:tcPr>
          <w:p>
            <w:pPr>
              <w:pStyle w:val="143"/>
              <w:spacing w:line="0" w:lineRule="atLeast"/>
              <w:ind w:firstLine="0" w:firstLineChars="0"/>
              <w:jc w:val="center"/>
              <w:rPr>
                <w:color w:val="auto"/>
                <w:sz w:val="21"/>
                <w:szCs w:val="21"/>
              </w:rPr>
            </w:pPr>
            <w:r>
              <w:rPr>
                <w:rFonts w:hint="eastAsia"/>
                <w:color w:val="auto"/>
                <w:sz w:val="21"/>
                <w:szCs w:val="21"/>
              </w:rPr>
              <w:t>43.0</w:t>
            </w:r>
          </w:p>
        </w:tc>
        <w:tc>
          <w:tcPr>
            <w:tcW w:w="1183" w:type="dxa"/>
            <w:vAlign w:val="center"/>
          </w:tcPr>
          <w:p>
            <w:pPr>
              <w:pStyle w:val="143"/>
              <w:spacing w:line="0" w:lineRule="atLeast"/>
              <w:ind w:firstLine="0" w:firstLineChars="0"/>
              <w:jc w:val="center"/>
              <w:rPr>
                <w:color w:val="auto"/>
                <w:sz w:val="21"/>
                <w:szCs w:val="21"/>
              </w:rPr>
            </w:pPr>
            <w:r>
              <w:rPr>
                <w:rFonts w:hint="eastAsia"/>
                <w:color w:val="auto"/>
                <w:sz w:val="21"/>
                <w:szCs w:val="21"/>
              </w:rPr>
              <w:t>1m</w:t>
            </w:r>
          </w:p>
        </w:tc>
        <w:tc>
          <w:tcPr>
            <w:tcW w:w="682" w:type="dxa"/>
            <w:vMerge w:val="continue"/>
            <w:vAlign w:val="center"/>
          </w:tcPr>
          <w:p>
            <w:pPr>
              <w:pStyle w:val="143"/>
              <w:spacing w:line="0" w:lineRule="atLeas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712" w:type="dxa"/>
            <w:vAlign w:val="center"/>
          </w:tcPr>
          <w:p>
            <w:pPr>
              <w:pStyle w:val="143"/>
              <w:spacing w:line="0" w:lineRule="atLeast"/>
              <w:ind w:firstLine="0" w:firstLineChars="0"/>
              <w:jc w:val="center"/>
              <w:rPr>
                <w:rFonts w:ascii="Times New Roman" w:hAnsi="Times New Roman" w:eastAsia="宋体" w:cs="Times New Roman"/>
                <w:b w:val="0"/>
                <w:bCs w:val="0"/>
                <w:color w:val="auto"/>
                <w:kern w:val="2"/>
                <w:sz w:val="21"/>
                <w:szCs w:val="21"/>
                <w:lang w:val="en-US" w:eastAsia="zh-CN" w:bidi="ar-SA"/>
              </w:rPr>
            </w:pPr>
            <w:r>
              <w:rPr>
                <w:rFonts w:hint="eastAsia"/>
                <w:color w:val="auto"/>
                <w:sz w:val="21"/>
                <w:szCs w:val="21"/>
              </w:rPr>
              <w:t>10</w:t>
            </w:r>
          </w:p>
        </w:tc>
        <w:tc>
          <w:tcPr>
            <w:tcW w:w="712" w:type="dxa"/>
            <w:vMerge w:val="continue"/>
            <w:vAlign w:val="center"/>
          </w:tcPr>
          <w:p>
            <w:pPr>
              <w:pStyle w:val="727"/>
              <w:spacing w:after="0" w:line="0" w:lineRule="atLeast"/>
              <w:textAlignment w:val="center"/>
              <w:rPr>
                <w:rFonts w:hAnsi="宋体"/>
                <w:color w:val="auto"/>
                <w:kern w:val="2"/>
                <w:sz w:val="21"/>
                <w:szCs w:val="21"/>
              </w:rPr>
            </w:pPr>
          </w:p>
        </w:tc>
        <w:tc>
          <w:tcPr>
            <w:tcW w:w="1415" w:type="dxa"/>
            <w:vAlign w:val="center"/>
          </w:tcPr>
          <w:p>
            <w:pPr>
              <w:spacing w:line="0" w:lineRule="atLeast"/>
              <w:jc w:val="center"/>
              <w:rPr>
                <w:color w:val="auto"/>
                <w:szCs w:val="21"/>
              </w:rPr>
            </w:pPr>
            <w:r>
              <w:rPr>
                <w:rFonts w:hint="eastAsia" w:eastAsiaTheme="minorEastAsia"/>
                <w:color w:val="auto"/>
                <w:szCs w:val="21"/>
              </w:rPr>
              <w:t>翻板</w:t>
            </w:r>
            <w:r>
              <w:rPr>
                <w:rFonts w:hint="eastAsia" w:eastAsiaTheme="minorEastAsia"/>
                <w:color w:val="auto"/>
                <w:szCs w:val="21"/>
                <w:lang w:val="en-US" w:eastAsia="zh-CN"/>
              </w:rPr>
              <w:t>机</w:t>
            </w:r>
          </w:p>
        </w:tc>
        <w:tc>
          <w:tcPr>
            <w:tcW w:w="1181" w:type="dxa"/>
            <w:vAlign w:val="center"/>
          </w:tcPr>
          <w:p>
            <w:pPr>
              <w:spacing w:line="0" w:lineRule="atLeast"/>
              <w:jc w:val="center"/>
              <w:rPr>
                <w:snapToGrid w:val="0"/>
                <w:color w:val="auto"/>
                <w:szCs w:val="21"/>
              </w:rPr>
            </w:pPr>
            <w:r>
              <w:rPr>
                <w:rFonts w:hint="eastAsia"/>
                <w:snapToGrid w:val="0"/>
                <w:color w:val="auto"/>
                <w:szCs w:val="21"/>
              </w:rPr>
              <w:t>70</w:t>
            </w:r>
          </w:p>
        </w:tc>
        <w:tc>
          <w:tcPr>
            <w:tcW w:w="1181" w:type="dxa"/>
            <w:vMerge w:val="continue"/>
            <w:vAlign w:val="center"/>
          </w:tcPr>
          <w:p>
            <w:pPr>
              <w:pStyle w:val="143"/>
              <w:spacing w:line="0" w:lineRule="atLeast"/>
              <w:ind w:firstLine="0" w:firstLineChars="0"/>
              <w:jc w:val="center"/>
              <w:rPr>
                <w:snapToGrid w:val="0"/>
                <w:color w:val="FF0000"/>
                <w:sz w:val="21"/>
                <w:szCs w:val="21"/>
              </w:rPr>
            </w:pP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lang w:val="en-US" w:eastAsia="zh-CN"/>
              </w:rPr>
              <w:t>-</w:t>
            </w:r>
            <w:r>
              <w:rPr>
                <w:rFonts w:hint="eastAsia"/>
                <w:color w:val="auto"/>
                <w:sz w:val="21"/>
                <w:szCs w:val="21"/>
              </w:rPr>
              <w:t>58</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55</w:t>
            </w:r>
          </w:p>
        </w:tc>
        <w:tc>
          <w:tcPr>
            <w:tcW w:w="713" w:type="dxa"/>
            <w:vAlign w:val="center"/>
          </w:tcPr>
          <w:p>
            <w:pPr>
              <w:pStyle w:val="143"/>
              <w:spacing w:line="0" w:lineRule="atLeast"/>
              <w:ind w:firstLine="0" w:firstLineChars="0"/>
              <w:jc w:val="center"/>
              <w:rPr>
                <w:color w:val="auto"/>
                <w:sz w:val="21"/>
                <w:szCs w:val="21"/>
              </w:rPr>
            </w:pPr>
            <w:r>
              <w:rPr>
                <w:rFonts w:hint="eastAsia"/>
                <w:color w:val="auto"/>
                <w:sz w:val="21"/>
                <w:szCs w:val="21"/>
              </w:rPr>
              <w:t>3</w:t>
            </w:r>
          </w:p>
        </w:tc>
        <w:tc>
          <w:tcPr>
            <w:tcW w:w="944" w:type="dxa"/>
            <w:vAlign w:val="center"/>
          </w:tcPr>
          <w:p>
            <w:pPr>
              <w:pStyle w:val="143"/>
              <w:spacing w:line="0" w:lineRule="atLeast"/>
              <w:ind w:firstLine="0" w:firstLineChars="0"/>
              <w:jc w:val="center"/>
              <w:rPr>
                <w:color w:val="auto"/>
                <w:sz w:val="21"/>
                <w:szCs w:val="21"/>
              </w:rPr>
            </w:pPr>
            <w:r>
              <w:rPr>
                <w:rFonts w:hint="eastAsia"/>
                <w:color w:val="auto"/>
                <w:sz w:val="21"/>
                <w:szCs w:val="21"/>
              </w:rPr>
              <w:t>6</w:t>
            </w:r>
          </w:p>
        </w:tc>
        <w:tc>
          <w:tcPr>
            <w:tcW w:w="1180" w:type="dxa"/>
            <w:vAlign w:val="center"/>
          </w:tcPr>
          <w:p>
            <w:pPr>
              <w:pStyle w:val="143"/>
              <w:spacing w:line="0" w:lineRule="atLeast"/>
              <w:ind w:firstLine="0" w:firstLineChars="0"/>
              <w:jc w:val="center"/>
              <w:rPr>
                <w:color w:val="auto"/>
                <w:sz w:val="21"/>
                <w:szCs w:val="21"/>
              </w:rPr>
            </w:pPr>
            <w:r>
              <w:rPr>
                <w:rFonts w:hint="eastAsia"/>
                <w:color w:val="auto"/>
                <w:sz w:val="21"/>
                <w:szCs w:val="21"/>
              </w:rPr>
              <w:t>54.4</w:t>
            </w:r>
          </w:p>
        </w:tc>
        <w:tc>
          <w:tcPr>
            <w:tcW w:w="712" w:type="dxa"/>
            <w:vAlign w:val="center"/>
          </w:tcPr>
          <w:p>
            <w:pPr>
              <w:pStyle w:val="143"/>
              <w:spacing w:line="0" w:lineRule="atLeast"/>
              <w:ind w:firstLine="0" w:firstLineChars="0"/>
              <w:jc w:val="center"/>
              <w:rPr>
                <w:color w:val="auto"/>
                <w:sz w:val="21"/>
                <w:szCs w:val="21"/>
              </w:rPr>
            </w:pPr>
            <w:r>
              <w:rPr>
                <w:rFonts w:hint="eastAsia"/>
                <w:color w:val="auto"/>
                <w:sz w:val="21"/>
                <w:szCs w:val="21"/>
              </w:rPr>
              <w:t>连续</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20</w:t>
            </w:r>
          </w:p>
        </w:tc>
        <w:tc>
          <w:tcPr>
            <w:tcW w:w="1181" w:type="dxa"/>
            <w:vAlign w:val="center"/>
          </w:tcPr>
          <w:p>
            <w:pPr>
              <w:pStyle w:val="143"/>
              <w:spacing w:line="0" w:lineRule="atLeast"/>
              <w:ind w:firstLine="0" w:firstLineChars="0"/>
              <w:jc w:val="center"/>
              <w:rPr>
                <w:color w:val="auto"/>
                <w:sz w:val="21"/>
                <w:szCs w:val="21"/>
              </w:rPr>
            </w:pPr>
            <w:r>
              <w:rPr>
                <w:rFonts w:hint="eastAsia"/>
                <w:color w:val="auto"/>
                <w:sz w:val="21"/>
                <w:szCs w:val="21"/>
              </w:rPr>
              <w:t>34.4</w:t>
            </w:r>
          </w:p>
        </w:tc>
        <w:tc>
          <w:tcPr>
            <w:tcW w:w="1183" w:type="dxa"/>
            <w:vAlign w:val="center"/>
          </w:tcPr>
          <w:p>
            <w:pPr>
              <w:pStyle w:val="143"/>
              <w:spacing w:line="0" w:lineRule="atLeast"/>
              <w:ind w:firstLine="0" w:firstLineChars="0"/>
              <w:jc w:val="center"/>
              <w:rPr>
                <w:color w:val="auto"/>
                <w:sz w:val="21"/>
                <w:szCs w:val="21"/>
              </w:rPr>
            </w:pPr>
            <w:r>
              <w:rPr>
                <w:rFonts w:hint="eastAsia"/>
                <w:color w:val="auto"/>
                <w:sz w:val="21"/>
                <w:szCs w:val="21"/>
              </w:rPr>
              <w:t>1m</w:t>
            </w:r>
          </w:p>
        </w:tc>
        <w:tc>
          <w:tcPr>
            <w:tcW w:w="682" w:type="dxa"/>
            <w:vMerge w:val="continue"/>
            <w:vAlign w:val="center"/>
          </w:tcPr>
          <w:p>
            <w:pPr>
              <w:pStyle w:val="143"/>
              <w:spacing w:line="0" w:lineRule="atLeas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712" w:type="dxa"/>
            <w:vAlign w:val="center"/>
          </w:tcPr>
          <w:p>
            <w:pPr>
              <w:pStyle w:val="143"/>
              <w:spacing w:line="0" w:lineRule="atLeast"/>
              <w:ind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eastAsia"/>
                <w:color w:val="auto"/>
                <w:sz w:val="21"/>
                <w:szCs w:val="21"/>
              </w:rPr>
              <w:t>11</w:t>
            </w:r>
          </w:p>
        </w:tc>
        <w:tc>
          <w:tcPr>
            <w:tcW w:w="712" w:type="dxa"/>
            <w:vMerge w:val="continue"/>
            <w:vAlign w:val="center"/>
          </w:tcPr>
          <w:p>
            <w:pPr>
              <w:pStyle w:val="727"/>
              <w:spacing w:after="0" w:line="0" w:lineRule="atLeast"/>
              <w:textAlignment w:val="center"/>
              <w:rPr>
                <w:rFonts w:hAnsi="宋体"/>
                <w:color w:val="auto"/>
                <w:kern w:val="2"/>
                <w:sz w:val="21"/>
                <w:szCs w:val="21"/>
              </w:rPr>
            </w:pPr>
          </w:p>
        </w:tc>
        <w:tc>
          <w:tcPr>
            <w:tcW w:w="1415" w:type="dxa"/>
            <w:vAlign w:val="center"/>
          </w:tcPr>
          <w:p>
            <w:pPr>
              <w:spacing w:line="0" w:lineRule="atLeast"/>
              <w:jc w:val="center"/>
              <w:rPr>
                <w:color w:val="auto"/>
                <w:szCs w:val="21"/>
              </w:rPr>
            </w:pPr>
            <w:r>
              <w:rPr>
                <w:rFonts w:hint="eastAsia" w:eastAsiaTheme="minorEastAsia"/>
                <w:color w:val="auto"/>
                <w:szCs w:val="21"/>
                <w:lang w:val="en-US" w:eastAsia="zh-CN"/>
              </w:rPr>
              <w:t>洗胃机</w:t>
            </w:r>
          </w:p>
        </w:tc>
        <w:tc>
          <w:tcPr>
            <w:tcW w:w="1181" w:type="dxa"/>
            <w:vAlign w:val="center"/>
          </w:tcPr>
          <w:p>
            <w:pPr>
              <w:spacing w:line="0" w:lineRule="atLeast"/>
              <w:jc w:val="center"/>
              <w:rPr>
                <w:snapToGrid w:val="0"/>
                <w:color w:val="auto"/>
                <w:szCs w:val="21"/>
              </w:rPr>
            </w:pPr>
            <w:r>
              <w:rPr>
                <w:rFonts w:hint="eastAsia"/>
                <w:snapToGrid w:val="0"/>
                <w:color w:val="auto"/>
                <w:szCs w:val="21"/>
              </w:rPr>
              <w:t>70</w:t>
            </w:r>
          </w:p>
        </w:tc>
        <w:tc>
          <w:tcPr>
            <w:tcW w:w="1181" w:type="dxa"/>
            <w:vMerge w:val="continue"/>
            <w:vAlign w:val="center"/>
          </w:tcPr>
          <w:p>
            <w:pPr>
              <w:pStyle w:val="143"/>
              <w:spacing w:line="0" w:lineRule="atLeast"/>
              <w:ind w:firstLine="0" w:firstLineChars="0"/>
              <w:jc w:val="center"/>
              <w:rPr>
                <w:snapToGrid w:val="0"/>
                <w:color w:val="FF0000"/>
                <w:sz w:val="21"/>
                <w:szCs w:val="21"/>
              </w:rPr>
            </w:pP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lang w:val="en-US" w:eastAsia="zh-CN"/>
              </w:rPr>
              <w:t>-</w:t>
            </w:r>
            <w:r>
              <w:rPr>
                <w:rFonts w:hint="eastAsia"/>
                <w:color w:val="auto"/>
                <w:sz w:val="21"/>
                <w:szCs w:val="21"/>
              </w:rPr>
              <w:t>57</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60</w:t>
            </w:r>
          </w:p>
        </w:tc>
        <w:tc>
          <w:tcPr>
            <w:tcW w:w="713" w:type="dxa"/>
            <w:vAlign w:val="center"/>
          </w:tcPr>
          <w:p>
            <w:pPr>
              <w:pStyle w:val="143"/>
              <w:spacing w:line="0" w:lineRule="atLeast"/>
              <w:ind w:firstLine="0" w:firstLineChars="0"/>
              <w:jc w:val="center"/>
              <w:rPr>
                <w:color w:val="auto"/>
                <w:sz w:val="21"/>
                <w:szCs w:val="21"/>
              </w:rPr>
            </w:pPr>
            <w:r>
              <w:rPr>
                <w:rFonts w:hint="eastAsia"/>
                <w:color w:val="auto"/>
                <w:sz w:val="21"/>
                <w:szCs w:val="21"/>
              </w:rPr>
              <w:t>3</w:t>
            </w:r>
          </w:p>
        </w:tc>
        <w:tc>
          <w:tcPr>
            <w:tcW w:w="944" w:type="dxa"/>
            <w:vAlign w:val="center"/>
          </w:tcPr>
          <w:p>
            <w:pPr>
              <w:pStyle w:val="143"/>
              <w:spacing w:line="0" w:lineRule="atLeast"/>
              <w:ind w:firstLine="0" w:firstLineChars="0"/>
              <w:jc w:val="center"/>
              <w:rPr>
                <w:color w:val="auto"/>
                <w:sz w:val="21"/>
                <w:szCs w:val="21"/>
              </w:rPr>
            </w:pPr>
            <w:r>
              <w:rPr>
                <w:rFonts w:hint="eastAsia"/>
                <w:color w:val="auto"/>
                <w:sz w:val="21"/>
                <w:szCs w:val="21"/>
              </w:rPr>
              <w:t>7</w:t>
            </w:r>
          </w:p>
        </w:tc>
        <w:tc>
          <w:tcPr>
            <w:tcW w:w="1180" w:type="dxa"/>
            <w:vAlign w:val="center"/>
          </w:tcPr>
          <w:p>
            <w:pPr>
              <w:pStyle w:val="143"/>
              <w:spacing w:line="0" w:lineRule="atLeast"/>
              <w:ind w:firstLine="0" w:firstLineChars="0"/>
              <w:jc w:val="center"/>
              <w:rPr>
                <w:color w:val="auto"/>
                <w:sz w:val="21"/>
                <w:szCs w:val="21"/>
              </w:rPr>
            </w:pPr>
            <w:r>
              <w:rPr>
                <w:rFonts w:hint="eastAsia"/>
                <w:color w:val="auto"/>
                <w:sz w:val="21"/>
                <w:szCs w:val="21"/>
              </w:rPr>
              <w:t>53.0</w:t>
            </w:r>
          </w:p>
        </w:tc>
        <w:tc>
          <w:tcPr>
            <w:tcW w:w="712" w:type="dxa"/>
            <w:vAlign w:val="center"/>
          </w:tcPr>
          <w:p>
            <w:pPr>
              <w:pStyle w:val="143"/>
              <w:spacing w:line="0" w:lineRule="atLeast"/>
              <w:ind w:firstLine="0" w:firstLineChars="0"/>
              <w:jc w:val="center"/>
              <w:rPr>
                <w:color w:val="auto"/>
                <w:sz w:val="21"/>
                <w:szCs w:val="21"/>
              </w:rPr>
            </w:pPr>
            <w:r>
              <w:rPr>
                <w:rFonts w:hint="eastAsia"/>
                <w:color w:val="auto"/>
                <w:sz w:val="21"/>
                <w:szCs w:val="21"/>
              </w:rPr>
              <w:t>连续</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20</w:t>
            </w:r>
          </w:p>
        </w:tc>
        <w:tc>
          <w:tcPr>
            <w:tcW w:w="1181" w:type="dxa"/>
            <w:vAlign w:val="center"/>
          </w:tcPr>
          <w:p>
            <w:pPr>
              <w:pStyle w:val="143"/>
              <w:spacing w:line="0" w:lineRule="atLeast"/>
              <w:ind w:firstLine="0" w:firstLineChars="0"/>
              <w:jc w:val="center"/>
              <w:rPr>
                <w:color w:val="auto"/>
                <w:sz w:val="21"/>
                <w:szCs w:val="21"/>
              </w:rPr>
            </w:pPr>
            <w:r>
              <w:rPr>
                <w:rFonts w:hint="eastAsia"/>
                <w:color w:val="auto"/>
                <w:sz w:val="21"/>
                <w:szCs w:val="21"/>
              </w:rPr>
              <w:t>33.0</w:t>
            </w:r>
          </w:p>
        </w:tc>
        <w:tc>
          <w:tcPr>
            <w:tcW w:w="1183" w:type="dxa"/>
            <w:vAlign w:val="center"/>
          </w:tcPr>
          <w:p>
            <w:pPr>
              <w:pStyle w:val="143"/>
              <w:spacing w:line="0" w:lineRule="atLeast"/>
              <w:ind w:firstLine="0" w:firstLineChars="0"/>
              <w:jc w:val="center"/>
              <w:rPr>
                <w:color w:val="auto"/>
                <w:sz w:val="21"/>
                <w:szCs w:val="21"/>
              </w:rPr>
            </w:pPr>
            <w:r>
              <w:rPr>
                <w:rFonts w:hint="eastAsia"/>
                <w:color w:val="auto"/>
                <w:sz w:val="21"/>
                <w:szCs w:val="21"/>
              </w:rPr>
              <w:t>1m</w:t>
            </w:r>
          </w:p>
        </w:tc>
        <w:tc>
          <w:tcPr>
            <w:tcW w:w="682" w:type="dxa"/>
            <w:vMerge w:val="continue"/>
            <w:vAlign w:val="center"/>
          </w:tcPr>
          <w:p>
            <w:pPr>
              <w:pStyle w:val="143"/>
              <w:spacing w:line="0" w:lineRule="atLeas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712" w:type="dxa"/>
            <w:vAlign w:val="center"/>
          </w:tcPr>
          <w:p>
            <w:pPr>
              <w:pStyle w:val="143"/>
              <w:spacing w:line="0" w:lineRule="atLeast"/>
              <w:ind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eastAsia"/>
                <w:color w:val="auto"/>
                <w:sz w:val="21"/>
                <w:szCs w:val="21"/>
                <w:lang w:val="en-US" w:eastAsia="zh-CN"/>
              </w:rPr>
              <w:t>12</w:t>
            </w:r>
          </w:p>
        </w:tc>
        <w:tc>
          <w:tcPr>
            <w:tcW w:w="712" w:type="dxa"/>
            <w:vMerge w:val="continue"/>
            <w:vAlign w:val="center"/>
          </w:tcPr>
          <w:p>
            <w:pPr>
              <w:pStyle w:val="727"/>
              <w:spacing w:after="0" w:line="0" w:lineRule="atLeast"/>
              <w:textAlignment w:val="center"/>
              <w:rPr>
                <w:rFonts w:hAnsi="宋体"/>
                <w:color w:val="auto"/>
                <w:kern w:val="2"/>
                <w:sz w:val="21"/>
                <w:szCs w:val="21"/>
              </w:rPr>
            </w:pPr>
          </w:p>
        </w:tc>
        <w:tc>
          <w:tcPr>
            <w:tcW w:w="1415" w:type="dxa"/>
            <w:vAlign w:val="center"/>
          </w:tcPr>
          <w:p>
            <w:pPr>
              <w:spacing w:line="0" w:lineRule="atLeast"/>
              <w:jc w:val="center"/>
              <w:rPr>
                <w:color w:val="auto"/>
                <w:szCs w:val="21"/>
              </w:rPr>
            </w:pPr>
            <w:r>
              <w:rPr>
                <w:rFonts w:hint="eastAsia"/>
                <w:color w:val="auto"/>
                <w:szCs w:val="21"/>
              </w:rPr>
              <w:t>风机</w:t>
            </w:r>
          </w:p>
        </w:tc>
        <w:tc>
          <w:tcPr>
            <w:tcW w:w="1181" w:type="dxa"/>
            <w:vAlign w:val="center"/>
          </w:tcPr>
          <w:p>
            <w:pPr>
              <w:spacing w:line="0" w:lineRule="atLeast"/>
              <w:jc w:val="center"/>
              <w:rPr>
                <w:snapToGrid w:val="0"/>
                <w:color w:val="auto"/>
                <w:szCs w:val="21"/>
              </w:rPr>
            </w:pPr>
            <w:r>
              <w:rPr>
                <w:rFonts w:hint="eastAsia"/>
                <w:snapToGrid w:val="0"/>
                <w:color w:val="auto"/>
                <w:szCs w:val="21"/>
              </w:rPr>
              <w:t>90</w:t>
            </w:r>
          </w:p>
        </w:tc>
        <w:tc>
          <w:tcPr>
            <w:tcW w:w="1181" w:type="dxa"/>
            <w:vMerge w:val="continue"/>
            <w:vAlign w:val="center"/>
          </w:tcPr>
          <w:p>
            <w:pPr>
              <w:pStyle w:val="143"/>
              <w:spacing w:line="0" w:lineRule="atLeast"/>
              <w:ind w:firstLine="0" w:firstLineChars="0"/>
              <w:jc w:val="center"/>
              <w:rPr>
                <w:snapToGrid w:val="0"/>
                <w:color w:val="FF0000"/>
                <w:sz w:val="21"/>
                <w:szCs w:val="21"/>
              </w:rPr>
            </w:pP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lang w:val="en-US" w:eastAsia="zh-CN"/>
              </w:rPr>
              <w:t>-</w:t>
            </w:r>
            <w:r>
              <w:rPr>
                <w:rFonts w:hint="eastAsia"/>
                <w:color w:val="auto"/>
                <w:sz w:val="21"/>
                <w:szCs w:val="21"/>
              </w:rPr>
              <w:t>62</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56</w:t>
            </w:r>
          </w:p>
        </w:tc>
        <w:tc>
          <w:tcPr>
            <w:tcW w:w="713" w:type="dxa"/>
            <w:vAlign w:val="center"/>
          </w:tcPr>
          <w:p>
            <w:pPr>
              <w:pStyle w:val="143"/>
              <w:spacing w:line="0" w:lineRule="atLeast"/>
              <w:ind w:firstLine="0" w:firstLineChars="0"/>
              <w:jc w:val="center"/>
              <w:rPr>
                <w:color w:val="auto"/>
                <w:sz w:val="21"/>
                <w:szCs w:val="21"/>
              </w:rPr>
            </w:pPr>
            <w:r>
              <w:rPr>
                <w:rFonts w:hint="eastAsia"/>
                <w:color w:val="auto"/>
                <w:sz w:val="21"/>
                <w:szCs w:val="21"/>
              </w:rPr>
              <w:t>4</w:t>
            </w:r>
          </w:p>
        </w:tc>
        <w:tc>
          <w:tcPr>
            <w:tcW w:w="944" w:type="dxa"/>
            <w:vAlign w:val="center"/>
          </w:tcPr>
          <w:p>
            <w:pPr>
              <w:pStyle w:val="143"/>
              <w:spacing w:line="0" w:lineRule="atLeast"/>
              <w:ind w:firstLine="0" w:firstLineChars="0"/>
              <w:jc w:val="center"/>
              <w:rPr>
                <w:color w:val="auto"/>
                <w:sz w:val="21"/>
                <w:szCs w:val="21"/>
              </w:rPr>
            </w:pPr>
            <w:r>
              <w:rPr>
                <w:rFonts w:hint="eastAsia"/>
                <w:color w:val="auto"/>
                <w:sz w:val="21"/>
                <w:szCs w:val="21"/>
              </w:rPr>
              <w:t>2</w:t>
            </w:r>
          </w:p>
        </w:tc>
        <w:tc>
          <w:tcPr>
            <w:tcW w:w="1180" w:type="dxa"/>
            <w:vAlign w:val="center"/>
          </w:tcPr>
          <w:p>
            <w:pPr>
              <w:pStyle w:val="143"/>
              <w:spacing w:line="0" w:lineRule="atLeast"/>
              <w:ind w:firstLine="0" w:firstLineChars="0"/>
              <w:jc w:val="center"/>
              <w:rPr>
                <w:color w:val="auto"/>
                <w:sz w:val="21"/>
                <w:szCs w:val="21"/>
              </w:rPr>
            </w:pPr>
            <w:r>
              <w:rPr>
                <w:rFonts w:hint="eastAsia"/>
                <w:color w:val="auto"/>
                <w:sz w:val="21"/>
                <w:szCs w:val="21"/>
              </w:rPr>
              <w:t>83.9</w:t>
            </w:r>
          </w:p>
        </w:tc>
        <w:tc>
          <w:tcPr>
            <w:tcW w:w="712" w:type="dxa"/>
            <w:vAlign w:val="center"/>
          </w:tcPr>
          <w:p>
            <w:pPr>
              <w:pStyle w:val="143"/>
              <w:spacing w:line="0" w:lineRule="atLeast"/>
              <w:ind w:firstLine="0" w:firstLineChars="0"/>
              <w:jc w:val="center"/>
              <w:rPr>
                <w:color w:val="auto"/>
                <w:sz w:val="21"/>
                <w:szCs w:val="21"/>
              </w:rPr>
            </w:pPr>
            <w:r>
              <w:rPr>
                <w:rFonts w:hint="eastAsia"/>
                <w:color w:val="auto"/>
                <w:sz w:val="21"/>
                <w:szCs w:val="21"/>
              </w:rPr>
              <w:t>连续</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20</w:t>
            </w:r>
          </w:p>
        </w:tc>
        <w:tc>
          <w:tcPr>
            <w:tcW w:w="1181" w:type="dxa"/>
            <w:vAlign w:val="center"/>
          </w:tcPr>
          <w:p>
            <w:pPr>
              <w:pStyle w:val="143"/>
              <w:spacing w:line="0" w:lineRule="atLeast"/>
              <w:ind w:firstLine="0" w:firstLineChars="0"/>
              <w:jc w:val="center"/>
              <w:rPr>
                <w:color w:val="auto"/>
                <w:sz w:val="21"/>
                <w:szCs w:val="21"/>
              </w:rPr>
            </w:pPr>
            <w:r>
              <w:rPr>
                <w:rFonts w:hint="eastAsia"/>
                <w:color w:val="auto"/>
                <w:sz w:val="21"/>
                <w:szCs w:val="21"/>
              </w:rPr>
              <w:t>63.9</w:t>
            </w:r>
          </w:p>
        </w:tc>
        <w:tc>
          <w:tcPr>
            <w:tcW w:w="1183" w:type="dxa"/>
            <w:vAlign w:val="center"/>
          </w:tcPr>
          <w:p>
            <w:pPr>
              <w:pStyle w:val="143"/>
              <w:spacing w:line="0" w:lineRule="atLeast"/>
              <w:ind w:firstLine="0" w:firstLineChars="0"/>
              <w:jc w:val="center"/>
              <w:rPr>
                <w:color w:val="auto"/>
                <w:sz w:val="21"/>
                <w:szCs w:val="21"/>
              </w:rPr>
            </w:pPr>
            <w:r>
              <w:rPr>
                <w:rFonts w:hint="eastAsia"/>
                <w:color w:val="auto"/>
                <w:sz w:val="21"/>
                <w:szCs w:val="21"/>
              </w:rPr>
              <w:t>1m</w:t>
            </w:r>
          </w:p>
        </w:tc>
        <w:tc>
          <w:tcPr>
            <w:tcW w:w="682" w:type="dxa"/>
            <w:vMerge w:val="continue"/>
            <w:vAlign w:val="center"/>
          </w:tcPr>
          <w:p>
            <w:pPr>
              <w:pStyle w:val="143"/>
              <w:spacing w:line="0" w:lineRule="atLeas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712" w:type="dxa"/>
            <w:vAlign w:val="center"/>
          </w:tcPr>
          <w:p>
            <w:pPr>
              <w:pStyle w:val="143"/>
              <w:spacing w:line="0" w:lineRule="atLeast"/>
              <w:ind w:firstLine="0" w:firstLineChars="0"/>
              <w:jc w:val="center"/>
              <w:rPr>
                <w:rFonts w:hint="eastAsia" w:ascii="Times New Roman" w:hAnsi="Times New Roman" w:eastAsia="宋体" w:cs="Times New Roman"/>
                <w:b w:val="0"/>
                <w:bCs w:val="0"/>
                <w:color w:val="auto"/>
                <w:kern w:val="2"/>
                <w:sz w:val="21"/>
                <w:szCs w:val="21"/>
                <w:lang w:val="en-US" w:eastAsia="zh-CN" w:bidi="ar-SA"/>
              </w:rPr>
            </w:pPr>
            <w:r>
              <w:rPr>
                <w:rFonts w:hint="eastAsia"/>
                <w:color w:val="auto"/>
                <w:sz w:val="21"/>
                <w:szCs w:val="21"/>
                <w:lang w:val="en-US" w:eastAsia="zh-CN"/>
              </w:rPr>
              <w:t>13</w:t>
            </w:r>
          </w:p>
        </w:tc>
        <w:tc>
          <w:tcPr>
            <w:tcW w:w="712" w:type="dxa"/>
            <w:vMerge w:val="continue"/>
            <w:vAlign w:val="center"/>
          </w:tcPr>
          <w:p>
            <w:pPr>
              <w:pStyle w:val="727"/>
              <w:spacing w:after="0" w:line="0" w:lineRule="atLeast"/>
              <w:textAlignment w:val="center"/>
              <w:rPr>
                <w:rFonts w:hAnsi="宋体"/>
                <w:color w:val="auto"/>
                <w:kern w:val="2"/>
                <w:sz w:val="21"/>
                <w:szCs w:val="21"/>
              </w:rPr>
            </w:pPr>
          </w:p>
        </w:tc>
        <w:tc>
          <w:tcPr>
            <w:tcW w:w="1415" w:type="dxa"/>
            <w:vAlign w:val="center"/>
          </w:tcPr>
          <w:p>
            <w:pPr>
              <w:spacing w:line="0" w:lineRule="atLeast"/>
              <w:jc w:val="center"/>
              <w:rPr>
                <w:rFonts w:hint="eastAsia" w:eastAsia="宋体"/>
                <w:color w:val="auto"/>
                <w:szCs w:val="21"/>
                <w:lang w:val="en-US" w:eastAsia="zh-CN"/>
              </w:rPr>
            </w:pPr>
            <w:r>
              <w:rPr>
                <w:rFonts w:hint="eastAsia"/>
                <w:color w:val="auto"/>
                <w:szCs w:val="21"/>
                <w:lang w:val="en-US" w:eastAsia="zh-CN"/>
              </w:rPr>
              <w:t>水泵</w:t>
            </w:r>
          </w:p>
        </w:tc>
        <w:tc>
          <w:tcPr>
            <w:tcW w:w="1181" w:type="dxa"/>
            <w:vAlign w:val="center"/>
          </w:tcPr>
          <w:p>
            <w:pPr>
              <w:spacing w:line="0" w:lineRule="atLeast"/>
              <w:jc w:val="center"/>
              <w:rPr>
                <w:rFonts w:hint="default" w:eastAsia="宋体"/>
                <w:snapToGrid w:val="0"/>
                <w:color w:val="auto"/>
                <w:szCs w:val="21"/>
                <w:lang w:val="en-US" w:eastAsia="zh-CN"/>
              </w:rPr>
            </w:pPr>
            <w:r>
              <w:rPr>
                <w:rFonts w:hint="eastAsia"/>
                <w:snapToGrid w:val="0"/>
                <w:color w:val="auto"/>
                <w:szCs w:val="21"/>
                <w:lang w:val="en-US" w:eastAsia="zh-CN"/>
              </w:rPr>
              <w:t>85</w:t>
            </w:r>
          </w:p>
        </w:tc>
        <w:tc>
          <w:tcPr>
            <w:tcW w:w="1181" w:type="dxa"/>
            <w:vMerge w:val="continue"/>
            <w:vAlign w:val="center"/>
          </w:tcPr>
          <w:p>
            <w:pPr>
              <w:pStyle w:val="143"/>
              <w:spacing w:line="0" w:lineRule="atLeast"/>
              <w:ind w:firstLine="0" w:firstLineChars="0"/>
              <w:jc w:val="center"/>
              <w:rPr>
                <w:snapToGrid w:val="0"/>
                <w:color w:val="FF0000"/>
                <w:sz w:val="21"/>
                <w:szCs w:val="21"/>
              </w:rPr>
            </w:pPr>
          </w:p>
        </w:tc>
        <w:tc>
          <w:tcPr>
            <w:tcW w:w="710"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-80</w:t>
            </w:r>
          </w:p>
        </w:tc>
        <w:tc>
          <w:tcPr>
            <w:tcW w:w="710"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70</w:t>
            </w:r>
          </w:p>
        </w:tc>
        <w:tc>
          <w:tcPr>
            <w:tcW w:w="713" w:type="dxa"/>
            <w:vAlign w:val="center"/>
          </w:tcPr>
          <w:p>
            <w:pPr>
              <w:pStyle w:val="143"/>
              <w:spacing w:line="0" w:lineRule="atLeast"/>
              <w:ind w:firstLine="0" w:firstLineChars="0"/>
              <w:jc w:val="center"/>
              <w:rPr>
                <w:rFonts w:hint="eastAsia" w:eastAsia="宋体"/>
                <w:color w:val="auto"/>
                <w:sz w:val="21"/>
                <w:szCs w:val="21"/>
                <w:lang w:val="en-US" w:eastAsia="zh-CN"/>
              </w:rPr>
            </w:pPr>
            <w:r>
              <w:rPr>
                <w:rFonts w:hint="eastAsia"/>
                <w:color w:val="auto"/>
                <w:sz w:val="21"/>
                <w:szCs w:val="21"/>
                <w:lang w:val="en-US" w:eastAsia="zh-CN"/>
              </w:rPr>
              <w:t>1</w:t>
            </w:r>
          </w:p>
        </w:tc>
        <w:tc>
          <w:tcPr>
            <w:tcW w:w="944" w:type="dxa"/>
            <w:vAlign w:val="center"/>
          </w:tcPr>
          <w:p>
            <w:pPr>
              <w:pStyle w:val="143"/>
              <w:spacing w:line="0" w:lineRule="atLeast"/>
              <w:ind w:firstLine="0" w:firstLineChars="0"/>
              <w:jc w:val="center"/>
              <w:rPr>
                <w:rFonts w:hint="eastAsia" w:eastAsia="宋体"/>
                <w:color w:val="auto"/>
                <w:sz w:val="21"/>
                <w:szCs w:val="21"/>
                <w:lang w:val="en-US" w:eastAsia="zh-CN"/>
              </w:rPr>
            </w:pPr>
            <w:r>
              <w:rPr>
                <w:rFonts w:hint="eastAsia"/>
                <w:color w:val="auto"/>
                <w:sz w:val="21"/>
                <w:szCs w:val="21"/>
                <w:lang w:val="en-US" w:eastAsia="zh-CN"/>
              </w:rPr>
              <w:t>3</w:t>
            </w:r>
          </w:p>
        </w:tc>
        <w:tc>
          <w:tcPr>
            <w:tcW w:w="1180"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75.5</w:t>
            </w:r>
          </w:p>
        </w:tc>
        <w:tc>
          <w:tcPr>
            <w:tcW w:w="712" w:type="dxa"/>
            <w:vAlign w:val="center"/>
          </w:tcPr>
          <w:p>
            <w:pPr>
              <w:pStyle w:val="143"/>
              <w:spacing w:line="0" w:lineRule="atLeast"/>
              <w:ind w:firstLine="0" w:firstLineChars="0"/>
              <w:jc w:val="center"/>
              <w:rPr>
                <w:rFonts w:hint="eastAsia"/>
                <w:color w:val="auto"/>
                <w:sz w:val="21"/>
                <w:szCs w:val="21"/>
              </w:rPr>
            </w:pPr>
            <w:r>
              <w:rPr>
                <w:rFonts w:hint="eastAsia"/>
                <w:color w:val="auto"/>
                <w:sz w:val="21"/>
                <w:szCs w:val="21"/>
              </w:rPr>
              <w:t>连续</w:t>
            </w:r>
          </w:p>
        </w:tc>
        <w:tc>
          <w:tcPr>
            <w:tcW w:w="710" w:type="dxa"/>
            <w:vAlign w:val="center"/>
          </w:tcPr>
          <w:p>
            <w:pPr>
              <w:pStyle w:val="143"/>
              <w:spacing w:line="0" w:lineRule="atLeast"/>
              <w:ind w:firstLine="0" w:firstLineChars="0"/>
              <w:jc w:val="center"/>
              <w:rPr>
                <w:rFonts w:hint="eastAsia"/>
                <w:color w:val="auto"/>
                <w:sz w:val="21"/>
                <w:szCs w:val="21"/>
              </w:rPr>
            </w:pPr>
            <w:r>
              <w:rPr>
                <w:rFonts w:hint="eastAsia"/>
                <w:color w:val="auto"/>
                <w:sz w:val="21"/>
                <w:szCs w:val="21"/>
              </w:rPr>
              <w:t>20</w:t>
            </w:r>
          </w:p>
        </w:tc>
        <w:tc>
          <w:tcPr>
            <w:tcW w:w="1181"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55.5</w:t>
            </w:r>
          </w:p>
        </w:tc>
        <w:tc>
          <w:tcPr>
            <w:tcW w:w="1183" w:type="dxa"/>
            <w:vAlign w:val="center"/>
          </w:tcPr>
          <w:p>
            <w:pPr>
              <w:pStyle w:val="143"/>
              <w:spacing w:line="0" w:lineRule="atLeast"/>
              <w:ind w:firstLine="0" w:firstLineChars="0"/>
              <w:jc w:val="center"/>
              <w:rPr>
                <w:rFonts w:hint="eastAsia"/>
                <w:color w:val="auto"/>
                <w:sz w:val="21"/>
                <w:szCs w:val="21"/>
              </w:rPr>
            </w:pPr>
            <w:r>
              <w:rPr>
                <w:rFonts w:hint="eastAsia"/>
                <w:color w:val="auto"/>
                <w:sz w:val="21"/>
                <w:szCs w:val="21"/>
              </w:rPr>
              <w:t>1m</w:t>
            </w:r>
          </w:p>
        </w:tc>
        <w:tc>
          <w:tcPr>
            <w:tcW w:w="682" w:type="dxa"/>
            <w:vMerge w:val="continue"/>
            <w:vAlign w:val="center"/>
          </w:tcPr>
          <w:p>
            <w:pPr>
              <w:pStyle w:val="143"/>
              <w:spacing w:line="0" w:lineRule="atLeas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712" w:type="dxa"/>
            <w:vAlign w:val="center"/>
          </w:tcPr>
          <w:p>
            <w:pPr>
              <w:pStyle w:val="143"/>
              <w:spacing w:line="0" w:lineRule="atLeast"/>
              <w:ind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eastAsia"/>
                <w:color w:val="auto"/>
                <w:sz w:val="21"/>
                <w:szCs w:val="21"/>
                <w:lang w:val="en-US" w:eastAsia="zh-CN"/>
              </w:rPr>
              <w:t>14</w:t>
            </w:r>
          </w:p>
        </w:tc>
        <w:tc>
          <w:tcPr>
            <w:tcW w:w="712" w:type="dxa"/>
            <w:vMerge w:val="restart"/>
            <w:vAlign w:val="center"/>
          </w:tcPr>
          <w:p>
            <w:pPr>
              <w:pStyle w:val="727"/>
              <w:spacing w:after="0" w:line="0" w:lineRule="atLeast"/>
              <w:textAlignment w:val="center"/>
              <w:rPr>
                <w:rFonts w:hAnsi="宋体"/>
                <w:color w:val="auto"/>
                <w:kern w:val="2"/>
                <w:sz w:val="21"/>
                <w:szCs w:val="21"/>
              </w:rPr>
            </w:pPr>
            <w:r>
              <w:rPr>
                <w:rFonts w:hint="eastAsia" w:hAnsi="宋体"/>
                <w:color w:val="auto"/>
                <w:kern w:val="2"/>
                <w:sz w:val="21"/>
                <w:szCs w:val="21"/>
              </w:rPr>
              <w:t>冷库</w:t>
            </w:r>
          </w:p>
        </w:tc>
        <w:tc>
          <w:tcPr>
            <w:tcW w:w="1415" w:type="dxa"/>
            <w:vAlign w:val="center"/>
          </w:tcPr>
          <w:p>
            <w:pPr>
              <w:spacing w:line="0" w:lineRule="atLeast"/>
              <w:jc w:val="center"/>
              <w:rPr>
                <w:color w:val="auto"/>
                <w:szCs w:val="21"/>
              </w:rPr>
            </w:pPr>
            <w:r>
              <w:rPr>
                <w:rFonts w:hint="eastAsia"/>
                <w:color w:val="auto"/>
                <w:szCs w:val="21"/>
              </w:rPr>
              <w:t>压缩机</w:t>
            </w:r>
          </w:p>
        </w:tc>
        <w:tc>
          <w:tcPr>
            <w:tcW w:w="1181" w:type="dxa"/>
            <w:vAlign w:val="center"/>
          </w:tcPr>
          <w:p>
            <w:pPr>
              <w:spacing w:line="0" w:lineRule="atLeast"/>
              <w:jc w:val="center"/>
              <w:rPr>
                <w:snapToGrid w:val="0"/>
                <w:color w:val="auto"/>
                <w:szCs w:val="21"/>
              </w:rPr>
            </w:pPr>
            <w:r>
              <w:rPr>
                <w:rFonts w:hint="eastAsia"/>
                <w:snapToGrid w:val="0"/>
                <w:color w:val="auto"/>
                <w:szCs w:val="21"/>
              </w:rPr>
              <w:t>85</w:t>
            </w:r>
          </w:p>
        </w:tc>
        <w:tc>
          <w:tcPr>
            <w:tcW w:w="1181" w:type="dxa"/>
            <w:vMerge w:val="continue"/>
            <w:vAlign w:val="center"/>
          </w:tcPr>
          <w:p>
            <w:pPr>
              <w:pStyle w:val="143"/>
              <w:spacing w:line="0" w:lineRule="atLeast"/>
              <w:ind w:firstLine="0" w:firstLineChars="0"/>
              <w:jc w:val="center"/>
              <w:rPr>
                <w:snapToGrid w:val="0"/>
                <w:color w:val="FF0000"/>
                <w:sz w:val="21"/>
                <w:szCs w:val="21"/>
              </w:rPr>
            </w:pP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lang w:val="en-US" w:eastAsia="zh-CN"/>
              </w:rPr>
              <w:t>-</w:t>
            </w:r>
            <w:r>
              <w:rPr>
                <w:rFonts w:hint="eastAsia"/>
                <w:color w:val="auto"/>
                <w:sz w:val="21"/>
                <w:szCs w:val="21"/>
              </w:rPr>
              <w:t>15</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17</w:t>
            </w:r>
          </w:p>
        </w:tc>
        <w:tc>
          <w:tcPr>
            <w:tcW w:w="713" w:type="dxa"/>
            <w:vAlign w:val="center"/>
          </w:tcPr>
          <w:p>
            <w:pPr>
              <w:pStyle w:val="143"/>
              <w:spacing w:line="0" w:lineRule="atLeast"/>
              <w:ind w:firstLine="0" w:firstLineChars="0"/>
              <w:jc w:val="center"/>
              <w:rPr>
                <w:color w:val="auto"/>
                <w:sz w:val="21"/>
                <w:szCs w:val="21"/>
              </w:rPr>
            </w:pPr>
            <w:r>
              <w:rPr>
                <w:rFonts w:hint="eastAsia"/>
                <w:color w:val="auto"/>
                <w:sz w:val="21"/>
                <w:szCs w:val="21"/>
              </w:rPr>
              <w:t>1</w:t>
            </w:r>
          </w:p>
        </w:tc>
        <w:tc>
          <w:tcPr>
            <w:tcW w:w="944" w:type="dxa"/>
            <w:vAlign w:val="center"/>
          </w:tcPr>
          <w:p>
            <w:pPr>
              <w:pStyle w:val="143"/>
              <w:spacing w:line="0" w:lineRule="atLeast"/>
              <w:ind w:firstLine="0" w:firstLineChars="0"/>
              <w:jc w:val="center"/>
              <w:rPr>
                <w:color w:val="auto"/>
                <w:sz w:val="21"/>
                <w:szCs w:val="21"/>
              </w:rPr>
            </w:pPr>
            <w:r>
              <w:rPr>
                <w:rFonts w:hint="eastAsia"/>
                <w:color w:val="auto"/>
                <w:sz w:val="21"/>
                <w:szCs w:val="21"/>
              </w:rPr>
              <w:t>5</w:t>
            </w:r>
          </w:p>
        </w:tc>
        <w:tc>
          <w:tcPr>
            <w:tcW w:w="1180" w:type="dxa"/>
            <w:vAlign w:val="center"/>
          </w:tcPr>
          <w:p>
            <w:pPr>
              <w:pStyle w:val="143"/>
              <w:spacing w:line="0" w:lineRule="atLeast"/>
              <w:ind w:firstLine="0" w:firstLineChars="0"/>
              <w:jc w:val="center"/>
              <w:rPr>
                <w:color w:val="auto"/>
                <w:sz w:val="21"/>
                <w:szCs w:val="21"/>
              </w:rPr>
            </w:pPr>
            <w:r>
              <w:rPr>
                <w:rFonts w:hint="eastAsia"/>
                <w:color w:val="auto"/>
                <w:sz w:val="21"/>
                <w:szCs w:val="21"/>
              </w:rPr>
              <w:t>71.0</w:t>
            </w:r>
          </w:p>
        </w:tc>
        <w:tc>
          <w:tcPr>
            <w:tcW w:w="712" w:type="dxa"/>
            <w:vAlign w:val="center"/>
          </w:tcPr>
          <w:p>
            <w:pPr>
              <w:pStyle w:val="143"/>
              <w:spacing w:line="0" w:lineRule="atLeast"/>
              <w:ind w:firstLine="0" w:firstLineChars="0"/>
              <w:jc w:val="center"/>
              <w:rPr>
                <w:color w:val="auto"/>
                <w:sz w:val="21"/>
                <w:szCs w:val="21"/>
              </w:rPr>
            </w:pPr>
            <w:r>
              <w:rPr>
                <w:rFonts w:hint="eastAsia"/>
                <w:color w:val="auto"/>
                <w:sz w:val="21"/>
                <w:szCs w:val="21"/>
              </w:rPr>
              <w:t>连续</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20</w:t>
            </w:r>
          </w:p>
        </w:tc>
        <w:tc>
          <w:tcPr>
            <w:tcW w:w="1181" w:type="dxa"/>
            <w:vAlign w:val="center"/>
          </w:tcPr>
          <w:p>
            <w:pPr>
              <w:pStyle w:val="143"/>
              <w:spacing w:line="0" w:lineRule="atLeast"/>
              <w:ind w:firstLine="0" w:firstLineChars="0"/>
              <w:jc w:val="center"/>
              <w:rPr>
                <w:color w:val="auto"/>
                <w:sz w:val="21"/>
                <w:szCs w:val="21"/>
              </w:rPr>
            </w:pPr>
            <w:r>
              <w:rPr>
                <w:rFonts w:hint="eastAsia"/>
                <w:color w:val="auto"/>
                <w:sz w:val="21"/>
                <w:szCs w:val="21"/>
              </w:rPr>
              <w:t>51.0</w:t>
            </w:r>
          </w:p>
        </w:tc>
        <w:tc>
          <w:tcPr>
            <w:tcW w:w="1183" w:type="dxa"/>
            <w:vAlign w:val="center"/>
          </w:tcPr>
          <w:p>
            <w:pPr>
              <w:pStyle w:val="143"/>
              <w:spacing w:line="0" w:lineRule="atLeast"/>
              <w:ind w:firstLine="0" w:firstLineChars="0"/>
              <w:jc w:val="center"/>
              <w:rPr>
                <w:color w:val="auto"/>
                <w:sz w:val="21"/>
                <w:szCs w:val="21"/>
              </w:rPr>
            </w:pPr>
            <w:r>
              <w:rPr>
                <w:rFonts w:hint="eastAsia"/>
                <w:color w:val="auto"/>
                <w:sz w:val="21"/>
                <w:szCs w:val="21"/>
              </w:rPr>
              <w:t>1m</w:t>
            </w:r>
          </w:p>
        </w:tc>
        <w:tc>
          <w:tcPr>
            <w:tcW w:w="682" w:type="dxa"/>
            <w:vMerge w:val="restart"/>
            <w:vAlign w:val="center"/>
          </w:tcPr>
          <w:p>
            <w:pPr>
              <w:pStyle w:val="143"/>
              <w:spacing w:line="0" w:lineRule="atLeast"/>
              <w:ind w:firstLine="0" w:firstLineChars="0"/>
              <w:jc w:val="center"/>
              <w:rPr>
                <w:color w:val="auto"/>
                <w:sz w:val="21"/>
                <w:szCs w:val="21"/>
              </w:rPr>
            </w:pPr>
            <w:r>
              <w:rPr>
                <w:rFonts w:hint="eastAsia"/>
                <w:snapToGrid w:val="0"/>
                <w:color w:val="auto"/>
                <w:sz w:val="21"/>
                <w:szCs w:val="21"/>
              </w:rPr>
              <w:t>7200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712" w:type="dxa"/>
            <w:vAlign w:val="center"/>
          </w:tcPr>
          <w:p>
            <w:pPr>
              <w:pStyle w:val="143"/>
              <w:spacing w:line="0" w:lineRule="atLeast"/>
              <w:ind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eastAsia"/>
                <w:color w:val="auto"/>
                <w:sz w:val="21"/>
                <w:szCs w:val="21"/>
                <w:lang w:val="en-US" w:eastAsia="zh-CN"/>
              </w:rPr>
              <w:t>15</w:t>
            </w:r>
          </w:p>
        </w:tc>
        <w:tc>
          <w:tcPr>
            <w:tcW w:w="712" w:type="dxa"/>
            <w:vMerge w:val="continue"/>
            <w:vAlign w:val="center"/>
          </w:tcPr>
          <w:p>
            <w:pPr>
              <w:pStyle w:val="727"/>
              <w:spacing w:after="0" w:line="0" w:lineRule="atLeast"/>
              <w:textAlignment w:val="center"/>
              <w:rPr>
                <w:rFonts w:hAnsi="宋体"/>
                <w:color w:val="auto"/>
                <w:kern w:val="2"/>
                <w:sz w:val="21"/>
                <w:szCs w:val="21"/>
              </w:rPr>
            </w:pPr>
          </w:p>
        </w:tc>
        <w:tc>
          <w:tcPr>
            <w:tcW w:w="1415" w:type="dxa"/>
            <w:vAlign w:val="center"/>
          </w:tcPr>
          <w:p>
            <w:pPr>
              <w:spacing w:line="0" w:lineRule="atLeast"/>
              <w:jc w:val="center"/>
              <w:rPr>
                <w:color w:val="auto"/>
                <w:szCs w:val="21"/>
              </w:rPr>
            </w:pPr>
            <w:r>
              <w:rPr>
                <w:rFonts w:hint="eastAsia"/>
                <w:color w:val="auto"/>
                <w:szCs w:val="21"/>
              </w:rPr>
              <w:t>风机</w:t>
            </w:r>
          </w:p>
        </w:tc>
        <w:tc>
          <w:tcPr>
            <w:tcW w:w="1181" w:type="dxa"/>
            <w:vAlign w:val="center"/>
          </w:tcPr>
          <w:p>
            <w:pPr>
              <w:spacing w:line="0" w:lineRule="atLeast"/>
              <w:jc w:val="center"/>
              <w:rPr>
                <w:snapToGrid w:val="0"/>
                <w:color w:val="auto"/>
                <w:szCs w:val="21"/>
              </w:rPr>
            </w:pPr>
            <w:r>
              <w:rPr>
                <w:rFonts w:hint="eastAsia"/>
                <w:snapToGrid w:val="0"/>
                <w:color w:val="auto"/>
                <w:szCs w:val="21"/>
              </w:rPr>
              <w:t>90</w:t>
            </w:r>
          </w:p>
        </w:tc>
        <w:tc>
          <w:tcPr>
            <w:tcW w:w="1181" w:type="dxa"/>
            <w:vMerge w:val="continue"/>
            <w:vAlign w:val="center"/>
          </w:tcPr>
          <w:p>
            <w:pPr>
              <w:pStyle w:val="143"/>
              <w:spacing w:line="0" w:lineRule="atLeast"/>
              <w:ind w:firstLine="0" w:firstLineChars="0"/>
              <w:jc w:val="center"/>
              <w:rPr>
                <w:snapToGrid w:val="0"/>
                <w:color w:val="FF0000"/>
                <w:sz w:val="21"/>
                <w:szCs w:val="21"/>
              </w:rPr>
            </w:pP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lang w:val="en-US" w:eastAsia="zh-CN"/>
              </w:rPr>
              <w:t>-</w:t>
            </w:r>
            <w:r>
              <w:rPr>
                <w:rFonts w:hint="eastAsia"/>
                <w:color w:val="auto"/>
                <w:sz w:val="21"/>
                <w:szCs w:val="21"/>
              </w:rPr>
              <w:t>17</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16</w:t>
            </w:r>
          </w:p>
        </w:tc>
        <w:tc>
          <w:tcPr>
            <w:tcW w:w="713" w:type="dxa"/>
            <w:vAlign w:val="center"/>
          </w:tcPr>
          <w:p>
            <w:pPr>
              <w:pStyle w:val="143"/>
              <w:spacing w:line="0" w:lineRule="atLeast"/>
              <w:ind w:firstLine="0" w:firstLineChars="0"/>
              <w:jc w:val="center"/>
              <w:rPr>
                <w:color w:val="auto"/>
                <w:sz w:val="21"/>
                <w:szCs w:val="21"/>
              </w:rPr>
            </w:pPr>
            <w:r>
              <w:rPr>
                <w:rFonts w:hint="eastAsia"/>
                <w:color w:val="auto"/>
                <w:sz w:val="21"/>
                <w:szCs w:val="21"/>
              </w:rPr>
              <w:t>3</w:t>
            </w:r>
          </w:p>
        </w:tc>
        <w:tc>
          <w:tcPr>
            <w:tcW w:w="944" w:type="dxa"/>
            <w:vAlign w:val="center"/>
          </w:tcPr>
          <w:p>
            <w:pPr>
              <w:pStyle w:val="143"/>
              <w:spacing w:line="0" w:lineRule="atLeast"/>
              <w:ind w:firstLine="0" w:firstLineChars="0"/>
              <w:jc w:val="center"/>
              <w:rPr>
                <w:color w:val="auto"/>
                <w:sz w:val="21"/>
                <w:szCs w:val="21"/>
              </w:rPr>
            </w:pPr>
            <w:r>
              <w:rPr>
                <w:rFonts w:hint="eastAsia"/>
                <w:color w:val="auto"/>
                <w:sz w:val="21"/>
                <w:szCs w:val="21"/>
              </w:rPr>
              <w:t>6</w:t>
            </w:r>
          </w:p>
        </w:tc>
        <w:tc>
          <w:tcPr>
            <w:tcW w:w="1180" w:type="dxa"/>
            <w:vAlign w:val="center"/>
          </w:tcPr>
          <w:p>
            <w:pPr>
              <w:pStyle w:val="143"/>
              <w:spacing w:line="0" w:lineRule="atLeast"/>
              <w:ind w:firstLine="0" w:firstLineChars="0"/>
              <w:jc w:val="center"/>
              <w:rPr>
                <w:color w:val="auto"/>
                <w:sz w:val="21"/>
                <w:szCs w:val="21"/>
              </w:rPr>
            </w:pPr>
            <w:r>
              <w:rPr>
                <w:rFonts w:hint="eastAsia"/>
                <w:color w:val="auto"/>
                <w:sz w:val="21"/>
                <w:szCs w:val="21"/>
              </w:rPr>
              <w:t>74.4</w:t>
            </w:r>
          </w:p>
        </w:tc>
        <w:tc>
          <w:tcPr>
            <w:tcW w:w="712" w:type="dxa"/>
            <w:vAlign w:val="center"/>
          </w:tcPr>
          <w:p>
            <w:pPr>
              <w:pStyle w:val="143"/>
              <w:spacing w:line="0" w:lineRule="atLeast"/>
              <w:ind w:firstLine="0" w:firstLineChars="0"/>
              <w:jc w:val="center"/>
              <w:rPr>
                <w:color w:val="auto"/>
                <w:sz w:val="21"/>
                <w:szCs w:val="21"/>
              </w:rPr>
            </w:pPr>
            <w:r>
              <w:rPr>
                <w:rFonts w:hint="eastAsia"/>
                <w:color w:val="auto"/>
                <w:sz w:val="21"/>
                <w:szCs w:val="21"/>
              </w:rPr>
              <w:t>连续</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20</w:t>
            </w:r>
          </w:p>
        </w:tc>
        <w:tc>
          <w:tcPr>
            <w:tcW w:w="1181" w:type="dxa"/>
            <w:vAlign w:val="center"/>
          </w:tcPr>
          <w:p>
            <w:pPr>
              <w:pStyle w:val="143"/>
              <w:spacing w:line="0" w:lineRule="atLeast"/>
              <w:ind w:firstLine="0" w:firstLineChars="0"/>
              <w:jc w:val="center"/>
              <w:rPr>
                <w:color w:val="auto"/>
                <w:sz w:val="21"/>
                <w:szCs w:val="21"/>
              </w:rPr>
            </w:pPr>
            <w:r>
              <w:rPr>
                <w:rFonts w:hint="eastAsia"/>
                <w:color w:val="auto"/>
                <w:sz w:val="21"/>
                <w:szCs w:val="21"/>
              </w:rPr>
              <w:t>54.4</w:t>
            </w:r>
          </w:p>
        </w:tc>
        <w:tc>
          <w:tcPr>
            <w:tcW w:w="1183" w:type="dxa"/>
            <w:vAlign w:val="center"/>
          </w:tcPr>
          <w:p>
            <w:pPr>
              <w:pStyle w:val="143"/>
              <w:spacing w:line="0" w:lineRule="atLeast"/>
              <w:ind w:firstLine="0" w:firstLineChars="0"/>
              <w:jc w:val="center"/>
              <w:rPr>
                <w:color w:val="auto"/>
                <w:sz w:val="21"/>
                <w:szCs w:val="21"/>
              </w:rPr>
            </w:pPr>
            <w:r>
              <w:rPr>
                <w:rFonts w:hint="eastAsia"/>
                <w:color w:val="auto"/>
                <w:sz w:val="21"/>
                <w:szCs w:val="21"/>
              </w:rPr>
              <w:t>1m</w:t>
            </w:r>
          </w:p>
        </w:tc>
        <w:tc>
          <w:tcPr>
            <w:tcW w:w="682" w:type="dxa"/>
            <w:vMerge w:val="continue"/>
            <w:vAlign w:val="center"/>
          </w:tcPr>
          <w:p>
            <w:pPr>
              <w:pStyle w:val="143"/>
              <w:spacing w:line="0" w:lineRule="atLeast"/>
              <w:ind w:firstLine="0" w:firstLineChars="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712" w:type="dxa"/>
            <w:vAlign w:val="center"/>
          </w:tcPr>
          <w:p>
            <w:pPr>
              <w:pStyle w:val="143"/>
              <w:spacing w:line="0" w:lineRule="atLeast"/>
              <w:ind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eastAsia"/>
                <w:color w:val="auto"/>
                <w:sz w:val="21"/>
                <w:szCs w:val="21"/>
                <w:lang w:val="en-US" w:eastAsia="zh-CN"/>
              </w:rPr>
              <w:t>16</w:t>
            </w:r>
          </w:p>
        </w:tc>
        <w:tc>
          <w:tcPr>
            <w:tcW w:w="712" w:type="dxa"/>
            <w:vAlign w:val="center"/>
          </w:tcPr>
          <w:p>
            <w:pPr>
              <w:pStyle w:val="727"/>
              <w:spacing w:after="0" w:line="0" w:lineRule="atLeast"/>
              <w:textAlignment w:val="center"/>
              <w:rPr>
                <w:rFonts w:hAnsi="宋体"/>
                <w:color w:val="auto"/>
                <w:kern w:val="2"/>
                <w:sz w:val="21"/>
                <w:szCs w:val="21"/>
              </w:rPr>
            </w:pPr>
            <w:r>
              <w:rPr>
                <w:snapToGrid w:val="0"/>
                <w:color w:val="auto"/>
                <w:sz w:val="21"/>
                <w:szCs w:val="21"/>
              </w:rPr>
              <w:t>污水处理站</w:t>
            </w:r>
          </w:p>
        </w:tc>
        <w:tc>
          <w:tcPr>
            <w:tcW w:w="1415" w:type="dxa"/>
            <w:vAlign w:val="center"/>
          </w:tcPr>
          <w:p>
            <w:pPr>
              <w:spacing w:line="0" w:lineRule="atLeast"/>
              <w:jc w:val="center"/>
              <w:rPr>
                <w:color w:val="auto"/>
                <w:szCs w:val="21"/>
              </w:rPr>
            </w:pPr>
            <w:r>
              <w:rPr>
                <w:snapToGrid w:val="0"/>
                <w:color w:val="auto"/>
                <w:szCs w:val="21"/>
              </w:rPr>
              <w:t>风机</w:t>
            </w:r>
          </w:p>
        </w:tc>
        <w:tc>
          <w:tcPr>
            <w:tcW w:w="1181" w:type="dxa"/>
            <w:vAlign w:val="center"/>
          </w:tcPr>
          <w:p>
            <w:pPr>
              <w:spacing w:line="0" w:lineRule="atLeast"/>
              <w:jc w:val="center"/>
              <w:rPr>
                <w:snapToGrid w:val="0"/>
                <w:color w:val="auto"/>
                <w:szCs w:val="21"/>
              </w:rPr>
            </w:pPr>
            <w:r>
              <w:rPr>
                <w:rFonts w:hint="eastAsia"/>
                <w:snapToGrid w:val="0"/>
                <w:color w:val="auto"/>
                <w:szCs w:val="21"/>
              </w:rPr>
              <w:t>90</w:t>
            </w:r>
          </w:p>
        </w:tc>
        <w:tc>
          <w:tcPr>
            <w:tcW w:w="1181" w:type="dxa"/>
            <w:vMerge w:val="continue"/>
            <w:vAlign w:val="center"/>
          </w:tcPr>
          <w:p>
            <w:pPr>
              <w:pStyle w:val="143"/>
              <w:spacing w:line="0" w:lineRule="atLeast"/>
              <w:ind w:firstLine="0" w:firstLineChars="0"/>
              <w:jc w:val="center"/>
              <w:rPr>
                <w:snapToGrid w:val="0"/>
                <w:color w:val="FF0000"/>
                <w:sz w:val="21"/>
                <w:szCs w:val="21"/>
              </w:rPr>
            </w:pP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lang w:val="en-US" w:eastAsia="zh-CN"/>
              </w:rPr>
              <w:t>-</w:t>
            </w:r>
            <w:r>
              <w:rPr>
                <w:rFonts w:hint="eastAsia"/>
                <w:color w:val="auto"/>
                <w:sz w:val="21"/>
                <w:szCs w:val="21"/>
              </w:rPr>
              <w:t>104</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42</w:t>
            </w:r>
          </w:p>
        </w:tc>
        <w:tc>
          <w:tcPr>
            <w:tcW w:w="713" w:type="dxa"/>
            <w:vAlign w:val="center"/>
          </w:tcPr>
          <w:p>
            <w:pPr>
              <w:pStyle w:val="143"/>
              <w:spacing w:line="0" w:lineRule="atLeast"/>
              <w:ind w:firstLine="0" w:firstLineChars="0"/>
              <w:jc w:val="center"/>
              <w:rPr>
                <w:color w:val="auto"/>
                <w:sz w:val="21"/>
                <w:szCs w:val="21"/>
              </w:rPr>
            </w:pPr>
            <w:r>
              <w:rPr>
                <w:rFonts w:hint="eastAsia"/>
                <w:color w:val="auto"/>
                <w:sz w:val="21"/>
                <w:szCs w:val="21"/>
              </w:rPr>
              <w:t>4</w:t>
            </w:r>
          </w:p>
        </w:tc>
        <w:tc>
          <w:tcPr>
            <w:tcW w:w="944" w:type="dxa"/>
            <w:vAlign w:val="center"/>
          </w:tcPr>
          <w:p>
            <w:pPr>
              <w:pStyle w:val="143"/>
              <w:spacing w:line="0" w:lineRule="atLeast"/>
              <w:ind w:firstLine="0" w:firstLineChars="0"/>
              <w:jc w:val="center"/>
              <w:rPr>
                <w:color w:val="auto"/>
                <w:sz w:val="21"/>
                <w:szCs w:val="21"/>
              </w:rPr>
            </w:pPr>
            <w:r>
              <w:rPr>
                <w:rFonts w:hint="eastAsia"/>
                <w:color w:val="auto"/>
                <w:sz w:val="21"/>
                <w:szCs w:val="21"/>
              </w:rPr>
              <w:t>1</w:t>
            </w:r>
          </w:p>
        </w:tc>
        <w:tc>
          <w:tcPr>
            <w:tcW w:w="1180" w:type="dxa"/>
            <w:vAlign w:val="center"/>
          </w:tcPr>
          <w:p>
            <w:pPr>
              <w:pStyle w:val="143"/>
              <w:spacing w:line="0" w:lineRule="atLeast"/>
              <w:ind w:firstLine="0" w:firstLineChars="0"/>
              <w:jc w:val="center"/>
              <w:rPr>
                <w:color w:val="auto"/>
                <w:sz w:val="21"/>
                <w:szCs w:val="21"/>
              </w:rPr>
            </w:pPr>
            <w:r>
              <w:rPr>
                <w:rFonts w:hint="eastAsia"/>
                <w:color w:val="auto"/>
                <w:sz w:val="21"/>
                <w:szCs w:val="21"/>
              </w:rPr>
              <w:t>90.0</w:t>
            </w:r>
          </w:p>
        </w:tc>
        <w:tc>
          <w:tcPr>
            <w:tcW w:w="712" w:type="dxa"/>
            <w:vAlign w:val="center"/>
          </w:tcPr>
          <w:p>
            <w:pPr>
              <w:pStyle w:val="143"/>
              <w:spacing w:line="0" w:lineRule="atLeast"/>
              <w:ind w:firstLine="0" w:firstLineChars="0"/>
              <w:jc w:val="center"/>
              <w:rPr>
                <w:color w:val="auto"/>
                <w:sz w:val="21"/>
                <w:szCs w:val="21"/>
              </w:rPr>
            </w:pPr>
            <w:r>
              <w:rPr>
                <w:rFonts w:hint="eastAsia"/>
                <w:color w:val="auto"/>
                <w:sz w:val="21"/>
                <w:szCs w:val="21"/>
              </w:rPr>
              <w:t>连续</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20</w:t>
            </w:r>
          </w:p>
        </w:tc>
        <w:tc>
          <w:tcPr>
            <w:tcW w:w="1181" w:type="dxa"/>
            <w:vAlign w:val="center"/>
          </w:tcPr>
          <w:p>
            <w:pPr>
              <w:pStyle w:val="143"/>
              <w:spacing w:line="0" w:lineRule="atLeast"/>
              <w:ind w:firstLine="0" w:firstLineChars="0"/>
              <w:jc w:val="center"/>
              <w:rPr>
                <w:color w:val="auto"/>
                <w:sz w:val="21"/>
                <w:szCs w:val="21"/>
              </w:rPr>
            </w:pPr>
            <w:r>
              <w:rPr>
                <w:rFonts w:hint="eastAsia"/>
                <w:color w:val="auto"/>
                <w:sz w:val="21"/>
                <w:szCs w:val="21"/>
              </w:rPr>
              <w:t>70.0</w:t>
            </w:r>
          </w:p>
        </w:tc>
        <w:tc>
          <w:tcPr>
            <w:tcW w:w="1183" w:type="dxa"/>
            <w:vAlign w:val="center"/>
          </w:tcPr>
          <w:p>
            <w:pPr>
              <w:pStyle w:val="143"/>
              <w:spacing w:line="0" w:lineRule="atLeast"/>
              <w:ind w:firstLine="0" w:firstLineChars="0"/>
              <w:jc w:val="center"/>
              <w:rPr>
                <w:color w:val="auto"/>
                <w:sz w:val="21"/>
                <w:szCs w:val="21"/>
              </w:rPr>
            </w:pPr>
            <w:r>
              <w:rPr>
                <w:rFonts w:hint="eastAsia"/>
                <w:color w:val="auto"/>
                <w:sz w:val="21"/>
                <w:szCs w:val="21"/>
              </w:rPr>
              <w:t>1m</w:t>
            </w:r>
          </w:p>
        </w:tc>
        <w:tc>
          <w:tcPr>
            <w:tcW w:w="682" w:type="dxa"/>
            <w:vAlign w:val="center"/>
          </w:tcPr>
          <w:p>
            <w:pPr>
              <w:spacing w:line="0" w:lineRule="atLeast"/>
              <w:jc w:val="center"/>
              <w:rPr>
                <w:snapToGrid w:val="0"/>
                <w:color w:val="auto"/>
                <w:szCs w:val="21"/>
              </w:rPr>
            </w:pPr>
            <w:r>
              <w:rPr>
                <w:rFonts w:hint="eastAsia"/>
                <w:snapToGrid w:val="0"/>
                <w:color w:val="auto"/>
                <w:szCs w:val="21"/>
              </w:rPr>
              <w:t>2400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712" w:type="dxa"/>
            <w:vAlign w:val="center"/>
          </w:tcPr>
          <w:p>
            <w:pPr>
              <w:pStyle w:val="143"/>
              <w:spacing w:line="0" w:lineRule="atLeast"/>
              <w:ind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eastAsia"/>
                <w:color w:val="auto"/>
                <w:sz w:val="21"/>
                <w:szCs w:val="21"/>
                <w:lang w:val="en-US" w:eastAsia="zh-CN"/>
              </w:rPr>
              <w:t>17</w:t>
            </w:r>
          </w:p>
        </w:tc>
        <w:tc>
          <w:tcPr>
            <w:tcW w:w="712" w:type="dxa"/>
            <w:vMerge w:val="restart"/>
            <w:vAlign w:val="center"/>
          </w:tcPr>
          <w:p>
            <w:pPr>
              <w:pStyle w:val="727"/>
              <w:spacing w:after="0" w:line="0" w:lineRule="atLeast"/>
              <w:textAlignment w:val="center"/>
              <w:rPr>
                <w:rFonts w:hAnsi="宋体"/>
                <w:color w:val="auto"/>
                <w:kern w:val="2"/>
                <w:sz w:val="21"/>
                <w:szCs w:val="21"/>
              </w:rPr>
            </w:pPr>
            <w:r>
              <w:rPr>
                <w:snapToGrid w:val="0"/>
                <w:color w:val="auto"/>
                <w:sz w:val="21"/>
                <w:szCs w:val="21"/>
              </w:rPr>
              <w:t>待宰间</w:t>
            </w:r>
          </w:p>
        </w:tc>
        <w:tc>
          <w:tcPr>
            <w:tcW w:w="1415" w:type="dxa"/>
            <w:vAlign w:val="center"/>
          </w:tcPr>
          <w:p>
            <w:pPr>
              <w:spacing w:line="0" w:lineRule="atLeast"/>
              <w:jc w:val="center"/>
              <w:rPr>
                <w:snapToGrid w:val="0"/>
                <w:color w:val="auto"/>
                <w:szCs w:val="21"/>
              </w:rPr>
            </w:pPr>
            <w:r>
              <w:rPr>
                <w:snapToGrid w:val="0"/>
                <w:color w:val="auto"/>
                <w:szCs w:val="21"/>
              </w:rPr>
              <w:t>风机</w:t>
            </w:r>
          </w:p>
        </w:tc>
        <w:tc>
          <w:tcPr>
            <w:tcW w:w="1181" w:type="dxa"/>
            <w:vAlign w:val="center"/>
          </w:tcPr>
          <w:p>
            <w:pPr>
              <w:spacing w:line="0" w:lineRule="atLeast"/>
              <w:jc w:val="center"/>
              <w:rPr>
                <w:snapToGrid w:val="0"/>
                <w:color w:val="auto"/>
                <w:szCs w:val="21"/>
              </w:rPr>
            </w:pPr>
            <w:r>
              <w:rPr>
                <w:rFonts w:hint="eastAsia"/>
                <w:snapToGrid w:val="0"/>
                <w:color w:val="auto"/>
                <w:szCs w:val="21"/>
              </w:rPr>
              <w:t>90</w:t>
            </w:r>
          </w:p>
        </w:tc>
        <w:tc>
          <w:tcPr>
            <w:tcW w:w="1181" w:type="dxa"/>
            <w:vMerge w:val="continue"/>
            <w:vAlign w:val="center"/>
          </w:tcPr>
          <w:p>
            <w:pPr>
              <w:pStyle w:val="143"/>
              <w:spacing w:line="0" w:lineRule="atLeast"/>
              <w:ind w:firstLine="0" w:firstLineChars="0"/>
              <w:jc w:val="center"/>
              <w:rPr>
                <w:snapToGrid w:val="0"/>
                <w:color w:val="FF0000"/>
                <w:sz w:val="21"/>
                <w:szCs w:val="21"/>
              </w:rPr>
            </w:pP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140</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56</w:t>
            </w:r>
          </w:p>
        </w:tc>
        <w:tc>
          <w:tcPr>
            <w:tcW w:w="713" w:type="dxa"/>
            <w:vAlign w:val="center"/>
          </w:tcPr>
          <w:p>
            <w:pPr>
              <w:pStyle w:val="143"/>
              <w:spacing w:line="0" w:lineRule="atLeast"/>
              <w:ind w:firstLine="0" w:firstLineChars="0"/>
              <w:jc w:val="center"/>
              <w:rPr>
                <w:color w:val="auto"/>
                <w:sz w:val="21"/>
                <w:szCs w:val="21"/>
              </w:rPr>
            </w:pPr>
            <w:r>
              <w:rPr>
                <w:rFonts w:hint="eastAsia"/>
                <w:color w:val="auto"/>
                <w:sz w:val="21"/>
                <w:szCs w:val="21"/>
              </w:rPr>
              <w:t>4</w:t>
            </w:r>
          </w:p>
        </w:tc>
        <w:tc>
          <w:tcPr>
            <w:tcW w:w="944" w:type="dxa"/>
            <w:vAlign w:val="center"/>
          </w:tcPr>
          <w:p>
            <w:pPr>
              <w:pStyle w:val="143"/>
              <w:spacing w:line="0" w:lineRule="atLeast"/>
              <w:ind w:firstLine="0" w:firstLineChars="0"/>
              <w:jc w:val="center"/>
              <w:rPr>
                <w:color w:val="auto"/>
                <w:sz w:val="21"/>
                <w:szCs w:val="21"/>
              </w:rPr>
            </w:pPr>
            <w:r>
              <w:rPr>
                <w:rFonts w:hint="eastAsia"/>
                <w:color w:val="auto"/>
                <w:sz w:val="21"/>
                <w:szCs w:val="21"/>
              </w:rPr>
              <w:t>50</w:t>
            </w:r>
          </w:p>
        </w:tc>
        <w:tc>
          <w:tcPr>
            <w:tcW w:w="1180" w:type="dxa"/>
            <w:vAlign w:val="center"/>
          </w:tcPr>
          <w:p>
            <w:pPr>
              <w:pStyle w:val="143"/>
              <w:spacing w:line="0" w:lineRule="atLeast"/>
              <w:ind w:firstLine="0" w:firstLineChars="0"/>
              <w:jc w:val="center"/>
              <w:rPr>
                <w:color w:val="auto"/>
                <w:sz w:val="21"/>
                <w:szCs w:val="21"/>
              </w:rPr>
            </w:pPr>
            <w:r>
              <w:rPr>
                <w:rFonts w:hint="eastAsia"/>
                <w:color w:val="auto"/>
                <w:sz w:val="21"/>
                <w:szCs w:val="21"/>
              </w:rPr>
              <w:t>56.0</w:t>
            </w:r>
          </w:p>
        </w:tc>
        <w:tc>
          <w:tcPr>
            <w:tcW w:w="712" w:type="dxa"/>
            <w:vAlign w:val="center"/>
          </w:tcPr>
          <w:p>
            <w:pPr>
              <w:pStyle w:val="143"/>
              <w:spacing w:line="0" w:lineRule="atLeast"/>
              <w:ind w:firstLine="0" w:firstLineChars="0"/>
              <w:jc w:val="center"/>
              <w:rPr>
                <w:color w:val="auto"/>
                <w:sz w:val="21"/>
                <w:szCs w:val="21"/>
              </w:rPr>
            </w:pPr>
            <w:r>
              <w:rPr>
                <w:rFonts w:hint="eastAsia"/>
                <w:color w:val="auto"/>
                <w:sz w:val="21"/>
                <w:szCs w:val="21"/>
              </w:rPr>
              <w:t>连续</w:t>
            </w:r>
          </w:p>
        </w:tc>
        <w:tc>
          <w:tcPr>
            <w:tcW w:w="710" w:type="dxa"/>
            <w:vAlign w:val="center"/>
          </w:tcPr>
          <w:p>
            <w:pPr>
              <w:pStyle w:val="143"/>
              <w:spacing w:line="0" w:lineRule="atLeast"/>
              <w:ind w:firstLine="0" w:firstLineChars="0"/>
              <w:jc w:val="center"/>
              <w:rPr>
                <w:color w:val="auto"/>
                <w:sz w:val="21"/>
                <w:szCs w:val="21"/>
              </w:rPr>
            </w:pPr>
            <w:r>
              <w:rPr>
                <w:rFonts w:hint="eastAsia"/>
                <w:color w:val="auto"/>
                <w:sz w:val="21"/>
                <w:szCs w:val="21"/>
              </w:rPr>
              <w:t>20</w:t>
            </w:r>
          </w:p>
        </w:tc>
        <w:tc>
          <w:tcPr>
            <w:tcW w:w="1181" w:type="dxa"/>
            <w:vAlign w:val="center"/>
          </w:tcPr>
          <w:p>
            <w:pPr>
              <w:pStyle w:val="143"/>
              <w:spacing w:line="0" w:lineRule="atLeast"/>
              <w:ind w:firstLine="0" w:firstLineChars="0"/>
              <w:jc w:val="center"/>
              <w:rPr>
                <w:color w:val="auto"/>
                <w:sz w:val="21"/>
                <w:szCs w:val="21"/>
              </w:rPr>
            </w:pPr>
            <w:r>
              <w:rPr>
                <w:rFonts w:hint="eastAsia"/>
                <w:color w:val="auto"/>
                <w:sz w:val="21"/>
                <w:szCs w:val="21"/>
              </w:rPr>
              <w:t>36.0</w:t>
            </w:r>
          </w:p>
        </w:tc>
        <w:tc>
          <w:tcPr>
            <w:tcW w:w="1183" w:type="dxa"/>
            <w:vAlign w:val="center"/>
          </w:tcPr>
          <w:p>
            <w:pPr>
              <w:pStyle w:val="143"/>
              <w:spacing w:line="0" w:lineRule="atLeast"/>
              <w:ind w:firstLine="0" w:firstLineChars="0"/>
              <w:jc w:val="center"/>
              <w:rPr>
                <w:color w:val="auto"/>
                <w:sz w:val="21"/>
                <w:szCs w:val="21"/>
              </w:rPr>
            </w:pPr>
            <w:r>
              <w:rPr>
                <w:rFonts w:hint="eastAsia"/>
                <w:color w:val="auto"/>
                <w:sz w:val="21"/>
                <w:szCs w:val="21"/>
              </w:rPr>
              <w:t>1m</w:t>
            </w:r>
          </w:p>
        </w:tc>
        <w:tc>
          <w:tcPr>
            <w:tcW w:w="682" w:type="dxa"/>
            <w:vMerge w:val="restart"/>
            <w:vAlign w:val="center"/>
          </w:tcPr>
          <w:p>
            <w:pPr>
              <w:spacing w:line="0" w:lineRule="atLeast"/>
              <w:jc w:val="center"/>
              <w:rPr>
                <w:snapToGrid w:val="0"/>
                <w:color w:val="auto"/>
                <w:szCs w:val="21"/>
              </w:rPr>
            </w:pPr>
            <w:r>
              <w:rPr>
                <w:rFonts w:hint="eastAsia"/>
                <w:snapToGrid w:val="0"/>
                <w:color w:val="auto"/>
                <w:szCs w:val="21"/>
              </w:rPr>
              <w:t>7200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712" w:type="dxa"/>
            <w:vAlign w:val="center"/>
          </w:tcPr>
          <w:p>
            <w:pPr>
              <w:pStyle w:val="143"/>
              <w:spacing w:line="0" w:lineRule="atLeast"/>
              <w:ind w:firstLine="0" w:firstLineChars="0"/>
              <w:jc w:val="center"/>
              <w:rPr>
                <w:rFonts w:hint="eastAsia"/>
                <w:color w:val="auto"/>
                <w:sz w:val="21"/>
                <w:szCs w:val="21"/>
                <w:lang w:val="en-US" w:eastAsia="zh-CN"/>
              </w:rPr>
            </w:pPr>
            <w:r>
              <w:rPr>
                <w:rFonts w:hint="eastAsia"/>
                <w:color w:val="auto"/>
                <w:sz w:val="21"/>
                <w:szCs w:val="21"/>
                <w:lang w:val="en-US" w:eastAsia="zh-CN"/>
              </w:rPr>
              <w:t>18</w:t>
            </w:r>
          </w:p>
        </w:tc>
        <w:tc>
          <w:tcPr>
            <w:tcW w:w="712" w:type="dxa"/>
            <w:vMerge w:val="continue"/>
            <w:vAlign w:val="center"/>
          </w:tcPr>
          <w:p>
            <w:pPr>
              <w:pStyle w:val="727"/>
              <w:spacing w:after="0" w:line="0" w:lineRule="atLeast"/>
              <w:textAlignment w:val="center"/>
              <w:rPr>
                <w:snapToGrid w:val="0"/>
                <w:color w:val="auto"/>
                <w:sz w:val="21"/>
                <w:szCs w:val="21"/>
              </w:rPr>
            </w:pPr>
          </w:p>
        </w:tc>
        <w:tc>
          <w:tcPr>
            <w:tcW w:w="1415" w:type="dxa"/>
            <w:vAlign w:val="center"/>
          </w:tcPr>
          <w:p>
            <w:pPr>
              <w:spacing w:line="0" w:lineRule="atLeast"/>
              <w:jc w:val="center"/>
              <w:rPr>
                <w:rFonts w:hint="eastAsia" w:eastAsia="宋体"/>
                <w:snapToGrid w:val="0"/>
                <w:color w:val="auto"/>
                <w:szCs w:val="21"/>
                <w:lang w:val="en-US" w:eastAsia="zh-CN"/>
              </w:rPr>
            </w:pPr>
            <w:r>
              <w:rPr>
                <w:rFonts w:hint="eastAsia"/>
                <w:snapToGrid w:val="0"/>
                <w:color w:val="auto"/>
                <w:szCs w:val="21"/>
                <w:lang w:val="en-US" w:eastAsia="zh-CN"/>
              </w:rPr>
              <w:t>牛叫声</w:t>
            </w:r>
          </w:p>
        </w:tc>
        <w:tc>
          <w:tcPr>
            <w:tcW w:w="1181" w:type="dxa"/>
            <w:vAlign w:val="center"/>
          </w:tcPr>
          <w:p>
            <w:pPr>
              <w:spacing w:line="0" w:lineRule="atLeast"/>
              <w:jc w:val="center"/>
              <w:rPr>
                <w:rFonts w:hint="default" w:eastAsia="宋体"/>
                <w:snapToGrid w:val="0"/>
                <w:color w:val="auto"/>
                <w:szCs w:val="21"/>
                <w:lang w:val="en-US" w:eastAsia="zh-CN"/>
              </w:rPr>
            </w:pPr>
            <w:r>
              <w:rPr>
                <w:rFonts w:hint="eastAsia"/>
                <w:snapToGrid w:val="0"/>
                <w:color w:val="auto"/>
                <w:szCs w:val="21"/>
                <w:lang w:val="en-US" w:eastAsia="zh-CN"/>
              </w:rPr>
              <w:t>80</w:t>
            </w:r>
          </w:p>
        </w:tc>
        <w:tc>
          <w:tcPr>
            <w:tcW w:w="1181" w:type="dxa"/>
            <w:vMerge w:val="continue"/>
            <w:vAlign w:val="center"/>
          </w:tcPr>
          <w:p>
            <w:pPr>
              <w:pStyle w:val="143"/>
              <w:spacing w:line="0" w:lineRule="atLeast"/>
              <w:ind w:firstLine="0" w:firstLineChars="0"/>
              <w:jc w:val="center"/>
              <w:rPr>
                <w:snapToGrid w:val="0"/>
                <w:color w:val="FF0000"/>
                <w:sz w:val="21"/>
                <w:szCs w:val="21"/>
              </w:rPr>
            </w:pPr>
          </w:p>
        </w:tc>
        <w:tc>
          <w:tcPr>
            <w:tcW w:w="710"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-150</w:t>
            </w:r>
          </w:p>
        </w:tc>
        <w:tc>
          <w:tcPr>
            <w:tcW w:w="710"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50</w:t>
            </w:r>
          </w:p>
        </w:tc>
        <w:tc>
          <w:tcPr>
            <w:tcW w:w="713"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1.5</w:t>
            </w:r>
          </w:p>
        </w:tc>
        <w:tc>
          <w:tcPr>
            <w:tcW w:w="944" w:type="dxa"/>
            <w:vAlign w:val="center"/>
          </w:tcPr>
          <w:p>
            <w:pPr>
              <w:pStyle w:val="143"/>
              <w:spacing w:line="0" w:lineRule="atLeast"/>
              <w:ind w:firstLine="0" w:firstLineChars="0"/>
              <w:jc w:val="center"/>
              <w:rPr>
                <w:rFonts w:hint="eastAsia" w:eastAsia="宋体"/>
                <w:color w:val="auto"/>
                <w:sz w:val="21"/>
                <w:szCs w:val="21"/>
                <w:lang w:val="en-US" w:eastAsia="zh-CN"/>
              </w:rPr>
            </w:pPr>
            <w:r>
              <w:rPr>
                <w:rFonts w:hint="eastAsia"/>
                <w:color w:val="auto"/>
                <w:sz w:val="21"/>
                <w:szCs w:val="21"/>
                <w:lang w:val="en-US" w:eastAsia="zh-CN"/>
              </w:rPr>
              <w:t>1</w:t>
            </w:r>
          </w:p>
        </w:tc>
        <w:tc>
          <w:tcPr>
            <w:tcW w:w="1180"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80</w:t>
            </w:r>
          </w:p>
        </w:tc>
        <w:tc>
          <w:tcPr>
            <w:tcW w:w="712" w:type="dxa"/>
            <w:vAlign w:val="center"/>
          </w:tcPr>
          <w:p>
            <w:pPr>
              <w:pStyle w:val="143"/>
              <w:spacing w:line="0" w:lineRule="atLeast"/>
              <w:ind w:firstLine="0" w:firstLineChars="0"/>
              <w:jc w:val="center"/>
              <w:rPr>
                <w:rFonts w:hint="eastAsia" w:eastAsia="宋体"/>
                <w:color w:val="auto"/>
                <w:sz w:val="21"/>
                <w:szCs w:val="21"/>
                <w:lang w:val="en-US" w:eastAsia="zh-CN"/>
              </w:rPr>
            </w:pPr>
            <w:r>
              <w:rPr>
                <w:rFonts w:hint="eastAsia"/>
                <w:color w:val="auto"/>
                <w:sz w:val="21"/>
                <w:szCs w:val="21"/>
                <w:lang w:val="en-US" w:eastAsia="zh-CN"/>
              </w:rPr>
              <w:t>间断</w:t>
            </w:r>
          </w:p>
        </w:tc>
        <w:tc>
          <w:tcPr>
            <w:tcW w:w="710" w:type="dxa"/>
            <w:vAlign w:val="center"/>
          </w:tcPr>
          <w:p>
            <w:pPr>
              <w:pStyle w:val="143"/>
              <w:spacing w:line="0" w:lineRule="atLeast"/>
              <w:ind w:firstLine="0" w:firstLineChars="0"/>
              <w:jc w:val="center"/>
              <w:rPr>
                <w:rFonts w:hint="eastAsia"/>
                <w:color w:val="auto"/>
                <w:sz w:val="21"/>
                <w:szCs w:val="21"/>
              </w:rPr>
            </w:pPr>
            <w:r>
              <w:rPr>
                <w:rFonts w:hint="eastAsia"/>
                <w:color w:val="auto"/>
                <w:sz w:val="21"/>
                <w:szCs w:val="21"/>
              </w:rPr>
              <w:t>20</w:t>
            </w:r>
          </w:p>
        </w:tc>
        <w:tc>
          <w:tcPr>
            <w:tcW w:w="1181"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60</w:t>
            </w:r>
          </w:p>
        </w:tc>
        <w:tc>
          <w:tcPr>
            <w:tcW w:w="1183" w:type="dxa"/>
            <w:vAlign w:val="center"/>
          </w:tcPr>
          <w:p>
            <w:pPr>
              <w:pStyle w:val="143"/>
              <w:spacing w:line="0" w:lineRule="atLeast"/>
              <w:ind w:firstLine="0" w:firstLineChars="0"/>
              <w:jc w:val="center"/>
              <w:rPr>
                <w:rFonts w:hint="eastAsia"/>
                <w:color w:val="auto"/>
                <w:sz w:val="21"/>
                <w:szCs w:val="21"/>
              </w:rPr>
            </w:pPr>
            <w:r>
              <w:rPr>
                <w:rFonts w:hint="eastAsia"/>
                <w:color w:val="auto"/>
                <w:sz w:val="21"/>
                <w:szCs w:val="21"/>
              </w:rPr>
              <w:t>1m</w:t>
            </w:r>
          </w:p>
        </w:tc>
        <w:tc>
          <w:tcPr>
            <w:tcW w:w="682" w:type="dxa"/>
            <w:vMerge w:val="continue"/>
            <w:vAlign w:val="center"/>
          </w:tcPr>
          <w:p>
            <w:pPr>
              <w:spacing w:line="0" w:lineRule="atLeast"/>
              <w:jc w:val="center"/>
              <w:rPr>
                <w:rFonts w:hint="eastAsia"/>
                <w:snapToGrid w:val="0"/>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712"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19</w:t>
            </w:r>
          </w:p>
        </w:tc>
        <w:tc>
          <w:tcPr>
            <w:tcW w:w="712" w:type="dxa"/>
            <w:vAlign w:val="center"/>
          </w:tcPr>
          <w:p>
            <w:pPr>
              <w:pStyle w:val="727"/>
              <w:spacing w:after="0" w:line="0" w:lineRule="atLeast"/>
              <w:textAlignment w:val="center"/>
              <w:rPr>
                <w:rFonts w:hint="eastAsia" w:eastAsia="宋体"/>
                <w:snapToGrid w:val="0"/>
                <w:color w:val="auto"/>
                <w:sz w:val="21"/>
                <w:szCs w:val="21"/>
                <w:lang w:val="en-US" w:eastAsia="zh-CN"/>
              </w:rPr>
            </w:pPr>
            <w:r>
              <w:rPr>
                <w:rFonts w:hint="eastAsia"/>
                <w:snapToGrid w:val="0"/>
                <w:color w:val="auto"/>
                <w:sz w:val="21"/>
                <w:szCs w:val="21"/>
                <w:lang w:val="en-US" w:eastAsia="zh-CN"/>
              </w:rPr>
              <w:t>锅炉房</w:t>
            </w:r>
          </w:p>
        </w:tc>
        <w:tc>
          <w:tcPr>
            <w:tcW w:w="1415" w:type="dxa"/>
            <w:vAlign w:val="center"/>
          </w:tcPr>
          <w:p>
            <w:pPr>
              <w:spacing w:line="0" w:lineRule="atLeast"/>
              <w:jc w:val="center"/>
              <w:rPr>
                <w:rFonts w:hint="eastAsia" w:eastAsia="宋体"/>
                <w:snapToGrid w:val="0"/>
                <w:color w:val="auto"/>
                <w:szCs w:val="21"/>
                <w:lang w:val="en-US" w:eastAsia="zh-CN"/>
              </w:rPr>
            </w:pPr>
            <w:r>
              <w:rPr>
                <w:rFonts w:hint="eastAsia"/>
                <w:snapToGrid w:val="0"/>
                <w:color w:val="auto"/>
                <w:szCs w:val="21"/>
                <w:lang w:val="en-US" w:eastAsia="zh-CN"/>
              </w:rPr>
              <w:t>风机</w:t>
            </w:r>
          </w:p>
        </w:tc>
        <w:tc>
          <w:tcPr>
            <w:tcW w:w="1181" w:type="dxa"/>
            <w:vAlign w:val="center"/>
          </w:tcPr>
          <w:p>
            <w:pPr>
              <w:spacing w:line="0" w:lineRule="atLeast"/>
              <w:jc w:val="center"/>
              <w:rPr>
                <w:rFonts w:hint="default" w:eastAsia="宋体"/>
                <w:snapToGrid w:val="0"/>
                <w:color w:val="auto"/>
                <w:szCs w:val="21"/>
                <w:lang w:val="en-US" w:eastAsia="zh-CN"/>
              </w:rPr>
            </w:pPr>
            <w:r>
              <w:rPr>
                <w:rFonts w:hint="eastAsia"/>
                <w:snapToGrid w:val="0"/>
                <w:color w:val="auto"/>
                <w:szCs w:val="21"/>
                <w:lang w:val="en-US" w:eastAsia="zh-CN"/>
              </w:rPr>
              <w:t>90</w:t>
            </w:r>
          </w:p>
        </w:tc>
        <w:tc>
          <w:tcPr>
            <w:tcW w:w="1181" w:type="dxa"/>
            <w:vMerge w:val="continue"/>
            <w:vAlign w:val="center"/>
          </w:tcPr>
          <w:p>
            <w:pPr>
              <w:pStyle w:val="143"/>
              <w:spacing w:line="0" w:lineRule="atLeast"/>
              <w:ind w:firstLine="0" w:firstLineChars="0"/>
              <w:jc w:val="center"/>
              <w:rPr>
                <w:snapToGrid w:val="0"/>
                <w:color w:val="FF0000"/>
                <w:sz w:val="21"/>
                <w:szCs w:val="21"/>
              </w:rPr>
            </w:pPr>
          </w:p>
        </w:tc>
        <w:tc>
          <w:tcPr>
            <w:tcW w:w="710" w:type="dxa"/>
            <w:vAlign w:val="center"/>
          </w:tcPr>
          <w:p>
            <w:pPr>
              <w:pStyle w:val="19"/>
              <w:keepNext w:val="0"/>
              <w:keepLines w:val="0"/>
              <w:pageBreakBefore w:val="0"/>
              <w:widowControl w:val="0"/>
              <w:kinsoku/>
              <w:wordWrap/>
              <w:overflowPunct/>
              <w:topLinePunct w:val="0"/>
              <w:autoSpaceDE/>
              <w:autoSpaceDN/>
              <w:bidi w:val="0"/>
              <w:adjustRightInd w:val="0"/>
              <w:snapToGrid w:val="0"/>
              <w:spacing w:after="0" w:line="300" w:lineRule="exact"/>
              <w:jc w:val="center"/>
              <w:textAlignment w:val="auto"/>
              <w:rPr>
                <w:rFonts w:hint="eastAsia"/>
                <w:color w:val="FF0000"/>
                <w:sz w:val="21"/>
                <w:szCs w:val="21"/>
              </w:rPr>
            </w:pPr>
            <w:r>
              <w:rPr>
                <w:rFonts w:hint="default" w:ascii="Times New Roman" w:hAnsi="Times New Roman" w:cs="Times New Roman"/>
                <w:color w:val="auto"/>
                <w:sz w:val="21"/>
                <w:szCs w:val="21"/>
                <w:highlight w:val="none"/>
                <w:u w:val="none"/>
                <w:lang w:val="en-US" w:eastAsia="zh-CN"/>
              </w:rPr>
              <w:t>30</w:t>
            </w:r>
          </w:p>
        </w:tc>
        <w:tc>
          <w:tcPr>
            <w:tcW w:w="710" w:type="dxa"/>
            <w:vAlign w:val="center"/>
          </w:tcPr>
          <w:p>
            <w:pPr>
              <w:pStyle w:val="19"/>
              <w:keepNext w:val="0"/>
              <w:keepLines w:val="0"/>
              <w:pageBreakBefore w:val="0"/>
              <w:widowControl w:val="0"/>
              <w:kinsoku/>
              <w:wordWrap/>
              <w:overflowPunct/>
              <w:topLinePunct w:val="0"/>
              <w:autoSpaceDE/>
              <w:autoSpaceDN/>
              <w:bidi w:val="0"/>
              <w:adjustRightInd w:val="0"/>
              <w:snapToGrid w:val="0"/>
              <w:spacing w:after="0" w:line="300" w:lineRule="exact"/>
              <w:jc w:val="center"/>
              <w:textAlignment w:val="auto"/>
              <w:rPr>
                <w:rFonts w:hint="eastAsia"/>
                <w:color w:val="FF0000"/>
                <w:sz w:val="21"/>
                <w:szCs w:val="21"/>
              </w:rPr>
            </w:pPr>
            <w:r>
              <w:rPr>
                <w:rFonts w:hint="default" w:ascii="Times New Roman" w:hAnsi="Times New Roman" w:cs="Times New Roman"/>
                <w:color w:val="auto"/>
                <w:sz w:val="21"/>
                <w:szCs w:val="21"/>
                <w:highlight w:val="none"/>
                <w:u w:val="none"/>
                <w:lang w:val="en-US" w:eastAsia="zh-CN"/>
              </w:rPr>
              <w:t>35</w:t>
            </w:r>
          </w:p>
        </w:tc>
        <w:tc>
          <w:tcPr>
            <w:tcW w:w="713" w:type="dxa"/>
            <w:vAlign w:val="center"/>
          </w:tcPr>
          <w:p>
            <w:pPr>
              <w:keepNext w:val="0"/>
              <w:keepLines w:val="0"/>
              <w:pageBreakBefore w:val="0"/>
              <w:widowControl w:val="0"/>
              <w:kinsoku/>
              <w:wordWrap/>
              <w:overflowPunct/>
              <w:topLinePunct w:val="0"/>
              <w:autoSpaceDE/>
              <w:autoSpaceDN/>
              <w:bidi w:val="0"/>
              <w:adjustRightInd w:val="0"/>
              <w:snapToGrid w:val="0"/>
              <w:spacing w:after="0" w:line="300" w:lineRule="exact"/>
              <w:jc w:val="center"/>
              <w:textAlignment w:val="auto"/>
              <w:rPr>
                <w:rFonts w:hint="eastAsia"/>
                <w:color w:val="FF0000"/>
                <w:sz w:val="21"/>
                <w:szCs w:val="21"/>
              </w:rPr>
            </w:pPr>
            <w:r>
              <w:rPr>
                <w:rFonts w:hint="eastAsia" w:ascii="Times New Roman" w:hAnsi="Times New Roman" w:cs="Times New Roman"/>
                <w:color w:val="auto"/>
                <w:sz w:val="21"/>
                <w:szCs w:val="21"/>
                <w:highlight w:val="none"/>
                <w:u w:val="none"/>
                <w:lang w:val="en-US" w:eastAsia="zh-CN"/>
              </w:rPr>
              <w:t>2</w:t>
            </w:r>
          </w:p>
        </w:tc>
        <w:tc>
          <w:tcPr>
            <w:tcW w:w="944"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10</w:t>
            </w:r>
          </w:p>
        </w:tc>
        <w:tc>
          <w:tcPr>
            <w:tcW w:w="1180"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70</w:t>
            </w:r>
          </w:p>
        </w:tc>
        <w:tc>
          <w:tcPr>
            <w:tcW w:w="712" w:type="dxa"/>
            <w:vAlign w:val="center"/>
          </w:tcPr>
          <w:p>
            <w:pPr>
              <w:pStyle w:val="143"/>
              <w:spacing w:line="0" w:lineRule="atLeast"/>
              <w:ind w:firstLine="0" w:firstLineChars="0"/>
              <w:jc w:val="center"/>
              <w:rPr>
                <w:rFonts w:hint="eastAsia"/>
                <w:color w:val="auto"/>
                <w:sz w:val="21"/>
                <w:szCs w:val="21"/>
              </w:rPr>
            </w:pPr>
            <w:r>
              <w:rPr>
                <w:rFonts w:hint="eastAsia"/>
                <w:color w:val="auto"/>
                <w:sz w:val="21"/>
                <w:szCs w:val="21"/>
              </w:rPr>
              <w:t>连续</w:t>
            </w:r>
          </w:p>
        </w:tc>
        <w:tc>
          <w:tcPr>
            <w:tcW w:w="710" w:type="dxa"/>
            <w:vAlign w:val="center"/>
          </w:tcPr>
          <w:p>
            <w:pPr>
              <w:pStyle w:val="143"/>
              <w:spacing w:line="0" w:lineRule="atLeast"/>
              <w:ind w:firstLine="0" w:firstLineChars="0"/>
              <w:jc w:val="center"/>
              <w:rPr>
                <w:rFonts w:hint="eastAsia"/>
                <w:color w:val="auto"/>
                <w:sz w:val="21"/>
                <w:szCs w:val="21"/>
              </w:rPr>
            </w:pPr>
            <w:r>
              <w:rPr>
                <w:rFonts w:hint="eastAsia"/>
                <w:color w:val="auto"/>
                <w:sz w:val="21"/>
                <w:szCs w:val="21"/>
              </w:rPr>
              <w:t>20</w:t>
            </w:r>
          </w:p>
        </w:tc>
        <w:tc>
          <w:tcPr>
            <w:tcW w:w="1181" w:type="dxa"/>
            <w:vAlign w:val="center"/>
          </w:tcPr>
          <w:p>
            <w:pPr>
              <w:pStyle w:val="143"/>
              <w:spacing w:line="0" w:lineRule="atLeast"/>
              <w:ind w:firstLine="0" w:firstLineChars="0"/>
              <w:jc w:val="center"/>
              <w:rPr>
                <w:rFonts w:hint="default" w:eastAsia="宋体"/>
                <w:color w:val="auto"/>
                <w:sz w:val="21"/>
                <w:szCs w:val="21"/>
                <w:lang w:val="en-US" w:eastAsia="zh-CN"/>
              </w:rPr>
            </w:pPr>
            <w:r>
              <w:rPr>
                <w:rFonts w:hint="eastAsia"/>
                <w:color w:val="auto"/>
                <w:sz w:val="21"/>
                <w:szCs w:val="21"/>
                <w:lang w:val="en-US" w:eastAsia="zh-CN"/>
              </w:rPr>
              <w:t>50.0</w:t>
            </w:r>
          </w:p>
        </w:tc>
        <w:tc>
          <w:tcPr>
            <w:tcW w:w="1183" w:type="dxa"/>
            <w:vAlign w:val="center"/>
          </w:tcPr>
          <w:p>
            <w:pPr>
              <w:pStyle w:val="143"/>
              <w:spacing w:line="0" w:lineRule="atLeast"/>
              <w:ind w:firstLine="0" w:firstLineChars="0"/>
              <w:jc w:val="center"/>
              <w:rPr>
                <w:rFonts w:hint="eastAsia"/>
                <w:color w:val="FF0000"/>
                <w:sz w:val="21"/>
                <w:szCs w:val="21"/>
              </w:rPr>
            </w:pPr>
            <w:r>
              <w:rPr>
                <w:rFonts w:hint="eastAsia"/>
                <w:color w:val="auto"/>
                <w:sz w:val="21"/>
                <w:szCs w:val="21"/>
              </w:rPr>
              <w:t>1m</w:t>
            </w:r>
          </w:p>
        </w:tc>
        <w:tc>
          <w:tcPr>
            <w:tcW w:w="682" w:type="dxa"/>
            <w:vAlign w:val="center"/>
          </w:tcPr>
          <w:p>
            <w:pPr>
              <w:spacing w:line="0" w:lineRule="atLeast"/>
              <w:jc w:val="center"/>
              <w:rPr>
                <w:rFonts w:hint="default" w:eastAsia="宋体"/>
                <w:snapToGrid w:val="0"/>
                <w:color w:val="FF0000"/>
                <w:szCs w:val="21"/>
                <w:lang w:val="en-US" w:eastAsia="zh-CN"/>
              </w:rPr>
            </w:pPr>
            <w:r>
              <w:rPr>
                <w:rFonts w:hint="eastAsia"/>
                <w:snapToGrid w:val="0"/>
                <w:color w:val="auto"/>
                <w:szCs w:val="21"/>
                <w:lang w:val="en-US" w:eastAsia="zh-CN"/>
              </w:rPr>
              <w:t>3600</w:t>
            </w:r>
          </w:p>
        </w:tc>
      </w:tr>
    </w:tbl>
    <w:p>
      <w:pPr>
        <w:spacing w:line="360" w:lineRule="auto"/>
        <w:rPr>
          <w:color w:val="FF0000"/>
          <w:sz w:val="24"/>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pacing w:line="360" w:lineRule="auto"/>
        <w:outlineLvl w:val="3"/>
        <w:rPr>
          <w:b/>
          <w:color w:val="auto"/>
          <w:sz w:val="24"/>
        </w:rPr>
      </w:pPr>
      <w:r>
        <w:rPr>
          <w:b/>
          <w:color w:val="auto"/>
          <w:sz w:val="24"/>
        </w:rPr>
        <w:t>3.3.2.4固体废物污染分析</w:t>
      </w:r>
    </w:p>
    <w:p>
      <w:pPr>
        <w:spacing w:line="360" w:lineRule="auto"/>
        <w:ind w:firstLine="480" w:firstLineChars="200"/>
        <w:rPr>
          <w:color w:val="auto"/>
          <w:sz w:val="24"/>
        </w:rPr>
      </w:pPr>
      <w:r>
        <w:rPr>
          <w:color w:val="auto"/>
          <w:sz w:val="24"/>
        </w:rPr>
        <w:t>（1）</w:t>
      </w:r>
      <w:r>
        <w:rPr>
          <w:rFonts w:hint="eastAsia"/>
          <w:color w:val="auto"/>
          <w:sz w:val="24"/>
        </w:rPr>
        <w:t>粪便</w:t>
      </w:r>
    </w:p>
    <w:p>
      <w:pPr>
        <w:pStyle w:val="74"/>
        <w:adjustRightInd/>
        <w:snapToGrid/>
        <w:contextualSpacing/>
        <w:rPr>
          <w:rFonts w:ascii="Times New Roman" w:hAnsi="Times New Roman" w:cs="Times New Roman"/>
          <w:color w:val="auto"/>
        </w:rPr>
      </w:pPr>
      <w:r>
        <w:rPr>
          <w:rFonts w:ascii="Times New Roman" w:cs="Times New Roman"/>
          <w:bCs/>
          <w:color w:val="auto"/>
        </w:rPr>
        <w:t>根据《排污许可证申请与核发技术规范畜禽养殖行业》（HJ1029-2019）中</w:t>
      </w:r>
      <w:r>
        <w:rPr>
          <w:rFonts w:hint="eastAsia" w:ascii="Times New Roman" w:cs="Times New Roman"/>
          <w:bCs/>
          <w:color w:val="auto"/>
        </w:rPr>
        <w:t>肉牛</w:t>
      </w:r>
      <w:r>
        <w:rPr>
          <w:rFonts w:ascii="Times New Roman" w:cs="Times New Roman"/>
          <w:bCs/>
          <w:color w:val="auto"/>
        </w:rPr>
        <w:t>粪便产生量为</w:t>
      </w:r>
      <w:r>
        <w:rPr>
          <w:rFonts w:hint="eastAsia" w:ascii="Times New Roman" w:cs="Times New Roman"/>
          <w:bCs/>
          <w:color w:val="auto"/>
        </w:rPr>
        <w:t>10.88</w:t>
      </w:r>
      <w:r>
        <w:rPr>
          <w:rFonts w:ascii="Times New Roman" w:cs="Times New Roman"/>
          <w:bCs/>
          <w:color w:val="auto"/>
        </w:rPr>
        <w:t>kg/头•d，</w:t>
      </w:r>
      <w:r>
        <w:rPr>
          <w:rFonts w:hint="eastAsia" w:ascii="Times New Roman" w:cs="Times New Roman"/>
          <w:color w:val="auto"/>
        </w:rPr>
        <w:t>本项目</w:t>
      </w:r>
      <w:r>
        <w:rPr>
          <w:rFonts w:ascii="Times New Roman" w:cs="Times New Roman"/>
          <w:color w:val="auto"/>
        </w:rPr>
        <w:t>年屠宰肉牛</w:t>
      </w:r>
      <w:r>
        <w:rPr>
          <w:rFonts w:hint="eastAsia" w:ascii="Times New Roman" w:cs="Times New Roman"/>
          <w:color w:val="auto"/>
          <w:lang w:eastAsia="zh-CN"/>
        </w:rPr>
        <w:t>2万</w:t>
      </w:r>
      <w:r>
        <w:rPr>
          <w:rFonts w:ascii="Times New Roman" w:cs="Times New Roman"/>
          <w:color w:val="auto"/>
        </w:rPr>
        <w:t>头，</w:t>
      </w:r>
      <w:r>
        <w:rPr>
          <w:rFonts w:hint="eastAsia" w:ascii="Times New Roman" w:cs="Times New Roman"/>
          <w:color w:val="auto"/>
        </w:rPr>
        <w:t>粪便产生量约为</w:t>
      </w:r>
      <w:r>
        <w:rPr>
          <w:rFonts w:hint="eastAsia" w:ascii="Times New Roman" w:cs="Times New Roman"/>
          <w:color w:val="auto"/>
          <w:lang w:eastAsia="zh-CN"/>
        </w:rPr>
        <w:t>217.6</w:t>
      </w:r>
      <w:r>
        <w:rPr>
          <w:rFonts w:hint="eastAsia" w:ascii="Times New Roman" w:cs="Times New Roman"/>
          <w:color w:val="auto"/>
        </w:rPr>
        <w:t>t/a（代码：135-001-33）。本项目采用干清粪工艺，暂存于待宰间内储粪池内，日产日清，使用密闭运输车运走作为有机肥原料外卖</w:t>
      </w:r>
      <w:r>
        <w:rPr>
          <w:rFonts w:ascii="Times New Roman" w:cs="Times New Roman"/>
          <w:color w:val="auto"/>
        </w:rPr>
        <w:t>。</w:t>
      </w:r>
    </w:p>
    <w:p>
      <w:pPr>
        <w:pStyle w:val="74"/>
        <w:adjustRightInd/>
        <w:snapToGrid/>
        <w:contextualSpacing/>
        <w:rPr>
          <w:rFonts w:ascii="Times New Roman" w:hAnsi="Times New Roman" w:eastAsia="宋体" w:cs="Times New Roman"/>
          <w:color w:val="auto"/>
        </w:rPr>
      </w:pPr>
      <w:r>
        <w:rPr>
          <w:rFonts w:ascii="Times New Roman" w:hAnsi="Times New Roman" w:eastAsia="宋体" w:cs="Times New Roman"/>
          <w:color w:val="auto"/>
        </w:rPr>
        <w:t>（2）生活垃圾</w:t>
      </w:r>
    </w:p>
    <w:p>
      <w:pPr>
        <w:pStyle w:val="74"/>
        <w:adjustRightInd/>
        <w:snapToGrid/>
        <w:contextualSpacing/>
        <w:rPr>
          <w:rFonts w:ascii="Times New Roman" w:hAnsi="Times New Roman" w:eastAsia="宋体" w:cs="Times New Roman"/>
          <w:color w:val="auto"/>
        </w:rPr>
      </w:pPr>
      <w:r>
        <w:rPr>
          <w:rFonts w:hint="eastAsia" w:ascii="Times New Roman" w:hAnsi="Times New Roman" w:eastAsia="宋体" w:cs="Times New Roman"/>
          <w:color w:val="auto"/>
        </w:rPr>
        <w:t>本项目</w:t>
      </w:r>
      <w:r>
        <w:rPr>
          <w:rFonts w:ascii="Times New Roman" w:hAnsi="Times New Roman" w:eastAsia="宋体" w:cs="Times New Roman"/>
          <w:color w:val="auto"/>
        </w:rPr>
        <w:t>员工为</w:t>
      </w:r>
      <w:r>
        <w:rPr>
          <w:rFonts w:hint="eastAsia" w:ascii="Times New Roman" w:hAnsi="Times New Roman" w:eastAsia="宋体" w:cs="Times New Roman"/>
          <w:color w:val="auto"/>
          <w:lang w:eastAsia="zh-CN"/>
        </w:rPr>
        <w:t>60人</w:t>
      </w:r>
      <w:r>
        <w:rPr>
          <w:rFonts w:ascii="Times New Roman" w:hAnsi="Times New Roman" w:eastAsia="宋体" w:cs="Times New Roman"/>
          <w:color w:val="auto"/>
        </w:rPr>
        <w:t>，</w:t>
      </w:r>
      <w:r>
        <w:rPr>
          <w:rFonts w:hint="eastAsia" w:ascii="Times New Roman" w:hAnsi="Times New Roman" w:eastAsia="宋体" w:cs="Times New Roman"/>
          <w:color w:val="auto"/>
        </w:rPr>
        <w:t>员工</w:t>
      </w:r>
      <w:r>
        <w:rPr>
          <w:rFonts w:ascii="Times New Roman" w:hAnsi="Times New Roman" w:eastAsia="宋体" w:cs="Times New Roman"/>
          <w:color w:val="auto"/>
        </w:rPr>
        <w:t>活垃圾产生量为0.4kg/人·d，则项目运行期间生活垃圾产生量为</w:t>
      </w:r>
      <w:r>
        <w:rPr>
          <w:rFonts w:hint="eastAsia" w:ascii="Times New Roman" w:hAnsi="Times New Roman" w:eastAsia="宋体" w:cs="Times New Roman"/>
          <w:color w:val="auto"/>
          <w:lang w:val="en-US" w:eastAsia="zh-CN"/>
        </w:rPr>
        <w:t>7.2</w:t>
      </w:r>
      <w:r>
        <w:rPr>
          <w:rFonts w:hint="eastAsia" w:ascii="Times New Roman" w:hAnsi="Times New Roman" w:eastAsia="宋体" w:cs="Times New Roman"/>
          <w:color w:val="auto"/>
        </w:rPr>
        <w:t>t/a，</w:t>
      </w:r>
      <w:r>
        <w:rPr>
          <w:rFonts w:ascii="Times New Roman" w:hAnsi="Times New Roman" w:eastAsia="宋体" w:cs="Times New Roman"/>
          <w:color w:val="auto"/>
        </w:rPr>
        <w:t>生活垃圾由市政部门统一处理。</w:t>
      </w:r>
    </w:p>
    <w:p>
      <w:pPr>
        <w:pStyle w:val="74"/>
        <w:adjustRightInd/>
        <w:snapToGrid/>
        <w:contextualSpacing/>
        <w:rPr>
          <w:rFonts w:ascii="Times New Roman" w:hAnsi="Times New Roman" w:eastAsia="宋体" w:cs="Times New Roman"/>
          <w:color w:val="auto"/>
        </w:rPr>
      </w:pPr>
      <w:r>
        <w:rPr>
          <w:rFonts w:ascii="Times New Roman" w:hAnsi="Times New Roman" w:eastAsia="宋体" w:cs="Times New Roman"/>
          <w:color w:val="auto"/>
        </w:rPr>
        <w:t>（3）检疫</w:t>
      </w:r>
      <w:r>
        <w:rPr>
          <w:rFonts w:hint="eastAsia" w:ascii="Times New Roman" w:hAnsi="Times New Roman" w:eastAsia="宋体" w:cs="Times New Roman"/>
          <w:color w:val="auto"/>
        </w:rPr>
        <w:t>不合格肉牛及病死牛</w:t>
      </w:r>
    </w:p>
    <w:p>
      <w:pPr>
        <w:spacing w:line="360" w:lineRule="auto"/>
        <w:ind w:firstLine="480" w:firstLineChars="200"/>
        <w:rPr>
          <w:color w:val="auto"/>
          <w:sz w:val="24"/>
        </w:rPr>
      </w:pPr>
      <w:r>
        <w:rPr>
          <w:color w:val="auto"/>
          <w:sz w:val="24"/>
        </w:rPr>
        <w:t>本项目严把收购关，进厂后</w:t>
      </w:r>
      <w:r>
        <w:rPr>
          <w:rFonts w:hint="eastAsia"/>
          <w:color w:val="auto"/>
          <w:sz w:val="24"/>
        </w:rPr>
        <w:t>检疫不合格肉牛及病死牛</w:t>
      </w:r>
      <w:r>
        <w:rPr>
          <w:color w:val="auto"/>
          <w:sz w:val="24"/>
        </w:rPr>
        <w:t>的产生量极少，检出率为万分之</w:t>
      </w:r>
      <w:r>
        <w:rPr>
          <w:rFonts w:hint="eastAsia"/>
          <w:color w:val="auto"/>
          <w:sz w:val="24"/>
        </w:rPr>
        <w:t>一</w:t>
      </w:r>
      <w:r>
        <w:rPr>
          <w:color w:val="auto"/>
          <w:sz w:val="24"/>
        </w:rPr>
        <w:t>，</w:t>
      </w:r>
      <w:r>
        <w:rPr>
          <w:rFonts w:hint="eastAsia"/>
          <w:color w:val="auto"/>
          <w:sz w:val="24"/>
        </w:rPr>
        <w:t>约</w:t>
      </w:r>
      <w:r>
        <w:rPr>
          <w:color w:val="auto"/>
          <w:sz w:val="24"/>
        </w:rPr>
        <w:t>每年</w:t>
      </w:r>
      <w:r>
        <w:rPr>
          <w:rFonts w:hint="eastAsia"/>
          <w:color w:val="auto"/>
          <w:sz w:val="24"/>
        </w:rPr>
        <w:t>2</w:t>
      </w:r>
      <w:r>
        <w:rPr>
          <w:color w:val="auto"/>
          <w:sz w:val="24"/>
        </w:rPr>
        <w:t>头，产生量约为</w:t>
      </w:r>
      <w:r>
        <w:rPr>
          <w:rFonts w:hint="eastAsia"/>
          <w:color w:val="auto"/>
          <w:sz w:val="24"/>
        </w:rPr>
        <w:t>1</w:t>
      </w:r>
      <w:r>
        <w:rPr>
          <w:color w:val="auto"/>
          <w:sz w:val="24"/>
        </w:rPr>
        <w:t>t/a</w:t>
      </w:r>
      <w:r>
        <w:rPr>
          <w:rFonts w:hint="eastAsia"/>
          <w:color w:val="auto"/>
          <w:sz w:val="24"/>
        </w:rPr>
        <w:t>（代码：135-001-39）</w:t>
      </w:r>
      <w:r>
        <w:rPr>
          <w:color w:val="auto"/>
          <w:sz w:val="24"/>
        </w:rPr>
        <w:t>。</w:t>
      </w:r>
      <w:r>
        <w:rPr>
          <w:rFonts w:hint="eastAsia"/>
          <w:color w:val="auto"/>
          <w:sz w:val="24"/>
        </w:rPr>
        <w:t>根据</w:t>
      </w:r>
      <w:r>
        <w:rPr>
          <w:color w:val="auto"/>
          <w:sz w:val="24"/>
        </w:rPr>
        <w:t>《</w:t>
      </w:r>
      <w:r>
        <w:rPr>
          <w:rFonts w:hint="eastAsia"/>
          <w:color w:val="auto"/>
          <w:sz w:val="24"/>
        </w:rPr>
        <w:t>病死及病害动物无害化处理技术规范</w:t>
      </w:r>
      <w:r>
        <w:rPr>
          <w:color w:val="auto"/>
          <w:sz w:val="24"/>
        </w:rPr>
        <w:t>》</w:t>
      </w:r>
      <w:r>
        <w:rPr>
          <w:rFonts w:hint="eastAsia"/>
          <w:color w:val="auto"/>
          <w:sz w:val="24"/>
        </w:rPr>
        <w:t>（</w:t>
      </w:r>
      <w:r>
        <w:rPr>
          <w:color w:val="auto"/>
          <w:sz w:val="24"/>
        </w:rPr>
        <w:t>农医发〔2017〕25号</w:t>
      </w:r>
      <w:r>
        <w:rPr>
          <w:rFonts w:hint="eastAsia"/>
          <w:color w:val="auto"/>
          <w:sz w:val="24"/>
        </w:rPr>
        <w:t>）2017.07.03，本项目检疫不合格肉牛及病死牛委托</w:t>
      </w:r>
      <w:r>
        <w:rPr>
          <w:rFonts w:hint="eastAsia"/>
          <w:color w:val="auto"/>
          <w:sz w:val="24"/>
          <w:lang w:eastAsia="zh-CN"/>
        </w:rPr>
        <w:t>无害化处理有限公司</w:t>
      </w:r>
      <w:r>
        <w:rPr>
          <w:rFonts w:hint="eastAsia"/>
          <w:color w:val="auto"/>
          <w:sz w:val="24"/>
        </w:rPr>
        <w:t>处理。</w:t>
      </w:r>
    </w:p>
    <w:p>
      <w:pPr>
        <w:spacing w:line="360" w:lineRule="auto"/>
        <w:ind w:firstLine="480" w:firstLineChars="200"/>
        <w:rPr>
          <w:color w:val="auto"/>
          <w:sz w:val="24"/>
        </w:rPr>
      </w:pPr>
      <w:r>
        <w:rPr>
          <w:rFonts w:hint="eastAsia"/>
          <w:color w:val="auto"/>
          <w:sz w:val="24"/>
        </w:rPr>
        <w:t>（4）污水处理站栅渣及污泥</w:t>
      </w:r>
    </w:p>
    <w:p>
      <w:pPr>
        <w:spacing w:line="360" w:lineRule="auto"/>
        <w:ind w:firstLine="480" w:firstLineChars="200"/>
        <w:rPr>
          <w:bCs/>
          <w:snapToGrid w:val="0"/>
          <w:color w:val="FF0000"/>
          <w:kern w:val="0"/>
          <w:sz w:val="24"/>
        </w:rPr>
      </w:pPr>
      <w:r>
        <w:rPr>
          <w:rFonts w:hint="eastAsia"/>
          <w:bCs/>
          <w:snapToGrid w:val="0"/>
          <w:color w:val="auto"/>
          <w:kern w:val="0"/>
          <w:sz w:val="24"/>
        </w:rPr>
        <w:t>本项目栅渣产生量参照《污水处理厂工艺设计手册》，</w:t>
      </w:r>
      <w:r>
        <w:rPr>
          <w:bCs/>
          <w:snapToGrid w:val="0"/>
          <w:color w:val="auto"/>
          <w:kern w:val="0"/>
          <w:sz w:val="24"/>
        </w:rPr>
        <w:t>栅渣产生系数为0.05m</w:t>
      </w:r>
      <w:r>
        <w:rPr>
          <w:bCs/>
          <w:snapToGrid w:val="0"/>
          <w:color w:val="auto"/>
          <w:kern w:val="0"/>
          <w:sz w:val="24"/>
          <w:vertAlign w:val="superscript"/>
        </w:rPr>
        <w:t>3</w:t>
      </w:r>
      <w:r>
        <w:rPr>
          <w:bCs/>
          <w:snapToGrid w:val="0"/>
          <w:color w:val="auto"/>
          <w:kern w:val="0"/>
          <w:sz w:val="24"/>
        </w:rPr>
        <w:t>/1000m</w:t>
      </w:r>
      <w:r>
        <w:rPr>
          <w:bCs/>
          <w:snapToGrid w:val="0"/>
          <w:color w:val="auto"/>
          <w:kern w:val="0"/>
          <w:sz w:val="24"/>
          <w:vertAlign w:val="superscript"/>
        </w:rPr>
        <w:t>3</w:t>
      </w:r>
      <w:r>
        <w:rPr>
          <w:bCs/>
          <w:snapToGrid w:val="0"/>
          <w:color w:val="auto"/>
          <w:kern w:val="0"/>
          <w:sz w:val="24"/>
        </w:rPr>
        <w:t>～0.10m</w:t>
      </w:r>
      <w:r>
        <w:rPr>
          <w:bCs/>
          <w:snapToGrid w:val="0"/>
          <w:color w:val="auto"/>
          <w:kern w:val="0"/>
          <w:sz w:val="24"/>
          <w:vertAlign w:val="superscript"/>
        </w:rPr>
        <w:t>3</w:t>
      </w:r>
      <w:r>
        <w:rPr>
          <w:bCs/>
          <w:snapToGrid w:val="0"/>
          <w:color w:val="auto"/>
          <w:kern w:val="0"/>
          <w:sz w:val="24"/>
        </w:rPr>
        <w:t>/1000m</w:t>
      </w:r>
      <w:r>
        <w:rPr>
          <w:bCs/>
          <w:snapToGrid w:val="0"/>
          <w:color w:val="auto"/>
          <w:kern w:val="0"/>
          <w:sz w:val="24"/>
          <w:vertAlign w:val="superscript"/>
        </w:rPr>
        <w:t>3</w:t>
      </w:r>
      <w:r>
        <w:rPr>
          <w:bCs/>
          <w:snapToGrid w:val="0"/>
          <w:color w:val="auto"/>
          <w:kern w:val="0"/>
          <w:sz w:val="24"/>
        </w:rPr>
        <w:t>污水，本项目取最大值0.10m</w:t>
      </w:r>
      <w:r>
        <w:rPr>
          <w:bCs/>
          <w:snapToGrid w:val="0"/>
          <w:color w:val="auto"/>
          <w:kern w:val="0"/>
          <w:sz w:val="24"/>
          <w:vertAlign w:val="superscript"/>
        </w:rPr>
        <w:t>3</w:t>
      </w:r>
      <w:r>
        <w:rPr>
          <w:bCs/>
          <w:snapToGrid w:val="0"/>
          <w:color w:val="auto"/>
          <w:kern w:val="0"/>
          <w:sz w:val="24"/>
        </w:rPr>
        <w:t>/1000m</w:t>
      </w:r>
      <w:r>
        <w:rPr>
          <w:bCs/>
          <w:snapToGrid w:val="0"/>
          <w:color w:val="auto"/>
          <w:kern w:val="0"/>
          <w:sz w:val="24"/>
          <w:vertAlign w:val="superscript"/>
        </w:rPr>
        <w:t>3</w:t>
      </w:r>
      <w:r>
        <w:rPr>
          <w:bCs/>
          <w:snapToGrid w:val="0"/>
          <w:color w:val="auto"/>
          <w:kern w:val="0"/>
          <w:sz w:val="24"/>
        </w:rPr>
        <w:t>，即每处理10000m</w:t>
      </w:r>
      <w:r>
        <w:rPr>
          <w:bCs/>
          <w:snapToGrid w:val="0"/>
          <w:color w:val="auto"/>
          <w:kern w:val="0"/>
          <w:sz w:val="24"/>
          <w:vertAlign w:val="superscript"/>
        </w:rPr>
        <w:t>3</w:t>
      </w:r>
      <w:r>
        <w:rPr>
          <w:bCs/>
          <w:snapToGrid w:val="0"/>
          <w:color w:val="auto"/>
          <w:kern w:val="0"/>
          <w:sz w:val="24"/>
        </w:rPr>
        <w:t>污水产生栅渣1m</w:t>
      </w:r>
      <w:r>
        <w:rPr>
          <w:bCs/>
          <w:snapToGrid w:val="0"/>
          <w:color w:val="auto"/>
          <w:kern w:val="0"/>
          <w:sz w:val="24"/>
          <w:vertAlign w:val="superscript"/>
        </w:rPr>
        <w:t>3</w:t>
      </w:r>
      <w:r>
        <w:rPr>
          <w:bCs/>
          <w:snapToGrid w:val="0"/>
          <w:color w:val="auto"/>
          <w:kern w:val="0"/>
          <w:sz w:val="24"/>
        </w:rPr>
        <w:t>，栅渣密度取800kg/m</w:t>
      </w:r>
      <w:r>
        <w:rPr>
          <w:bCs/>
          <w:snapToGrid w:val="0"/>
          <w:color w:val="auto"/>
          <w:kern w:val="0"/>
          <w:sz w:val="24"/>
          <w:vertAlign w:val="superscript"/>
        </w:rPr>
        <w:t>3</w:t>
      </w:r>
      <w:r>
        <w:rPr>
          <w:bCs/>
          <w:snapToGrid w:val="0"/>
          <w:color w:val="auto"/>
          <w:kern w:val="0"/>
          <w:sz w:val="24"/>
        </w:rPr>
        <w:t>，本项目污水处理量为</w:t>
      </w:r>
      <w:r>
        <w:rPr>
          <w:rFonts w:hint="eastAsia"/>
          <w:bCs/>
          <w:snapToGrid w:val="0"/>
          <w:color w:val="auto"/>
          <w:kern w:val="0"/>
          <w:sz w:val="24"/>
          <w:lang w:eastAsia="zh-CN"/>
        </w:rPr>
        <w:t>17518.608</w:t>
      </w:r>
      <w:r>
        <w:rPr>
          <w:bCs/>
          <w:snapToGrid w:val="0"/>
          <w:color w:val="auto"/>
          <w:kern w:val="0"/>
          <w:sz w:val="24"/>
        </w:rPr>
        <w:t>m</w:t>
      </w:r>
      <w:r>
        <w:rPr>
          <w:bCs/>
          <w:snapToGrid w:val="0"/>
          <w:color w:val="auto"/>
          <w:kern w:val="0"/>
          <w:sz w:val="24"/>
          <w:vertAlign w:val="superscript"/>
        </w:rPr>
        <w:t>3</w:t>
      </w:r>
      <w:r>
        <w:rPr>
          <w:bCs/>
          <w:snapToGrid w:val="0"/>
          <w:color w:val="auto"/>
          <w:kern w:val="0"/>
          <w:sz w:val="24"/>
        </w:rPr>
        <w:t>，则栅渣产生量约为</w:t>
      </w:r>
      <w:r>
        <w:rPr>
          <w:rFonts w:hint="eastAsia"/>
          <w:bCs/>
          <w:snapToGrid w:val="0"/>
          <w:color w:val="auto"/>
          <w:kern w:val="0"/>
          <w:sz w:val="24"/>
          <w:lang w:eastAsia="zh-CN"/>
        </w:rPr>
        <w:t>1.4t</w:t>
      </w:r>
      <w:r>
        <w:rPr>
          <w:rFonts w:hint="eastAsia"/>
          <w:bCs/>
          <w:snapToGrid w:val="0"/>
          <w:color w:val="auto"/>
          <w:kern w:val="0"/>
          <w:sz w:val="24"/>
        </w:rPr>
        <w:t>/a。</w:t>
      </w:r>
    </w:p>
    <w:p>
      <w:pPr>
        <w:spacing w:line="360" w:lineRule="auto"/>
        <w:ind w:firstLine="480" w:firstLineChars="200"/>
        <w:rPr>
          <w:snapToGrid w:val="0"/>
          <w:color w:val="FF0000"/>
          <w:kern w:val="0"/>
          <w:sz w:val="24"/>
        </w:rPr>
      </w:pPr>
      <w:r>
        <w:rPr>
          <w:snapToGrid w:val="0"/>
          <w:color w:val="auto"/>
          <w:kern w:val="0"/>
          <w:sz w:val="24"/>
        </w:rPr>
        <w:t>根据《屠宰与肉类加工废水治理工程技术规范》（HJ2004-2010），污泥产生量一般按0.3-0.5kg/DS/kgBOD</w:t>
      </w:r>
      <w:r>
        <w:rPr>
          <w:snapToGrid w:val="0"/>
          <w:color w:val="auto"/>
          <w:kern w:val="0"/>
          <w:sz w:val="24"/>
          <w:vertAlign w:val="subscript"/>
        </w:rPr>
        <w:t>5</w:t>
      </w:r>
      <w:r>
        <w:rPr>
          <w:snapToGrid w:val="0"/>
          <w:color w:val="auto"/>
          <w:kern w:val="0"/>
          <w:sz w:val="24"/>
        </w:rPr>
        <w:t>计，污泥含水率为99.3%，</w:t>
      </w:r>
      <w:r>
        <w:rPr>
          <w:rFonts w:hint="eastAsia"/>
          <w:snapToGrid w:val="0"/>
          <w:color w:val="auto"/>
          <w:kern w:val="0"/>
          <w:sz w:val="24"/>
        </w:rPr>
        <w:t>本项目</w:t>
      </w:r>
      <w:r>
        <w:rPr>
          <w:snapToGrid w:val="0"/>
          <w:color w:val="auto"/>
          <w:kern w:val="0"/>
          <w:sz w:val="24"/>
        </w:rPr>
        <w:t>取0.</w:t>
      </w:r>
      <w:r>
        <w:rPr>
          <w:rFonts w:hint="eastAsia"/>
          <w:snapToGrid w:val="0"/>
          <w:color w:val="auto"/>
          <w:kern w:val="0"/>
          <w:sz w:val="24"/>
        </w:rPr>
        <w:t>4</w:t>
      </w:r>
      <w:r>
        <w:rPr>
          <w:snapToGrid w:val="0"/>
          <w:color w:val="auto"/>
          <w:kern w:val="0"/>
          <w:sz w:val="24"/>
        </w:rPr>
        <w:t>kg/DS/kgBOD</w:t>
      </w:r>
      <w:r>
        <w:rPr>
          <w:snapToGrid w:val="0"/>
          <w:color w:val="auto"/>
          <w:kern w:val="0"/>
          <w:sz w:val="24"/>
          <w:vertAlign w:val="subscript"/>
        </w:rPr>
        <w:t>5</w:t>
      </w:r>
      <w:r>
        <w:rPr>
          <w:snapToGrid w:val="0"/>
          <w:color w:val="auto"/>
          <w:kern w:val="0"/>
          <w:sz w:val="24"/>
        </w:rPr>
        <w:t>，则项目污泥产生量为</w:t>
      </w:r>
      <w:r>
        <w:rPr>
          <w:rFonts w:hint="eastAsia"/>
          <w:snapToGrid w:val="0"/>
          <w:color w:val="auto"/>
          <w:kern w:val="0"/>
          <w:sz w:val="24"/>
          <w:lang w:eastAsia="zh-CN"/>
        </w:rPr>
        <w:t>5.968</w:t>
      </w:r>
      <w:r>
        <w:rPr>
          <w:rFonts w:hint="eastAsia"/>
          <w:snapToGrid w:val="0"/>
          <w:color w:val="auto"/>
          <w:kern w:val="0"/>
          <w:sz w:val="24"/>
        </w:rPr>
        <w:t>/a，</w:t>
      </w:r>
      <w:r>
        <w:rPr>
          <w:snapToGrid w:val="0"/>
          <w:color w:val="auto"/>
          <w:kern w:val="0"/>
          <w:sz w:val="24"/>
        </w:rPr>
        <w:t>暂存污泥暂存池，采用压滤机脱水后</w:t>
      </w:r>
      <w:r>
        <w:rPr>
          <w:rFonts w:hint="eastAsia"/>
          <w:snapToGrid w:val="0"/>
          <w:color w:val="auto"/>
          <w:kern w:val="0"/>
          <w:sz w:val="24"/>
        </w:rPr>
        <w:t>污泥含水率约为60%</w:t>
      </w:r>
      <w:r>
        <w:rPr>
          <w:snapToGrid w:val="0"/>
          <w:color w:val="auto"/>
          <w:kern w:val="0"/>
          <w:sz w:val="24"/>
        </w:rPr>
        <w:t>，</w:t>
      </w:r>
      <w:r>
        <w:rPr>
          <w:rFonts w:hint="eastAsia"/>
          <w:snapToGrid w:val="0"/>
          <w:color w:val="auto"/>
          <w:kern w:val="0"/>
          <w:sz w:val="24"/>
        </w:rPr>
        <w:t>压滤废水返回污水处理工艺，</w:t>
      </w:r>
      <w:r>
        <w:rPr>
          <w:snapToGrid w:val="0"/>
          <w:color w:val="auto"/>
          <w:kern w:val="0"/>
          <w:sz w:val="24"/>
        </w:rPr>
        <w:t>则污泥排放量为</w:t>
      </w:r>
      <w:r>
        <w:rPr>
          <w:rFonts w:hint="eastAsia"/>
          <w:snapToGrid w:val="0"/>
          <w:color w:val="auto"/>
          <w:kern w:val="0"/>
          <w:sz w:val="24"/>
          <w:lang w:val="en-US" w:eastAsia="zh-CN"/>
        </w:rPr>
        <w:t>0.104</w:t>
      </w:r>
      <w:r>
        <w:rPr>
          <w:snapToGrid w:val="0"/>
          <w:color w:val="auto"/>
          <w:kern w:val="0"/>
          <w:sz w:val="24"/>
        </w:rPr>
        <w:t>t/a</w:t>
      </w:r>
      <w:r>
        <w:rPr>
          <w:rFonts w:hint="eastAsia"/>
          <w:snapToGrid w:val="0"/>
          <w:color w:val="auto"/>
          <w:kern w:val="0"/>
          <w:sz w:val="24"/>
        </w:rPr>
        <w:t>。</w:t>
      </w:r>
    </w:p>
    <w:p>
      <w:pPr>
        <w:spacing w:line="360" w:lineRule="auto"/>
        <w:ind w:firstLine="480" w:firstLineChars="200"/>
        <w:rPr>
          <w:snapToGrid w:val="0"/>
          <w:color w:val="auto"/>
          <w:kern w:val="0"/>
          <w:sz w:val="24"/>
        </w:rPr>
      </w:pPr>
      <w:r>
        <w:rPr>
          <w:rFonts w:hint="eastAsia"/>
          <w:snapToGrid w:val="0"/>
          <w:color w:val="auto"/>
          <w:kern w:val="0"/>
          <w:sz w:val="24"/>
        </w:rPr>
        <w:t>综上，本项目污水处理站栅渣及污泥产生量约为</w:t>
      </w:r>
      <w:r>
        <w:rPr>
          <w:rFonts w:hint="eastAsia"/>
          <w:snapToGrid w:val="0"/>
          <w:color w:val="auto"/>
          <w:kern w:val="0"/>
          <w:sz w:val="24"/>
          <w:lang w:val="en-US" w:eastAsia="zh-CN"/>
        </w:rPr>
        <w:t>1.504</w:t>
      </w:r>
      <w:r>
        <w:rPr>
          <w:rFonts w:hint="eastAsia"/>
          <w:snapToGrid w:val="0"/>
          <w:color w:val="auto"/>
          <w:kern w:val="0"/>
          <w:sz w:val="24"/>
        </w:rPr>
        <w:t>t/a（代码：135-001-62），送生活垃圾填埋场处理。</w:t>
      </w:r>
    </w:p>
    <w:p>
      <w:pPr>
        <w:spacing w:line="360" w:lineRule="auto"/>
        <w:ind w:firstLine="480" w:firstLineChars="200"/>
        <w:contextualSpacing/>
        <w:rPr>
          <w:snapToGrid w:val="0"/>
          <w:color w:val="auto"/>
          <w:kern w:val="0"/>
          <w:sz w:val="24"/>
        </w:rPr>
      </w:pPr>
      <w:r>
        <w:rPr>
          <w:snapToGrid w:val="0"/>
          <w:color w:val="auto"/>
          <w:kern w:val="0"/>
          <w:sz w:val="24"/>
        </w:rPr>
        <w:t>（</w:t>
      </w:r>
      <w:r>
        <w:rPr>
          <w:rFonts w:hint="eastAsia"/>
          <w:snapToGrid w:val="0"/>
          <w:color w:val="auto"/>
          <w:kern w:val="0"/>
          <w:sz w:val="24"/>
        </w:rPr>
        <w:t>5</w:t>
      </w:r>
      <w:r>
        <w:rPr>
          <w:snapToGrid w:val="0"/>
          <w:color w:val="auto"/>
          <w:kern w:val="0"/>
          <w:sz w:val="24"/>
        </w:rPr>
        <w:t>）</w:t>
      </w:r>
      <w:r>
        <w:rPr>
          <w:rFonts w:hint="eastAsia"/>
          <w:snapToGrid w:val="0"/>
          <w:color w:val="auto"/>
          <w:kern w:val="0"/>
          <w:sz w:val="24"/>
        </w:rPr>
        <w:t>食堂</w:t>
      </w:r>
      <w:r>
        <w:rPr>
          <w:snapToGrid w:val="0"/>
          <w:color w:val="auto"/>
          <w:kern w:val="0"/>
          <w:sz w:val="24"/>
        </w:rPr>
        <w:t>餐馀垃圾及废油脂（含污水处理站废油脂）</w:t>
      </w:r>
    </w:p>
    <w:p>
      <w:pPr>
        <w:pStyle w:val="74"/>
        <w:adjustRightInd/>
        <w:snapToGrid/>
        <w:contextualSpacing/>
        <w:jc w:val="both"/>
        <w:rPr>
          <w:rFonts w:ascii="Times New Roman" w:hAnsi="Times New Roman" w:eastAsia="宋体" w:cs="Times New Roman"/>
          <w:bCs/>
          <w:color w:val="FF0000"/>
        </w:rPr>
      </w:pPr>
      <w:r>
        <w:rPr>
          <w:rFonts w:hint="eastAsia" w:ascii="Times New Roman" w:hAnsi="Times New Roman" w:eastAsia="宋体" w:cs="Times New Roman"/>
          <w:bCs/>
          <w:color w:val="auto"/>
        </w:rPr>
        <w:t>本项目餐馀垃圾</w:t>
      </w:r>
      <w:r>
        <w:rPr>
          <w:rFonts w:ascii="Times New Roman" w:hAnsi="Times New Roman" w:eastAsia="宋体" w:cs="Times New Roman"/>
          <w:bCs/>
          <w:color w:val="auto"/>
        </w:rPr>
        <w:t>按0.3kg/人·餐计</w:t>
      </w:r>
      <w:r>
        <w:rPr>
          <w:rFonts w:hint="eastAsia" w:ascii="Times New Roman" w:hAnsi="Times New Roman" w:eastAsia="宋体" w:cs="Times New Roman"/>
          <w:bCs/>
          <w:color w:val="auto"/>
        </w:rPr>
        <w:t>，本项目厂区为一日两餐，用餐人数为</w:t>
      </w:r>
      <w:r>
        <w:rPr>
          <w:rFonts w:hint="eastAsia" w:ascii="Times New Roman" w:hAnsi="Times New Roman" w:eastAsia="宋体" w:cs="Times New Roman"/>
          <w:bCs/>
          <w:color w:val="auto"/>
          <w:lang w:eastAsia="zh-CN"/>
        </w:rPr>
        <w:t>60人</w:t>
      </w:r>
      <w:r>
        <w:rPr>
          <w:rFonts w:hint="eastAsia" w:ascii="Times New Roman" w:hAnsi="Times New Roman" w:eastAsia="宋体" w:cs="Times New Roman"/>
          <w:bCs/>
          <w:color w:val="auto"/>
        </w:rPr>
        <w:t>，</w:t>
      </w:r>
      <w:r>
        <w:rPr>
          <w:rFonts w:ascii="Times New Roman" w:hAnsi="Times New Roman" w:eastAsia="宋体" w:cs="Times New Roman"/>
          <w:bCs/>
          <w:color w:val="auto"/>
        </w:rPr>
        <w:t>餐馀垃圾产生量约为</w:t>
      </w:r>
      <w:r>
        <w:rPr>
          <w:rFonts w:hint="eastAsia" w:ascii="Times New Roman" w:hAnsi="Times New Roman" w:eastAsia="宋体" w:cs="Times New Roman"/>
          <w:bCs/>
          <w:color w:val="auto"/>
          <w:lang w:val="en-US" w:eastAsia="zh-CN"/>
        </w:rPr>
        <w:t>10.8</w:t>
      </w:r>
      <w:r>
        <w:rPr>
          <w:rFonts w:ascii="Times New Roman" w:hAnsi="Times New Roman" w:eastAsia="宋体" w:cs="Times New Roman"/>
          <w:bCs/>
          <w:color w:val="auto"/>
        </w:rPr>
        <w:t>t/a</w:t>
      </w:r>
      <w:r>
        <w:rPr>
          <w:rFonts w:hint="eastAsia" w:ascii="Times New Roman" w:hAnsi="Times New Roman" w:eastAsia="宋体" w:cs="Times New Roman"/>
          <w:bCs/>
          <w:color w:val="auto"/>
        </w:rPr>
        <w:t>（代码：135-001-39）；</w:t>
      </w:r>
      <w:r>
        <w:rPr>
          <w:rFonts w:ascii="Times New Roman" w:hAnsi="Times New Roman" w:eastAsia="宋体" w:cs="Times New Roman"/>
          <w:bCs/>
          <w:color w:val="auto"/>
        </w:rPr>
        <w:t>食用油用量平均按0.02kg/人•餐计，本项目用餐为一日</w:t>
      </w:r>
      <w:r>
        <w:rPr>
          <w:rFonts w:hint="eastAsia" w:ascii="Times New Roman" w:hAnsi="Times New Roman" w:eastAsia="宋体" w:cs="Times New Roman"/>
          <w:bCs/>
          <w:color w:val="auto"/>
        </w:rPr>
        <w:t>两</w:t>
      </w:r>
      <w:r>
        <w:rPr>
          <w:rFonts w:ascii="Times New Roman" w:hAnsi="Times New Roman" w:eastAsia="宋体" w:cs="Times New Roman"/>
          <w:bCs/>
          <w:color w:val="auto"/>
        </w:rPr>
        <w:t>餐，则日耗油量为</w:t>
      </w:r>
      <w:r>
        <w:rPr>
          <w:rFonts w:hint="eastAsia" w:ascii="Times New Roman" w:hAnsi="Times New Roman" w:eastAsia="宋体" w:cs="Times New Roman"/>
          <w:bCs/>
          <w:color w:val="auto"/>
        </w:rPr>
        <w:t>2</w:t>
      </w:r>
      <w:r>
        <w:rPr>
          <w:rFonts w:hint="eastAsia" w:ascii="Times New Roman" w:hAnsi="Times New Roman" w:eastAsia="宋体" w:cs="Times New Roman"/>
          <w:bCs/>
          <w:color w:val="auto"/>
          <w:lang w:val="en-US" w:eastAsia="zh-CN"/>
        </w:rPr>
        <w:t>.4</w:t>
      </w:r>
      <w:r>
        <w:rPr>
          <w:rFonts w:ascii="Times New Roman" w:hAnsi="Times New Roman" w:eastAsia="宋体" w:cs="Times New Roman"/>
          <w:bCs/>
          <w:color w:val="auto"/>
        </w:rPr>
        <w:t>kg/d，年耗油为</w:t>
      </w:r>
      <w:r>
        <w:rPr>
          <w:rFonts w:hint="eastAsia" w:ascii="Times New Roman" w:hAnsi="Times New Roman" w:eastAsia="宋体" w:cs="Times New Roman"/>
          <w:bCs/>
          <w:color w:val="auto"/>
          <w:lang w:val="en-US" w:eastAsia="zh-CN"/>
        </w:rPr>
        <w:t>0.72</w:t>
      </w:r>
      <w:r>
        <w:rPr>
          <w:rFonts w:ascii="Times New Roman" w:hAnsi="Times New Roman" w:eastAsia="宋体" w:cs="Times New Roman"/>
          <w:bCs/>
          <w:color w:val="auto"/>
        </w:rPr>
        <w:t>t/a</w:t>
      </w:r>
      <w:r>
        <w:rPr>
          <w:rFonts w:hint="eastAsia" w:ascii="Times New Roman" w:hAnsi="Times New Roman" w:eastAsia="宋体" w:cs="Times New Roman"/>
          <w:bCs/>
          <w:color w:val="auto"/>
        </w:rPr>
        <w:t>，食堂产生的废油脂按照消耗油脂总量的5%计算，则废油脂的产生量为0.03</w:t>
      </w:r>
      <w:r>
        <w:rPr>
          <w:rFonts w:hint="eastAsia" w:ascii="Times New Roman" w:hAnsi="Times New Roman" w:eastAsia="宋体" w:cs="Times New Roman"/>
          <w:bCs/>
          <w:color w:val="auto"/>
          <w:lang w:val="en-US" w:eastAsia="zh-CN"/>
        </w:rPr>
        <w:t>6</w:t>
      </w:r>
      <w:r>
        <w:rPr>
          <w:rFonts w:hint="eastAsia" w:ascii="Times New Roman" w:hAnsi="Times New Roman" w:eastAsia="宋体" w:cs="Times New Roman"/>
          <w:bCs/>
          <w:color w:val="auto"/>
        </w:rPr>
        <w:t>t/a（代码：135-001-39）。本项目污水处理站废油脂来自于隔油池，产生量约为1t/a（代码：135-001-99）。</w:t>
      </w:r>
      <w:r>
        <w:rPr>
          <w:rFonts w:ascii="Times New Roman" w:hAnsi="Times New Roman" w:eastAsia="宋体" w:cs="Times New Roman"/>
          <w:bCs/>
          <w:color w:val="auto"/>
        </w:rPr>
        <w:t>餐馀垃圾交由符合规定的回收处置单位统一回收处置；食堂废油脂</w:t>
      </w:r>
      <w:r>
        <w:rPr>
          <w:rFonts w:ascii="Times New Roman" w:hAnsi="Times New Roman" w:eastAsia="宋体" w:cs="Times New Roman"/>
          <w:bCs/>
          <w:color w:val="auto"/>
          <w:highlight w:val="none"/>
        </w:rPr>
        <w:t>按</w:t>
      </w:r>
      <w:r>
        <w:rPr>
          <w:rFonts w:hint="eastAsia" w:ascii="Times New Roman" w:hAnsi="Times New Roman" w:eastAsia="宋体" w:cs="Times New Roman"/>
          <w:bCs/>
          <w:color w:val="auto"/>
          <w:highlight w:val="none"/>
          <w:lang w:eastAsia="zh-CN"/>
        </w:rPr>
        <w:t>《哈尔滨市城市餐厨废弃物管理办法》</w:t>
      </w:r>
      <w:r>
        <w:rPr>
          <w:rFonts w:ascii="Times New Roman" w:hAnsi="Times New Roman" w:eastAsia="宋体" w:cs="Times New Roman"/>
          <w:bCs/>
          <w:color w:val="auto"/>
          <w:highlight w:val="none"/>
        </w:rPr>
        <w:t>处置</w:t>
      </w:r>
      <w:r>
        <w:rPr>
          <w:rFonts w:ascii="Times New Roman" w:hAnsi="Times New Roman" w:eastAsia="宋体" w:cs="Times New Roman"/>
          <w:bCs/>
          <w:color w:val="auto"/>
        </w:rPr>
        <w:t>；</w:t>
      </w:r>
      <w:r>
        <w:rPr>
          <w:rFonts w:hint="eastAsia" w:ascii="Times New Roman" w:hAnsi="Times New Roman" w:eastAsia="宋体" w:cs="Times New Roman"/>
          <w:bCs/>
          <w:color w:val="auto"/>
        </w:rPr>
        <w:t>污水处理站废油脂交由有资质单位处置</w:t>
      </w:r>
      <w:r>
        <w:rPr>
          <w:rFonts w:ascii="Times New Roman" w:hAnsi="Times New Roman" w:eastAsia="宋体" w:cs="Times New Roman"/>
          <w:bCs/>
          <w:color w:val="auto"/>
        </w:rPr>
        <w:t>。</w:t>
      </w:r>
    </w:p>
    <w:p>
      <w:pPr>
        <w:pStyle w:val="74"/>
        <w:adjustRightInd/>
        <w:snapToGrid/>
        <w:contextualSpacing/>
        <w:jc w:val="both"/>
        <w:rPr>
          <w:rFonts w:ascii="Times New Roman" w:hAnsi="Times New Roman" w:eastAsia="宋体" w:cs="Times New Roman"/>
          <w:bCs/>
          <w:color w:val="auto"/>
        </w:rPr>
      </w:pPr>
      <w:r>
        <w:rPr>
          <w:rFonts w:hint="eastAsia" w:ascii="Times New Roman" w:hAnsi="Times New Roman" w:eastAsia="宋体" w:cs="Times New Roman"/>
          <w:bCs/>
          <w:color w:val="auto"/>
        </w:rPr>
        <w:t>（6）肠胃内容物</w:t>
      </w:r>
    </w:p>
    <w:p>
      <w:pPr>
        <w:pStyle w:val="74"/>
        <w:adjustRightInd/>
        <w:snapToGrid/>
        <w:contextualSpacing/>
        <w:jc w:val="both"/>
        <w:rPr>
          <w:rFonts w:ascii="Times New Roman" w:hAnsi="Times New Roman" w:eastAsia="宋体" w:cs="Times New Roman"/>
          <w:bCs/>
          <w:color w:val="auto"/>
        </w:rPr>
      </w:pPr>
      <w:r>
        <w:rPr>
          <w:rFonts w:hint="eastAsia" w:ascii="Times New Roman" w:hAnsi="Times New Roman" w:eastAsia="宋体" w:cs="Times New Roman"/>
          <w:bCs/>
          <w:color w:val="auto"/>
        </w:rPr>
        <w:t>本项目屠宰车间肠胃内容物产生量为</w:t>
      </w:r>
      <w:r>
        <w:rPr>
          <w:rFonts w:hint="eastAsia" w:ascii="Times New Roman" w:hAnsi="Times New Roman" w:eastAsia="宋体" w:cs="Times New Roman"/>
          <w:bCs/>
          <w:color w:val="auto"/>
          <w:lang w:eastAsia="zh-CN"/>
        </w:rPr>
        <w:t>81.4</w:t>
      </w:r>
      <w:r>
        <w:rPr>
          <w:rFonts w:hint="eastAsia" w:ascii="Times New Roman" w:hAnsi="Times New Roman" w:eastAsia="宋体" w:cs="Times New Roman"/>
          <w:bCs/>
          <w:color w:val="auto"/>
        </w:rPr>
        <w:t>t/a（代码：135-001-32），同粪便暂存于待宰间内储粪池内，日产日清，使用密闭运输车运走作为有机肥原料外卖。</w:t>
      </w:r>
    </w:p>
    <w:p>
      <w:pPr>
        <w:pStyle w:val="74"/>
        <w:adjustRightInd/>
        <w:snapToGrid/>
        <w:contextualSpacing/>
        <w:jc w:val="both"/>
        <w:rPr>
          <w:rFonts w:ascii="Times New Roman" w:hAnsi="Times New Roman" w:eastAsia="宋体" w:cs="Times New Roman"/>
          <w:bCs/>
          <w:color w:val="auto"/>
        </w:rPr>
      </w:pPr>
      <w:r>
        <w:rPr>
          <w:rFonts w:hint="eastAsia" w:ascii="Times New Roman" w:hAnsi="Times New Roman" w:eastAsia="宋体" w:cs="Times New Roman"/>
          <w:bCs/>
          <w:color w:val="auto"/>
        </w:rPr>
        <w:t>（7）废弃包装物</w:t>
      </w:r>
    </w:p>
    <w:p>
      <w:pPr>
        <w:pStyle w:val="74"/>
        <w:adjustRightInd/>
        <w:snapToGrid/>
        <w:contextualSpacing/>
        <w:jc w:val="both"/>
        <w:rPr>
          <w:rFonts w:ascii="Times New Roman" w:hAnsi="Times New Roman" w:eastAsia="宋体" w:cs="Times New Roman"/>
          <w:bCs/>
          <w:color w:val="auto"/>
        </w:rPr>
      </w:pPr>
      <w:r>
        <w:rPr>
          <w:rFonts w:hint="eastAsia" w:ascii="Times New Roman" w:hAnsi="Times New Roman" w:eastAsia="宋体" w:cs="Times New Roman"/>
          <w:bCs/>
          <w:color w:val="auto"/>
        </w:rPr>
        <w:t>本项目废弃包装物产生量约为0.5t/a（代码：135-001-39），</w:t>
      </w:r>
      <w:r>
        <w:rPr>
          <w:rFonts w:ascii="Times New Roman" w:hAnsi="Times New Roman" w:eastAsia="宋体" w:cs="Times New Roman"/>
          <w:bCs/>
          <w:color w:val="auto"/>
        </w:rPr>
        <w:t>集中收集，外售综合利用。</w:t>
      </w:r>
    </w:p>
    <w:p>
      <w:pPr>
        <w:pStyle w:val="74"/>
        <w:adjustRightInd/>
        <w:snapToGrid/>
        <w:contextualSpacing/>
        <w:jc w:val="both"/>
        <w:rPr>
          <w:rFonts w:ascii="Times New Roman" w:hAnsi="Times New Roman" w:eastAsia="宋体" w:cs="Times New Roman"/>
          <w:bCs/>
          <w:color w:val="auto"/>
        </w:rPr>
      </w:pPr>
      <w:r>
        <w:rPr>
          <w:rFonts w:hint="eastAsia" w:ascii="Times New Roman" w:hAnsi="Times New Roman" w:eastAsia="宋体" w:cs="Times New Roman"/>
          <w:bCs/>
          <w:color w:val="auto"/>
        </w:rPr>
        <w:t>（8）不可食用内脏</w:t>
      </w:r>
    </w:p>
    <w:p>
      <w:pPr>
        <w:pStyle w:val="74"/>
        <w:adjustRightInd/>
        <w:snapToGrid/>
        <w:contextualSpacing/>
        <w:jc w:val="both"/>
        <w:rPr>
          <w:rFonts w:ascii="Times New Roman" w:hAnsi="Times New Roman" w:eastAsia="宋体" w:cs="Times New Roman"/>
          <w:bCs/>
          <w:color w:val="auto"/>
        </w:rPr>
      </w:pPr>
      <w:r>
        <w:rPr>
          <w:rFonts w:hint="eastAsia" w:ascii="Times New Roman" w:hAnsi="Times New Roman" w:eastAsia="宋体" w:cs="Times New Roman"/>
          <w:bCs/>
          <w:color w:val="auto"/>
        </w:rPr>
        <w:t>本项目屠宰车间不可食用内脏产生量为</w:t>
      </w:r>
      <w:r>
        <w:rPr>
          <w:rFonts w:hint="eastAsia" w:ascii="Times New Roman" w:hAnsi="Times New Roman" w:eastAsia="宋体" w:cs="Times New Roman"/>
          <w:bCs/>
          <w:color w:val="auto"/>
          <w:lang w:eastAsia="zh-CN"/>
        </w:rPr>
        <w:t>100t</w:t>
      </w:r>
      <w:r>
        <w:rPr>
          <w:rFonts w:hint="eastAsia" w:ascii="Times New Roman" w:hAnsi="Times New Roman" w:eastAsia="宋体" w:cs="Times New Roman"/>
          <w:bCs/>
          <w:color w:val="auto"/>
        </w:rPr>
        <w:t>/a（代码：135-001-32），产生后，采用专用存储桶暂存屠宰车间内，日产日清，</w:t>
      </w:r>
      <w:r>
        <w:rPr>
          <w:rFonts w:ascii="Times New Roman" w:hAnsi="Times New Roman" w:eastAsia="宋体" w:cs="Times New Roman"/>
          <w:bCs/>
          <w:color w:val="auto"/>
        </w:rPr>
        <w:t>集中收集交由</w:t>
      </w:r>
      <w:r>
        <w:rPr>
          <w:rFonts w:hint="eastAsia" w:ascii="Times New Roman" w:hAnsi="Times New Roman" w:eastAsia="宋体" w:cs="Times New Roman"/>
          <w:bCs/>
          <w:color w:val="auto"/>
          <w:lang w:eastAsia="zh-CN"/>
        </w:rPr>
        <w:t>无害化处理有限公司</w:t>
      </w:r>
      <w:r>
        <w:rPr>
          <w:rFonts w:hint="eastAsia" w:ascii="Times New Roman" w:hAnsi="Times New Roman" w:eastAsia="宋体" w:cs="Times New Roman"/>
          <w:bCs/>
          <w:color w:val="auto"/>
        </w:rPr>
        <w:t>处理</w:t>
      </w:r>
      <w:r>
        <w:rPr>
          <w:rFonts w:ascii="Times New Roman" w:hAnsi="Times New Roman" w:eastAsia="宋体" w:cs="Times New Roman"/>
          <w:bCs/>
          <w:color w:val="auto"/>
        </w:rPr>
        <w:t>。</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w:t>
      </w:r>
      <w:r>
        <w:rPr>
          <w:rFonts w:hint="eastAsia" w:ascii="Times New Roman" w:hAnsi="Times New Roman" w:eastAsia="宋体" w:cs="Times New Roman"/>
          <w:color w:val="auto"/>
        </w:rPr>
        <w:t>9）废</w:t>
      </w:r>
      <w:r>
        <w:rPr>
          <w:rFonts w:ascii="Times New Roman" w:hAnsi="Times New Roman" w:eastAsia="宋体" w:cs="Times New Roman"/>
          <w:color w:val="auto"/>
        </w:rPr>
        <w:t>活性炭</w:t>
      </w:r>
    </w:p>
    <w:p>
      <w:pPr>
        <w:pStyle w:val="74"/>
        <w:rPr>
          <w:rFonts w:ascii="Times New Roman" w:hAnsi="Calibri" w:eastAsia="宋体" w:cs="Times New Roman"/>
          <w:bCs/>
          <w:color w:val="auto"/>
        </w:rPr>
      </w:pPr>
      <w:r>
        <w:rPr>
          <w:rFonts w:ascii="Times New Roman" w:hAnsi="Times New Roman" w:eastAsia="宋体" w:cs="Times New Roman"/>
          <w:bCs/>
          <w:color w:val="auto"/>
        </w:rPr>
        <w:t>本项目废活性炭来自</w:t>
      </w:r>
      <w:r>
        <w:rPr>
          <w:rFonts w:hint="eastAsia" w:ascii="Times New Roman" w:hAnsi="Times New Roman" w:eastAsia="宋体" w:cs="Times New Roman"/>
          <w:bCs/>
          <w:color w:val="auto"/>
          <w:lang w:val="en-US" w:eastAsia="zh-CN"/>
        </w:rPr>
        <w:t>待宰间、</w:t>
      </w:r>
      <w:r>
        <w:rPr>
          <w:rFonts w:ascii="Times New Roman" w:hAnsi="Times New Roman" w:eastAsia="宋体" w:cs="Times New Roman"/>
          <w:bCs/>
          <w:color w:val="auto"/>
        </w:rPr>
        <w:t>屠宰车间及</w:t>
      </w:r>
      <w:r>
        <w:rPr>
          <w:rFonts w:ascii="Times New Roman" w:hAnsi="Calibri" w:eastAsia="宋体" w:cs="Times New Roman"/>
          <w:bCs/>
          <w:color w:val="auto"/>
        </w:rPr>
        <w:t>污水处理站活性炭吸附处理装置，每季度更换一次，根据本项目处理规模并采用经验数据（《简明通风设计手册》活性炭有效吸附量</w:t>
      </w:r>
      <w:r>
        <w:rPr>
          <w:rFonts w:ascii="Times New Roman" w:hAnsi="Times New Roman" w:eastAsia="宋体" w:cs="Times New Roman"/>
          <w:bCs/>
          <w:color w:val="auto"/>
        </w:rPr>
        <w:t>qe=0.24kg/kg</w:t>
      </w:r>
      <w:r>
        <w:rPr>
          <w:rFonts w:ascii="Times New Roman" w:hAnsi="Calibri" w:eastAsia="宋体" w:cs="Times New Roman"/>
          <w:bCs/>
          <w:color w:val="auto"/>
        </w:rPr>
        <w:t>活性炭）估算，</w:t>
      </w:r>
      <w:r>
        <w:rPr>
          <w:rFonts w:hint="eastAsia" w:ascii="Times New Roman" w:hAnsi="Calibri" w:eastAsia="宋体" w:cs="Times New Roman"/>
          <w:bCs/>
          <w:color w:val="auto"/>
          <w:lang w:val="en-US" w:eastAsia="zh-CN"/>
        </w:rPr>
        <w:t>吸附量约为0.2257t/a，经计算使用活性炭量为0.94t/a，</w:t>
      </w:r>
      <w:r>
        <w:rPr>
          <w:rFonts w:ascii="Times New Roman" w:hAnsi="Times New Roman" w:eastAsia="宋体" w:cs="Times New Roman"/>
          <w:bCs/>
          <w:color w:val="auto"/>
        </w:rPr>
        <w:t>则废活性炭产生量约为</w:t>
      </w:r>
      <w:r>
        <w:rPr>
          <w:rFonts w:hint="eastAsia" w:ascii="Times New Roman" w:hAnsi="Times New Roman" w:eastAsia="宋体" w:cs="Times New Roman"/>
          <w:bCs/>
          <w:color w:val="auto"/>
          <w:lang w:eastAsia="zh-CN"/>
        </w:rPr>
        <w:t>1.1657t</w:t>
      </w:r>
      <w:r>
        <w:rPr>
          <w:rFonts w:ascii="Times New Roman" w:hAnsi="Times New Roman" w:eastAsia="宋体" w:cs="Times New Roman"/>
          <w:bCs/>
          <w:color w:val="auto"/>
        </w:rPr>
        <w:t>/a</w:t>
      </w:r>
      <w:r>
        <w:rPr>
          <w:rFonts w:hint="eastAsia" w:ascii="Times New Roman" w:hAnsi="Times New Roman" w:eastAsia="宋体" w:cs="Times New Roman"/>
          <w:bCs/>
          <w:color w:val="auto"/>
        </w:rPr>
        <w:t>（代码：135-001-39）</w:t>
      </w:r>
      <w:r>
        <w:rPr>
          <w:rFonts w:ascii="Times New Roman" w:hAnsi="Times New Roman" w:eastAsia="宋体" w:cs="Times New Roman"/>
          <w:bCs/>
          <w:color w:val="auto"/>
        </w:rPr>
        <w:t>，</w:t>
      </w:r>
      <w:r>
        <w:rPr>
          <w:rFonts w:hint="eastAsia"/>
          <w:bCs/>
          <w:color w:val="auto"/>
          <w:sz w:val="24"/>
        </w:rPr>
        <w:t>废活性炭</w:t>
      </w:r>
      <w:r>
        <w:rPr>
          <w:rFonts w:hint="eastAsia"/>
          <w:bCs/>
          <w:color w:val="auto"/>
          <w:sz w:val="24"/>
          <w:lang w:val="en-US" w:eastAsia="zh-CN"/>
        </w:rPr>
        <w:t>交由厂家再生利用</w:t>
      </w:r>
      <w:r>
        <w:rPr>
          <w:rFonts w:ascii="Times New Roman" w:hAnsi="Calibri" w:eastAsia="宋体" w:cs="Times New Roman"/>
          <w:bCs/>
          <w:color w:val="auto"/>
        </w:rPr>
        <w:t>。</w:t>
      </w:r>
    </w:p>
    <w:p>
      <w:pPr>
        <w:pStyle w:val="74"/>
        <w:rPr>
          <w:rFonts w:hint="eastAsia" w:ascii="Times New Roman" w:hAnsi="Calibri" w:eastAsia="宋体" w:cs="Times New Roman"/>
          <w:bCs/>
          <w:color w:val="auto"/>
          <w:lang w:val="en-US" w:eastAsia="zh-CN"/>
        </w:rPr>
      </w:pPr>
      <w:r>
        <w:rPr>
          <w:rFonts w:hint="eastAsia" w:ascii="Times New Roman" w:hAnsi="Calibri" w:eastAsia="宋体" w:cs="Times New Roman"/>
          <w:bCs/>
          <w:color w:val="auto"/>
          <w:lang w:val="en-US" w:eastAsia="zh-CN"/>
        </w:rPr>
        <w:t>（10）废离子交换树脂</w:t>
      </w:r>
    </w:p>
    <w:p>
      <w:pPr>
        <w:pStyle w:val="74"/>
        <w:rPr>
          <w:rFonts w:hint="default" w:ascii="Times New Roman" w:hAnsi="Calibri" w:eastAsia="宋体" w:cs="Times New Roman"/>
          <w:bCs/>
          <w:color w:val="auto"/>
          <w:lang w:val="en-US" w:eastAsia="zh-CN"/>
        </w:rPr>
      </w:pPr>
      <w:r>
        <w:rPr>
          <w:rFonts w:hint="eastAsia" w:ascii="Times New Roman" w:hAnsi="Calibri" w:eastAsia="宋体" w:cs="Times New Roman"/>
          <w:bCs/>
          <w:color w:val="auto"/>
          <w:lang w:val="en-US" w:eastAsia="zh-CN"/>
        </w:rPr>
        <w:t>本项目燃生物质锅炉需定期更换离子交换树脂，每年更换一次，更换量为0.3t/a（代码：135-001-39），属于一般工业固废，由厂家回收。</w:t>
      </w:r>
    </w:p>
    <w:p>
      <w:pPr>
        <w:pStyle w:val="74"/>
        <w:keepNext w:val="0"/>
        <w:keepLines w:val="0"/>
        <w:pageBreakBefore w:val="0"/>
        <w:kinsoku/>
        <w:wordWrap/>
        <w:overflowPunct/>
        <w:topLinePunct w:val="0"/>
        <w:autoSpaceDE/>
        <w:autoSpaceDN/>
        <w:bidi w:val="0"/>
        <w:adjustRightInd/>
        <w:snapToGrid/>
        <w:spacing w:line="360" w:lineRule="auto"/>
        <w:ind w:firstLine="480" w:firstLineChars="200"/>
        <w:contextualSpacing/>
        <w:jc w:val="both"/>
        <w:textAlignment w:val="auto"/>
        <w:rPr>
          <w:rFonts w:hint="eastAsia" w:ascii="Times New Roman" w:hAnsi="Times New Roman" w:cs="Times New Roman" w:eastAsiaTheme="minorEastAsia"/>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11</w:t>
      </w:r>
      <w:r>
        <w:rPr>
          <w:rFonts w:hint="eastAsia" w:ascii="Times New Roman" w:hAnsi="Times New Roman" w:eastAsia="宋体" w:cs="Times New Roman"/>
          <w:color w:val="auto"/>
          <w:sz w:val="24"/>
          <w:szCs w:val="24"/>
          <w:highlight w:val="none"/>
          <w:lang w:eastAsia="zh-CN"/>
        </w:rPr>
        <w:t>）</w:t>
      </w:r>
      <w:r>
        <w:rPr>
          <w:color w:val="auto"/>
          <w:sz w:val="24"/>
          <w:szCs w:val="24"/>
          <w:highlight w:val="none"/>
        </w:rPr>
        <w:t>锅炉布袋除尘器收尘和锅炉灰渣</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color w:val="FF0000"/>
          <w:sz w:val="24"/>
          <w:szCs w:val="24"/>
          <w:highlight w:val="none"/>
        </w:rPr>
      </w:pPr>
      <w:r>
        <w:rPr>
          <w:color w:val="auto"/>
          <w:sz w:val="24"/>
          <w:szCs w:val="24"/>
          <w:highlight w:val="none"/>
        </w:rPr>
        <w:t>根据《污染源源强核算技术指南 锅炉》（HJ991-2018）中的规定，生物质锅炉灰渣产生量以下式进行计算：</w:t>
      </w:r>
    </w:p>
    <w:p>
      <w:pPr>
        <w:keepNext w:val="0"/>
        <w:keepLines w:val="0"/>
        <w:pageBreakBefore w:val="0"/>
        <w:kinsoku/>
        <w:wordWrap/>
        <w:overflowPunct/>
        <w:topLinePunct w:val="0"/>
        <w:autoSpaceDE/>
        <w:autoSpaceDN/>
        <w:bidi w:val="0"/>
        <w:adjustRightInd/>
        <w:snapToGrid/>
        <w:spacing w:line="360" w:lineRule="auto"/>
        <w:ind w:firstLine="482" w:firstLineChars="200"/>
        <w:jc w:val="center"/>
        <w:textAlignment w:val="auto"/>
        <w:rPr>
          <w:color w:val="FF0000"/>
          <w:sz w:val="24"/>
          <w:szCs w:val="24"/>
          <w:highlight w:val="none"/>
        </w:rPr>
      </w:pPr>
      <w:r>
        <w:rPr>
          <w:b/>
          <w:color w:val="FF0000"/>
          <w:sz w:val="24"/>
          <w:szCs w:val="24"/>
          <w:highlight w:val="none"/>
        </w:rPr>
        <w:object>
          <v:shape id="_x0000_i1026" o:spt="75" type="#_x0000_t75" style="height:37.35pt;width:149.45pt;" o:ole="t" filled="f" o:preferrelative="t" stroked="f" coordsize="21600,21600">
            <v:path/>
            <v:fill on="f" focussize="0,0"/>
            <v:stroke on="f" joinstyle="miter"/>
            <v:imagedata r:id="rId26" o:title=""/>
            <o:lock v:ext="edit" aspectratio="t"/>
            <w10:wrap type="none"/>
            <w10:anchorlock/>
          </v:shape>
          <o:OLEObject Type="Embed" ProgID="Equation.3" ShapeID="_x0000_i1026" DrawAspect="Content" ObjectID="_1468075726" r:id="rId25">
            <o:LockedField>false</o:LockedField>
          </o:OLEObject>
        </w:objec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式中：</w:t>
      </w:r>
      <w:r>
        <w:rPr>
          <w:color w:val="auto"/>
          <w:sz w:val="24"/>
          <w:szCs w:val="24"/>
          <w:highlight w:val="none"/>
        </w:rPr>
        <w:object>
          <v:shape id="_x0000_i1027" o:spt="75" type="#_x0000_t75" style="height:18.35pt;width:18.35pt;" o:ole="t" filled="f" o:preferrelative="t" stroked="f" coordsize="21600,21600">
            <v:path/>
            <v:fill on="f" focussize="0,0"/>
            <v:stroke on="f" joinstyle="miter"/>
            <v:imagedata r:id="rId28" o:title=""/>
            <o:lock v:ext="edit" aspectratio="t"/>
            <w10:wrap type="none"/>
            <w10:anchorlock/>
          </v:shape>
          <o:OLEObject Type="Embed" ProgID="Equation.3" ShapeID="_x0000_i1027" DrawAspect="Content" ObjectID="_1468075727" r:id="rId27">
            <o:LockedField>false</o:LockedField>
          </o:OLEObject>
        </w:object>
      </w:r>
      <w:r>
        <w:rPr>
          <w:color w:val="auto"/>
          <w:sz w:val="24"/>
          <w:szCs w:val="24"/>
          <w:highlight w:val="none"/>
        </w:rPr>
        <w:t>——核算时段内灰渣产生量；t</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object>
          <v:shape id="_x0000_i1028" o:spt="75" type="#_x0000_t75" style="height:12.9pt;width:12.9pt;" o:ole="t" filled="f" o:preferrelative="t" stroked="f" coordsize="21600,21600">
            <v:path/>
            <v:fill on="f" focussize="0,0"/>
            <v:stroke on="f" joinstyle="miter"/>
            <v:imagedata r:id="rId30" o:title=""/>
            <o:lock v:ext="edit" aspectratio="t"/>
            <w10:wrap type="none"/>
            <w10:anchorlock/>
          </v:shape>
          <o:OLEObject Type="Embed" ProgID="Equation.3" ShapeID="_x0000_i1028" DrawAspect="Content" ObjectID="_1468075728" r:id="rId29">
            <o:LockedField>false</o:LockedField>
          </o:OLEObject>
        </w:object>
      </w:r>
      <w:r>
        <w:rPr>
          <w:color w:val="auto"/>
          <w:sz w:val="24"/>
          <w:szCs w:val="24"/>
          <w:highlight w:val="none"/>
        </w:rPr>
        <w:t>——核算时段内，锅炉燃料消耗量，t（</w:t>
      </w:r>
      <w:r>
        <w:rPr>
          <w:rFonts w:hint="eastAsia"/>
          <w:color w:val="auto"/>
          <w:sz w:val="24"/>
          <w:szCs w:val="24"/>
          <w:highlight w:val="none"/>
          <w:lang w:val="en-US" w:eastAsia="zh-CN"/>
        </w:rPr>
        <w:t>468</w:t>
      </w:r>
      <w:r>
        <w:rPr>
          <w:color w:val="auto"/>
          <w:sz w:val="24"/>
          <w:szCs w:val="24"/>
          <w:highlight w:val="none"/>
        </w:rPr>
        <w:t>t/a）</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object>
          <v:shape id="_x0000_i1029" o:spt="75" type="#_x0000_t75" style="height:18.35pt;width:18.35pt;" o:ole="t" filled="f" o:preferrelative="t" stroked="f" coordsize="21600,21600">
            <v:path/>
            <v:fill on="f" focussize="0,0"/>
            <v:stroke on="f" joinstyle="miter"/>
            <v:imagedata r:id="rId32" o:title=""/>
            <o:lock v:ext="edit" aspectratio="t"/>
            <w10:wrap type="none"/>
            <w10:anchorlock/>
          </v:shape>
          <o:OLEObject Type="Embed" ProgID="Equation.3" ShapeID="_x0000_i1029" DrawAspect="Content" ObjectID="_1468075729" r:id="rId31">
            <o:LockedField>false</o:LockedField>
          </o:OLEObject>
        </w:object>
      </w:r>
      <w:r>
        <w:rPr>
          <w:color w:val="auto"/>
          <w:sz w:val="24"/>
          <w:szCs w:val="24"/>
          <w:highlight w:val="none"/>
        </w:rPr>
        <w:t>——收到基灰分的质量分数，%（</w:t>
      </w:r>
      <w:r>
        <w:rPr>
          <w:rFonts w:hint="eastAsia"/>
          <w:color w:val="auto"/>
          <w:sz w:val="24"/>
          <w:szCs w:val="24"/>
          <w:highlight w:val="none"/>
          <w:lang w:val="en-US" w:eastAsia="zh-CN"/>
        </w:rPr>
        <w:t>14.78</w:t>
      </w:r>
      <w:r>
        <w:rPr>
          <w:color w:val="auto"/>
          <w:sz w:val="24"/>
          <w:szCs w:val="24"/>
          <w:highlight w:val="none"/>
        </w:rPr>
        <w:t>%）</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object>
          <v:shape id="_x0000_i1030" o:spt="75" type="#_x0000_t75" style="height:18.35pt;width:14.25pt;" o:ole="t" filled="f" o:preferrelative="t" stroked="f" coordsize="21600,21600">
            <v:path/>
            <v:fill on="f" focussize="0,0"/>
            <v:stroke on="f" joinstyle="miter"/>
            <v:imagedata r:id="rId34" o:title=""/>
            <o:lock v:ext="edit" aspectratio="t"/>
            <w10:wrap type="none"/>
            <w10:anchorlock/>
          </v:shape>
          <o:OLEObject Type="Embed" ProgID="Equation.3" ShapeID="_x0000_i1030" DrawAspect="Content" ObjectID="_1468075730" r:id="rId33">
            <o:LockedField>false</o:LockedField>
          </o:OLEObject>
        </w:object>
      </w:r>
      <w:r>
        <w:rPr>
          <w:color w:val="auto"/>
          <w:sz w:val="24"/>
          <w:szCs w:val="24"/>
          <w:highlight w:val="none"/>
        </w:rPr>
        <w:t>——锅炉机械不完全燃烧热损失，%（取10%）</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object>
          <v:shape id="_x0000_i1031" o:spt="75" type="#_x0000_t75" style="height:19.7pt;width:29.9pt;" o:ole="t" filled="f" o:preferrelative="t" stroked="f" coordsize="21600,21600">
            <v:path/>
            <v:fill on="f" focussize="0,0"/>
            <v:stroke on="f" joinstyle="miter"/>
            <v:imagedata r:id="rId36" o:title=""/>
            <o:lock v:ext="edit" aspectratio="t"/>
            <w10:wrap type="none"/>
            <w10:anchorlock/>
          </v:shape>
          <o:OLEObject Type="Embed" ProgID="Equation.3" ShapeID="_x0000_i1031" DrawAspect="Content" ObjectID="_1468075731" r:id="rId35">
            <o:LockedField>false</o:LockedField>
          </o:OLEObject>
        </w:object>
      </w:r>
      <w:r>
        <w:rPr>
          <w:color w:val="auto"/>
          <w:sz w:val="24"/>
          <w:szCs w:val="24"/>
          <w:highlight w:val="none"/>
        </w:rPr>
        <w:t>——收到基低位发热量，kJ/kg（</w:t>
      </w:r>
      <w:r>
        <w:rPr>
          <w:rFonts w:hint="eastAsia"/>
          <w:color w:val="auto"/>
          <w:sz w:val="24"/>
          <w:szCs w:val="24"/>
          <w:highlight w:val="none"/>
          <w:lang w:val="en-US" w:eastAsia="zh-CN"/>
        </w:rPr>
        <w:t>13249</w:t>
      </w:r>
      <w:r>
        <w:rPr>
          <w:color w:val="auto"/>
          <w:sz w:val="24"/>
          <w:szCs w:val="24"/>
          <w:highlight w:val="none"/>
        </w:rPr>
        <w:t>kJ/kg）</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rPr>
      </w:pPr>
      <w:r>
        <w:rPr>
          <w:rFonts w:hint="eastAsia"/>
          <w:color w:val="auto"/>
          <w:sz w:val="24"/>
          <w:szCs w:val="24"/>
          <w:highlight w:val="none"/>
          <w:lang w:val="en-US" w:eastAsia="zh-CN"/>
        </w:rPr>
        <w:t>经计算，</w:t>
      </w:r>
      <w:r>
        <w:rPr>
          <w:color w:val="auto"/>
          <w:sz w:val="24"/>
          <w:szCs w:val="24"/>
          <w:highlight w:val="none"/>
        </w:rPr>
        <w:t>本项目生物质锅炉灰渣产生量为</w:t>
      </w:r>
      <w:r>
        <w:rPr>
          <w:rFonts w:hint="eastAsia"/>
          <w:color w:val="auto"/>
          <w:sz w:val="24"/>
          <w:szCs w:val="24"/>
          <w:highlight w:val="none"/>
          <w:lang w:val="en-US" w:eastAsia="zh-CN"/>
        </w:rPr>
        <w:t>87.477</w:t>
      </w:r>
      <w:r>
        <w:rPr>
          <w:color w:val="auto"/>
          <w:sz w:val="24"/>
          <w:szCs w:val="24"/>
          <w:highlight w:val="none"/>
        </w:rPr>
        <w:t>t/a</w:t>
      </w:r>
      <w:r>
        <w:rPr>
          <w:rFonts w:hint="eastAsia"/>
          <w:color w:val="auto"/>
          <w:sz w:val="24"/>
          <w:szCs w:val="24"/>
          <w:highlight w:val="none"/>
          <w:lang w:eastAsia="zh-CN"/>
        </w:rPr>
        <w:t>，</w:t>
      </w:r>
      <w:r>
        <w:rPr>
          <w:rFonts w:hint="eastAsia"/>
          <w:color w:val="auto"/>
          <w:sz w:val="24"/>
          <w:szCs w:val="24"/>
          <w:highlight w:val="none"/>
          <w:lang w:val="en-US" w:eastAsia="zh-CN"/>
        </w:rPr>
        <w:t>代码为135-001-64，</w:t>
      </w:r>
      <w:r>
        <w:rPr>
          <w:color w:val="auto"/>
          <w:sz w:val="24"/>
          <w:szCs w:val="24"/>
          <w:highlight w:val="none"/>
        </w:rPr>
        <w:t>根据布袋除尘器净化效率（</w:t>
      </w:r>
      <w:r>
        <w:rPr>
          <w:rFonts w:hint="eastAsia"/>
          <w:color w:val="auto"/>
          <w:sz w:val="24"/>
          <w:szCs w:val="24"/>
          <w:highlight w:val="none"/>
          <w:lang w:eastAsia="zh-CN"/>
        </w:rPr>
        <w:t>99.8</w:t>
      </w:r>
      <w:r>
        <w:rPr>
          <w:rFonts w:hint="eastAsia"/>
          <w:color w:val="auto"/>
          <w:sz w:val="24"/>
          <w:szCs w:val="24"/>
          <w:highlight w:val="none"/>
        </w:rPr>
        <w:t>%</w:t>
      </w:r>
      <w:r>
        <w:rPr>
          <w:color w:val="auto"/>
          <w:sz w:val="24"/>
          <w:szCs w:val="24"/>
          <w:highlight w:val="none"/>
        </w:rPr>
        <w:t>）计算，除尘器收集粉尘量约为</w:t>
      </w:r>
      <w:r>
        <w:rPr>
          <w:rFonts w:hint="eastAsia"/>
          <w:color w:val="auto"/>
          <w:sz w:val="24"/>
          <w:szCs w:val="24"/>
          <w:highlight w:val="none"/>
          <w:lang w:val="en-US" w:eastAsia="zh-CN"/>
        </w:rPr>
        <w:t>36.926</w:t>
      </w:r>
      <w:r>
        <w:rPr>
          <w:color w:val="auto"/>
          <w:sz w:val="24"/>
          <w:szCs w:val="24"/>
          <w:highlight w:val="none"/>
        </w:rPr>
        <w:t>t/a，</w:t>
      </w:r>
      <w:r>
        <w:rPr>
          <w:rFonts w:hint="eastAsia"/>
          <w:color w:val="auto"/>
          <w:sz w:val="24"/>
          <w:szCs w:val="24"/>
          <w:highlight w:val="none"/>
          <w:lang w:eastAsia="zh-CN"/>
        </w:rPr>
        <w:t>则锅炉炉渣量为</w:t>
      </w:r>
      <w:r>
        <w:rPr>
          <w:rFonts w:hint="eastAsia"/>
          <w:color w:val="auto"/>
          <w:sz w:val="24"/>
          <w:szCs w:val="24"/>
          <w:highlight w:val="none"/>
          <w:lang w:val="en-US" w:eastAsia="zh-CN"/>
        </w:rPr>
        <w:t>50.551t/a。</w:t>
      </w:r>
      <w:r>
        <w:rPr>
          <w:color w:val="auto"/>
          <w:sz w:val="24"/>
          <w:szCs w:val="24"/>
          <w:highlight w:val="none"/>
        </w:rPr>
        <w:t>在锅炉旁边设置锅炉灰渣暂存间，暂存运行期间产生的布袋除尘器收尘和锅炉灰渣，定期封闭清运，</w:t>
      </w:r>
      <w:r>
        <w:rPr>
          <w:rFonts w:hint="default"/>
          <w:color w:val="auto"/>
          <w:sz w:val="24"/>
          <w:szCs w:val="24"/>
          <w:highlight w:val="none"/>
          <w:lang w:val="en-US" w:eastAsia="zh-CN"/>
        </w:rPr>
        <w:t>外售综合利用</w:t>
      </w:r>
      <w:r>
        <w:rPr>
          <w:rFonts w:hint="eastAsia"/>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（12）废布袋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本项目每年更换0.1t除尘器布袋，产生的废布袋的量为0.1t/a，代码为135-001-99，废布袋由除尘器厂家回收利用。</w:t>
      </w:r>
    </w:p>
    <w:p>
      <w:pPr>
        <w:pStyle w:val="74"/>
        <w:adjustRightInd/>
        <w:snapToGrid/>
        <w:contextualSpacing/>
        <w:jc w:val="both"/>
        <w:rPr>
          <w:rFonts w:ascii="Times New Roman" w:hAnsi="Times New Roman" w:eastAsia="宋体" w:cs="Times New Roman"/>
          <w:color w:val="auto"/>
        </w:rPr>
      </w:pPr>
      <w:r>
        <w:rPr>
          <w:rFonts w:hint="eastAsia" w:ascii="Times New Roman" w:hAnsi="Times New Roman" w:eastAsia="宋体" w:cs="Times New Roman"/>
          <w:color w:val="auto"/>
        </w:rPr>
        <w:t>（1</w:t>
      </w:r>
      <w:r>
        <w:rPr>
          <w:rFonts w:hint="eastAsia" w:ascii="Times New Roman" w:hAnsi="Times New Roman" w:eastAsia="宋体" w:cs="Times New Roman"/>
          <w:color w:val="auto"/>
          <w:lang w:val="en-US" w:eastAsia="zh-CN"/>
        </w:rPr>
        <w:t>3</w:t>
      </w:r>
      <w:r>
        <w:rPr>
          <w:rFonts w:hint="eastAsia" w:ascii="Times New Roman" w:hAnsi="Times New Roman" w:eastAsia="宋体" w:cs="Times New Roman"/>
          <w:color w:val="auto"/>
        </w:rPr>
        <w:t>）检疫废物</w:t>
      </w:r>
    </w:p>
    <w:p>
      <w:pPr>
        <w:pStyle w:val="74"/>
        <w:adjustRightInd/>
        <w:snapToGrid/>
        <w:contextualSpacing/>
        <w:jc w:val="both"/>
        <w:rPr>
          <w:rFonts w:ascii="Times New Roman" w:hAnsi="Times New Roman" w:eastAsia="宋体" w:cs="Times New Roman"/>
          <w:color w:val="auto"/>
        </w:rPr>
      </w:pPr>
      <w:r>
        <w:rPr>
          <w:rFonts w:hint="eastAsia" w:ascii="Times New Roman" w:hAnsi="Times New Roman" w:eastAsia="宋体" w:cs="Times New Roman"/>
          <w:color w:val="auto"/>
        </w:rPr>
        <w:t>根据《国家危险废物名录》（2021年），本项目检疫过程中产生的检疫废物属于危险废物，类别为HW01医疗废物，代码为841-005-01，</w:t>
      </w:r>
      <w:r>
        <w:rPr>
          <w:rFonts w:ascii="Times New Roman" w:hAnsi="Times New Roman" w:eastAsia="宋体" w:cs="Times New Roman"/>
          <w:color w:val="auto"/>
        </w:rPr>
        <w:t>产生量</w:t>
      </w:r>
      <w:r>
        <w:rPr>
          <w:rFonts w:hint="eastAsia" w:ascii="Times New Roman" w:hAnsi="Times New Roman" w:eastAsia="宋体" w:cs="Times New Roman"/>
          <w:color w:val="auto"/>
        </w:rPr>
        <w:t>约为</w:t>
      </w:r>
      <w:r>
        <w:rPr>
          <w:rFonts w:ascii="Times New Roman" w:hAnsi="Times New Roman" w:eastAsia="宋体" w:cs="Times New Roman"/>
          <w:color w:val="auto"/>
        </w:rPr>
        <w:t>0.</w:t>
      </w:r>
      <w:r>
        <w:rPr>
          <w:rFonts w:hint="eastAsia" w:ascii="Times New Roman" w:hAnsi="Times New Roman" w:eastAsia="宋体" w:cs="Times New Roman"/>
          <w:color w:val="auto"/>
        </w:rPr>
        <w:t>3</w:t>
      </w:r>
      <w:r>
        <w:rPr>
          <w:rFonts w:ascii="Times New Roman" w:hAnsi="Times New Roman" w:eastAsia="宋体" w:cs="Times New Roman"/>
          <w:color w:val="auto"/>
        </w:rPr>
        <w:t>t/a，单独收集，用</w:t>
      </w:r>
      <w:r>
        <w:rPr>
          <w:rFonts w:hint="eastAsia" w:ascii="Times New Roman" w:hAnsi="Times New Roman" w:eastAsia="宋体" w:cs="Times New Roman"/>
          <w:color w:val="auto"/>
        </w:rPr>
        <w:t>有</w:t>
      </w:r>
      <w:r>
        <w:rPr>
          <w:rFonts w:ascii="Times New Roman" w:hAnsi="Times New Roman" w:eastAsia="宋体" w:cs="Times New Roman"/>
          <w:color w:val="auto"/>
        </w:rPr>
        <w:t>明显标识的</w:t>
      </w:r>
      <w:r>
        <w:rPr>
          <w:rFonts w:hint="eastAsia" w:ascii="Times New Roman" w:hAnsi="Times New Roman" w:eastAsia="宋体" w:cs="Times New Roman"/>
          <w:color w:val="auto"/>
        </w:rPr>
        <w:t>塑料袋</w:t>
      </w:r>
      <w:r>
        <w:rPr>
          <w:rFonts w:ascii="Times New Roman" w:hAnsi="Times New Roman" w:eastAsia="宋体" w:cs="Times New Roman"/>
          <w:color w:val="auto"/>
        </w:rPr>
        <w:t>盛装，暂存于</w:t>
      </w:r>
      <w:r>
        <w:rPr>
          <w:rFonts w:hint="eastAsia" w:ascii="Times New Roman" w:hAnsi="Times New Roman" w:eastAsia="宋体" w:cs="Times New Roman"/>
          <w:color w:val="auto"/>
          <w:lang w:eastAsia="zh-CN"/>
        </w:rPr>
        <w:t>危险废物贮存点</w:t>
      </w:r>
      <w:r>
        <w:rPr>
          <w:rFonts w:ascii="Times New Roman" w:hAnsi="Times New Roman" w:eastAsia="宋体" w:cs="Times New Roman"/>
          <w:color w:val="auto"/>
        </w:rPr>
        <w:t>，</w:t>
      </w:r>
      <w:r>
        <w:rPr>
          <w:rFonts w:hint="eastAsia" w:ascii="Times New Roman" w:hAnsi="Times New Roman" w:eastAsia="宋体" w:cs="Times New Roman"/>
          <w:color w:val="auto"/>
        </w:rPr>
        <w:t>交</w:t>
      </w:r>
      <w:r>
        <w:rPr>
          <w:rFonts w:ascii="Times New Roman" w:hAnsi="Times New Roman" w:eastAsia="宋体" w:cs="Times New Roman"/>
          <w:color w:val="auto"/>
        </w:rPr>
        <w:t>由有资质单位进行处置。</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sz w:val="24"/>
        </w:rPr>
      </w:pPr>
      <w:r>
        <w:rPr>
          <w:b/>
          <w:color w:val="auto"/>
          <w:sz w:val="24"/>
        </w:rPr>
        <w:t>表3-3-</w:t>
      </w:r>
      <w:r>
        <w:rPr>
          <w:rFonts w:hint="eastAsia"/>
          <w:b/>
          <w:color w:val="auto"/>
          <w:sz w:val="24"/>
        </w:rPr>
        <w:t>14</w:t>
      </w:r>
      <w:r>
        <w:rPr>
          <w:b/>
          <w:color w:val="auto"/>
          <w:sz w:val="24"/>
        </w:rPr>
        <w:t>固体废弃物源强</w:t>
      </w:r>
    </w:p>
    <w:tbl>
      <w:tblPr>
        <w:tblStyle w:val="46"/>
        <w:tblpPr w:leftFromText="180" w:rightFromText="180" w:vertAnchor="text" w:tblpXSpec="center" w:tblpY="1"/>
        <w:tblOverlap w:val="never"/>
        <w:tblW w:w="521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4"/>
        <w:gridCol w:w="426"/>
        <w:gridCol w:w="1017"/>
        <w:gridCol w:w="706"/>
        <w:gridCol w:w="710"/>
        <w:gridCol w:w="1133"/>
        <w:gridCol w:w="2257"/>
        <w:gridCol w:w="1003"/>
        <w:gridCol w:w="8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46" w:type="pct"/>
            <w:vMerge w:val="restart"/>
            <w:vAlign w:val="center"/>
          </w:tcPr>
          <w:p>
            <w:pPr>
              <w:pStyle w:val="84"/>
              <w:spacing w:line="0" w:lineRule="atLeast"/>
              <w:rPr>
                <w:rFonts w:hAnsi="Times New Roman"/>
                <w:color w:val="auto"/>
              </w:rPr>
            </w:pPr>
            <w:bookmarkStart w:id="97" w:name="_Hlk523068308"/>
            <w:r>
              <w:rPr>
                <w:rFonts w:hAnsi="Times New Roman"/>
                <w:color w:val="auto"/>
              </w:rPr>
              <w:t>工序/生产线</w:t>
            </w:r>
          </w:p>
        </w:tc>
        <w:tc>
          <w:tcPr>
            <w:tcW w:w="239" w:type="pct"/>
            <w:vMerge w:val="restart"/>
            <w:vAlign w:val="center"/>
          </w:tcPr>
          <w:p>
            <w:pPr>
              <w:pStyle w:val="84"/>
              <w:spacing w:line="0" w:lineRule="atLeast"/>
              <w:rPr>
                <w:rFonts w:hAnsi="Times New Roman"/>
                <w:color w:val="auto"/>
              </w:rPr>
            </w:pPr>
            <w:r>
              <w:rPr>
                <w:rFonts w:hAnsi="Times New Roman"/>
                <w:color w:val="auto"/>
              </w:rPr>
              <w:t>装置</w:t>
            </w:r>
          </w:p>
        </w:tc>
        <w:tc>
          <w:tcPr>
            <w:tcW w:w="571" w:type="pct"/>
            <w:vMerge w:val="restart"/>
            <w:vAlign w:val="center"/>
          </w:tcPr>
          <w:p>
            <w:pPr>
              <w:pStyle w:val="84"/>
              <w:spacing w:line="0" w:lineRule="atLeast"/>
              <w:rPr>
                <w:rFonts w:hAnsi="Times New Roman"/>
                <w:color w:val="auto"/>
              </w:rPr>
            </w:pPr>
            <w:r>
              <w:rPr>
                <w:rFonts w:hAnsi="Times New Roman"/>
                <w:color w:val="auto"/>
              </w:rPr>
              <w:t>固体废物名称</w:t>
            </w:r>
          </w:p>
        </w:tc>
        <w:tc>
          <w:tcPr>
            <w:tcW w:w="396" w:type="pct"/>
            <w:vMerge w:val="restart"/>
            <w:vAlign w:val="center"/>
          </w:tcPr>
          <w:p>
            <w:pPr>
              <w:pStyle w:val="84"/>
              <w:spacing w:line="0" w:lineRule="atLeast"/>
              <w:rPr>
                <w:rFonts w:hAnsi="Times New Roman"/>
                <w:color w:val="auto"/>
              </w:rPr>
            </w:pPr>
            <w:r>
              <w:rPr>
                <w:rFonts w:hAnsi="Times New Roman"/>
                <w:color w:val="auto"/>
              </w:rPr>
              <w:t>固废属性</w:t>
            </w:r>
          </w:p>
        </w:tc>
        <w:tc>
          <w:tcPr>
            <w:tcW w:w="1036" w:type="pct"/>
            <w:gridSpan w:val="2"/>
            <w:vAlign w:val="center"/>
          </w:tcPr>
          <w:p>
            <w:pPr>
              <w:pStyle w:val="84"/>
              <w:spacing w:line="0" w:lineRule="atLeast"/>
              <w:rPr>
                <w:rFonts w:hAnsi="Times New Roman"/>
                <w:color w:val="auto"/>
              </w:rPr>
            </w:pPr>
            <w:r>
              <w:rPr>
                <w:rFonts w:hAnsi="Times New Roman"/>
                <w:color w:val="auto"/>
              </w:rPr>
              <w:t>产生量</w:t>
            </w:r>
          </w:p>
        </w:tc>
        <w:tc>
          <w:tcPr>
            <w:tcW w:w="1832" w:type="pct"/>
            <w:gridSpan w:val="2"/>
            <w:vAlign w:val="center"/>
          </w:tcPr>
          <w:p>
            <w:pPr>
              <w:pStyle w:val="84"/>
              <w:spacing w:line="0" w:lineRule="atLeast"/>
              <w:rPr>
                <w:rFonts w:hAnsi="Times New Roman"/>
                <w:color w:val="auto"/>
              </w:rPr>
            </w:pPr>
            <w:r>
              <w:rPr>
                <w:rFonts w:hAnsi="Times New Roman"/>
                <w:color w:val="auto"/>
              </w:rPr>
              <w:t>处置措施</w:t>
            </w:r>
          </w:p>
        </w:tc>
        <w:tc>
          <w:tcPr>
            <w:tcW w:w="476" w:type="pct"/>
            <w:vMerge w:val="restart"/>
            <w:vAlign w:val="center"/>
          </w:tcPr>
          <w:p>
            <w:pPr>
              <w:pStyle w:val="84"/>
              <w:spacing w:line="0" w:lineRule="atLeast"/>
              <w:rPr>
                <w:rFonts w:hAnsi="Times New Roman"/>
                <w:color w:val="auto"/>
              </w:rPr>
            </w:pPr>
            <w:r>
              <w:rPr>
                <w:rFonts w:hAnsi="Times New Roman"/>
                <w:color w:val="auto"/>
              </w:rPr>
              <w:t>最终去向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46" w:type="pct"/>
            <w:vMerge w:val="continue"/>
            <w:vAlign w:val="center"/>
          </w:tcPr>
          <w:p>
            <w:pPr>
              <w:widowControl/>
              <w:spacing w:line="0" w:lineRule="atLeast"/>
              <w:jc w:val="center"/>
              <w:rPr>
                <w:color w:val="auto"/>
                <w:szCs w:val="21"/>
              </w:rPr>
            </w:pPr>
          </w:p>
        </w:tc>
        <w:tc>
          <w:tcPr>
            <w:tcW w:w="239" w:type="pct"/>
            <w:vMerge w:val="continue"/>
            <w:vAlign w:val="center"/>
          </w:tcPr>
          <w:p>
            <w:pPr>
              <w:widowControl/>
              <w:spacing w:line="0" w:lineRule="atLeast"/>
              <w:jc w:val="center"/>
              <w:rPr>
                <w:color w:val="auto"/>
                <w:szCs w:val="21"/>
              </w:rPr>
            </w:pPr>
          </w:p>
        </w:tc>
        <w:tc>
          <w:tcPr>
            <w:tcW w:w="571" w:type="pct"/>
            <w:vMerge w:val="continue"/>
            <w:vAlign w:val="center"/>
          </w:tcPr>
          <w:p>
            <w:pPr>
              <w:widowControl/>
              <w:spacing w:line="0" w:lineRule="atLeast"/>
              <w:jc w:val="center"/>
              <w:rPr>
                <w:color w:val="auto"/>
                <w:szCs w:val="21"/>
              </w:rPr>
            </w:pPr>
          </w:p>
        </w:tc>
        <w:tc>
          <w:tcPr>
            <w:tcW w:w="396" w:type="pct"/>
            <w:vMerge w:val="continue"/>
            <w:vAlign w:val="center"/>
          </w:tcPr>
          <w:p>
            <w:pPr>
              <w:widowControl/>
              <w:spacing w:line="0" w:lineRule="atLeast"/>
              <w:jc w:val="center"/>
              <w:rPr>
                <w:color w:val="auto"/>
                <w:szCs w:val="21"/>
              </w:rPr>
            </w:pPr>
          </w:p>
        </w:tc>
        <w:tc>
          <w:tcPr>
            <w:tcW w:w="399" w:type="pct"/>
            <w:vAlign w:val="center"/>
          </w:tcPr>
          <w:p>
            <w:pPr>
              <w:pStyle w:val="84"/>
              <w:spacing w:line="0" w:lineRule="atLeast"/>
              <w:rPr>
                <w:rFonts w:hAnsi="Times New Roman"/>
                <w:color w:val="auto"/>
              </w:rPr>
            </w:pPr>
            <w:r>
              <w:rPr>
                <w:rFonts w:hAnsi="Times New Roman"/>
                <w:color w:val="auto"/>
              </w:rPr>
              <w:t>核算方法</w:t>
            </w:r>
          </w:p>
        </w:tc>
        <w:tc>
          <w:tcPr>
            <w:tcW w:w="636" w:type="pct"/>
            <w:vAlign w:val="center"/>
          </w:tcPr>
          <w:p>
            <w:pPr>
              <w:pStyle w:val="84"/>
              <w:spacing w:line="0" w:lineRule="atLeast"/>
              <w:rPr>
                <w:rFonts w:hAnsi="Times New Roman"/>
                <w:color w:val="auto"/>
              </w:rPr>
            </w:pPr>
            <w:r>
              <w:rPr>
                <w:rFonts w:hAnsi="Times New Roman"/>
                <w:color w:val="auto"/>
              </w:rPr>
              <w:t>产生量</w:t>
            </w:r>
          </w:p>
        </w:tc>
        <w:tc>
          <w:tcPr>
            <w:tcW w:w="1268" w:type="pct"/>
            <w:vAlign w:val="center"/>
          </w:tcPr>
          <w:p>
            <w:pPr>
              <w:pStyle w:val="84"/>
              <w:spacing w:line="0" w:lineRule="atLeast"/>
              <w:rPr>
                <w:rFonts w:hAnsi="Times New Roman"/>
                <w:color w:val="auto"/>
              </w:rPr>
            </w:pPr>
            <w:r>
              <w:rPr>
                <w:rFonts w:hAnsi="Times New Roman"/>
                <w:color w:val="auto"/>
              </w:rPr>
              <w:t>工艺</w:t>
            </w:r>
          </w:p>
        </w:tc>
        <w:tc>
          <w:tcPr>
            <w:tcW w:w="563" w:type="pct"/>
            <w:vAlign w:val="center"/>
          </w:tcPr>
          <w:p>
            <w:pPr>
              <w:pStyle w:val="84"/>
              <w:spacing w:line="0" w:lineRule="atLeast"/>
              <w:rPr>
                <w:rFonts w:hAnsi="Times New Roman"/>
                <w:color w:val="auto"/>
              </w:rPr>
            </w:pPr>
            <w:r>
              <w:rPr>
                <w:rFonts w:hAnsi="Times New Roman"/>
                <w:color w:val="auto"/>
              </w:rPr>
              <w:t>处置量</w:t>
            </w:r>
          </w:p>
        </w:tc>
        <w:tc>
          <w:tcPr>
            <w:tcW w:w="476" w:type="pct"/>
            <w:vMerge w:val="continue"/>
            <w:vAlign w:val="center"/>
          </w:tcPr>
          <w:p>
            <w:pPr>
              <w:widowControl/>
              <w:spacing w:line="0" w:lineRule="atLeast"/>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 w:hRule="atLeast"/>
        </w:trPr>
        <w:tc>
          <w:tcPr>
            <w:tcW w:w="446" w:type="pct"/>
            <w:vMerge w:val="restart"/>
            <w:vAlign w:val="center"/>
          </w:tcPr>
          <w:p>
            <w:pPr>
              <w:pStyle w:val="84"/>
              <w:spacing w:line="0" w:lineRule="atLeast"/>
              <w:rPr>
                <w:rFonts w:hAnsi="Times New Roman"/>
                <w:color w:val="auto"/>
              </w:rPr>
            </w:pPr>
            <w:r>
              <w:rPr>
                <w:rFonts w:hint="eastAsia" w:hAnsi="Times New Roman"/>
                <w:color w:val="auto"/>
              </w:rPr>
              <w:t>待宰</w:t>
            </w:r>
          </w:p>
        </w:tc>
        <w:tc>
          <w:tcPr>
            <w:tcW w:w="239" w:type="pct"/>
            <w:vMerge w:val="restart"/>
            <w:vAlign w:val="center"/>
          </w:tcPr>
          <w:p>
            <w:pPr>
              <w:pStyle w:val="84"/>
              <w:spacing w:line="0" w:lineRule="atLeast"/>
              <w:rPr>
                <w:rFonts w:hAnsi="Times New Roman"/>
                <w:color w:val="auto"/>
              </w:rPr>
            </w:pPr>
            <w:r>
              <w:rPr>
                <w:rFonts w:hint="eastAsia" w:hAnsi="Times New Roman"/>
                <w:color w:val="auto"/>
              </w:rPr>
              <w:t>待宰间</w:t>
            </w:r>
          </w:p>
        </w:tc>
        <w:tc>
          <w:tcPr>
            <w:tcW w:w="571" w:type="pct"/>
            <w:vAlign w:val="center"/>
          </w:tcPr>
          <w:p>
            <w:pPr>
              <w:pStyle w:val="84"/>
              <w:spacing w:line="0" w:lineRule="atLeast"/>
              <w:rPr>
                <w:rFonts w:hAnsi="Times New Roman"/>
                <w:color w:val="auto"/>
              </w:rPr>
            </w:pPr>
            <w:r>
              <w:rPr>
                <w:rFonts w:hint="eastAsia" w:hAnsi="Times New Roman"/>
                <w:color w:val="auto"/>
              </w:rPr>
              <w:t>粪便（代码：135-001-33）</w:t>
            </w:r>
          </w:p>
        </w:tc>
        <w:tc>
          <w:tcPr>
            <w:tcW w:w="396" w:type="pct"/>
            <w:vMerge w:val="restart"/>
            <w:vAlign w:val="center"/>
          </w:tcPr>
          <w:p>
            <w:pPr>
              <w:pStyle w:val="84"/>
              <w:spacing w:line="0" w:lineRule="atLeast"/>
              <w:rPr>
                <w:rFonts w:hAnsi="Times New Roman"/>
                <w:color w:val="auto"/>
              </w:rPr>
            </w:pPr>
            <w:r>
              <w:rPr>
                <w:rFonts w:hAnsi="Times New Roman"/>
                <w:color w:val="auto"/>
              </w:rPr>
              <w:t>一般工业固体废物</w:t>
            </w:r>
          </w:p>
        </w:tc>
        <w:tc>
          <w:tcPr>
            <w:tcW w:w="399" w:type="pct"/>
            <w:vAlign w:val="center"/>
          </w:tcPr>
          <w:p>
            <w:pPr>
              <w:pStyle w:val="84"/>
              <w:spacing w:line="0" w:lineRule="atLeast"/>
              <w:rPr>
                <w:rFonts w:hAnsi="Times New Roman"/>
                <w:color w:val="auto"/>
              </w:rPr>
            </w:pPr>
            <w:r>
              <w:rPr>
                <w:rFonts w:hAnsi="Times New Roman"/>
                <w:color w:val="auto"/>
              </w:rPr>
              <w:t>系数法</w:t>
            </w:r>
          </w:p>
        </w:tc>
        <w:tc>
          <w:tcPr>
            <w:tcW w:w="636" w:type="pct"/>
            <w:vAlign w:val="center"/>
          </w:tcPr>
          <w:p>
            <w:pPr>
              <w:pStyle w:val="84"/>
              <w:spacing w:line="0" w:lineRule="atLeast"/>
              <w:rPr>
                <w:rFonts w:hAnsi="Times New Roman"/>
                <w:color w:val="auto"/>
              </w:rPr>
            </w:pPr>
            <w:r>
              <w:rPr>
                <w:rFonts w:hint="eastAsia" w:hAnsi="Times New Roman"/>
                <w:color w:val="auto"/>
                <w:lang w:eastAsia="zh-CN"/>
              </w:rPr>
              <w:t>217.6</w:t>
            </w:r>
            <w:r>
              <w:rPr>
                <w:rFonts w:hAnsi="Times New Roman"/>
                <w:color w:val="auto"/>
              </w:rPr>
              <w:t>t/a</w:t>
            </w:r>
          </w:p>
        </w:tc>
        <w:tc>
          <w:tcPr>
            <w:tcW w:w="1268" w:type="pct"/>
            <w:vAlign w:val="center"/>
          </w:tcPr>
          <w:p>
            <w:pPr>
              <w:pStyle w:val="84"/>
              <w:spacing w:line="0" w:lineRule="atLeast"/>
              <w:rPr>
                <w:rFonts w:hAnsi="Times New Roman"/>
                <w:color w:val="auto"/>
              </w:rPr>
            </w:pPr>
            <w:r>
              <w:rPr>
                <w:rFonts w:hint="eastAsia" w:hAnsi="Times New Roman"/>
                <w:color w:val="auto"/>
              </w:rPr>
              <w:t>暂存于待宰间内储粪池内，日产日清，使用密闭运输车运走作为有机肥原料外卖</w:t>
            </w:r>
          </w:p>
        </w:tc>
        <w:tc>
          <w:tcPr>
            <w:tcW w:w="563" w:type="pct"/>
            <w:vAlign w:val="center"/>
          </w:tcPr>
          <w:p>
            <w:pPr>
              <w:pStyle w:val="84"/>
              <w:spacing w:line="0" w:lineRule="atLeast"/>
              <w:rPr>
                <w:rFonts w:hAnsi="Times New Roman"/>
                <w:color w:val="auto"/>
              </w:rPr>
            </w:pPr>
            <w:r>
              <w:rPr>
                <w:rFonts w:hint="eastAsia" w:hAnsi="Times New Roman"/>
                <w:color w:val="auto"/>
                <w:lang w:eastAsia="zh-CN"/>
              </w:rPr>
              <w:t>217.6</w:t>
            </w:r>
            <w:r>
              <w:rPr>
                <w:rFonts w:hAnsi="Times New Roman"/>
                <w:color w:val="auto"/>
              </w:rPr>
              <w:t>t/a</w:t>
            </w:r>
          </w:p>
        </w:tc>
        <w:tc>
          <w:tcPr>
            <w:tcW w:w="476" w:type="pct"/>
            <w:vAlign w:val="center"/>
          </w:tcPr>
          <w:p>
            <w:pPr>
              <w:pStyle w:val="84"/>
              <w:spacing w:line="0" w:lineRule="atLeast"/>
              <w:rPr>
                <w:rFonts w:hAnsi="Times New Roman"/>
                <w:color w:val="auto"/>
              </w:rPr>
            </w:pPr>
            <w:r>
              <w:rPr>
                <w:rFonts w:hint="eastAsia" w:hAnsi="Times New Roman"/>
                <w:color w:val="auto"/>
              </w:rPr>
              <w:t>有机肥厂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 w:hRule="atLeast"/>
        </w:trPr>
        <w:tc>
          <w:tcPr>
            <w:tcW w:w="446" w:type="pct"/>
            <w:vMerge w:val="continue"/>
            <w:vAlign w:val="center"/>
          </w:tcPr>
          <w:p>
            <w:pPr>
              <w:widowControl/>
              <w:spacing w:line="0" w:lineRule="atLeast"/>
              <w:jc w:val="center"/>
              <w:rPr>
                <w:color w:val="auto"/>
                <w:szCs w:val="21"/>
              </w:rPr>
            </w:pPr>
          </w:p>
        </w:tc>
        <w:tc>
          <w:tcPr>
            <w:tcW w:w="239" w:type="pct"/>
            <w:vMerge w:val="continue"/>
            <w:vAlign w:val="center"/>
          </w:tcPr>
          <w:p>
            <w:pPr>
              <w:pStyle w:val="84"/>
              <w:spacing w:line="0" w:lineRule="atLeast"/>
              <w:rPr>
                <w:rFonts w:hAnsi="Times New Roman"/>
                <w:color w:val="auto"/>
              </w:rPr>
            </w:pPr>
          </w:p>
        </w:tc>
        <w:tc>
          <w:tcPr>
            <w:tcW w:w="571" w:type="pct"/>
            <w:vAlign w:val="center"/>
          </w:tcPr>
          <w:p>
            <w:pPr>
              <w:pStyle w:val="84"/>
              <w:spacing w:line="0" w:lineRule="atLeast"/>
              <w:rPr>
                <w:rFonts w:hAnsi="Times New Roman"/>
                <w:color w:val="auto"/>
                <w:szCs w:val="22"/>
              </w:rPr>
            </w:pPr>
            <w:r>
              <w:rPr>
                <w:rFonts w:hAnsi="Times New Roman"/>
                <w:color w:val="auto"/>
              </w:rPr>
              <w:t>检疫</w:t>
            </w:r>
            <w:r>
              <w:rPr>
                <w:rFonts w:hint="eastAsia" w:hAnsi="Times New Roman"/>
                <w:color w:val="auto"/>
              </w:rPr>
              <w:t>不合格肉牛及病死牛（代码：135-001-39）</w:t>
            </w:r>
          </w:p>
        </w:tc>
        <w:tc>
          <w:tcPr>
            <w:tcW w:w="396" w:type="pct"/>
            <w:vMerge w:val="continue"/>
            <w:vAlign w:val="center"/>
          </w:tcPr>
          <w:p>
            <w:pPr>
              <w:pStyle w:val="84"/>
              <w:spacing w:line="0" w:lineRule="atLeast"/>
              <w:rPr>
                <w:rFonts w:hAnsi="Times New Roman"/>
                <w:color w:val="auto"/>
              </w:rPr>
            </w:pPr>
          </w:p>
        </w:tc>
        <w:tc>
          <w:tcPr>
            <w:tcW w:w="399" w:type="pct"/>
            <w:vAlign w:val="center"/>
          </w:tcPr>
          <w:p>
            <w:pPr>
              <w:pStyle w:val="84"/>
              <w:spacing w:line="0" w:lineRule="atLeast"/>
              <w:rPr>
                <w:rFonts w:hAnsi="Times New Roman"/>
                <w:color w:val="auto"/>
              </w:rPr>
            </w:pPr>
            <w:r>
              <w:rPr>
                <w:rFonts w:hAnsi="Times New Roman"/>
                <w:color w:val="auto"/>
              </w:rPr>
              <w:t>类比法</w:t>
            </w:r>
          </w:p>
        </w:tc>
        <w:tc>
          <w:tcPr>
            <w:tcW w:w="636" w:type="pct"/>
            <w:vAlign w:val="center"/>
          </w:tcPr>
          <w:p>
            <w:pPr>
              <w:pStyle w:val="84"/>
              <w:spacing w:line="0" w:lineRule="atLeast"/>
              <w:rPr>
                <w:rFonts w:hAnsi="Times New Roman"/>
                <w:color w:val="auto"/>
              </w:rPr>
            </w:pPr>
            <w:r>
              <w:rPr>
                <w:rFonts w:hint="eastAsia" w:hAnsi="Times New Roman"/>
                <w:color w:val="auto"/>
              </w:rPr>
              <w:t>1t/a</w:t>
            </w:r>
          </w:p>
        </w:tc>
        <w:tc>
          <w:tcPr>
            <w:tcW w:w="1268" w:type="pct"/>
            <w:vAlign w:val="center"/>
          </w:tcPr>
          <w:p>
            <w:pPr>
              <w:pStyle w:val="84"/>
              <w:spacing w:line="0" w:lineRule="atLeast"/>
              <w:rPr>
                <w:rFonts w:hAnsi="Times New Roman"/>
                <w:color w:val="auto"/>
              </w:rPr>
            </w:pPr>
            <w:r>
              <w:rPr>
                <w:rFonts w:hint="eastAsia" w:hAnsi="Times New Roman"/>
                <w:color w:val="auto"/>
              </w:rPr>
              <w:t>委托</w:t>
            </w:r>
            <w:r>
              <w:rPr>
                <w:rFonts w:hAnsi="Times New Roman"/>
                <w:color w:val="auto"/>
              </w:rPr>
              <w:t>处置</w:t>
            </w:r>
          </w:p>
        </w:tc>
        <w:tc>
          <w:tcPr>
            <w:tcW w:w="563" w:type="pct"/>
            <w:vAlign w:val="center"/>
          </w:tcPr>
          <w:p>
            <w:pPr>
              <w:pStyle w:val="84"/>
              <w:spacing w:line="0" w:lineRule="atLeast"/>
              <w:rPr>
                <w:rFonts w:hAnsi="Times New Roman"/>
                <w:color w:val="auto"/>
              </w:rPr>
            </w:pPr>
            <w:r>
              <w:rPr>
                <w:rFonts w:hint="eastAsia" w:hAnsi="Times New Roman"/>
                <w:color w:val="auto"/>
              </w:rPr>
              <w:t>1t/a</w:t>
            </w:r>
          </w:p>
        </w:tc>
        <w:tc>
          <w:tcPr>
            <w:tcW w:w="476" w:type="pct"/>
            <w:vAlign w:val="center"/>
          </w:tcPr>
          <w:p>
            <w:pPr>
              <w:pStyle w:val="84"/>
              <w:spacing w:line="0" w:lineRule="atLeast"/>
              <w:rPr>
                <w:rFonts w:hAnsi="Times New Roman"/>
                <w:color w:val="auto"/>
              </w:rPr>
            </w:pPr>
            <w:r>
              <w:rPr>
                <w:rFonts w:hAnsi="Times New Roman"/>
                <w:color w:val="auto"/>
              </w:rPr>
              <w:t>实现无害化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 w:hRule="atLeast"/>
        </w:trPr>
        <w:tc>
          <w:tcPr>
            <w:tcW w:w="446" w:type="pct"/>
            <w:vMerge w:val="restart"/>
            <w:vAlign w:val="center"/>
          </w:tcPr>
          <w:p>
            <w:pPr>
              <w:widowControl/>
              <w:spacing w:line="0" w:lineRule="atLeast"/>
              <w:jc w:val="center"/>
              <w:rPr>
                <w:color w:val="auto"/>
                <w:szCs w:val="21"/>
              </w:rPr>
            </w:pPr>
            <w:r>
              <w:rPr>
                <w:color w:val="auto"/>
                <w:szCs w:val="21"/>
              </w:rPr>
              <w:t>屠宰</w:t>
            </w:r>
          </w:p>
        </w:tc>
        <w:tc>
          <w:tcPr>
            <w:tcW w:w="239" w:type="pct"/>
            <w:vMerge w:val="restart"/>
            <w:vAlign w:val="center"/>
          </w:tcPr>
          <w:p>
            <w:pPr>
              <w:pStyle w:val="84"/>
              <w:spacing w:line="0" w:lineRule="atLeast"/>
              <w:rPr>
                <w:rFonts w:hAnsi="Times New Roman"/>
                <w:color w:val="auto"/>
              </w:rPr>
            </w:pPr>
            <w:r>
              <w:rPr>
                <w:rFonts w:hAnsi="Times New Roman"/>
                <w:color w:val="auto"/>
              </w:rPr>
              <w:t>屠宰车间</w:t>
            </w:r>
          </w:p>
        </w:tc>
        <w:tc>
          <w:tcPr>
            <w:tcW w:w="571" w:type="pct"/>
            <w:vAlign w:val="center"/>
          </w:tcPr>
          <w:p>
            <w:pPr>
              <w:pStyle w:val="84"/>
              <w:spacing w:line="0" w:lineRule="atLeast"/>
              <w:rPr>
                <w:rFonts w:hAnsi="Times New Roman"/>
                <w:color w:val="auto"/>
              </w:rPr>
            </w:pPr>
            <w:r>
              <w:rPr>
                <w:rFonts w:hint="eastAsia" w:hAnsi="Times New Roman"/>
                <w:bCs/>
                <w:color w:val="auto"/>
              </w:rPr>
              <w:t>肠胃内容物（代码：135-001-32）</w:t>
            </w:r>
          </w:p>
        </w:tc>
        <w:tc>
          <w:tcPr>
            <w:tcW w:w="396" w:type="pct"/>
            <w:vMerge w:val="continue"/>
            <w:vAlign w:val="center"/>
          </w:tcPr>
          <w:p>
            <w:pPr>
              <w:pStyle w:val="84"/>
              <w:spacing w:line="0" w:lineRule="atLeast"/>
              <w:rPr>
                <w:rFonts w:hAnsi="Times New Roman"/>
                <w:color w:val="auto"/>
              </w:rPr>
            </w:pPr>
          </w:p>
        </w:tc>
        <w:tc>
          <w:tcPr>
            <w:tcW w:w="399" w:type="pct"/>
            <w:vAlign w:val="center"/>
          </w:tcPr>
          <w:p>
            <w:pPr>
              <w:pStyle w:val="84"/>
              <w:spacing w:line="0" w:lineRule="atLeast"/>
              <w:rPr>
                <w:rFonts w:hAnsi="Times New Roman"/>
                <w:color w:val="auto"/>
              </w:rPr>
            </w:pPr>
            <w:r>
              <w:rPr>
                <w:rFonts w:hAnsi="Times New Roman"/>
                <w:color w:val="auto"/>
              </w:rPr>
              <w:t>类比法</w:t>
            </w:r>
          </w:p>
        </w:tc>
        <w:tc>
          <w:tcPr>
            <w:tcW w:w="636" w:type="pct"/>
            <w:vAlign w:val="center"/>
          </w:tcPr>
          <w:p>
            <w:pPr>
              <w:pStyle w:val="84"/>
              <w:spacing w:line="0" w:lineRule="atLeast"/>
              <w:rPr>
                <w:rFonts w:hAnsi="Times New Roman"/>
                <w:color w:val="auto"/>
              </w:rPr>
            </w:pPr>
            <w:r>
              <w:rPr>
                <w:rFonts w:hint="eastAsia" w:hAnsi="Times New Roman"/>
                <w:bCs/>
                <w:color w:val="auto"/>
                <w:lang w:eastAsia="zh-CN"/>
              </w:rPr>
              <w:t>81.4</w:t>
            </w:r>
            <w:r>
              <w:rPr>
                <w:rFonts w:hint="eastAsia" w:hAnsi="Times New Roman"/>
                <w:color w:val="auto"/>
              </w:rPr>
              <w:t>t/a</w:t>
            </w:r>
          </w:p>
        </w:tc>
        <w:tc>
          <w:tcPr>
            <w:tcW w:w="1268" w:type="pct"/>
            <w:vAlign w:val="center"/>
          </w:tcPr>
          <w:p>
            <w:pPr>
              <w:pStyle w:val="84"/>
              <w:spacing w:line="0" w:lineRule="atLeast"/>
              <w:rPr>
                <w:rFonts w:hAnsi="Times New Roman"/>
                <w:color w:val="auto"/>
              </w:rPr>
            </w:pPr>
            <w:r>
              <w:rPr>
                <w:rFonts w:hint="eastAsia" w:hAnsi="Times New Roman"/>
                <w:bCs/>
                <w:color w:val="auto"/>
              </w:rPr>
              <w:t>同粪便暂存于待宰间内储粪池内，日产日清，使用密闭运输车运走作为有机肥原料外卖。</w:t>
            </w:r>
          </w:p>
        </w:tc>
        <w:tc>
          <w:tcPr>
            <w:tcW w:w="563" w:type="pct"/>
            <w:vAlign w:val="center"/>
          </w:tcPr>
          <w:p>
            <w:pPr>
              <w:pStyle w:val="84"/>
              <w:spacing w:line="0" w:lineRule="atLeast"/>
              <w:rPr>
                <w:rFonts w:hAnsi="Times New Roman"/>
                <w:color w:val="auto"/>
              </w:rPr>
            </w:pPr>
            <w:r>
              <w:rPr>
                <w:rFonts w:hint="eastAsia" w:hAnsi="Times New Roman"/>
                <w:bCs/>
                <w:color w:val="auto"/>
                <w:lang w:eastAsia="zh-CN"/>
              </w:rPr>
              <w:t>81.4</w:t>
            </w:r>
            <w:r>
              <w:rPr>
                <w:rFonts w:hint="eastAsia" w:hAnsi="Times New Roman"/>
                <w:color w:val="auto"/>
              </w:rPr>
              <w:t>t/a</w:t>
            </w:r>
          </w:p>
        </w:tc>
        <w:tc>
          <w:tcPr>
            <w:tcW w:w="476" w:type="pct"/>
            <w:vAlign w:val="center"/>
          </w:tcPr>
          <w:p>
            <w:pPr>
              <w:pStyle w:val="84"/>
              <w:spacing w:line="0" w:lineRule="atLeast"/>
              <w:rPr>
                <w:rFonts w:hAnsi="Times New Roman"/>
                <w:color w:val="auto"/>
              </w:rPr>
            </w:pPr>
            <w:r>
              <w:rPr>
                <w:rFonts w:hint="eastAsia" w:hAnsi="Times New Roman"/>
                <w:color w:val="auto"/>
              </w:rPr>
              <w:t>有机肥厂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 w:hRule="atLeast"/>
        </w:trPr>
        <w:tc>
          <w:tcPr>
            <w:tcW w:w="446" w:type="pct"/>
            <w:vMerge w:val="continue"/>
            <w:vAlign w:val="center"/>
          </w:tcPr>
          <w:p>
            <w:pPr>
              <w:widowControl/>
              <w:spacing w:line="0" w:lineRule="atLeast"/>
              <w:jc w:val="center"/>
              <w:rPr>
                <w:color w:val="auto"/>
                <w:szCs w:val="21"/>
              </w:rPr>
            </w:pPr>
          </w:p>
        </w:tc>
        <w:tc>
          <w:tcPr>
            <w:tcW w:w="239" w:type="pct"/>
            <w:vMerge w:val="continue"/>
            <w:vAlign w:val="center"/>
          </w:tcPr>
          <w:p>
            <w:pPr>
              <w:pStyle w:val="84"/>
              <w:spacing w:line="0" w:lineRule="atLeast"/>
              <w:rPr>
                <w:rFonts w:hAnsi="Times New Roman"/>
                <w:color w:val="auto"/>
              </w:rPr>
            </w:pPr>
          </w:p>
        </w:tc>
        <w:tc>
          <w:tcPr>
            <w:tcW w:w="571" w:type="pct"/>
            <w:vAlign w:val="center"/>
          </w:tcPr>
          <w:p>
            <w:pPr>
              <w:pStyle w:val="84"/>
              <w:spacing w:line="0" w:lineRule="atLeast"/>
              <w:rPr>
                <w:rFonts w:hAnsi="Times New Roman"/>
                <w:color w:val="auto"/>
              </w:rPr>
            </w:pPr>
            <w:r>
              <w:rPr>
                <w:rFonts w:hint="eastAsia" w:hAnsi="Times New Roman"/>
                <w:bCs/>
                <w:color w:val="auto"/>
              </w:rPr>
              <w:t>不可食用内脏（代码：135-001-32）</w:t>
            </w:r>
          </w:p>
        </w:tc>
        <w:tc>
          <w:tcPr>
            <w:tcW w:w="396" w:type="pct"/>
            <w:vMerge w:val="continue"/>
            <w:vAlign w:val="center"/>
          </w:tcPr>
          <w:p>
            <w:pPr>
              <w:pStyle w:val="84"/>
              <w:spacing w:line="0" w:lineRule="atLeast"/>
              <w:rPr>
                <w:rFonts w:hAnsi="Times New Roman"/>
                <w:color w:val="auto"/>
              </w:rPr>
            </w:pPr>
          </w:p>
        </w:tc>
        <w:tc>
          <w:tcPr>
            <w:tcW w:w="399" w:type="pct"/>
            <w:vAlign w:val="center"/>
          </w:tcPr>
          <w:p>
            <w:pPr>
              <w:pStyle w:val="84"/>
              <w:spacing w:line="0" w:lineRule="atLeast"/>
              <w:rPr>
                <w:rFonts w:hAnsi="Times New Roman"/>
                <w:color w:val="auto"/>
              </w:rPr>
            </w:pPr>
            <w:r>
              <w:rPr>
                <w:rFonts w:hAnsi="Times New Roman"/>
                <w:color w:val="auto"/>
              </w:rPr>
              <w:t>类比法</w:t>
            </w:r>
          </w:p>
        </w:tc>
        <w:tc>
          <w:tcPr>
            <w:tcW w:w="636" w:type="pct"/>
            <w:vAlign w:val="center"/>
          </w:tcPr>
          <w:p>
            <w:pPr>
              <w:pStyle w:val="84"/>
              <w:spacing w:line="0" w:lineRule="atLeast"/>
              <w:rPr>
                <w:rFonts w:hAnsi="Times New Roman"/>
                <w:color w:val="auto"/>
              </w:rPr>
            </w:pPr>
            <w:r>
              <w:rPr>
                <w:rFonts w:hint="eastAsia" w:hAnsi="Times New Roman"/>
                <w:bCs/>
                <w:color w:val="auto"/>
                <w:lang w:eastAsia="zh-CN"/>
              </w:rPr>
              <w:t>100t</w:t>
            </w:r>
            <w:r>
              <w:rPr>
                <w:rFonts w:hint="eastAsia" w:hAnsi="Times New Roman"/>
                <w:color w:val="auto"/>
              </w:rPr>
              <w:t>/a</w:t>
            </w:r>
          </w:p>
        </w:tc>
        <w:tc>
          <w:tcPr>
            <w:tcW w:w="1268" w:type="pct"/>
            <w:vAlign w:val="center"/>
          </w:tcPr>
          <w:p>
            <w:pPr>
              <w:pStyle w:val="84"/>
              <w:spacing w:line="0" w:lineRule="atLeast"/>
              <w:rPr>
                <w:rFonts w:hAnsi="Times New Roman"/>
                <w:color w:val="auto"/>
              </w:rPr>
            </w:pPr>
            <w:r>
              <w:rPr>
                <w:rFonts w:hint="eastAsia" w:hAnsi="Times New Roman"/>
                <w:color w:val="auto"/>
              </w:rPr>
              <w:t>委托</w:t>
            </w:r>
            <w:r>
              <w:rPr>
                <w:rFonts w:hAnsi="Times New Roman"/>
                <w:color w:val="auto"/>
              </w:rPr>
              <w:t>处置</w:t>
            </w:r>
          </w:p>
        </w:tc>
        <w:tc>
          <w:tcPr>
            <w:tcW w:w="563" w:type="pct"/>
            <w:vAlign w:val="center"/>
          </w:tcPr>
          <w:p>
            <w:pPr>
              <w:pStyle w:val="84"/>
              <w:spacing w:line="0" w:lineRule="atLeast"/>
              <w:rPr>
                <w:rFonts w:hAnsi="Times New Roman"/>
                <w:color w:val="auto"/>
              </w:rPr>
            </w:pPr>
            <w:r>
              <w:rPr>
                <w:rFonts w:hint="eastAsia" w:hAnsi="Times New Roman"/>
                <w:bCs/>
                <w:color w:val="auto"/>
                <w:lang w:eastAsia="zh-CN"/>
              </w:rPr>
              <w:t>100t</w:t>
            </w:r>
            <w:r>
              <w:rPr>
                <w:rFonts w:hint="eastAsia" w:hAnsi="Times New Roman"/>
                <w:color w:val="auto"/>
              </w:rPr>
              <w:t>/a</w:t>
            </w:r>
          </w:p>
        </w:tc>
        <w:tc>
          <w:tcPr>
            <w:tcW w:w="476" w:type="pct"/>
            <w:vAlign w:val="center"/>
          </w:tcPr>
          <w:p>
            <w:pPr>
              <w:pStyle w:val="84"/>
              <w:spacing w:line="0" w:lineRule="atLeast"/>
              <w:rPr>
                <w:rFonts w:hAnsi="Times New Roman"/>
                <w:color w:val="auto"/>
              </w:rPr>
            </w:pPr>
            <w:r>
              <w:rPr>
                <w:rFonts w:hAnsi="Times New Roman"/>
                <w:color w:val="auto"/>
              </w:rPr>
              <w:t>实现无害化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 w:hRule="atLeast"/>
        </w:trPr>
        <w:tc>
          <w:tcPr>
            <w:tcW w:w="446" w:type="pct"/>
            <w:vMerge w:val="continue"/>
            <w:vAlign w:val="center"/>
          </w:tcPr>
          <w:p>
            <w:pPr>
              <w:widowControl/>
              <w:spacing w:line="0" w:lineRule="atLeast"/>
              <w:jc w:val="center"/>
              <w:rPr>
                <w:color w:val="auto"/>
                <w:szCs w:val="21"/>
              </w:rPr>
            </w:pPr>
          </w:p>
        </w:tc>
        <w:tc>
          <w:tcPr>
            <w:tcW w:w="239" w:type="pct"/>
            <w:vMerge w:val="continue"/>
            <w:vAlign w:val="center"/>
          </w:tcPr>
          <w:p>
            <w:pPr>
              <w:pStyle w:val="84"/>
              <w:spacing w:line="0" w:lineRule="atLeast"/>
              <w:rPr>
                <w:rFonts w:hAnsi="Times New Roman"/>
                <w:color w:val="auto"/>
              </w:rPr>
            </w:pPr>
          </w:p>
        </w:tc>
        <w:tc>
          <w:tcPr>
            <w:tcW w:w="571" w:type="pct"/>
            <w:vAlign w:val="center"/>
          </w:tcPr>
          <w:p>
            <w:pPr>
              <w:pStyle w:val="84"/>
              <w:spacing w:line="0" w:lineRule="atLeast"/>
              <w:rPr>
                <w:rFonts w:hAnsi="Times New Roman"/>
                <w:color w:val="auto"/>
              </w:rPr>
            </w:pPr>
            <w:r>
              <w:rPr>
                <w:rFonts w:hint="eastAsia" w:hAnsi="Times New Roman"/>
                <w:bCs/>
                <w:color w:val="auto"/>
              </w:rPr>
              <w:t>废弃包装物（代码：135-001-39）</w:t>
            </w:r>
          </w:p>
        </w:tc>
        <w:tc>
          <w:tcPr>
            <w:tcW w:w="396" w:type="pct"/>
            <w:vMerge w:val="continue"/>
            <w:vAlign w:val="center"/>
          </w:tcPr>
          <w:p>
            <w:pPr>
              <w:pStyle w:val="84"/>
              <w:spacing w:line="0" w:lineRule="atLeast"/>
              <w:rPr>
                <w:rFonts w:hAnsi="Times New Roman"/>
                <w:color w:val="auto"/>
              </w:rPr>
            </w:pPr>
          </w:p>
        </w:tc>
        <w:tc>
          <w:tcPr>
            <w:tcW w:w="399" w:type="pct"/>
            <w:vAlign w:val="center"/>
          </w:tcPr>
          <w:p>
            <w:pPr>
              <w:pStyle w:val="84"/>
              <w:spacing w:line="0" w:lineRule="atLeast"/>
              <w:rPr>
                <w:rFonts w:hAnsi="Times New Roman"/>
                <w:color w:val="auto"/>
              </w:rPr>
            </w:pPr>
            <w:r>
              <w:rPr>
                <w:rFonts w:hAnsi="Times New Roman"/>
                <w:color w:val="auto"/>
              </w:rPr>
              <w:t>类比法</w:t>
            </w:r>
          </w:p>
        </w:tc>
        <w:tc>
          <w:tcPr>
            <w:tcW w:w="636" w:type="pct"/>
            <w:vAlign w:val="center"/>
          </w:tcPr>
          <w:p>
            <w:pPr>
              <w:pStyle w:val="84"/>
              <w:spacing w:line="0" w:lineRule="atLeast"/>
              <w:rPr>
                <w:rFonts w:hAnsi="Times New Roman"/>
                <w:color w:val="auto"/>
              </w:rPr>
            </w:pPr>
            <w:r>
              <w:rPr>
                <w:rFonts w:hint="eastAsia" w:hAnsi="Times New Roman"/>
                <w:bCs/>
                <w:color w:val="auto"/>
              </w:rPr>
              <w:t>0.5</w:t>
            </w:r>
            <w:r>
              <w:rPr>
                <w:rFonts w:hint="eastAsia" w:hAnsi="Times New Roman"/>
                <w:color w:val="auto"/>
              </w:rPr>
              <w:t>t/a</w:t>
            </w:r>
          </w:p>
        </w:tc>
        <w:tc>
          <w:tcPr>
            <w:tcW w:w="1268" w:type="pct"/>
            <w:vAlign w:val="center"/>
          </w:tcPr>
          <w:p>
            <w:pPr>
              <w:pStyle w:val="84"/>
              <w:spacing w:line="0" w:lineRule="atLeast"/>
              <w:rPr>
                <w:rFonts w:hAnsi="Times New Roman"/>
                <w:color w:val="auto"/>
              </w:rPr>
            </w:pPr>
            <w:r>
              <w:rPr>
                <w:rFonts w:hint="eastAsia" w:hAnsi="Times New Roman"/>
                <w:color w:val="auto"/>
              </w:rPr>
              <w:t>委托</w:t>
            </w:r>
            <w:r>
              <w:rPr>
                <w:rFonts w:hAnsi="Times New Roman"/>
                <w:color w:val="auto"/>
              </w:rPr>
              <w:t>处置</w:t>
            </w:r>
          </w:p>
        </w:tc>
        <w:tc>
          <w:tcPr>
            <w:tcW w:w="563" w:type="pct"/>
            <w:vAlign w:val="center"/>
          </w:tcPr>
          <w:p>
            <w:pPr>
              <w:pStyle w:val="84"/>
              <w:spacing w:line="0" w:lineRule="atLeast"/>
              <w:rPr>
                <w:rFonts w:hAnsi="Times New Roman"/>
                <w:color w:val="auto"/>
              </w:rPr>
            </w:pPr>
            <w:r>
              <w:rPr>
                <w:rFonts w:hint="eastAsia" w:hAnsi="Times New Roman"/>
                <w:bCs/>
                <w:color w:val="auto"/>
              </w:rPr>
              <w:t>0.5</w:t>
            </w:r>
            <w:r>
              <w:rPr>
                <w:rFonts w:hint="eastAsia" w:hAnsi="Times New Roman"/>
                <w:color w:val="auto"/>
              </w:rPr>
              <w:t>t/a</w:t>
            </w:r>
          </w:p>
        </w:tc>
        <w:tc>
          <w:tcPr>
            <w:tcW w:w="476" w:type="pct"/>
            <w:vAlign w:val="center"/>
          </w:tcPr>
          <w:p>
            <w:pPr>
              <w:pStyle w:val="84"/>
              <w:spacing w:line="0" w:lineRule="atLeast"/>
              <w:rPr>
                <w:rFonts w:hAnsi="Times New Roman"/>
                <w:color w:val="auto"/>
              </w:rPr>
            </w:pPr>
            <w:r>
              <w:rPr>
                <w:rFonts w:hAnsi="Times New Roman"/>
                <w:color w:val="auto"/>
              </w:rPr>
              <w:t>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 w:hRule="atLeast"/>
        </w:trPr>
        <w:tc>
          <w:tcPr>
            <w:tcW w:w="446" w:type="pct"/>
            <w:vMerge w:val="restart"/>
            <w:vAlign w:val="center"/>
          </w:tcPr>
          <w:p>
            <w:pPr>
              <w:widowControl/>
              <w:spacing w:line="0" w:lineRule="atLeast"/>
              <w:jc w:val="center"/>
              <w:rPr>
                <w:color w:val="auto"/>
                <w:szCs w:val="21"/>
              </w:rPr>
            </w:pPr>
            <w:r>
              <w:rPr>
                <w:rFonts w:hint="eastAsia"/>
                <w:color w:val="auto"/>
                <w:szCs w:val="21"/>
              </w:rPr>
              <w:t>污水</w:t>
            </w:r>
            <w:r>
              <w:rPr>
                <w:color w:val="auto"/>
                <w:szCs w:val="21"/>
              </w:rPr>
              <w:t>处理</w:t>
            </w:r>
          </w:p>
        </w:tc>
        <w:tc>
          <w:tcPr>
            <w:tcW w:w="239" w:type="pct"/>
            <w:vMerge w:val="restart"/>
            <w:vAlign w:val="center"/>
          </w:tcPr>
          <w:p>
            <w:pPr>
              <w:pStyle w:val="84"/>
              <w:spacing w:line="0" w:lineRule="atLeast"/>
              <w:rPr>
                <w:rFonts w:hAnsi="Times New Roman"/>
                <w:color w:val="auto"/>
              </w:rPr>
            </w:pPr>
            <w:r>
              <w:rPr>
                <w:rFonts w:hAnsi="Times New Roman"/>
                <w:color w:val="auto"/>
              </w:rPr>
              <w:t>污水处理站</w:t>
            </w:r>
          </w:p>
        </w:tc>
        <w:tc>
          <w:tcPr>
            <w:tcW w:w="571" w:type="pct"/>
            <w:vAlign w:val="center"/>
          </w:tcPr>
          <w:p>
            <w:pPr>
              <w:pStyle w:val="84"/>
              <w:adjustRightInd w:val="0"/>
              <w:snapToGrid w:val="0"/>
              <w:spacing w:line="0" w:lineRule="atLeast"/>
              <w:rPr>
                <w:rFonts w:hAnsi="Times New Roman" w:eastAsiaTheme="minorEastAsia"/>
                <w:color w:val="auto"/>
                <w:szCs w:val="22"/>
              </w:rPr>
            </w:pPr>
            <w:r>
              <w:rPr>
                <w:rFonts w:hint="eastAsia" w:eastAsiaTheme="minorEastAsia"/>
                <w:color w:val="auto"/>
                <w:szCs w:val="22"/>
              </w:rPr>
              <w:t>污泥（代码：135-001-62）</w:t>
            </w:r>
          </w:p>
        </w:tc>
        <w:tc>
          <w:tcPr>
            <w:tcW w:w="396" w:type="pct"/>
            <w:vMerge w:val="restart"/>
            <w:vAlign w:val="center"/>
          </w:tcPr>
          <w:p>
            <w:pPr>
              <w:spacing w:line="0" w:lineRule="atLeast"/>
              <w:jc w:val="center"/>
              <w:rPr>
                <w:color w:val="auto"/>
              </w:rPr>
            </w:pPr>
            <w:r>
              <w:rPr>
                <w:color w:val="auto"/>
                <w:szCs w:val="21"/>
              </w:rPr>
              <w:t>一般工业固体废物</w:t>
            </w:r>
          </w:p>
        </w:tc>
        <w:tc>
          <w:tcPr>
            <w:tcW w:w="399" w:type="pct"/>
            <w:vMerge w:val="restart"/>
            <w:vAlign w:val="center"/>
          </w:tcPr>
          <w:p>
            <w:pPr>
              <w:pStyle w:val="84"/>
              <w:spacing w:line="0" w:lineRule="atLeast"/>
              <w:rPr>
                <w:rFonts w:hAnsi="Times New Roman"/>
                <w:color w:val="auto"/>
              </w:rPr>
            </w:pPr>
            <w:r>
              <w:rPr>
                <w:rFonts w:hAnsi="Times New Roman"/>
                <w:color w:val="auto"/>
              </w:rPr>
              <w:t>系数法</w:t>
            </w:r>
          </w:p>
        </w:tc>
        <w:tc>
          <w:tcPr>
            <w:tcW w:w="636" w:type="pct"/>
            <w:vAlign w:val="center"/>
          </w:tcPr>
          <w:p>
            <w:pPr>
              <w:pStyle w:val="84"/>
              <w:spacing w:line="0" w:lineRule="atLeast"/>
              <w:rPr>
                <w:rFonts w:hAnsi="Times New Roman"/>
                <w:color w:val="auto"/>
              </w:rPr>
            </w:pPr>
            <w:r>
              <w:rPr>
                <w:rFonts w:hint="eastAsia" w:hAnsi="Times New Roman"/>
                <w:color w:val="auto"/>
                <w:lang w:val="en-US" w:eastAsia="zh-CN"/>
              </w:rPr>
              <w:t>0.104</w:t>
            </w:r>
            <w:r>
              <w:rPr>
                <w:rFonts w:hAnsi="Times New Roman"/>
                <w:color w:val="auto"/>
              </w:rPr>
              <w:t>t/a</w:t>
            </w:r>
          </w:p>
        </w:tc>
        <w:tc>
          <w:tcPr>
            <w:tcW w:w="1268" w:type="pct"/>
            <w:vMerge w:val="restart"/>
            <w:vAlign w:val="center"/>
          </w:tcPr>
          <w:p>
            <w:pPr>
              <w:pStyle w:val="84"/>
              <w:spacing w:line="0" w:lineRule="atLeast"/>
              <w:rPr>
                <w:rFonts w:hAnsi="Times New Roman"/>
                <w:color w:val="auto"/>
              </w:rPr>
            </w:pPr>
            <w:r>
              <w:rPr>
                <w:rFonts w:hAnsi="Times New Roman"/>
                <w:color w:val="auto"/>
              </w:rPr>
              <w:t>采用压滤机脱水后，</w:t>
            </w:r>
            <w:r>
              <w:rPr>
                <w:rFonts w:hint="eastAsia" w:hAnsi="Times New Roman"/>
                <w:color w:val="auto"/>
              </w:rPr>
              <w:t>送生活垃圾填埋场处理</w:t>
            </w:r>
          </w:p>
        </w:tc>
        <w:tc>
          <w:tcPr>
            <w:tcW w:w="563" w:type="pct"/>
            <w:vAlign w:val="center"/>
          </w:tcPr>
          <w:p>
            <w:pPr>
              <w:pStyle w:val="84"/>
              <w:spacing w:line="0" w:lineRule="atLeast"/>
              <w:rPr>
                <w:rFonts w:hAnsi="Times New Roman"/>
                <w:color w:val="auto"/>
              </w:rPr>
            </w:pPr>
            <w:r>
              <w:rPr>
                <w:rFonts w:hint="eastAsia" w:hAnsi="Times New Roman"/>
                <w:color w:val="auto"/>
                <w:lang w:val="en-US" w:eastAsia="zh-CN"/>
              </w:rPr>
              <w:t>0.104</w:t>
            </w:r>
            <w:r>
              <w:rPr>
                <w:rFonts w:hAnsi="Times New Roman"/>
                <w:color w:val="auto"/>
              </w:rPr>
              <w:t>t/a</w:t>
            </w:r>
          </w:p>
        </w:tc>
        <w:tc>
          <w:tcPr>
            <w:tcW w:w="476" w:type="pct"/>
            <w:vMerge w:val="restart"/>
            <w:vAlign w:val="center"/>
          </w:tcPr>
          <w:p>
            <w:pPr>
              <w:pStyle w:val="84"/>
              <w:spacing w:line="0" w:lineRule="atLeast"/>
              <w:rPr>
                <w:rFonts w:hAnsi="Times New Roman"/>
                <w:color w:val="auto"/>
              </w:rPr>
            </w:pPr>
            <w:r>
              <w:rPr>
                <w:rFonts w:hint="eastAsia" w:hAnsi="Times New Roman"/>
                <w:color w:val="auto"/>
              </w:rPr>
              <w:t>卫生填埋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 w:hRule="atLeast"/>
        </w:trPr>
        <w:tc>
          <w:tcPr>
            <w:tcW w:w="446" w:type="pct"/>
            <w:vMerge w:val="continue"/>
            <w:vAlign w:val="center"/>
          </w:tcPr>
          <w:p>
            <w:pPr>
              <w:widowControl/>
              <w:spacing w:line="0" w:lineRule="atLeast"/>
              <w:jc w:val="center"/>
              <w:rPr>
                <w:color w:val="auto"/>
                <w:szCs w:val="21"/>
              </w:rPr>
            </w:pPr>
          </w:p>
        </w:tc>
        <w:tc>
          <w:tcPr>
            <w:tcW w:w="239" w:type="pct"/>
            <w:vMerge w:val="continue"/>
            <w:vAlign w:val="center"/>
          </w:tcPr>
          <w:p>
            <w:pPr>
              <w:pStyle w:val="84"/>
              <w:spacing w:line="0" w:lineRule="atLeast"/>
              <w:rPr>
                <w:rFonts w:hAnsi="Times New Roman"/>
                <w:color w:val="auto"/>
              </w:rPr>
            </w:pPr>
          </w:p>
        </w:tc>
        <w:tc>
          <w:tcPr>
            <w:tcW w:w="571" w:type="pct"/>
            <w:tcBorders>
              <w:bottom w:val="single" w:color="auto" w:sz="4" w:space="0"/>
            </w:tcBorders>
            <w:vAlign w:val="center"/>
          </w:tcPr>
          <w:p>
            <w:pPr>
              <w:pStyle w:val="84"/>
              <w:adjustRightInd w:val="0"/>
              <w:snapToGrid w:val="0"/>
              <w:spacing w:line="0" w:lineRule="atLeast"/>
              <w:rPr>
                <w:rFonts w:eastAsiaTheme="minorEastAsia"/>
                <w:color w:val="auto"/>
                <w:szCs w:val="22"/>
              </w:rPr>
            </w:pPr>
            <w:r>
              <w:rPr>
                <w:rFonts w:hint="eastAsia" w:eastAsiaTheme="minorEastAsia"/>
                <w:color w:val="auto"/>
                <w:szCs w:val="22"/>
              </w:rPr>
              <w:t>栅渣（代码：135-001-62）</w:t>
            </w:r>
          </w:p>
        </w:tc>
        <w:tc>
          <w:tcPr>
            <w:tcW w:w="396" w:type="pct"/>
            <w:vMerge w:val="continue"/>
            <w:tcBorders>
              <w:bottom w:val="single" w:color="auto" w:sz="4" w:space="0"/>
            </w:tcBorders>
            <w:vAlign w:val="center"/>
          </w:tcPr>
          <w:p>
            <w:pPr>
              <w:spacing w:line="0" w:lineRule="atLeast"/>
              <w:jc w:val="center"/>
              <w:rPr>
                <w:color w:val="auto"/>
              </w:rPr>
            </w:pPr>
          </w:p>
        </w:tc>
        <w:tc>
          <w:tcPr>
            <w:tcW w:w="399" w:type="pct"/>
            <w:vMerge w:val="continue"/>
            <w:tcBorders>
              <w:bottom w:val="single" w:color="auto" w:sz="4" w:space="0"/>
            </w:tcBorders>
            <w:vAlign w:val="center"/>
          </w:tcPr>
          <w:p>
            <w:pPr>
              <w:pStyle w:val="84"/>
              <w:spacing w:line="0" w:lineRule="atLeast"/>
              <w:rPr>
                <w:rFonts w:hAnsi="Times New Roman"/>
                <w:color w:val="auto"/>
              </w:rPr>
            </w:pPr>
          </w:p>
        </w:tc>
        <w:tc>
          <w:tcPr>
            <w:tcW w:w="636" w:type="pct"/>
            <w:vAlign w:val="center"/>
          </w:tcPr>
          <w:p>
            <w:pPr>
              <w:pStyle w:val="84"/>
              <w:spacing w:line="0" w:lineRule="atLeast"/>
              <w:rPr>
                <w:rFonts w:hAnsi="Times New Roman"/>
                <w:color w:val="auto"/>
              </w:rPr>
            </w:pPr>
            <w:r>
              <w:rPr>
                <w:rFonts w:hint="eastAsia" w:hAnsi="Times New Roman"/>
                <w:bCs/>
                <w:color w:val="auto"/>
                <w:lang w:eastAsia="zh-CN"/>
              </w:rPr>
              <w:t>1.4t</w:t>
            </w:r>
            <w:r>
              <w:rPr>
                <w:rFonts w:hAnsi="Times New Roman"/>
                <w:color w:val="auto"/>
              </w:rPr>
              <w:t>/a</w:t>
            </w:r>
          </w:p>
        </w:tc>
        <w:tc>
          <w:tcPr>
            <w:tcW w:w="1268" w:type="pct"/>
            <w:vMerge w:val="continue"/>
            <w:vAlign w:val="center"/>
          </w:tcPr>
          <w:p>
            <w:pPr>
              <w:pStyle w:val="84"/>
              <w:spacing w:line="0" w:lineRule="atLeast"/>
              <w:rPr>
                <w:rFonts w:hAnsi="Times New Roman"/>
                <w:color w:val="auto"/>
              </w:rPr>
            </w:pPr>
          </w:p>
        </w:tc>
        <w:tc>
          <w:tcPr>
            <w:tcW w:w="563" w:type="pct"/>
            <w:vAlign w:val="center"/>
          </w:tcPr>
          <w:p>
            <w:pPr>
              <w:pStyle w:val="84"/>
              <w:spacing w:line="0" w:lineRule="atLeast"/>
              <w:rPr>
                <w:rFonts w:hAnsi="Times New Roman"/>
                <w:color w:val="auto"/>
              </w:rPr>
            </w:pPr>
            <w:r>
              <w:rPr>
                <w:rFonts w:hint="eastAsia" w:hAnsi="Times New Roman"/>
                <w:bCs/>
                <w:color w:val="auto"/>
                <w:lang w:eastAsia="zh-CN"/>
              </w:rPr>
              <w:t>1.4t</w:t>
            </w:r>
            <w:r>
              <w:rPr>
                <w:rFonts w:hAnsi="Times New Roman"/>
                <w:color w:val="auto"/>
              </w:rPr>
              <w:t>/a</w:t>
            </w:r>
          </w:p>
        </w:tc>
        <w:tc>
          <w:tcPr>
            <w:tcW w:w="476" w:type="pct"/>
            <w:vMerge w:val="continue"/>
            <w:vAlign w:val="center"/>
          </w:tcPr>
          <w:p>
            <w:pPr>
              <w:pStyle w:val="84"/>
              <w:spacing w:line="0" w:lineRule="atLeast"/>
              <w:rPr>
                <w:rFonts w:hAnsi="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 w:hRule="atLeast"/>
        </w:trPr>
        <w:tc>
          <w:tcPr>
            <w:tcW w:w="446" w:type="pct"/>
            <w:vMerge w:val="continue"/>
            <w:vAlign w:val="center"/>
          </w:tcPr>
          <w:p>
            <w:pPr>
              <w:widowControl/>
              <w:spacing w:line="0" w:lineRule="atLeast"/>
              <w:jc w:val="center"/>
              <w:rPr>
                <w:color w:val="auto"/>
                <w:szCs w:val="21"/>
              </w:rPr>
            </w:pPr>
          </w:p>
        </w:tc>
        <w:tc>
          <w:tcPr>
            <w:tcW w:w="239" w:type="pct"/>
            <w:vMerge w:val="continue"/>
            <w:vAlign w:val="center"/>
          </w:tcPr>
          <w:p>
            <w:pPr>
              <w:pStyle w:val="84"/>
              <w:spacing w:line="0" w:lineRule="atLeast"/>
              <w:rPr>
                <w:rFonts w:hAnsi="Times New Roman"/>
                <w:color w:val="auto"/>
              </w:rPr>
            </w:pPr>
          </w:p>
        </w:tc>
        <w:tc>
          <w:tcPr>
            <w:tcW w:w="571" w:type="pct"/>
            <w:tcBorders>
              <w:top w:val="single" w:color="auto" w:sz="4" w:space="0"/>
              <w:bottom w:val="single" w:color="auto" w:sz="4" w:space="0"/>
            </w:tcBorders>
            <w:vAlign w:val="center"/>
          </w:tcPr>
          <w:p>
            <w:pPr>
              <w:pStyle w:val="84"/>
              <w:adjustRightInd w:val="0"/>
              <w:snapToGrid w:val="0"/>
              <w:spacing w:line="0" w:lineRule="atLeast"/>
              <w:rPr>
                <w:rFonts w:eastAsiaTheme="minorEastAsia"/>
                <w:color w:val="auto"/>
                <w:szCs w:val="22"/>
              </w:rPr>
            </w:pPr>
            <w:r>
              <w:rPr>
                <w:rFonts w:hint="eastAsia" w:eastAsiaTheme="minorEastAsia"/>
                <w:color w:val="auto"/>
                <w:szCs w:val="22"/>
              </w:rPr>
              <w:t>废油脂</w:t>
            </w:r>
            <w:r>
              <w:rPr>
                <w:rFonts w:hint="eastAsia" w:eastAsiaTheme="minorEastAsia"/>
                <w:bCs/>
                <w:color w:val="auto"/>
                <w:szCs w:val="22"/>
              </w:rPr>
              <w:t>（代码：135-001-99）</w:t>
            </w:r>
          </w:p>
        </w:tc>
        <w:tc>
          <w:tcPr>
            <w:tcW w:w="396" w:type="pct"/>
            <w:vMerge w:val="continue"/>
            <w:tcBorders>
              <w:top w:val="single" w:color="auto" w:sz="4" w:space="0"/>
              <w:bottom w:val="single" w:color="auto" w:sz="4" w:space="0"/>
            </w:tcBorders>
            <w:vAlign w:val="center"/>
          </w:tcPr>
          <w:p>
            <w:pPr>
              <w:spacing w:line="0" w:lineRule="atLeast"/>
              <w:jc w:val="center"/>
              <w:rPr>
                <w:color w:val="auto"/>
              </w:rPr>
            </w:pPr>
          </w:p>
        </w:tc>
        <w:tc>
          <w:tcPr>
            <w:tcW w:w="399" w:type="pct"/>
            <w:tcBorders>
              <w:top w:val="single" w:color="auto" w:sz="4" w:space="0"/>
              <w:bottom w:val="single" w:color="auto" w:sz="4" w:space="0"/>
            </w:tcBorders>
            <w:vAlign w:val="center"/>
          </w:tcPr>
          <w:p>
            <w:pPr>
              <w:pStyle w:val="84"/>
              <w:spacing w:line="0" w:lineRule="atLeast"/>
              <w:rPr>
                <w:rFonts w:hAnsi="Times New Roman"/>
                <w:color w:val="auto"/>
              </w:rPr>
            </w:pPr>
            <w:r>
              <w:rPr>
                <w:rFonts w:hAnsi="Times New Roman"/>
                <w:color w:val="auto"/>
              </w:rPr>
              <w:t>类比法</w:t>
            </w:r>
          </w:p>
        </w:tc>
        <w:tc>
          <w:tcPr>
            <w:tcW w:w="636" w:type="pct"/>
            <w:vAlign w:val="center"/>
          </w:tcPr>
          <w:p>
            <w:pPr>
              <w:pStyle w:val="84"/>
              <w:spacing w:line="0" w:lineRule="atLeast"/>
              <w:rPr>
                <w:rFonts w:hAnsi="Times New Roman"/>
                <w:color w:val="auto"/>
              </w:rPr>
            </w:pPr>
            <w:r>
              <w:rPr>
                <w:rFonts w:hint="eastAsia" w:hAnsi="Times New Roman"/>
                <w:color w:val="auto"/>
              </w:rPr>
              <w:t>1</w:t>
            </w:r>
            <w:r>
              <w:rPr>
                <w:rFonts w:hAnsi="Times New Roman"/>
                <w:color w:val="auto"/>
              </w:rPr>
              <w:t>t/a</w:t>
            </w:r>
          </w:p>
        </w:tc>
        <w:tc>
          <w:tcPr>
            <w:tcW w:w="1268" w:type="pct"/>
            <w:vAlign w:val="center"/>
          </w:tcPr>
          <w:p>
            <w:pPr>
              <w:pStyle w:val="84"/>
              <w:spacing w:line="0" w:lineRule="atLeast"/>
              <w:rPr>
                <w:color w:val="auto"/>
              </w:rPr>
            </w:pPr>
            <w:r>
              <w:rPr>
                <w:rFonts w:hAnsi="Times New Roman"/>
                <w:color w:val="auto"/>
              </w:rPr>
              <w:t>委托处置</w:t>
            </w:r>
          </w:p>
        </w:tc>
        <w:tc>
          <w:tcPr>
            <w:tcW w:w="563" w:type="pct"/>
            <w:vAlign w:val="center"/>
          </w:tcPr>
          <w:p>
            <w:pPr>
              <w:pStyle w:val="84"/>
              <w:spacing w:line="0" w:lineRule="atLeast"/>
              <w:rPr>
                <w:rFonts w:hAnsi="Times New Roman"/>
                <w:color w:val="auto"/>
              </w:rPr>
            </w:pPr>
            <w:r>
              <w:rPr>
                <w:rFonts w:hint="eastAsia" w:hAnsi="Times New Roman"/>
                <w:color w:val="auto"/>
              </w:rPr>
              <w:t>1</w:t>
            </w:r>
            <w:r>
              <w:rPr>
                <w:rFonts w:hAnsi="Times New Roman"/>
                <w:color w:val="auto"/>
              </w:rPr>
              <w:t>t/a</w:t>
            </w:r>
          </w:p>
        </w:tc>
        <w:tc>
          <w:tcPr>
            <w:tcW w:w="476" w:type="pct"/>
            <w:vAlign w:val="center"/>
          </w:tcPr>
          <w:p>
            <w:pPr>
              <w:pStyle w:val="84"/>
              <w:spacing w:line="0" w:lineRule="atLeast"/>
              <w:rPr>
                <w:rFonts w:hAnsi="Times New Roman"/>
                <w:color w:val="auto"/>
              </w:rPr>
            </w:pPr>
            <w:r>
              <w:rPr>
                <w:rFonts w:hAnsi="Times New Roman"/>
                <w:color w:val="auto"/>
              </w:rPr>
              <w:t>有资质单位处置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446" w:type="pct"/>
            <w:vAlign w:val="center"/>
          </w:tcPr>
          <w:p>
            <w:pPr>
              <w:pStyle w:val="84"/>
              <w:spacing w:line="0" w:lineRule="atLeast"/>
              <w:rPr>
                <w:rFonts w:hAnsi="Times New Roman"/>
                <w:color w:val="auto"/>
              </w:rPr>
            </w:pPr>
            <w:r>
              <w:rPr>
                <w:rFonts w:hint="eastAsia" w:hAnsi="Times New Roman"/>
                <w:color w:val="auto"/>
              </w:rPr>
              <w:t>废气</w:t>
            </w:r>
            <w:r>
              <w:rPr>
                <w:rFonts w:hAnsi="Times New Roman"/>
                <w:color w:val="auto"/>
              </w:rPr>
              <w:t>治理</w:t>
            </w:r>
          </w:p>
        </w:tc>
        <w:tc>
          <w:tcPr>
            <w:tcW w:w="239" w:type="pct"/>
            <w:tcBorders>
              <w:right w:val="single" w:color="auto" w:sz="8" w:space="0"/>
            </w:tcBorders>
            <w:vAlign w:val="center"/>
          </w:tcPr>
          <w:p>
            <w:pPr>
              <w:pStyle w:val="84"/>
              <w:spacing w:line="0" w:lineRule="atLeast"/>
              <w:rPr>
                <w:rFonts w:hAnsi="Times New Roman"/>
                <w:color w:val="auto"/>
              </w:rPr>
            </w:pPr>
            <w:r>
              <w:rPr>
                <w:rFonts w:hAnsi="Times New Roman"/>
                <w:color w:val="auto"/>
              </w:rPr>
              <w:t>活性炭吸附装置</w:t>
            </w:r>
          </w:p>
        </w:tc>
        <w:tc>
          <w:tcPr>
            <w:tcW w:w="571" w:type="pct"/>
            <w:tcBorders>
              <w:top w:val="single" w:color="auto" w:sz="4" w:space="0"/>
              <w:left w:val="single" w:color="auto" w:sz="8" w:space="0"/>
              <w:bottom w:val="single" w:color="auto" w:sz="8" w:space="0"/>
              <w:right w:val="single" w:color="auto" w:sz="8" w:space="0"/>
            </w:tcBorders>
            <w:vAlign w:val="center"/>
          </w:tcPr>
          <w:p>
            <w:pPr>
              <w:pStyle w:val="84"/>
              <w:spacing w:line="0" w:lineRule="atLeast"/>
              <w:rPr>
                <w:rFonts w:hAnsi="Times New Roman"/>
                <w:color w:val="auto"/>
              </w:rPr>
            </w:pPr>
            <w:r>
              <w:rPr>
                <w:rFonts w:hAnsi="Times New Roman"/>
                <w:color w:val="auto"/>
              </w:rPr>
              <w:t>废活性炭</w:t>
            </w:r>
            <w:r>
              <w:rPr>
                <w:rFonts w:hint="eastAsia" w:hAnsi="Times New Roman"/>
                <w:bCs/>
                <w:color w:val="auto"/>
              </w:rPr>
              <w:t>（代码：135-001-39）</w:t>
            </w:r>
          </w:p>
        </w:tc>
        <w:tc>
          <w:tcPr>
            <w:tcW w:w="396" w:type="pct"/>
            <w:tcBorders>
              <w:top w:val="single" w:color="auto" w:sz="4" w:space="0"/>
              <w:left w:val="single" w:color="auto" w:sz="8" w:space="0"/>
              <w:bottom w:val="single" w:color="auto" w:sz="8" w:space="0"/>
              <w:right w:val="single" w:color="auto" w:sz="8" w:space="0"/>
            </w:tcBorders>
            <w:vAlign w:val="center"/>
          </w:tcPr>
          <w:p>
            <w:pPr>
              <w:widowControl/>
              <w:spacing w:line="0" w:lineRule="atLeast"/>
              <w:jc w:val="center"/>
              <w:rPr>
                <w:color w:val="auto"/>
                <w:szCs w:val="21"/>
              </w:rPr>
            </w:pPr>
            <w:r>
              <w:rPr>
                <w:color w:val="auto"/>
                <w:szCs w:val="21"/>
              </w:rPr>
              <w:t>一般工业固体废物</w:t>
            </w:r>
          </w:p>
        </w:tc>
        <w:tc>
          <w:tcPr>
            <w:tcW w:w="399" w:type="pct"/>
            <w:tcBorders>
              <w:top w:val="single" w:color="auto" w:sz="4" w:space="0"/>
              <w:left w:val="single" w:color="auto" w:sz="8" w:space="0"/>
              <w:bottom w:val="single" w:color="auto" w:sz="8" w:space="0"/>
              <w:right w:val="single" w:color="auto" w:sz="8" w:space="0"/>
            </w:tcBorders>
            <w:vAlign w:val="center"/>
          </w:tcPr>
          <w:p>
            <w:pPr>
              <w:widowControl/>
              <w:spacing w:line="0" w:lineRule="atLeast"/>
              <w:jc w:val="center"/>
              <w:rPr>
                <w:color w:val="auto"/>
                <w:szCs w:val="21"/>
              </w:rPr>
            </w:pPr>
            <w:r>
              <w:rPr>
                <w:color w:val="auto"/>
                <w:szCs w:val="21"/>
              </w:rPr>
              <w:t>系数法</w:t>
            </w:r>
          </w:p>
        </w:tc>
        <w:tc>
          <w:tcPr>
            <w:tcW w:w="636" w:type="pct"/>
            <w:tcBorders>
              <w:left w:val="single" w:color="auto" w:sz="8" w:space="0"/>
            </w:tcBorders>
            <w:vAlign w:val="center"/>
          </w:tcPr>
          <w:p>
            <w:pPr>
              <w:pStyle w:val="84"/>
              <w:spacing w:line="0" w:lineRule="atLeast"/>
              <w:rPr>
                <w:rFonts w:hAnsi="Times New Roman"/>
                <w:color w:val="auto"/>
              </w:rPr>
            </w:pPr>
            <w:r>
              <w:rPr>
                <w:rFonts w:hint="eastAsia" w:hAnsi="Times New Roman"/>
                <w:color w:val="auto"/>
                <w:lang w:eastAsia="zh-CN"/>
              </w:rPr>
              <w:t>1.1657t</w:t>
            </w:r>
            <w:r>
              <w:rPr>
                <w:rFonts w:hAnsi="Times New Roman"/>
                <w:color w:val="auto"/>
              </w:rPr>
              <w:t>/a</w:t>
            </w:r>
          </w:p>
        </w:tc>
        <w:tc>
          <w:tcPr>
            <w:tcW w:w="1268" w:type="pct"/>
            <w:vAlign w:val="center"/>
          </w:tcPr>
          <w:p>
            <w:pPr>
              <w:pStyle w:val="84"/>
              <w:spacing w:line="0" w:lineRule="atLeast"/>
              <w:rPr>
                <w:rFonts w:hAnsi="Times New Roman"/>
                <w:color w:val="auto"/>
              </w:rPr>
            </w:pPr>
            <w:r>
              <w:rPr>
                <w:rFonts w:hint="eastAsia" w:hAnsi="Times New Roman"/>
                <w:color w:val="auto"/>
                <w:lang w:val="en-US" w:eastAsia="zh-CN"/>
              </w:rPr>
              <w:t>交由厂家再生利用</w:t>
            </w:r>
          </w:p>
        </w:tc>
        <w:tc>
          <w:tcPr>
            <w:tcW w:w="563" w:type="pct"/>
            <w:vAlign w:val="center"/>
          </w:tcPr>
          <w:p>
            <w:pPr>
              <w:pStyle w:val="84"/>
              <w:spacing w:line="0" w:lineRule="atLeast"/>
              <w:rPr>
                <w:rFonts w:hAnsi="Times New Roman"/>
                <w:color w:val="auto"/>
              </w:rPr>
            </w:pPr>
            <w:r>
              <w:rPr>
                <w:rFonts w:hint="eastAsia" w:hAnsi="Times New Roman"/>
                <w:color w:val="auto"/>
                <w:lang w:eastAsia="zh-CN"/>
              </w:rPr>
              <w:t>1.1657t</w:t>
            </w:r>
            <w:r>
              <w:rPr>
                <w:rFonts w:hAnsi="Times New Roman"/>
                <w:color w:val="auto"/>
              </w:rPr>
              <w:t>/a</w:t>
            </w:r>
          </w:p>
        </w:tc>
        <w:tc>
          <w:tcPr>
            <w:tcW w:w="476" w:type="pct"/>
            <w:vAlign w:val="center"/>
          </w:tcPr>
          <w:p>
            <w:pPr>
              <w:pStyle w:val="84"/>
              <w:spacing w:line="0" w:lineRule="atLeast"/>
              <w:rPr>
                <w:rFonts w:hint="eastAsia" w:hAnsi="Times New Roman" w:eastAsia="宋体"/>
                <w:color w:val="auto"/>
                <w:lang w:eastAsia="zh-CN"/>
              </w:rPr>
            </w:pPr>
            <w:r>
              <w:rPr>
                <w:rFonts w:hint="eastAsia" w:hAnsi="Times New Roman"/>
                <w:color w:val="auto"/>
                <w:lang w:val="en-US" w:eastAsia="zh-CN"/>
              </w:rPr>
              <w:t>再生利用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446" w:type="pct"/>
            <w:vAlign w:val="center"/>
          </w:tcPr>
          <w:p>
            <w:pPr>
              <w:pStyle w:val="84"/>
              <w:spacing w:line="0" w:lineRule="atLeast"/>
              <w:rPr>
                <w:rFonts w:hAnsi="Times New Roman"/>
                <w:color w:val="auto"/>
              </w:rPr>
            </w:pPr>
            <w:r>
              <w:rPr>
                <w:rFonts w:hAnsi="Times New Roman"/>
                <w:color w:val="auto"/>
              </w:rPr>
              <w:t>检疫</w:t>
            </w:r>
          </w:p>
        </w:tc>
        <w:tc>
          <w:tcPr>
            <w:tcW w:w="239" w:type="pct"/>
            <w:vAlign w:val="center"/>
          </w:tcPr>
          <w:p>
            <w:pPr>
              <w:pStyle w:val="84"/>
              <w:spacing w:line="0" w:lineRule="atLeast"/>
              <w:rPr>
                <w:rFonts w:hAnsi="Times New Roman"/>
                <w:color w:val="auto"/>
              </w:rPr>
            </w:pPr>
            <w:r>
              <w:rPr>
                <w:rFonts w:hAnsi="Times New Roman"/>
                <w:color w:val="auto"/>
              </w:rPr>
              <w:t>检疫间</w:t>
            </w:r>
          </w:p>
        </w:tc>
        <w:tc>
          <w:tcPr>
            <w:tcW w:w="571" w:type="pct"/>
            <w:tcBorders>
              <w:top w:val="single" w:color="auto" w:sz="8" w:space="0"/>
              <w:bottom w:val="single" w:color="auto" w:sz="4" w:space="0"/>
            </w:tcBorders>
            <w:vAlign w:val="center"/>
          </w:tcPr>
          <w:p>
            <w:pPr>
              <w:pStyle w:val="84"/>
              <w:spacing w:line="0" w:lineRule="atLeast"/>
              <w:rPr>
                <w:rFonts w:hAnsi="Times New Roman"/>
                <w:color w:val="auto"/>
                <w:szCs w:val="22"/>
              </w:rPr>
            </w:pPr>
            <w:r>
              <w:rPr>
                <w:rFonts w:hint="eastAsia" w:hAnsi="Times New Roman"/>
                <w:color w:val="auto"/>
                <w:spacing w:val="-20"/>
              </w:rPr>
              <w:t>检疫废物（HW01）</w:t>
            </w:r>
          </w:p>
        </w:tc>
        <w:tc>
          <w:tcPr>
            <w:tcW w:w="396" w:type="pct"/>
            <w:tcBorders>
              <w:top w:val="single" w:color="auto" w:sz="8" w:space="0"/>
              <w:bottom w:val="single" w:color="auto" w:sz="4" w:space="0"/>
            </w:tcBorders>
            <w:vAlign w:val="center"/>
          </w:tcPr>
          <w:p>
            <w:pPr>
              <w:widowControl/>
              <w:spacing w:line="0" w:lineRule="atLeast"/>
              <w:jc w:val="center"/>
              <w:rPr>
                <w:color w:val="auto"/>
                <w:szCs w:val="21"/>
              </w:rPr>
            </w:pPr>
            <w:r>
              <w:rPr>
                <w:color w:val="auto"/>
                <w:szCs w:val="21"/>
              </w:rPr>
              <w:t>危险废物</w:t>
            </w:r>
          </w:p>
        </w:tc>
        <w:tc>
          <w:tcPr>
            <w:tcW w:w="399" w:type="pct"/>
            <w:tcBorders>
              <w:top w:val="single" w:color="auto" w:sz="8" w:space="0"/>
              <w:bottom w:val="single" w:color="auto" w:sz="4" w:space="0"/>
            </w:tcBorders>
            <w:vAlign w:val="center"/>
          </w:tcPr>
          <w:p>
            <w:pPr>
              <w:widowControl/>
              <w:spacing w:line="0" w:lineRule="atLeast"/>
              <w:jc w:val="center"/>
              <w:rPr>
                <w:color w:val="auto"/>
                <w:szCs w:val="21"/>
              </w:rPr>
            </w:pPr>
            <w:r>
              <w:rPr>
                <w:color w:val="auto"/>
              </w:rPr>
              <w:t>类比法</w:t>
            </w:r>
          </w:p>
        </w:tc>
        <w:tc>
          <w:tcPr>
            <w:tcW w:w="636" w:type="pct"/>
            <w:vAlign w:val="center"/>
          </w:tcPr>
          <w:p>
            <w:pPr>
              <w:pStyle w:val="84"/>
              <w:spacing w:line="0" w:lineRule="atLeast"/>
              <w:rPr>
                <w:rFonts w:hAnsi="Times New Roman"/>
                <w:color w:val="auto"/>
              </w:rPr>
            </w:pPr>
            <w:r>
              <w:rPr>
                <w:rFonts w:hint="eastAsia" w:hAnsi="Times New Roman"/>
                <w:color w:val="auto"/>
              </w:rPr>
              <w:t>0.3</w:t>
            </w:r>
            <w:r>
              <w:rPr>
                <w:rFonts w:hAnsi="Times New Roman"/>
                <w:color w:val="auto"/>
              </w:rPr>
              <w:t>t/a</w:t>
            </w:r>
          </w:p>
        </w:tc>
        <w:tc>
          <w:tcPr>
            <w:tcW w:w="1268" w:type="pct"/>
            <w:vAlign w:val="center"/>
          </w:tcPr>
          <w:p>
            <w:pPr>
              <w:pStyle w:val="84"/>
              <w:spacing w:line="0" w:lineRule="atLeast"/>
              <w:rPr>
                <w:rFonts w:hAnsi="Times New Roman"/>
                <w:color w:val="auto"/>
              </w:rPr>
            </w:pPr>
            <w:r>
              <w:rPr>
                <w:rFonts w:hint="eastAsia" w:hAnsi="Times New Roman"/>
                <w:color w:val="auto"/>
              </w:rPr>
              <w:t>委托</w:t>
            </w:r>
            <w:r>
              <w:rPr>
                <w:rFonts w:hAnsi="Times New Roman"/>
                <w:color w:val="auto"/>
              </w:rPr>
              <w:t>处置</w:t>
            </w:r>
          </w:p>
        </w:tc>
        <w:tc>
          <w:tcPr>
            <w:tcW w:w="563" w:type="pct"/>
            <w:vAlign w:val="center"/>
          </w:tcPr>
          <w:p>
            <w:pPr>
              <w:pStyle w:val="84"/>
              <w:spacing w:line="0" w:lineRule="atLeast"/>
              <w:rPr>
                <w:rFonts w:hAnsi="Times New Roman"/>
                <w:color w:val="auto"/>
              </w:rPr>
            </w:pPr>
            <w:r>
              <w:rPr>
                <w:rFonts w:hint="eastAsia" w:hAnsi="Times New Roman"/>
                <w:color w:val="auto"/>
              </w:rPr>
              <w:t>0.3</w:t>
            </w:r>
            <w:r>
              <w:rPr>
                <w:rFonts w:hAnsi="Times New Roman"/>
                <w:color w:val="auto"/>
              </w:rPr>
              <w:t>t/a</w:t>
            </w:r>
          </w:p>
        </w:tc>
        <w:tc>
          <w:tcPr>
            <w:tcW w:w="476" w:type="pct"/>
            <w:vAlign w:val="center"/>
          </w:tcPr>
          <w:p>
            <w:pPr>
              <w:pStyle w:val="84"/>
              <w:spacing w:line="0" w:lineRule="atLeast"/>
              <w:rPr>
                <w:rFonts w:hAnsi="Times New Roman"/>
                <w:color w:val="auto"/>
              </w:rPr>
            </w:pPr>
            <w:r>
              <w:rPr>
                <w:rFonts w:hAnsi="Times New Roman"/>
                <w:color w:val="auto"/>
              </w:rPr>
              <w:t>有资质单位处置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446" w:type="pct"/>
            <w:vMerge w:val="restart"/>
            <w:vAlign w:val="center"/>
          </w:tcPr>
          <w:p>
            <w:pPr>
              <w:pStyle w:val="84"/>
              <w:spacing w:line="0" w:lineRule="atLeast"/>
              <w:rPr>
                <w:rFonts w:hAnsi="Times New Roman"/>
                <w:color w:val="auto"/>
              </w:rPr>
            </w:pPr>
            <w:r>
              <w:rPr>
                <w:rFonts w:hAnsi="Times New Roman"/>
                <w:color w:val="auto"/>
              </w:rPr>
              <w:t>食堂</w:t>
            </w:r>
          </w:p>
        </w:tc>
        <w:tc>
          <w:tcPr>
            <w:tcW w:w="239" w:type="pct"/>
            <w:vMerge w:val="restart"/>
            <w:vAlign w:val="center"/>
          </w:tcPr>
          <w:p>
            <w:pPr>
              <w:pStyle w:val="84"/>
              <w:spacing w:line="0" w:lineRule="atLeast"/>
              <w:rPr>
                <w:rFonts w:hAnsi="Times New Roman"/>
                <w:color w:val="auto"/>
              </w:rPr>
            </w:pPr>
            <w:r>
              <w:rPr>
                <w:rFonts w:hAnsi="Times New Roman"/>
                <w:color w:val="auto"/>
              </w:rPr>
              <w:t>食堂</w:t>
            </w:r>
          </w:p>
        </w:tc>
        <w:tc>
          <w:tcPr>
            <w:tcW w:w="571" w:type="pct"/>
            <w:tcBorders>
              <w:bottom w:val="single" w:color="auto" w:sz="4" w:space="0"/>
            </w:tcBorders>
            <w:vAlign w:val="center"/>
          </w:tcPr>
          <w:p>
            <w:pPr>
              <w:pStyle w:val="84"/>
              <w:spacing w:line="0" w:lineRule="atLeast"/>
              <w:rPr>
                <w:rFonts w:hAnsi="Times New Roman"/>
                <w:color w:val="auto"/>
                <w:spacing w:val="-20"/>
              </w:rPr>
            </w:pPr>
            <w:r>
              <w:rPr>
                <w:rFonts w:hAnsi="Times New Roman"/>
                <w:color w:val="auto"/>
                <w:spacing w:val="-20"/>
              </w:rPr>
              <w:t>食堂</w:t>
            </w:r>
            <w:r>
              <w:rPr>
                <w:rFonts w:hint="eastAsia" w:hAnsi="Times New Roman"/>
                <w:color w:val="auto"/>
                <w:spacing w:val="-20"/>
              </w:rPr>
              <w:t>餐余</w:t>
            </w:r>
            <w:r>
              <w:rPr>
                <w:rFonts w:hAnsi="Times New Roman"/>
                <w:color w:val="auto"/>
                <w:spacing w:val="-20"/>
              </w:rPr>
              <w:t>垃圾</w:t>
            </w:r>
            <w:r>
              <w:rPr>
                <w:rFonts w:hint="eastAsia" w:hAnsi="Times New Roman"/>
                <w:bCs/>
                <w:color w:val="auto"/>
              </w:rPr>
              <w:t>（代码：135-001-39）</w:t>
            </w:r>
          </w:p>
        </w:tc>
        <w:tc>
          <w:tcPr>
            <w:tcW w:w="396" w:type="pct"/>
            <w:vMerge w:val="restart"/>
            <w:vAlign w:val="center"/>
          </w:tcPr>
          <w:p>
            <w:pPr>
              <w:widowControl/>
              <w:spacing w:line="0" w:lineRule="atLeast"/>
              <w:jc w:val="center"/>
              <w:rPr>
                <w:color w:val="auto"/>
                <w:szCs w:val="21"/>
              </w:rPr>
            </w:pPr>
            <w:r>
              <w:rPr>
                <w:color w:val="auto"/>
                <w:szCs w:val="21"/>
              </w:rPr>
              <w:t>一般固体废物</w:t>
            </w:r>
          </w:p>
        </w:tc>
        <w:tc>
          <w:tcPr>
            <w:tcW w:w="399" w:type="pct"/>
            <w:vMerge w:val="restart"/>
            <w:vAlign w:val="center"/>
          </w:tcPr>
          <w:p>
            <w:pPr>
              <w:widowControl/>
              <w:spacing w:line="0" w:lineRule="atLeast"/>
              <w:jc w:val="center"/>
              <w:rPr>
                <w:color w:val="auto"/>
                <w:szCs w:val="21"/>
              </w:rPr>
            </w:pPr>
            <w:r>
              <w:rPr>
                <w:color w:val="auto"/>
              </w:rPr>
              <w:t>系数法</w:t>
            </w:r>
          </w:p>
        </w:tc>
        <w:tc>
          <w:tcPr>
            <w:tcW w:w="636" w:type="pct"/>
            <w:vAlign w:val="center"/>
          </w:tcPr>
          <w:p>
            <w:pPr>
              <w:pStyle w:val="84"/>
              <w:spacing w:line="0" w:lineRule="atLeast"/>
              <w:rPr>
                <w:rFonts w:hAnsi="Times New Roman"/>
                <w:color w:val="auto"/>
              </w:rPr>
            </w:pPr>
            <w:r>
              <w:rPr>
                <w:rFonts w:hint="eastAsia" w:hAnsi="Times New Roman"/>
                <w:color w:val="auto"/>
                <w:lang w:val="en-US" w:eastAsia="zh-CN"/>
              </w:rPr>
              <w:t>10.8</w:t>
            </w:r>
            <w:r>
              <w:rPr>
                <w:rFonts w:hAnsi="Times New Roman"/>
                <w:color w:val="auto"/>
              </w:rPr>
              <w:t>t/a</w:t>
            </w:r>
          </w:p>
        </w:tc>
        <w:tc>
          <w:tcPr>
            <w:tcW w:w="1268" w:type="pct"/>
            <w:vMerge w:val="restart"/>
            <w:vAlign w:val="center"/>
          </w:tcPr>
          <w:p>
            <w:pPr>
              <w:pStyle w:val="84"/>
              <w:spacing w:line="0" w:lineRule="atLeast"/>
              <w:rPr>
                <w:rFonts w:hAnsi="Times New Roman"/>
                <w:color w:val="auto"/>
              </w:rPr>
            </w:pPr>
            <w:r>
              <w:rPr>
                <w:rFonts w:hAnsi="Times New Roman"/>
                <w:bCs/>
                <w:color w:val="auto"/>
              </w:rPr>
              <w:t>交由符合规定的回收处置单位统一回收处置</w:t>
            </w:r>
          </w:p>
        </w:tc>
        <w:tc>
          <w:tcPr>
            <w:tcW w:w="563" w:type="pct"/>
            <w:vAlign w:val="center"/>
          </w:tcPr>
          <w:p>
            <w:pPr>
              <w:pStyle w:val="84"/>
              <w:spacing w:line="0" w:lineRule="atLeast"/>
              <w:rPr>
                <w:rFonts w:hAnsi="Times New Roman"/>
                <w:color w:val="auto"/>
              </w:rPr>
            </w:pPr>
            <w:r>
              <w:rPr>
                <w:rFonts w:hint="eastAsia" w:hAnsi="Times New Roman"/>
                <w:color w:val="auto"/>
                <w:lang w:val="en-US" w:eastAsia="zh-CN"/>
              </w:rPr>
              <w:t>10.8</w:t>
            </w:r>
            <w:r>
              <w:rPr>
                <w:rFonts w:hAnsi="Times New Roman"/>
                <w:color w:val="auto"/>
              </w:rPr>
              <w:t>t/a</w:t>
            </w:r>
          </w:p>
        </w:tc>
        <w:tc>
          <w:tcPr>
            <w:tcW w:w="476" w:type="pct"/>
            <w:vMerge w:val="restart"/>
            <w:vAlign w:val="center"/>
          </w:tcPr>
          <w:p>
            <w:pPr>
              <w:pStyle w:val="84"/>
              <w:spacing w:line="0" w:lineRule="atLeast"/>
              <w:rPr>
                <w:rFonts w:hAnsi="Times New Roman"/>
                <w:color w:val="FF0000"/>
              </w:rPr>
            </w:pPr>
            <w:r>
              <w:rPr>
                <w:rFonts w:hAnsi="Times New Roman"/>
                <w:color w:val="auto"/>
              </w:rPr>
              <w:t>有资质单位处置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446" w:type="pct"/>
            <w:vMerge w:val="continue"/>
            <w:vAlign w:val="center"/>
          </w:tcPr>
          <w:p>
            <w:pPr>
              <w:pStyle w:val="84"/>
              <w:spacing w:line="0" w:lineRule="atLeast"/>
              <w:rPr>
                <w:rFonts w:hAnsi="Times New Roman"/>
                <w:color w:val="FF0000"/>
              </w:rPr>
            </w:pPr>
          </w:p>
        </w:tc>
        <w:tc>
          <w:tcPr>
            <w:tcW w:w="239" w:type="pct"/>
            <w:vMerge w:val="continue"/>
            <w:vAlign w:val="center"/>
          </w:tcPr>
          <w:p>
            <w:pPr>
              <w:pStyle w:val="84"/>
              <w:spacing w:line="0" w:lineRule="atLeast"/>
              <w:rPr>
                <w:rFonts w:hAnsi="Times New Roman"/>
                <w:color w:val="auto"/>
              </w:rPr>
            </w:pPr>
          </w:p>
        </w:tc>
        <w:tc>
          <w:tcPr>
            <w:tcW w:w="571" w:type="pct"/>
            <w:tcBorders>
              <w:bottom w:val="single" w:color="auto" w:sz="4" w:space="0"/>
            </w:tcBorders>
            <w:vAlign w:val="center"/>
          </w:tcPr>
          <w:p>
            <w:pPr>
              <w:pStyle w:val="84"/>
              <w:spacing w:line="0" w:lineRule="atLeast"/>
              <w:rPr>
                <w:rFonts w:hAnsi="Times New Roman"/>
                <w:color w:val="auto"/>
                <w:spacing w:val="-20"/>
              </w:rPr>
            </w:pPr>
            <w:r>
              <w:rPr>
                <w:rFonts w:hAnsi="Times New Roman"/>
                <w:color w:val="auto"/>
                <w:spacing w:val="-20"/>
              </w:rPr>
              <w:t>废油脂</w:t>
            </w:r>
            <w:r>
              <w:rPr>
                <w:rFonts w:hint="eastAsia" w:hAnsi="Times New Roman"/>
                <w:bCs/>
                <w:color w:val="auto"/>
              </w:rPr>
              <w:t>（代码：135-001-39）</w:t>
            </w:r>
          </w:p>
        </w:tc>
        <w:tc>
          <w:tcPr>
            <w:tcW w:w="396" w:type="pct"/>
            <w:vMerge w:val="continue"/>
            <w:tcBorders>
              <w:bottom w:val="single" w:color="auto" w:sz="4" w:space="0"/>
            </w:tcBorders>
            <w:vAlign w:val="center"/>
          </w:tcPr>
          <w:p>
            <w:pPr>
              <w:widowControl/>
              <w:spacing w:line="0" w:lineRule="atLeast"/>
              <w:jc w:val="center"/>
              <w:rPr>
                <w:color w:val="FF0000"/>
                <w:szCs w:val="21"/>
              </w:rPr>
            </w:pPr>
          </w:p>
        </w:tc>
        <w:tc>
          <w:tcPr>
            <w:tcW w:w="399" w:type="pct"/>
            <w:vMerge w:val="continue"/>
            <w:tcBorders>
              <w:bottom w:val="single" w:color="auto" w:sz="4" w:space="0"/>
            </w:tcBorders>
            <w:vAlign w:val="center"/>
          </w:tcPr>
          <w:p>
            <w:pPr>
              <w:widowControl/>
              <w:spacing w:line="0" w:lineRule="atLeast"/>
              <w:jc w:val="center"/>
              <w:rPr>
                <w:color w:val="auto"/>
                <w:szCs w:val="21"/>
              </w:rPr>
            </w:pPr>
          </w:p>
        </w:tc>
        <w:tc>
          <w:tcPr>
            <w:tcW w:w="636" w:type="pct"/>
            <w:vAlign w:val="center"/>
          </w:tcPr>
          <w:p>
            <w:pPr>
              <w:pStyle w:val="84"/>
              <w:spacing w:line="0" w:lineRule="atLeast"/>
              <w:rPr>
                <w:rFonts w:hAnsi="Times New Roman"/>
                <w:color w:val="auto"/>
              </w:rPr>
            </w:pPr>
            <w:r>
              <w:rPr>
                <w:rFonts w:hint="eastAsia" w:hAnsi="Times New Roman"/>
                <w:color w:val="auto"/>
                <w:lang w:val="en-US" w:eastAsia="zh-CN"/>
              </w:rPr>
              <w:t>0.036</w:t>
            </w:r>
            <w:r>
              <w:rPr>
                <w:rFonts w:hAnsi="Times New Roman"/>
                <w:color w:val="auto"/>
              </w:rPr>
              <w:t>t/a</w:t>
            </w:r>
          </w:p>
        </w:tc>
        <w:tc>
          <w:tcPr>
            <w:tcW w:w="1268" w:type="pct"/>
            <w:vMerge w:val="continue"/>
            <w:vAlign w:val="center"/>
          </w:tcPr>
          <w:p>
            <w:pPr>
              <w:pStyle w:val="84"/>
              <w:spacing w:line="0" w:lineRule="atLeast"/>
              <w:rPr>
                <w:rFonts w:hAnsi="Times New Roman"/>
                <w:color w:val="auto"/>
              </w:rPr>
            </w:pPr>
          </w:p>
        </w:tc>
        <w:tc>
          <w:tcPr>
            <w:tcW w:w="563" w:type="pct"/>
            <w:vAlign w:val="center"/>
          </w:tcPr>
          <w:p>
            <w:pPr>
              <w:pStyle w:val="84"/>
              <w:spacing w:line="0" w:lineRule="atLeast"/>
              <w:rPr>
                <w:rFonts w:hAnsi="Times New Roman"/>
                <w:color w:val="auto"/>
              </w:rPr>
            </w:pPr>
            <w:r>
              <w:rPr>
                <w:rFonts w:hint="eastAsia" w:hAnsi="Times New Roman"/>
                <w:color w:val="auto"/>
              </w:rPr>
              <w:t>0.03</w:t>
            </w:r>
            <w:r>
              <w:rPr>
                <w:rFonts w:hint="eastAsia" w:hAnsi="Times New Roman"/>
                <w:color w:val="auto"/>
                <w:lang w:val="en-US" w:eastAsia="zh-CN"/>
              </w:rPr>
              <w:t>6</w:t>
            </w:r>
            <w:r>
              <w:rPr>
                <w:rFonts w:hAnsi="Times New Roman"/>
                <w:color w:val="auto"/>
              </w:rPr>
              <w:t>t/a</w:t>
            </w:r>
          </w:p>
        </w:tc>
        <w:tc>
          <w:tcPr>
            <w:tcW w:w="476" w:type="pct"/>
            <w:vMerge w:val="continue"/>
            <w:vAlign w:val="center"/>
          </w:tcPr>
          <w:p>
            <w:pPr>
              <w:pStyle w:val="84"/>
              <w:spacing w:line="0" w:lineRule="atLeast"/>
              <w:rPr>
                <w:rFonts w:hAnsi="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3" w:hRule="atLeast"/>
        </w:trPr>
        <w:tc>
          <w:tcPr>
            <w:tcW w:w="446" w:type="pct"/>
            <w:vMerge w:val="restart"/>
            <w:vAlign w:val="center"/>
          </w:tcPr>
          <w:p>
            <w:pPr>
              <w:pStyle w:val="84"/>
              <w:spacing w:line="0" w:lineRule="atLeast"/>
              <w:rPr>
                <w:rFonts w:hint="eastAsia" w:hAnsi="Times New Roman" w:eastAsia="宋体"/>
                <w:color w:val="auto"/>
                <w:lang w:val="en-US" w:eastAsia="zh-CN"/>
              </w:rPr>
            </w:pPr>
            <w:r>
              <w:rPr>
                <w:rFonts w:hint="eastAsia" w:hAnsi="Times New Roman"/>
                <w:color w:val="auto"/>
                <w:lang w:val="en-US" w:eastAsia="zh-CN"/>
              </w:rPr>
              <w:t>锅炉</w:t>
            </w:r>
          </w:p>
        </w:tc>
        <w:tc>
          <w:tcPr>
            <w:tcW w:w="239" w:type="pct"/>
            <w:vMerge w:val="restart"/>
            <w:vAlign w:val="center"/>
          </w:tcPr>
          <w:p>
            <w:pPr>
              <w:pStyle w:val="84"/>
              <w:spacing w:line="0" w:lineRule="atLeast"/>
              <w:rPr>
                <w:rFonts w:hint="eastAsia" w:hAnsi="Times New Roman" w:eastAsia="宋体"/>
                <w:color w:val="auto"/>
                <w:lang w:val="en-US" w:eastAsia="zh-CN"/>
              </w:rPr>
            </w:pPr>
            <w:r>
              <w:rPr>
                <w:rFonts w:hint="eastAsia" w:hAnsi="Times New Roman"/>
                <w:color w:val="auto"/>
                <w:lang w:val="en-US" w:eastAsia="zh-CN"/>
              </w:rPr>
              <w:t>锅炉房</w:t>
            </w:r>
          </w:p>
        </w:tc>
        <w:tc>
          <w:tcPr>
            <w:tcW w:w="571" w:type="pct"/>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hAnsi="Times New Roman" w:eastAsia="宋体"/>
                <w:color w:val="FF0000"/>
                <w:spacing w:val="-20"/>
                <w:lang w:eastAsia="zh-CN"/>
              </w:rPr>
            </w:pPr>
            <w:r>
              <w:rPr>
                <w:bCs/>
                <w:color w:val="auto"/>
                <w:kern w:val="0"/>
                <w:szCs w:val="21"/>
                <w:highlight w:val="none"/>
              </w:rPr>
              <w:t>锅炉炉渣</w:t>
            </w:r>
            <w:r>
              <w:rPr>
                <w:rFonts w:hint="eastAsia"/>
                <w:bCs/>
                <w:color w:val="auto"/>
                <w:kern w:val="0"/>
                <w:szCs w:val="21"/>
                <w:highlight w:val="none"/>
                <w:lang w:eastAsia="zh-CN"/>
              </w:rPr>
              <w:t>（</w:t>
            </w:r>
            <w:r>
              <w:rPr>
                <w:rFonts w:hint="eastAsia"/>
                <w:bCs/>
                <w:color w:val="auto"/>
                <w:kern w:val="0"/>
                <w:szCs w:val="21"/>
                <w:highlight w:val="none"/>
                <w:lang w:val="en-US" w:eastAsia="zh-CN"/>
              </w:rPr>
              <w:t>代码：135-001-64</w:t>
            </w:r>
            <w:r>
              <w:rPr>
                <w:rFonts w:hint="eastAsia"/>
                <w:bCs/>
                <w:color w:val="auto"/>
                <w:kern w:val="0"/>
                <w:szCs w:val="21"/>
                <w:highlight w:val="none"/>
                <w:lang w:eastAsia="zh-CN"/>
              </w:rPr>
              <w:t>）</w:t>
            </w:r>
          </w:p>
        </w:tc>
        <w:tc>
          <w:tcPr>
            <w:tcW w:w="396" w:type="pct"/>
            <w:vMerge w:val="restart"/>
            <w:vAlign w:val="center"/>
          </w:tcPr>
          <w:p>
            <w:pPr>
              <w:widowControl/>
              <w:spacing w:line="0" w:lineRule="atLeast"/>
              <w:jc w:val="center"/>
              <w:rPr>
                <w:color w:val="FF0000"/>
                <w:szCs w:val="21"/>
              </w:rPr>
            </w:pPr>
            <w:r>
              <w:rPr>
                <w:color w:val="auto"/>
                <w:szCs w:val="21"/>
              </w:rPr>
              <w:t>一般固体废物</w:t>
            </w:r>
          </w:p>
        </w:tc>
        <w:tc>
          <w:tcPr>
            <w:tcW w:w="399" w:type="pct"/>
            <w:vMerge w:val="restart"/>
            <w:vAlign w:val="center"/>
          </w:tcPr>
          <w:p>
            <w:pPr>
              <w:widowControl/>
              <w:spacing w:line="0" w:lineRule="atLeast"/>
              <w:jc w:val="center"/>
              <w:rPr>
                <w:rFonts w:hint="eastAsia" w:eastAsia="宋体"/>
                <w:color w:val="auto"/>
                <w:szCs w:val="21"/>
                <w:lang w:val="en-US" w:eastAsia="zh-CN"/>
              </w:rPr>
            </w:pPr>
            <w:r>
              <w:rPr>
                <w:rFonts w:hint="eastAsia"/>
                <w:color w:val="auto"/>
                <w:szCs w:val="21"/>
                <w:lang w:val="en-US" w:eastAsia="zh-CN"/>
              </w:rPr>
              <w:t>物料衡算法</w:t>
            </w:r>
          </w:p>
        </w:tc>
        <w:tc>
          <w:tcPr>
            <w:tcW w:w="636" w:type="pct"/>
            <w:vAlign w:val="center"/>
          </w:tcPr>
          <w:p>
            <w:pPr>
              <w:pStyle w:val="84"/>
              <w:spacing w:line="0" w:lineRule="atLeast"/>
              <w:rPr>
                <w:rFonts w:hint="eastAsia" w:hAnsi="Times New Roman"/>
                <w:color w:val="FF0000"/>
              </w:rPr>
            </w:pPr>
            <w:r>
              <w:rPr>
                <w:rFonts w:hint="eastAsia" w:hAnsi="Times New Roman"/>
                <w:color w:val="auto"/>
                <w:lang w:val="en-US" w:eastAsia="zh-CN"/>
              </w:rPr>
              <w:t>50.551t/a</w:t>
            </w:r>
          </w:p>
        </w:tc>
        <w:tc>
          <w:tcPr>
            <w:tcW w:w="1268" w:type="pct"/>
            <w:vMerge w:val="restart"/>
            <w:vAlign w:val="center"/>
          </w:tcPr>
          <w:p>
            <w:pPr>
              <w:pStyle w:val="84"/>
              <w:spacing w:line="0" w:lineRule="atLeast"/>
              <w:rPr>
                <w:rFonts w:hAnsi="Times New Roman"/>
                <w:color w:val="auto"/>
              </w:rPr>
            </w:pPr>
            <w:r>
              <w:rPr>
                <w:rFonts w:hAnsi="Times New Roman"/>
                <w:color w:val="auto"/>
              </w:rPr>
              <w:t>定期封闭清运，</w:t>
            </w:r>
            <w:r>
              <w:rPr>
                <w:rFonts w:hint="default" w:hAnsi="Times New Roman"/>
                <w:color w:val="auto"/>
                <w:lang w:val="en-US" w:eastAsia="zh-CN"/>
              </w:rPr>
              <w:t>外售综合利用</w:t>
            </w:r>
          </w:p>
        </w:tc>
        <w:tc>
          <w:tcPr>
            <w:tcW w:w="563" w:type="pct"/>
            <w:vAlign w:val="center"/>
          </w:tcPr>
          <w:p>
            <w:pPr>
              <w:pStyle w:val="84"/>
              <w:spacing w:line="0" w:lineRule="atLeast"/>
              <w:rPr>
                <w:rFonts w:hint="eastAsia" w:hAnsi="Times New Roman"/>
                <w:color w:val="auto"/>
              </w:rPr>
            </w:pPr>
            <w:r>
              <w:rPr>
                <w:rFonts w:hint="eastAsia" w:hAnsi="Times New Roman"/>
                <w:color w:val="auto"/>
                <w:lang w:val="en-US" w:eastAsia="zh-CN"/>
              </w:rPr>
              <w:t>50.551t/a</w:t>
            </w:r>
          </w:p>
        </w:tc>
        <w:tc>
          <w:tcPr>
            <w:tcW w:w="476" w:type="pct"/>
            <w:vMerge w:val="restart"/>
            <w:vAlign w:val="center"/>
          </w:tcPr>
          <w:p>
            <w:pPr>
              <w:pStyle w:val="84"/>
              <w:spacing w:line="0" w:lineRule="atLeast"/>
              <w:rPr>
                <w:rFonts w:hint="eastAsia" w:hAnsi="Times New Roman" w:eastAsia="宋体"/>
                <w:color w:val="auto"/>
                <w:lang w:val="en-US" w:eastAsia="zh-CN"/>
              </w:rPr>
            </w:pPr>
            <w:r>
              <w:rPr>
                <w:rFonts w:hint="eastAsia" w:hAnsi="Times New Roman"/>
                <w:color w:val="auto"/>
                <w:lang w:val="en-US" w:eastAsia="zh-CN"/>
              </w:rPr>
              <w:t>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3" w:hRule="atLeast"/>
        </w:trPr>
        <w:tc>
          <w:tcPr>
            <w:tcW w:w="446" w:type="pct"/>
            <w:vMerge w:val="continue"/>
            <w:vAlign w:val="center"/>
          </w:tcPr>
          <w:p>
            <w:pPr>
              <w:pStyle w:val="84"/>
              <w:spacing w:line="0" w:lineRule="atLeast"/>
              <w:rPr>
                <w:rFonts w:hint="eastAsia" w:hAnsi="Times New Roman"/>
                <w:color w:val="auto"/>
                <w:lang w:val="en-US" w:eastAsia="zh-CN"/>
              </w:rPr>
            </w:pPr>
          </w:p>
        </w:tc>
        <w:tc>
          <w:tcPr>
            <w:tcW w:w="239" w:type="pct"/>
            <w:vMerge w:val="continue"/>
            <w:vAlign w:val="center"/>
          </w:tcPr>
          <w:p>
            <w:pPr>
              <w:pStyle w:val="84"/>
              <w:spacing w:line="0" w:lineRule="atLeast"/>
              <w:rPr>
                <w:rFonts w:hint="eastAsia" w:hAnsi="Times New Roman"/>
                <w:color w:val="auto"/>
                <w:lang w:val="en-US" w:eastAsia="zh-CN"/>
              </w:rPr>
            </w:pPr>
          </w:p>
        </w:tc>
        <w:tc>
          <w:tcPr>
            <w:tcW w:w="571" w:type="pct"/>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hAnsi="Times New Roman" w:eastAsia="宋体"/>
                <w:color w:val="auto"/>
                <w:lang w:val="en-US" w:eastAsia="zh-CN"/>
              </w:rPr>
            </w:pPr>
            <w:r>
              <w:rPr>
                <w:bCs/>
                <w:kern w:val="0"/>
                <w:szCs w:val="21"/>
                <w:highlight w:val="none"/>
              </w:rPr>
              <w:t>布袋除尘器收集的粉尘</w:t>
            </w:r>
            <w:r>
              <w:rPr>
                <w:rFonts w:hint="eastAsia"/>
                <w:bCs/>
                <w:color w:val="auto"/>
                <w:kern w:val="0"/>
                <w:szCs w:val="21"/>
                <w:highlight w:val="none"/>
                <w:lang w:eastAsia="zh-CN"/>
              </w:rPr>
              <w:t>（</w:t>
            </w:r>
            <w:r>
              <w:rPr>
                <w:rFonts w:hint="eastAsia"/>
                <w:bCs/>
                <w:color w:val="auto"/>
                <w:kern w:val="0"/>
                <w:szCs w:val="21"/>
                <w:highlight w:val="none"/>
                <w:lang w:val="en-US" w:eastAsia="zh-CN"/>
              </w:rPr>
              <w:t>代码：135-001-64</w:t>
            </w:r>
            <w:r>
              <w:rPr>
                <w:rFonts w:hint="eastAsia"/>
                <w:bCs/>
                <w:color w:val="auto"/>
                <w:kern w:val="0"/>
                <w:szCs w:val="21"/>
                <w:highlight w:val="none"/>
                <w:lang w:eastAsia="zh-CN"/>
              </w:rPr>
              <w:t>）</w:t>
            </w:r>
          </w:p>
        </w:tc>
        <w:tc>
          <w:tcPr>
            <w:tcW w:w="396" w:type="pct"/>
            <w:vMerge w:val="continue"/>
            <w:vAlign w:val="center"/>
          </w:tcPr>
          <w:p>
            <w:pPr>
              <w:widowControl/>
              <w:spacing w:line="0" w:lineRule="atLeast"/>
              <w:jc w:val="center"/>
              <w:rPr>
                <w:color w:val="FF0000"/>
                <w:szCs w:val="21"/>
              </w:rPr>
            </w:pPr>
          </w:p>
        </w:tc>
        <w:tc>
          <w:tcPr>
            <w:tcW w:w="399" w:type="pct"/>
            <w:vMerge w:val="continue"/>
            <w:tcBorders>
              <w:bottom w:val="single" w:color="auto" w:sz="4" w:space="0"/>
            </w:tcBorders>
            <w:vAlign w:val="center"/>
          </w:tcPr>
          <w:p>
            <w:pPr>
              <w:widowControl/>
              <w:spacing w:line="0" w:lineRule="atLeast"/>
              <w:jc w:val="center"/>
              <w:rPr>
                <w:color w:val="FF0000"/>
                <w:szCs w:val="21"/>
              </w:rPr>
            </w:pPr>
          </w:p>
        </w:tc>
        <w:tc>
          <w:tcPr>
            <w:tcW w:w="636" w:type="pct"/>
            <w:vAlign w:val="center"/>
          </w:tcPr>
          <w:p>
            <w:pPr>
              <w:pStyle w:val="84"/>
              <w:spacing w:line="0" w:lineRule="atLeast"/>
              <w:rPr>
                <w:rFonts w:hint="eastAsia" w:hAnsi="Times New Roman"/>
                <w:color w:val="auto"/>
              </w:rPr>
            </w:pPr>
            <w:r>
              <w:rPr>
                <w:rFonts w:hint="eastAsia" w:hAnsi="Times New Roman"/>
                <w:color w:val="auto"/>
                <w:lang w:val="en-US" w:eastAsia="zh-CN"/>
              </w:rPr>
              <w:t>36.926</w:t>
            </w:r>
            <w:r>
              <w:rPr>
                <w:rFonts w:hint="eastAsia" w:hAnsi="Times New Roman"/>
                <w:color w:val="auto"/>
              </w:rPr>
              <w:t>t/a</w:t>
            </w:r>
          </w:p>
        </w:tc>
        <w:tc>
          <w:tcPr>
            <w:tcW w:w="1268" w:type="pct"/>
            <w:vMerge w:val="continue"/>
            <w:vAlign w:val="center"/>
          </w:tcPr>
          <w:p>
            <w:pPr>
              <w:pStyle w:val="84"/>
              <w:spacing w:line="0" w:lineRule="atLeast"/>
              <w:rPr>
                <w:rFonts w:hAnsi="Times New Roman"/>
                <w:color w:val="auto"/>
              </w:rPr>
            </w:pPr>
          </w:p>
        </w:tc>
        <w:tc>
          <w:tcPr>
            <w:tcW w:w="563" w:type="pct"/>
            <w:vAlign w:val="center"/>
          </w:tcPr>
          <w:p>
            <w:pPr>
              <w:pStyle w:val="84"/>
              <w:spacing w:line="0" w:lineRule="atLeast"/>
              <w:rPr>
                <w:rFonts w:hint="eastAsia" w:hAnsi="Times New Roman"/>
                <w:color w:val="auto"/>
              </w:rPr>
            </w:pPr>
            <w:r>
              <w:rPr>
                <w:rFonts w:hint="eastAsia" w:hAnsi="Times New Roman"/>
                <w:color w:val="auto"/>
                <w:lang w:val="en-US" w:eastAsia="zh-CN"/>
              </w:rPr>
              <w:t>36.926</w:t>
            </w:r>
            <w:r>
              <w:rPr>
                <w:rFonts w:hint="eastAsia" w:hAnsi="Times New Roman"/>
                <w:color w:val="auto"/>
              </w:rPr>
              <w:t>t/a</w:t>
            </w:r>
          </w:p>
        </w:tc>
        <w:tc>
          <w:tcPr>
            <w:tcW w:w="476" w:type="pct"/>
            <w:vMerge w:val="continue"/>
            <w:vAlign w:val="center"/>
          </w:tcPr>
          <w:p>
            <w:pPr>
              <w:pStyle w:val="84"/>
              <w:spacing w:line="0" w:lineRule="atLeast"/>
              <w:rPr>
                <w:rFonts w:hAnsi="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446" w:type="pct"/>
            <w:vMerge w:val="continue"/>
            <w:vAlign w:val="center"/>
          </w:tcPr>
          <w:p>
            <w:pPr>
              <w:pStyle w:val="84"/>
              <w:spacing w:line="0" w:lineRule="atLeast"/>
              <w:rPr>
                <w:rFonts w:hAnsi="Times New Roman"/>
                <w:color w:val="FF0000"/>
              </w:rPr>
            </w:pPr>
          </w:p>
        </w:tc>
        <w:tc>
          <w:tcPr>
            <w:tcW w:w="239" w:type="pct"/>
            <w:vMerge w:val="continue"/>
            <w:vAlign w:val="center"/>
          </w:tcPr>
          <w:p>
            <w:pPr>
              <w:pStyle w:val="84"/>
              <w:spacing w:line="0" w:lineRule="atLeast"/>
              <w:rPr>
                <w:rFonts w:hAnsi="Times New Roman"/>
                <w:color w:val="FF0000"/>
              </w:rPr>
            </w:pPr>
          </w:p>
        </w:tc>
        <w:tc>
          <w:tcPr>
            <w:tcW w:w="571" w:type="pct"/>
            <w:tcBorders>
              <w:bottom w:val="single" w:color="auto" w:sz="4" w:space="0"/>
            </w:tcBorders>
            <w:vAlign w:val="center"/>
          </w:tcPr>
          <w:p>
            <w:pPr>
              <w:pStyle w:val="84"/>
              <w:spacing w:line="0" w:lineRule="atLeast"/>
              <w:rPr>
                <w:rFonts w:hAnsi="Times New Roman"/>
                <w:color w:val="FF0000"/>
                <w:spacing w:val="-20"/>
              </w:rPr>
            </w:pPr>
            <w:r>
              <w:rPr>
                <w:rFonts w:hint="default" w:hAnsi="Times New Roman"/>
                <w:color w:val="auto"/>
                <w:lang w:val="en-US" w:eastAsia="zh-CN"/>
              </w:rPr>
              <w:t>废布袋</w:t>
            </w:r>
            <w:r>
              <w:rPr>
                <w:rFonts w:hint="eastAsia" w:hAnsi="Times New Roman"/>
                <w:color w:val="auto"/>
                <w:lang w:val="en-US" w:eastAsia="zh-CN"/>
              </w:rPr>
              <w:t>（代码：</w:t>
            </w:r>
            <w:r>
              <w:rPr>
                <w:rFonts w:hint="eastAsia"/>
                <w:bCs/>
                <w:color w:val="auto"/>
                <w:kern w:val="0"/>
                <w:szCs w:val="21"/>
                <w:highlight w:val="none"/>
                <w:lang w:val="en-US" w:eastAsia="zh-CN"/>
              </w:rPr>
              <w:t>135-001</w:t>
            </w:r>
            <w:r>
              <w:rPr>
                <w:rFonts w:hint="eastAsia"/>
                <w:color w:val="auto"/>
                <w:szCs w:val="21"/>
                <w:highlight w:val="none"/>
              </w:rPr>
              <w:t>-</w:t>
            </w:r>
            <w:r>
              <w:rPr>
                <w:rFonts w:hint="eastAsia"/>
                <w:color w:val="auto"/>
                <w:szCs w:val="21"/>
                <w:highlight w:val="none"/>
                <w:lang w:val="en-US" w:eastAsia="zh-CN"/>
              </w:rPr>
              <w:t>99</w:t>
            </w:r>
            <w:r>
              <w:rPr>
                <w:rFonts w:hint="eastAsia" w:hAnsi="Times New Roman"/>
                <w:color w:val="auto"/>
                <w:lang w:val="en-US" w:eastAsia="zh-CN"/>
              </w:rPr>
              <w:t>）</w:t>
            </w:r>
          </w:p>
        </w:tc>
        <w:tc>
          <w:tcPr>
            <w:tcW w:w="396" w:type="pct"/>
            <w:vMerge w:val="continue"/>
            <w:vAlign w:val="center"/>
          </w:tcPr>
          <w:p>
            <w:pPr>
              <w:widowControl/>
              <w:spacing w:line="0" w:lineRule="atLeast"/>
              <w:jc w:val="center"/>
              <w:rPr>
                <w:color w:val="FF0000"/>
                <w:szCs w:val="21"/>
              </w:rPr>
            </w:pPr>
          </w:p>
        </w:tc>
        <w:tc>
          <w:tcPr>
            <w:tcW w:w="399" w:type="pct"/>
            <w:vMerge w:val="restart"/>
            <w:vAlign w:val="center"/>
          </w:tcPr>
          <w:p>
            <w:pPr>
              <w:widowControl/>
              <w:spacing w:line="0" w:lineRule="atLeast"/>
              <w:jc w:val="center"/>
              <w:rPr>
                <w:rFonts w:hint="eastAsia" w:eastAsia="宋体"/>
                <w:color w:val="FF0000"/>
                <w:szCs w:val="21"/>
                <w:lang w:val="en-US" w:eastAsia="zh-CN"/>
              </w:rPr>
            </w:pPr>
            <w:r>
              <w:rPr>
                <w:rFonts w:hint="eastAsia"/>
                <w:color w:val="auto"/>
                <w:szCs w:val="21"/>
                <w:lang w:val="en-US" w:eastAsia="zh-CN"/>
              </w:rPr>
              <w:t>类比法</w:t>
            </w:r>
          </w:p>
        </w:tc>
        <w:tc>
          <w:tcPr>
            <w:tcW w:w="636" w:type="pct"/>
            <w:vAlign w:val="center"/>
          </w:tcPr>
          <w:p>
            <w:pPr>
              <w:pStyle w:val="84"/>
              <w:spacing w:line="0" w:lineRule="atLeast"/>
              <w:rPr>
                <w:rFonts w:hint="eastAsia" w:hAnsi="Times New Roman"/>
                <w:color w:val="auto"/>
              </w:rPr>
            </w:pPr>
            <w:r>
              <w:rPr>
                <w:rFonts w:hint="eastAsia" w:hAnsi="Times New Roman"/>
                <w:color w:val="auto"/>
                <w:lang w:val="en-US" w:eastAsia="zh-CN"/>
              </w:rPr>
              <w:t>0.1t/a</w:t>
            </w:r>
          </w:p>
        </w:tc>
        <w:tc>
          <w:tcPr>
            <w:tcW w:w="1268" w:type="pct"/>
            <w:vAlign w:val="center"/>
          </w:tcPr>
          <w:p>
            <w:pPr>
              <w:pStyle w:val="84"/>
              <w:spacing w:line="0" w:lineRule="atLeast"/>
              <w:rPr>
                <w:rFonts w:hAnsi="Times New Roman"/>
                <w:color w:val="auto"/>
              </w:rPr>
            </w:pPr>
            <w:r>
              <w:rPr>
                <w:rFonts w:hint="eastAsia" w:hAnsi="Times New Roman"/>
                <w:color w:val="auto"/>
                <w:lang w:val="en-US" w:eastAsia="zh-CN"/>
              </w:rPr>
              <w:t>由除尘器厂家回收利用</w:t>
            </w:r>
          </w:p>
        </w:tc>
        <w:tc>
          <w:tcPr>
            <w:tcW w:w="563" w:type="pct"/>
            <w:vAlign w:val="center"/>
          </w:tcPr>
          <w:p>
            <w:pPr>
              <w:pStyle w:val="84"/>
              <w:spacing w:line="0" w:lineRule="atLeast"/>
              <w:rPr>
                <w:rFonts w:hint="eastAsia" w:hAnsi="Times New Roman"/>
                <w:color w:val="auto"/>
              </w:rPr>
            </w:pPr>
            <w:r>
              <w:rPr>
                <w:rFonts w:hint="eastAsia" w:hAnsi="Times New Roman"/>
                <w:color w:val="auto"/>
                <w:lang w:val="en-US" w:eastAsia="zh-CN"/>
              </w:rPr>
              <w:t>0.1t/a</w:t>
            </w:r>
          </w:p>
        </w:tc>
        <w:tc>
          <w:tcPr>
            <w:tcW w:w="476" w:type="pct"/>
            <w:vMerge w:val="restart"/>
            <w:vAlign w:val="center"/>
          </w:tcPr>
          <w:p>
            <w:pPr>
              <w:pStyle w:val="84"/>
              <w:spacing w:line="0" w:lineRule="atLeast"/>
              <w:rPr>
                <w:rFonts w:hint="eastAsia" w:hAnsi="Times New Roman" w:eastAsia="宋体"/>
                <w:color w:val="auto"/>
                <w:lang w:val="en-US" w:eastAsia="zh-CN"/>
              </w:rPr>
            </w:pPr>
            <w:r>
              <w:rPr>
                <w:rFonts w:hint="eastAsia" w:hAnsi="Times New Roman"/>
                <w:color w:val="auto"/>
                <w:lang w:val="en-US" w:eastAsia="zh-CN"/>
              </w:rPr>
              <w:t>厂家回收利用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446" w:type="pct"/>
            <w:vMerge w:val="continue"/>
            <w:vAlign w:val="center"/>
          </w:tcPr>
          <w:p>
            <w:pPr>
              <w:pStyle w:val="84"/>
              <w:spacing w:line="0" w:lineRule="atLeast"/>
              <w:rPr>
                <w:rFonts w:hAnsi="Times New Roman"/>
                <w:color w:val="FF0000"/>
              </w:rPr>
            </w:pPr>
          </w:p>
        </w:tc>
        <w:tc>
          <w:tcPr>
            <w:tcW w:w="239" w:type="pct"/>
            <w:vMerge w:val="continue"/>
            <w:vAlign w:val="center"/>
          </w:tcPr>
          <w:p>
            <w:pPr>
              <w:pStyle w:val="84"/>
              <w:spacing w:line="0" w:lineRule="atLeast"/>
              <w:rPr>
                <w:rFonts w:hAnsi="Times New Roman"/>
                <w:color w:val="FF0000"/>
              </w:rPr>
            </w:pPr>
          </w:p>
        </w:tc>
        <w:tc>
          <w:tcPr>
            <w:tcW w:w="571" w:type="pct"/>
            <w:tcBorders>
              <w:bottom w:val="single" w:color="auto" w:sz="4" w:space="0"/>
            </w:tcBorders>
            <w:vAlign w:val="center"/>
          </w:tcPr>
          <w:p>
            <w:pPr>
              <w:pStyle w:val="84"/>
              <w:spacing w:line="0" w:lineRule="atLeast"/>
              <w:rPr>
                <w:rFonts w:hAnsi="Times New Roman"/>
                <w:color w:val="FF0000"/>
                <w:spacing w:val="-20"/>
              </w:rPr>
            </w:pPr>
            <w:r>
              <w:rPr>
                <w:rFonts w:hint="eastAsia" w:hAnsi="Times New Roman"/>
                <w:color w:val="auto"/>
                <w:spacing w:val="-20"/>
                <w:lang w:val="en-US" w:eastAsia="zh-CN"/>
              </w:rPr>
              <w:t>废离子交换树脂（代码：135-001-39）</w:t>
            </w:r>
          </w:p>
        </w:tc>
        <w:tc>
          <w:tcPr>
            <w:tcW w:w="396" w:type="pct"/>
            <w:vMerge w:val="continue"/>
            <w:tcBorders>
              <w:bottom w:val="single" w:color="auto" w:sz="4" w:space="0"/>
            </w:tcBorders>
            <w:vAlign w:val="center"/>
          </w:tcPr>
          <w:p>
            <w:pPr>
              <w:widowControl/>
              <w:spacing w:line="0" w:lineRule="atLeast"/>
              <w:jc w:val="center"/>
              <w:rPr>
                <w:color w:val="FF0000"/>
                <w:szCs w:val="21"/>
              </w:rPr>
            </w:pPr>
          </w:p>
        </w:tc>
        <w:tc>
          <w:tcPr>
            <w:tcW w:w="399" w:type="pct"/>
            <w:vMerge w:val="continue"/>
            <w:tcBorders>
              <w:bottom w:val="single" w:color="auto" w:sz="4" w:space="0"/>
            </w:tcBorders>
            <w:vAlign w:val="center"/>
          </w:tcPr>
          <w:p>
            <w:pPr>
              <w:widowControl/>
              <w:spacing w:line="0" w:lineRule="atLeast"/>
              <w:jc w:val="center"/>
              <w:rPr>
                <w:color w:val="FF0000"/>
                <w:szCs w:val="21"/>
              </w:rPr>
            </w:pPr>
          </w:p>
        </w:tc>
        <w:tc>
          <w:tcPr>
            <w:tcW w:w="636" w:type="pct"/>
            <w:vAlign w:val="center"/>
          </w:tcPr>
          <w:p>
            <w:pPr>
              <w:pStyle w:val="84"/>
              <w:spacing w:line="0" w:lineRule="atLeast"/>
              <w:rPr>
                <w:rFonts w:hint="eastAsia" w:hAnsi="Times New Roman"/>
                <w:color w:val="auto"/>
              </w:rPr>
            </w:pPr>
            <w:r>
              <w:rPr>
                <w:rFonts w:hint="eastAsia" w:hAnsi="Times New Roman"/>
                <w:color w:val="auto"/>
                <w:lang w:val="en-US" w:eastAsia="zh-CN"/>
              </w:rPr>
              <w:t>0.3t/a</w:t>
            </w:r>
          </w:p>
        </w:tc>
        <w:tc>
          <w:tcPr>
            <w:tcW w:w="1268" w:type="pct"/>
            <w:vAlign w:val="center"/>
          </w:tcPr>
          <w:p>
            <w:pPr>
              <w:pStyle w:val="84"/>
              <w:spacing w:line="0" w:lineRule="atLeast"/>
              <w:rPr>
                <w:rFonts w:hAnsi="Times New Roman"/>
                <w:color w:val="auto"/>
              </w:rPr>
            </w:pPr>
            <w:r>
              <w:rPr>
                <w:rFonts w:hint="eastAsia" w:hAnsi="Times New Roman"/>
                <w:color w:val="auto"/>
                <w:lang w:val="en-US" w:eastAsia="zh-CN"/>
              </w:rPr>
              <w:t>由厂家回收利用</w:t>
            </w:r>
          </w:p>
        </w:tc>
        <w:tc>
          <w:tcPr>
            <w:tcW w:w="563" w:type="pct"/>
            <w:vAlign w:val="center"/>
          </w:tcPr>
          <w:p>
            <w:pPr>
              <w:pStyle w:val="84"/>
              <w:spacing w:line="0" w:lineRule="atLeast"/>
              <w:rPr>
                <w:rFonts w:hint="eastAsia" w:hAnsi="Times New Roman"/>
                <w:color w:val="auto"/>
              </w:rPr>
            </w:pPr>
            <w:r>
              <w:rPr>
                <w:rFonts w:hint="eastAsia" w:hAnsi="Times New Roman"/>
                <w:color w:val="auto"/>
                <w:lang w:val="en-US" w:eastAsia="zh-CN"/>
              </w:rPr>
              <w:t>0.3t/a</w:t>
            </w:r>
          </w:p>
        </w:tc>
        <w:tc>
          <w:tcPr>
            <w:tcW w:w="476" w:type="pct"/>
            <w:vMerge w:val="continue"/>
            <w:vAlign w:val="center"/>
          </w:tcPr>
          <w:p>
            <w:pPr>
              <w:pStyle w:val="84"/>
              <w:spacing w:line="0" w:lineRule="atLeast"/>
              <w:rPr>
                <w:rFonts w:hAnsi="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446" w:type="pct"/>
            <w:vAlign w:val="center"/>
          </w:tcPr>
          <w:p>
            <w:pPr>
              <w:pStyle w:val="84"/>
              <w:spacing w:line="0" w:lineRule="atLeast"/>
              <w:rPr>
                <w:rFonts w:hAnsi="Times New Roman"/>
                <w:color w:val="auto"/>
              </w:rPr>
            </w:pPr>
            <w:r>
              <w:rPr>
                <w:rFonts w:hAnsi="Times New Roman"/>
                <w:color w:val="auto"/>
              </w:rPr>
              <w:t>职工生活</w:t>
            </w:r>
          </w:p>
        </w:tc>
        <w:tc>
          <w:tcPr>
            <w:tcW w:w="239" w:type="pct"/>
            <w:vAlign w:val="center"/>
          </w:tcPr>
          <w:p>
            <w:pPr>
              <w:pStyle w:val="84"/>
              <w:spacing w:line="0" w:lineRule="atLeast"/>
              <w:rPr>
                <w:rFonts w:hint="eastAsia" w:hAnsi="Times New Roman" w:eastAsia="宋体"/>
                <w:color w:val="auto"/>
                <w:szCs w:val="22"/>
                <w:lang w:eastAsia="zh-CN"/>
              </w:rPr>
            </w:pPr>
            <w:r>
              <w:rPr>
                <w:rFonts w:hint="eastAsia" w:hAnsi="Times New Roman"/>
                <w:color w:val="auto"/>
                <w:szCs w:val="22"/>
                <w:lang w:eastAsia="zh-CN"/>
              </w:rPr>
              <w:t>办公楼</w:t>
            </w:r>
          </w:p>
        </w:tc>
        <w:tc>
          <w:tcPr>
            <w:tcW w:w="571" w:type="pct"/>
            <w:tcBorders>
              <w:top w:val="single" w:color="auto" w:sz="4" w:space="0"/>
            </w:tcBorders>
            <w:vAlign w:val="center"/>
          </w:tcPr>
          <w:p>
            <w:pPr>
              <w:pStyle w:val="84"/>
              <w:spacing w:line="0" w:lineRule="atLeast"/>
              <w:rPr>
                <w:rFonts w:hAnsi="Times New Roman"/>
                <w:color w:val="auto"/>
                <w:szCs w:val="22"/>
              </w:rPr>
            </w:pPr>
            <w:r>
              <w:rPr>
                <w:rFonts w:hAnsi="Times New Roman"/>
                <w:color w:val="auto"/>
                <w:szCs w:val="22"/>
              </w:rPr>
              <w:t>生活垃圾</w:t>
            </w:r>
          </w:p>
        </w:tc>
        <w:tc>
          <w:tcPr>
            <w:tcW w:w="396" w:type="pct"/>
            <w:tcBorders>
              <w:top w:val="single" w:color="auto" w:sz="4" w:space="0"/>
            </w:tcBorders>
            <w:vAlign w:val="center"/>
          </w:tcPr>
          <w:p>
            <w:pPr>
              <w:widowControl/>
              <w:spacing w:line="0" w:lineRule="atLeast"/>
              <w:jc w:val="center"/>
              <w:rPr>
                <w:color w:val="auto"/>
                <w:szCs w:val="21"/>
              </w:rPr>
            </w:pPr>
            <w:r>
              <w:rPr>
                <w:rFonts w:hint="eastAsia"/>
                <w:color w:val="auto"/>
                <w:szCs w:val="21"/>
              </w:rPr>
              <w:t>/</w:t>
            </w:r>
          </w:p>
        </w:tc>
        <w:tc>
          <w:tcPr>
            <w:tcW w:w="399" w:type="pct"/>
            <w:tcBorders>
              <w:top w:val="single" w:color="auto" w:sz="4" w:space="0"/>
            </w:tcBorders>
            <w:vAlign w:val="center"/>
          </w:tcPr>
          <w:p>
            <w:pPr>
              <w:pStyle w:val="84"/>
              <w:spacing w:line="0" w:lineRule="atLeast"/>
              <w:rPr>
                <w:rFonts w:hAnsi="Times New Roman"/>
                <w:color w:val="auto"/>
                <w:szCs w:val="22"/>
              </w:rPr>
            </w:pPr>
            <w:r>
              <w:rPr>
                <w:rFonts w:hAnsi="Times New Roman"/>
                <w:color w:val="auto"/>
              </w:rPr>
              <w:t>系数法</w:t>
            </w:r>
          </w:p>
        </w:tc>
        <w:tc>
          <w:tcPr>
            <w:tcW w:w="636" w:type="pct"/>
            <w:vAlign w:val="center"/>
          </w:tcPr>
          <w:p>
            <w:pPr>
              <w:pStyle w:val="84"/>
              <w:spacing w:line="0" w:lineRule="atLeast"/>
              <w:rPr>
                <w:rFonts w:hAnsi="Times New Roman"/>
                <w:color w:val="auto"/>
                <w:szCs w:val="22"/>
              </w:rPr>
            </w:pPr>
            <w:r>
              <w:rPr>
                <w:rFonts w:hint="eastAsia" w:hAnsi="Times New Roman"/>
                <w:color w:val="auto"/>
                <w:szCs w:val="22"/>
                <w:lang w:val="en-US" w:eastAsia="zh-CN"/>
              </w:rPr>
              <w:t>7.2</w:t>
            </w:r>
            <w:r>
              <w:rPr>
                <w:rFonts w:hAnsi="Times New Roman"/>
                <w:color w:val="auto"/>
                <w:szCs w:val="22"/>
              </w:rPr>
              <w:t>t/a</w:t>
            </w:r>
          </w:p>
        </w:tc>
        <w:tc>
          <w:tcPr>
            <w:tcW w:w="1268" w:type="pct"/>
            <w:vAlign w:val="center"/>
          </w:tcPr>
          <w:p>
            <w:pPr>
              <w:pStyle w:val="84"/>
              <w:spacing w:line="0" w:lineRule="atLeast"/>
              <w:rPr>
                <w:rFonts w:hAnsi="Times New Roman"/>
                <w:color w:val="auto"/>
              </w:rPr>
            </w:pPr>
            <w:r>
              <w:rPr>
                <w:rFonts w:hAnsi="Times New Roman"/>
                <w:color w:val="auto"/>
              </w:rPr>
              <w:t>由市政部门统一处理</w:t>
            </w:r>
          </w:p>
        </w:tc>
        <w:tc>
          <w:tcPr>
            <w:tcW w:w="563" w:type="pct"/>
            <w:vAlign w:val="center"/>
          </w:tcPr>
          <w:p>
            <w:pPr>
              <w:pStyle w:val="84"/>
              <w:spacing w:line="0" w:lineRule="atLeast"/>
              <w:rPr>
                <w:rFonts w:hAnsi="Times New Roman"/>
                <w:color w:val="auto"/>
                <w:szCs w:val="22"/>
              </w:rPr>
            </w:pPr>
            <w:r>
              <w:rPr>
                <w:rFonts w:hint="eastAsia" w:hAnsi="Times New Roman"/>
                <w:color w:val="auto"/>
                <w:szCs w:val="22"/>
                <w:lang w:val="en-US" w:eastAsia="zh-CN"/>
              </w:rPr>
              <w:t>7.2</w:t>
            </w:r>
            <w:r>
              <w:rPr>
                <w:rFonts w:hAnsi="Times New Roman"/>
                <w:color w:val="auto"/>
                <w:szCs w:val="22"/>
              </w:rPr>
              <w:t>t/a</w:t>
            </w:r>
          </w:p>
        </w:tc>
        <w:tc>
          <w:tcPr>
            <w:tcW w:w="476" w:type="pct"/>
            <w:vAlign w:val="center"/>
          </w:tcPr>
          <w:p>
            <w:pPr>
              <w:pStyle w:val="84"/>
              <w:spacing w:line="0" w:lineRule="atLeast"/>
              <w:rPr>
                <w:rFonts w:hAnsi="Times New Roman"/>
                <w:color w:val="auto"/>
              </w:rPr>
            </w:pPr>
            <w:r>
              <w:rPr>
                <w:rFonts w:hint="eastAsia" w:hAnsi="Times New Roman"/>
                <w:color w:val="auto"/>
              </w:rPr>
              <w:t>卫生填埋</w:t>
            </w:r>
          </w:p>
        </w:tc>
      </w:tr>
      <w:bookmarkEnd w:id="97"/>
    </w:tbl>
    <w:p>
      <w:pPr>
        <w:spacing w:line="360" w:lineRule="auto"/>
        <w:jc w:val="center"/>
        <w:rPr>
          <w:b/>
          <w:color w:val="auto"/>
          <w:sz w:val="24"/>
          <w:szCs w:val="22"/>
        </w:rPr>
      </w:pPr>
      <w:r>
        <w:rPr>
          <w:rFonts w:hint="eastAsia"/>
          <w:b/>
          <w:color w:val="auto"/>
          <w:sz w:val="24"/>
          <w:szCs w:val="22"/>
        </w:rPr>
        <w:t>表</w:t>
      </w:r>
      <w:r>
        <w:rPr>
          <w:b/>
          <w:color w:val="auto"/>
          <w:sz w:val="24"/>
          <w:szCs w:val="22"/>
        </w:rPr>
        <w:t>3-3-</w:t>
      </w:r>
      <w:r>
        <w:rPr>
          <w:rFonts w:hint="eastAsia"/>
          <w:b/>
          <w:color w:val="auto"/>
          <w:sz w:val="24"/>
          <w:szCs w:val="22"/>
        </w:rPr>
        <w:t>15危险废物汇总表</w:t>
      </w:r>
    </w:p>
    <w:tbl>
      <w:tblPr>
        <w:tblStyle w:val="46"/>
        <w:tblW w:w="510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642"/>
        <w:gridCol w:w="776"/>
        <w:gridCol w:w="1414"/>
        <w:gridCol w:w="749"/>
        <w:gridCol w:w="692"/>
        <w:gridCol w:w="636"/>
        <w:gridCol w:w="636"/>
        <w:gridCol w:w="426"/>
        <w:gridCol w:w="628"/>
        <w:gridCol w:w="706"/>
        <w:gridCol w:w="9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245" w:type="pct"/>
            <w:shd w:val="clear" w:color="auto" w:fill="auto"/>
            <w:vAlign w:val="center"/>
          </w:tcPr>
          <w:p>
            <w:pPr>
              <w:topLinePunct/>
              <w:spacing w:line="0" w:lineRule="atLeast"/>
              <w:jc w:val="center"/>
              <w:rPr>
                <w:rFonts w:cs="黑体"/>
                <w:color w:val="auto"/>
                <w:szCs w:val="21"/>
              </w:rPr>
            </w:pPr>
            <w:r>
              <w:rPr>
                <w:rFonts w:hAnsi="Calibri" w:cs="黑体"/>
                <w:color w:val="auto"/>
                <w:szCs w:val="21"/>
              </w:rPr>
              <w:t>序号</w:t>
            </w:r>
          </w:p>
        </w:tc>
        <w:tc>
          <w:tcPr>
            <w:tcW w:w="369" w:type="pct"/>
            <w:shd w:val="clear" w:color="auto" w:fill="auto"/>
            <w:vAlign w:val="center"/>
          </w:tcPr>
          <w:p>
            <w:pPr>
              <w:topLinePunct/>
              <w:spacing w:line="0" w:lineRule="atLeast"/>
              <w:jc w:val="center"/>
              <w:rPr>
                <w:rFonts w:cs="黑体"/>
                <w:color w:val="auto"/>
                <w:szCs w:val="21"/>
              </w:rPr>
            </w:pPr>
            <w:r>
              <w:rPr>
                <w:rFonts w:hAnsi="Calibri" w:cs="黑体"/>
                <w:color w:val="auto"/>
                <w:szCs w:val="21"/>
              </w:rPr>
              <w:t>危险废物名称</w:t>
            </w:r>
          </w:p>
        </w:tc>
        <w:tc>
          <w:tcPr>
            <w:tcW w:w="446" w:type="pct"/>
            <w:shd w:val="clear" w:color="auto" w:fill="auto"/>
            <w:vAlign w:val="center"/>
          </w:tcPr>
          <w:p>
            <w:pPr>
              <w:topLinePunct/>
              <w:spacing w:line="0" w:lineRule="atLeast"/>
              <w:jc w:val="center"/>
              <w:rPr>
                <w:rFonts w:cs="黑体"/>
                <w:color w:val="auto"/>
                <w:szCs w:val="21"/>
              </w:rPr>
            </w:pPr>
            <w:r>
              <w:rPr>
                <w:rFonts w:hAnsi="Calibri" w:cs="黑体"/>
                <w:color w:val="auto"/>
                <w:szCs w:val="21"/>
              </w:rPr>
              <w:t>危险废物类别</w:t>
            </w:r>
          </w:p>
        </w:tc>
        <w:tc>
          <w:tcPr>
            <w:tcW w:w="813" w:type="pct"/>
            <w:shd w:val="clear" w:color="auto" w:fill="auto"/>
            <w:vAlign w:val="center"/>
          </w:tcPr>
          <w:p>
            <w:pPr>
              <w:topLinePunct/>
              <w:spacing w:line="0" w:lineRule="atLeast"/>
              <w:jc w:val="center"/>
              <w:rPr>
                <w:rFonts w:hAnsi="Calibri" w:cs="黑体"/>
                <w:color w:val="auto"/>
                <w:szCs w:val="21"/>
              </w:rPr>
            </w:pPr>
            <w:r>
              <w:rPr>
                <w:rFonts w:hAnsi="Calibri" w:cs="黑体"/>
                <w:color w:val="auto"/>
                <w:szCs w:val="21"/>
              </w:rPr>
              <w:t>危险废物</w:t>
            </w:r>
          </w:p>
          <w:p>
            <w:pPr>
              <w:topLinePunct/>
              <w:spacing w:line="0" w:lineRule="atLeast"/>
              <w:jc w:val="center"/>
              <w:rPr>
                <w:rFonts w:cs="黑体"/>
                <w:color w:val="auto"/>
                <w:szCs w:val="21"/>
              </w:rPr>
            </w:pPr>
            <w:r>
              <w:rPr>
                <w:rFonts w:hAnsi="Calibri" w:cs="黑体"/>
                <w:color w:val="auto"/>
                <w:szCs w:val="21"/>
              </w:rPr>
              <w:t>代码</w:t>
            </w:r>
          </w:p>
        </w:tc>
        <w:tc>
          <w:tcPr>
            <w:tcW w:w="431" w:type="pct"/>
            <w:shd w:val="clear" w:color="auto" w:fill="auto"/>
            <w:vAlign w:val="center"/>
          </w:tcPr>
          <w:p>
            <w:pPr>
              <w:topLinePunct/>
              <w:spacing w:line="0" w:lineRule="atLeast"/>
              <w:jc w:val="center"/>
              <w:rPr>
                <w:rFonts w:cs="黑体"/>
                <w:color w:val="auto"/>
                <w:szCs w:val="21"/>
              </w:rPr>
            </w:pPr>
            <w:r>
              <w:rPr>
                <w:rFonts w:hAnsi="Calibri" w:cs="黑体"/>
                <w:color w:val="auto"/>
                <w:szCs w:val="21"/>
              </w:rPr>
              <w:t>产生量t</w:t>
            </w:r>
            <w:r>
              <w:rPr>
                <w:rFonts w:hint="eastAsia" w:hAnsi="Calibri" w:cs="黑体"/>
                <w:color w:val="auto"/>
                <w:szCs w:val="21"/>
              </w:rPr>
              <w:t>/a</w:t>
            </w:r>
          </w:p>
        </w:tc>
        <w:tc>
          <w:tcPr>
            <w:tcW w:w="398" w:type="pct"/>
            <w:shd w:val="clear" w:color="auto" w:fill="auto"/>
            <w:vAlign w:val="center"/>
          </w:tcPr>
          <w:p>
            <w:pPr>
              <w:topLinePunct/>
              <w:spacing w:line="0" w:lineRule="atLeast"/>
              <w:jc w:val="center"/>
              <w:rPr>
                <w:rFonts w:cs="黑体"/>
                <w:color w:val="auto"/>
                <w:szCs w:val="21"/>
              </w:rPr>
            </w:pPr>
            <w:r>
              <w:rPr>
                <w:rFonts w:hAnsi="Calibri" w:cs="黑体"/>
                <w:color w:val="auto"/>
                <w:szCs w:val="21"/>
              </w:rPr>
              <w:t>产生工序及装置</w:t>
            </w:r>
          </w:p>
        </w:tc>
        <w:tc>
          <w:tcPr>
            <w:tcW w:w="366" w:type="pct"/>
            <w:shd w:val="clear" w:color="auto" w:fill="auto"/>
            <w:vAlign w:val="center"/>
          </w:tcPr>
          <w:p>
            <w:pPr>
              <w:topLinePunct/>
              <w:spacing w:line="0" w:lineRule="atLeast"/>
              <w:jc w:val="center"/>
              <w:rPr>
                <w:rFonts w:cs="黑体"/>
                <w:color w:val="auto"/>
                <w:szCs w:val="21"/>
              </w:rPr>
            </w:pPr>
            <w:r>
              <w:rPr>
                <w:rFonts w:hAnsi="Calibri" w:cs="黑体"/>
                <w:color w:val="auto"/>
                <w:szCs w:val="21"/>
              </w:rPr>
              <w:t>形态</w:t>
            </w:r>
          </w:p>
        </w:tc>
        <w:tc>
          <w:tcPr>
            <w:tcW w:w="366" w:type="pct"/>
            <w:shd w:val="clear" w:color="auto" w:fill="auto"/>
            <w:vAlign w:val="center"/>
          </w:tcPr>
          <w:p>
            <w:pPr>
              <w:topLinePunct/>
              <w:spacing w:line="0" w:lineRule="atLeast"/>
              <w:jc w:val="center"/>
              <w:rPr>
                <w:rFonts w:cs="黑体"/>
                <w:color w:val="auto"/>
                <w:szCs w:val="21"/>
              </w:rPr>
            </w:pPr>
            <w:r>
              <w:rPr>
                <w:rFonts w:hAnsi="Calibri" w:cs="黑体"/>
                <w:color w:val="auto"/>
                <w:szCs w:val="21"/>
              </w:rPr>
              <w:t>主要成分</w:t>
            </w:r>
          </w:p>
        </w:tc>
        <w:tc>
          <w:tcPr>
            <w:tcW w:w="245" w:type="pct"/>
            <w:shd w:val="clear" w:color="auto" w:fill="auto"/>
            <w:vAlign w:val="center"/>
          </w:tcPr>
          <w:p>
            <w:pPr>
              <w:topLinePunct/>
              <w:spacing w:line="0" w:lineRule="atLeast"/>
              <w:jc w:val="center"/>
              <w:rPr>
                <w:rFonts w:cs="黑体"/>
                <w:color w:val="auto"/>
                <w:szCs w:val="21"/>
              </w:rPr>
            </w:pPr>
            <w:r>
              <w:rPr>
                <w:rFonts w:hAnsi="Calibri" w:cs="黑体"/>
                <w:color w:val="auto"/>
                <w:szCs w:val="21"/>
              </w:rPr>
              <w:t>有害成分</w:t>
            </w:r>
          </w:p>
        </w:tc>
        <w:tc>
          <w:tcPr>
            <w:tcW w:w="361" w:type="pct"/>
            <w:shd w:val="clear" w:color="auto" w:fill="auto"/>
            <w:vAlign w:val="center"/>
          </w:tcPr>
          <w:p>
            <w:pPr>
              <w:topLinePunct/>
              <w:spacing w:line="0" w:lineRule="atLeast"/>
              <w:jc w:val="center"/>
              <w:rPr>
                <w:rFonts w:cs="黑体"/>
                <w:color w:val="auto"/>
                <w:szCs w:val="21"/>
              </w:rPr>
            </w:pPr>
            <w:r>
              <w:rPr>
                <w:rFonts w:hAnsi="Calibri" w:cs="黑体"/>
                <w:color w:val="auto"/>
                <w:szCs w:val="21"/>
              </w:rPr>
              <w:t>产废周期</w:t>
            </w:r>
          </w:p>
        </w:tc>
        <w:tc>
          <w:tcPr>
            <w:tcW w:w="406" w:type="pct"/>
            <w:tcBorders>
              <w:bottom w:val="single" w:color="auto" w:sz="4" w:space="0"/>
            </w:tcBorders>
            <w:shd w:val="clear" w:color="auto" w:fill="auto"/>
            <w:vAlign w:val="center"/>
          </w:tcPr>
          <w:p>
            <w:pPr>
              <w:topLinePunct/>
              <w:spacing w:line="0" w:lineRule="atLeast"/>
              <w:jc w:val="center"/>
              <w:rPr>
                <w:rFonts w:cs="黑体"/>
                <w:color w:val="auto"/>
                <w:szCs w:val="21"/>
              </w:rPr>
            </w:pPr>
            <w:r>
              <w:rPr>
                <w:rFonts w:hAnsi="Calibri" w:cs="黑体"/>
                <w:color w:val="auto"/>
                <w:szCs w:val="21"/>
              </w:rPr>
              <w:t>危险</w:t>
            </w:r>
          </w:p>
          <w:p>
            <w:pPr>
              <w:topLinePunct/>
              <w:spacing w:line="0" w:lineRule="atLeast"/>
              <w:jc w:val="center"/>
              <w:rPr>
                <w:rFonts w:cs="黑体"/>
                <w:color w:val="auto"/>
                <w:szCs w:val="21"/>
              </w:rPr>
            </w:pPr>
            <w:r>
              <w:rPr>
                <w:rFonts w:hAnsi="Calibri" w:cs="黑体"/>
                <w:color w:val="auto"/>
                <w:szCs w:val="21"/>
              </w:rPr>
              <w:t>特性</w:t>
            </w:r>
          </w:p>
        </w:tc>
        <w:tc>
          <w:tcPr>
            <w:tcW w:w="554" w:type="pct"/>
            <w:tcBorders>
              <w:bottom w:val="single" w:color="auto" w:sz="4" w:space="0"/>
            </w:tcBorders>
            <w:shd w:val="clear" w:color="auto" w:fill="auto"/>
            <w:vAlign w:val="center"/>
          </w:tcPr>
          <w:p>
            <w:pPr>
              <w:topLinePunct/>
              <w:spacing w:line="0" w:lineRule="atLeast"/>
              <w:jc w:val="center"/>
              <w:rPr>
                <w:rFonts w:cs="黑体"/>
                <w:color w:val="auto"/>
                <w:szCs w:val="21"/>
              </w:rPr>
            </w:pPr>
            <w:r>
              <w:rPr>
                <w:rFonts w:hAnsi="Calibri" w:cs="黑体"/>
                <w:color w:val="auto"/>
                <w:szCs w:val="21"/>
              </w:rPr>
              <w:t>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8" w:hRule="atLeast"/>
          <w:jc w:val="center"/>
        </w:trPr>
        <w:tc>
          <w:tcPr>
            <w:tcW w:w="245" w:type="pct"/>
            <w:shd w:val="clear" w:color="auto" w:fill="auto"/>
            <w:vAlign w:val="center"/>
          </w:tcPr>
          <w:p>
            <w:pPr>
              <w:topLinePunct/>
              <w:spacing w:line="0" w:lineRule="atLeast"/>
              <w:jc w:val="center"/>
              <w:rPr>
                <w:rFonts w:hAnsi="Calibri" w:cs="黑体"/>
                <w:color w:val="auto"/>
                <w:szCs w:val="21"/>
              </w:rPr>
            </w:pPr>
            <w:r>
              <w:rPr>
                <w:rFonts w:hint="eastAsia" w:hAnsi="Calibri" w:cs="黑体"/>
                <w:color w:val="auto"/>
                <w:szCs w:val="21"/>
              </w:rPr>
              <w:t>1</w:t>
            </w:r>
          </w:p>
        </w:tc>
        <w:tc>
          <w:tcPr>
            <w:tcW w:w="369" w:type="pct"/>
            <w:shd w:val="clear" w:color="auto" w:fill="auto"/>
            <w:vAlign w:val="center"/>
          </w:tcPr>
          <w:p>
            <w:pPr>
              <w:autoSpaceDE w:val="0"/>
              <w:autoSpaceDN w:val="0"/>
              <w:contextualSpacing/>
              <w:jc w:val="center"/>
              <w:rPr>
                <w:rFonts w:hAnsi="宋体"/>
                <w:bCs/>
                <w:color w:val="auto"/>
                <w:szCs w:val="21"/>
              </w:rPr>
            </w:pPr>
            <w:r>
              <w:rPr>
                <w:rFonts w:hint="eastAsia" w:hAnsi="宋体"/>
                <w:bCs/>
                <w:color w:val="auto"/>
                <w:szCs w:val="21"/>
              </w:rPr>
              <w:t>检疫废物</w:t>
            </w:r>
          </w:p>
        </w:tc>
        <w:tc>
          <w:tcPr>
            <w:tcW w:w="446" w:type="pct"/>
            <w:shd w:val="clear" w:color="auto" w:fill="auto"/>
            <w:vAlign w:val="center"/>
          </w:tcPr>
          <w:p>
            <w:pPr>
              <w:topLinePunct/>
              <w:spacing w:line="0" w:lineRule="atLeast"/>
              <w:jc w:val="center"/>
              <w:rPr>
                <w:rFonts w:hAnsi="Calibri" w:cs="黑体"/>
                <w:color w:val="auto"/>
                <w:szCs w:val="21"/>
              </w:rPr>
            </w:pPr>
            <w:r>
              <w:rPr>
                <w:rFonts w:hAnsi="Calibri" w:cs="黑体"/>
                <w:color w:val="auto"/>
                <w:szCs w:val="21"/>
              </w:rPr>
              <w:t>HW01</w:t>
            </w:r>
          </w:p>
          <w:p>
            <w:pPr>
              <w:topLinePunct/>
              <w:spacing w:line="0" w:lineRule="atLeast"/>
              <w:jc w:val="center"/>
              <w:rPr>
                <w:rFonts w:hAnsi="Calibri" w:cs="黑体"/>
                <w:color w:val="auto"/>
                <w:szCs w:val="21"/>
              </w:rPr>
            </w:pPr>
            <w:r>
              <w:rPr>
                <w:rFonts w:hint="eastAsia" w:hAnsi="Calibri" w:cs="黑体"/>
                <w:bCs/>
                <w:color w:val="auto"/>
                <w:szCs w:val="21"/>
              </w:rPr>
              <w:t>医疗</w:t>
            </w:r>
            <w:r>
              <w:rPr>
                <w:rFonts w:hAnsi="Calibri" w:cs="黑体"/>
                <w:bCs/>
                <w:color w:val="auto"/>
                <w:szCs w:val="21"/>
              </w:rPr>
              <w:t>废物</w:t>
            </w:r>
          </w:p>
        </w:tc>
        <w:tc>
          <w:tcPr>
            <w:tcW w:w="813" w:type="pct"/>
            <w:shd w:val="clear" w:color="auto" w:fill="auto"/>
            <w:vAlign w:val="center"/>
          </w:tcPr>
          <w:p>
            <w:pPr>
              <w:topLinePunct/>
              <w:spacing w:line="0" w:lineRule="atLeast"/>
              <w:jc w:val="center"/>
              <w:rPr>
                <w:rFonts w:hAnsi="Calibri" w:cs="黑体"/>
                <w:color w:val="auto"/>
                <w:szCs w:val="21"/>
              </w:rPr>
            </w:pPr>
            <w:r>
              <w:rPr>
                <w:rFonts w:hAnsi="Calibri" w:cs="黑体"/>
                <w:bCs/>
                <w:color w:val="auto"/>
                <w:szCs w:val="21"/>
              </w:rPr>
              <w:t>8</w:t>
            </w:r>
            <w:r>
              <w:rPr>
                <w:rFonts w:hint="eastAsia" w:hAnsi="Calibri" w:cs="黑体"/>
                <w:bCs/>
                <w:color w:val="auto"/>
                <w:szCs w:val="21"/>
              </w:rPr>
              <w:t>4</w:t>
            </w:r>
            <w:r>
              <w:rPr>
                <w:rFonts w:hAnsi="Calibri" w:cs="黑体"/>
                <w:bCs/>
                <w:color w:val="auto"/>
                <w:szCs w:val="21"/>
              </w:rPr>
              <w:t>1-00</w:t>
            </w:r>
            <w:r>
              <w:rPr>
                <w:rFonts w:hint="eastAsia" w:hAnsi="Calibri" w:cs="黑体"/>
                <w:bCs/>
                <w:color w:val="auto"/>
                <w:szCs w:val="21"/>
              </w:rPr>
              <w:t>5</w:t>
            </w:r>
            <w:r>
              <w:rPr>
                <w:rFonts w:hAnsi="Calibri" w:cs="黑体"/>
                <w:bCs/>
                <w:color w:val="auto"/>
                <w:szCs w:val="21"/>
              </w:rPr>
              <w:t>-01</w:t>
            </w:r>
          </w:p>
        </w:tc>
        <w:tc>
          <w:tcPr>
            <w:tcW w:w="431" w:type="pct"/>
            <w:shd w:val="clear" w:color="auto" w:fill="auto"/>
            <w:vAlign w:val="center"/>
          </w:tcPr>
          <w:p>
            <w:pPr>
              <w:topLinePunct/>
              <w:spacing w:line="0" w:lineRule="atLeast"/>
              <w:jc w:val="center"/>
              <w:rPr>
                <w:rFonts w:hAnsi="Calibri" w:cs="黑体"/>
                <w:color w:val="auto"/>
                <w:szCs w:val="21"/>
              </w:rPr>
            </w:pPr>
            <w:r>
              <w:rPr>
                <w:rFonts w:hint="eastAsia" w:hAnsi="Calibri" w:cs="黑体"/>
                <w:bCs/>
                <w:color w:val="auto"/>
                <w:szCs w:val="21"/>
              </w:rPr>
              <w:t>0.3</w:t>
            </w:r>
          </w:p>
        </w:tc>
        <w:tc>
          <w:tcPr>
            <w:tcW w:w="398" w:type="pct"/>
            <w:shd w:val="clear" w:color="auto" w:fill="auto"/>
            <w:vAlign w:val="center"/>
          </w:tcPr>
          <w:p>
            <w:pPr>
              <w:topLinePunct/>
              <w:spacing w:line="0" w:lineRule="atLeast"/>
              <w:jc w:val="center"/>
              <w:rPr>
                <w:rFonts w:hAnsi="Calibri" w:cs="黑体"/>
                <w:color w:val="auto"/>
                <w:szCs w:val="21"/>
              </w:rPr>
            </w:pPr>
            <w:r>
              <w:rPr>
                <w:rFonts w:hint="eastAsia" w:hAnsi="Calibri" w:cs="黑体"/>
                <w:color w:val="auto"/>
                <w:szCs w:val="21"/>
              </w:rPr>
              <w:t>检疫</w:t>
            </w:r>
          </w:p>
        </w:tc>
        <w:tc>
          <w:tcPr>
            <w:tcW w:w="366" w:type="pct"/>
            <w:shd w:val="clear" w:color="auto" w:fill="auto"/>
            <w:vAlign w:val="center"/>
          </w:tcPr>
          <w:p>
            <w:pPr>
              <w:topLinePunct/>
              <w:spacing w:line="0" w:lineRule="atLeast"/>
              <w:jc w:val="center"/>
              <w:rPr>
                <w:rFonts w:hAnsi="Calibri" w:cs="黑体"/>
                <w:color w:val="auto"/>
                <w:szCs w:val="21"/>
              </w:rPr>
            </w:pPr>
            <w:r>
              <w:rPr>
                <w:rFonts w:hint="eastAsia" w:hAnsi="Calibri" w:cs="黑体"/>
                <w:color w:val="auto"/>
                <w:szCs w:val="21"/>
              </w:rPr>
              <w:t>固态、液态</w:t>
            </w:r>
          </w:p>
        </w:tc>
        <w:tc>
          <w:tcPr>
            <w:tcW w:w="366" w:type="pct"/>
            <w:shd w:val="clear" w:color="auto" w:fill="auto"/>
            <w:vAlign w:val="center"/>
          </w:tcPr>
          <w:p>
            <w:pPr>
              <w:topLinePunct/>
              <w:spacing w:line="0" w:lineRule="atLeast"/>
              <w:jc w:val="center"/>
              <w:rPr>
                <w:rFonts w:hAnsi="Calibri" w:cs="黑体"/>
                <w:color w:val="auto"/>
                <w:szCs w:val="21"/>
              </w:rPr>
            </w:pPr>
            <w:r>
              <w:rPr>
                <w:rFonts w:hint="eastAsia" w:hAnsi="Calibri" w:cs="黑体"/>
                <w:bCs/>
                <w:color w:val="auto"/>
                <w:szCs w:val="21"/>
              </w:rPr>
              <w:t>动物尿液、检测试剂</w:t>
            </w:r>
          </w:p>
        </w:tc>
        <w:tc>
          <w:tcPr>
            <w:tcW w:w="245" w:type="pct"/>
            <w:shd w:val="clear" w:color="auto" w:fill="auto"/>
            <w:vAlign w:val="center"/>
          </w:tcPr>
          <w:p>
            <w:pPr>
              <w:autoSpaceDE w:val="0"/>
              <w:autoSpaceDN w:val="0"/>
              <w:contextualSpacing/>
              <w:jc w:val="center"/>
              <w:rPr>
                <w:rFonts w:hAnsi="宋体"/>
                <w:color w:val="auto"/>
                <w:szCs w:val="21"/>
              </w:rPr>
            </w:pPr>
            <w:r>
              <w:rPr>
                <w:rFonts w:hint="eastAsia" w:hAnsi="宋体"/>
                <w:color w:val="auto"/>
                <w:szCs w:val="21"/>
                <w:lang w:bidi="zh-CN"/>
              </w:rPr>
              <w:t>病菌</w:t>
            </w:r>
          </w:p>
        </w:tc>
        <w:tc>
          <w:tcPr>
            <w:tcW w:w="361" w:type="pct"/>
            <w:shd w:val="clear" w:color="auto" w:fill="auto"/>
            <w:vAlign w:val="center"/>
          </w:tcPr>
          <w:p>
            <w:pPr>
              <w:topLinePunct/>
              <w:spacing w:line="0" w:lineRule="atLeast"/>
              <w:jc w:val="center"/>
              <w:rPr>
                <w:rFonts w:hAnsi="Calibri" w:cs="黑体"/>
                <w:color w:val="auto"/>
                <w:szCs w:val="21"/>
              </w:rPr>
            </w:pPr>
            <w:r>
              <w:rPr>
                <w:rFonts w:hint="eastAsia" w:hAnsi="Calibri" w:cs="黑体"/>
                <w:color w:val="auto"/>
                <w:szCs w:val="21"/>
              </w:rPr>
              <w:t>1a</w:t>
            </w:r>
          </w:p>
        </w:tc>
        <w:tc>
          <w:tcPr>
            <w:tcW w:w="406" w:type="pct"/>
            <w:shd w:val="clear" w:color="auto" w:fill="auto"/>
            <w:vAlign w:val="center"/>
          </w:tcPr>
          <w:p>
            <w:pPr>
              <w:topLinePunct/>
              <w:spacing w:line="0" w:lineRule="atLeast"/>
              <w:jc w:val="center"/>
              <w:rPr>
                <w:rFonts w:hAnsi="Calibri" w:cs="黑体"/>
                <w:color w:val="auto"/>
                <w:szCs w:val="21"/>
              </w:rPr>
            </w:pPr>
            <w:r>
              <w:rPr>
                <w:rFonts w:hint="eastAsia"/>
                <w:color w:val="auto"/>
                <w:szCs w:val="21"/>
              </w:rPr>
              <w:t>毒性</w:t>
            </w:r>
          </w:p>
        </w:tc>
        <w:tc>
          <w:tcPr>
            <w:tcW w:w="554" w:type="pct"/>
            <w:shd w:val="clear" w:color="auto" w:fill="auto"/>
            <w:vAlign w:val="center"/>
          </w:tcPr>
          <w:p>
            <w:pPr>
              <w:topLinePunct/>
              <w:spacing w:line="0" w:lineRule="atLeast"/>
              <w:jc w:val="center"/>
              <w:rPr>
                <w:rFonts w:hAnsi="Calibri" w:cs="黑体"/>
                <w:color w:val="auto"/>
                <w:szCs w:val="21"/>
              </w:rPr>
            </w:pPr>
            <w:r>
              <w:rPr>
                <w:rFonts w:hAnsi="Calibri" w:cs="黑体"/>
                <w:bCs/>
                <w:color w:val="auto"/>
                <w:szCs w:val="21"/>
              </w:rPr>
              <w:t>暂存于</w:t>
            </w:r>
            <w:r>
              <w:rPr>
                <w:rFonts w:hint="eastAsia" w:hAnsi="Calibri" w:cs="黑体"/>
                <w:bCs/>
                <w:color w:val="auto"/>
                <w:szCs w:val="21"/>
                <w:lang w:eastAsia="zh-CN"/>
              </w:rPr>
              <w:t>危险废物贮存点</w:t>
            </w:r>
            <w:r>
              <w:rPr>
                <w:rFonts w:hAnsi="Calibri" w:cs="黑体"/>
                <w:bCs/>
                <w:color w:val="auto"/>
                <w:szCs w:val="21"/>
              </w:rPr>
              <w:t>，</w:t>
            </w:r>
            <w:r>
              <w:rPr>
                <w:rFonts w:hint="eastAsia" w:hAnsi="Calibri" w:cs="黑体"/>
                <w:bCs/>
                <w:color w:val="auto"/>
                <w:szCs w:val="21"/>
              </w:rPr>
              <w:t>交</w:t>
            </w:r>
            <w:r>
              <w:rPr>
                <w:rFonts w:hAnsi="Calibri" w:cs="黑体"/>
                <w:bCs/>
                <w:color w:val="auto"/>
                <w:szCs w:val="21"/>
              </w:rPr>
              <w:t>由有资质单位进行处置</w:t>
            </w:r>
          </w:p>
        </w:tc>
      </w:tr>
    </w:tbl>
    <w:p>
      <w:pPr>
        <w:spacing w:line="360" w:lineRule="auto"/>
        <w:outlineLvl w:val="3"/>
        <w:rPr>
          <w:b/>
          <w:color w:val="auto"/>
          <w:sz w:val="24"/>
        </w:rPr>
      </w:pPr>
      <w:r>
        <w:rPr>
          <w:b/>
          <w:color w:val="auto"/>
          <w:sz w:val="24"/>
        </w:rPr>
        <w:t>3.3.2.</w:t>
      </w:r>
      <w:r>
        <w:rPr>
          <w:rFonts w:hint="eastAsia"/>
          <w:b/>
          <w:color w:val="auto"/>
          <w:sz w:val="24"/>
        </w:rPr>
        <w:t>5地下水</w:t>
      </w:r>
      <w:r>
        <w:rPr>
          <w:b/>
          <w:color w:val="auto"/>
          <w:sz w:val="24"/>
        </w:rPr>
        <w:t>污染分析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rPr>
      </w:pPr>
      <w:r>
        <w:rPr>
          <w:color w:val="auto"/>
          <w:sz w:val="24"/>
          <w:highlight w:val="none"/>
        </w:rPr>
        <w:t>根据《给水排水构筑物工程施工及验收规范》（GB50141 -2009），水池渗水量计算应按池壁（不含内隔墙）和池底的浸湿面积计算；钢筋混凝土结构水池渗水量不得超过2L/（m</w:t>
      </w:r>
      <w:r>
        <w:rPr>
          <w:color w:val="auto"/>
          <w:sz w:val="24"/>
          <w:highlight w:val="none"/>
          <w:vertAlign w:val="superscript"/>
        </w:rPr>
        <w:t>2</w:t>
      </w:r>
      <w:r>
        <w:rPr>
          <w:color w:val="auto"/>
          <w:sz w:val="24"/>
          <w:highlight w:val="none"/>
        </w:rPr>
        <w:t>·d）</w:t>
      </w:r>
      <w:r>
        <w:rPr>
          <w:rFonts w:hint="eastAsia"/>
          <w:color w:val="auto"/>
          <w:sz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rPr>
      </w:pPr>
      <w:r>
        <w:rPr>
          <w:rFonts w:hint="eastAsia"/>
          <w:color w:val="auto"/>
          <w:sz w:val="24"/>
          <w:szCs w:val="24"/>
        </w:rPr>
        <w:t>在非正常状况下，以隔油池防渗层破坏为例进行预测，隔油池的尺寸为L×B×H＝3.5m×2m×1m。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rPr>
      </w:pPr>
      <w:r>
        <w:rPr>
          <w:rFonts w:hint="eastAsia"/>
          <w:color w:val="auto"/>
          <w:sz w:val="24"/>
          <w:szCs w:val="24"/>
        </w:rPr>
        <w:t>则泄漏液体收集池渗漏面积为：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rPr>
      </w:pPr>
      <w:r>
        <w:rPr>
          <w:rFonts w:hint="eastAsia"/>
          <w:color w:val="auto"/>
          <w:sz w:val="24"/>
          <w:szCs w:val="24"/>
        </w:rPr>
        <w:t>池底面积+池壁面积=L×B+2×B×H+2×L×H=3.5×2+2×2×1+3.5×2×1=18m</w:t>
      </w:r>
      <w:r>
        <w:rPr>
          <w:rFonts w:hint="eastAsia"/>
          <w:color w:val="auto"/>
          <w:sz w:val="24"/>
          <w:szCs w:val="24"/>
          <w:vertAlign w:val="superscript"/>
        </w:rPr>
        <w:t>2</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rPr>
      </w:pPr>
      <w:r>
        <w:rPr>
          <w:rFonts w:hint="eastAsia"/>
          <w:color w:val="auto"/>
          <w:sz w:val="24"/>
          <w:szCs w:val="24"/>
        </w:rPr>
        <w:t>则泄漏液体收集池每日的最大允许污水渗透量Q计算如下：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rPr>
      </w:pPr>
      <w:r>
        <w:rPr>
          <w:rFonts w:hint="eastAsia"/>
          <w:color w:val="auto"/>
          <w:sz w:val="24"/>
          <w:szCs w:val="24"/>
        </w:rPr>
        <w:t>渗漏量=渗漏面积×渗漏强度=18m</w:t>
      </w:r>
      <w:r>
        <w:rPr>
          <w:rFonts w:hint="eastAsia"/>
          <w:color w:val="auto"/>
          <w:sz w:val="24"/>
          <w:szCs w:val="24"/>
          <w:vertAlign w:val="superscript"/>
        </w:rPr>
        <w:t>2</w:t>
      </w:r>
      <w:r>
        <w:rPr>
          <w:rFonts w:hint="eastAsia"/>
          <w:color w:val="auto"/>
          <w:sz w:val="24"/>
          <w:szCs w:val="24"/>
        </w:rPr>
        <w:t>×2L/（m</w:t>
      </w:r>
      <w:r>
        <w:rPr>
          <w:rFonts w:hint="eastAsia"/>
          <w:color w:val="auto"/>
          <w:sz w:val="24"/>
          <w:szCs w:val="24"/>
          <w:vertAlign w:val="superscript"/>
        </w:rPr>
        <w:t>2</w:t>
      </w:r>
      <w:r>
        <w:rPr>
          <w:rFonts w:hint="eastAsia"/>
          <w:color w:val="auto"/>
          <w:sz w:val="24"/>
          <w:szCs w:val="24"/>
        </w:rPr>
        <w:t>·d）=36L/d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
          <w:color w:val="FF0000"/>
          <w:sz w:val="24"/>
          <w:szCs w:val="24"/>
        </w:rPr>
      </w:pPr>
      <w:r>
        <w:rPr>
          <w:rFonts w:hint="eastAsia"/>
          <w:color w:val="auto"/>
          <w:sz w:val="24"/>
          <w:szCs w:val="24"/>
        </w:rPr>
        <w:t>泄漏液体收集池污染物渗漏量取最大允许渗漏量的10倍，为360L/d，0.36m</w:t>
      </w:r>
      <w:r>
        <w:rPr>
          <w:rFonts w:hint="eastAsia"/>
          <w:color w:val="auto"/>
          <w:sz w:val="24"/>
          <w:szCs w:val="24"/>
          <w:vertAlign w:val="superscript"/>
        </w:rPr>
        <w:t>3</w:t>
      </w:r>
      <w:r>
        <w:rPr>
          <w:rFonts w:hint="eastAsia"/>
          <w:color w:val="auto"/>
          <w:sz w:val="24"/>
          <w:szCs w:val="24"/>
        </w:rPr>
        <w:t>/d。</w:t>
      </w:r>
      <w:r>
        <w:rPr>
          <w:color w:val="auto"/>
          <w:sz w:val="24"/>
          <w:szCs w:val="24"/>
        </w:rPr>
        <w:t>本次模拟</w:t>
      </w:r>
      <w:r>
        <w:rPr>
          <w:rFonts w:hint="eastAsia"/>
          <w:color w:val="auto"/>
          <w:sz w:val="24"/>
          <w:szCs w:val="24"/>
        </w:rPr>
        <w:t>污水处理站</w:t>
      </w:r>
      <w:r>
        <w:rPr>
          <w:color w:val="auto"/>
          <w:sz w:val="24"/>
          <w:szCs w:val="24"/>
        </w:rPr>
        <w:t>初始泄漏液体污染物按COD浓度为</w:t>
      </w:r>
      <w:r>
        <w:rPr>
          <w:rFonts w:hint="eastAsia"/>
          <w:color w:val="auto"/>
          <w:sz w:val="24"/>
          <w:szCs w:val="24"/>
          <w:lang w:eastAsia="zh-CN"/>
        </w:rPr>
        <w:t>1891.13</w:t>
      </w:r>
      <w:r>
        <w:rPr>
          <w:color w:val="auto"/>
          <w:sz w:val="24"/>
          <w:szCs w:val="24"/>
        </w:rPr>
        <w:t>mg/L确定污染物的浓度取值，则泄漏液体每天注入地下水中的COD质量为</w:t>
      </w:r>
      <w:r>
        <w:rPr>
          <w:rFonts w:hint="eastAsia"/>
          <w:color w:val="auto"/>
          <w:sz w:val="24"/>
          <w:szCs w:val="24"/>
          <w:lang w:eastAsia="zh-CN"/>
        </w:rPr>
        <w:t>1891.13</w:t>
      </w:r>
      <w:r>
        <w:rPr>
          <w:color w:val="auto"/>
          <w:sz w:val="24"/>
          <w:szCs w:val="24"/>
        </w:rPr>
        <w:t>×</w:t>
      </w:r>
      <w:r>
        <w:rPr>
          <w:rFonts w:hint="eastAsia"/>
          <w:color w:val="auto"/>
          <w:sz w:val="24"/>
          <w:szCs w:val="24"/>
          <w:lang w:val="en-US" w:eastAsia="zh-CN"/>
        </w:rPr>
        <w:t>360/1000000</w:t>
      </w:r>
      <w:r>
        <w:rPr>
          <w:color w:val="auto"/>
          <w:sz w:val="24"/>
          <w:szCs w:val="24"/>
        </w:rPr>
        <w:t>=</w:t>
      </w:r>
      <w:r>
        <w:rPr>
          <w:rFonts w:hint="eastAsia"/>
          <w:color w:val="auto"/>
          <w:sz w:val="24"/>
          <w:szCs w:val="24"/>
          <w:lang w:val="en-US" w:eastAsia="zh-CN"/>
        </w:rPr>
        <w:t>0.68</w:t>
      </w:r>
      <w:r>
        <w:rPr>
          <w:color w:val="auto"/>
          <w:sz w:val="24"/>
          <w:szCs w:val="24"/>
        </w:rPr>
        <w:t>kg</w:t>
      </w:r>
      <w:r>
        <w:rPr>
          <w:rFonts w:hint="eastAsia"/>
          <w:color w:val="auto"/>
          <w:sz w:val="24"/>
          <w:szCs w:val="24"/>
        </w:rPr>
        <w:t>；</w:t>
      </w:r>
      <w:r>
        <w:rPr>
          <w:color w:val="auto"/>
          <w:sz w:val="24"/>
          <w:szCs w:val="24"/>
        </w:rPr>
        <w:t>氨氮浓度为</w:t>
      </w:r>
      <w:r>
        <w:rPr>
          <w:rFonts w:hint="eastAsia"/>
          <w:bCs/>
          <w:color w:val="auto"/>
          <w:sz w:val="24"/>
          <w:szCs w:val="24"/>
          <w:lang w:eastAsia="zh-CN"/>
        </w:rPr>
        <w:t>142.13</w:t>
      </w:r>
      <w:r>
        <w:rPr>
          <w:color w:val="auto"/>
          <w:sz w:val="24"/>
          <w:szCs w:val="24"/>
        </w:rPr>
        <w:t>mg/L</w:t>
      </w:r>
      <w:r>
        <w:rPr>
          <w:rFonts w:hint="eastAsia"/>
          <w:color w:val="auto"/>
          <w:sz w:val="24"/>
          <w:szCs w:val="24"/>
        </w:rPr>
        <w:t>，</w:t>
      </w:r>
      <w:r>
        <w:rPr>
          <w:color w:val="auto"/>
          <w:sz w:val="24"/>
          <w:szCs w:val="24"/>
        </w:rPr>
        <w:t>确定污染物的浓度取值，则泄漏液体每天注入地下水中的氨氮质量为</w:t>
      </w:r>
      <w:r>
        <w:rPr>
          <w:rFonts w:hint="eastAsia"/>
          <w:bCs/>
          <w:color w:val="auto"/>
          <w:sz w:val="24"/>
          <w:szCs w:val="24"/>
          <w:lang w:eastAsia="zh-CN"/>
        </w:rPr>
        <w:t>142.13</w:t>
      </w:r>
      <w:r>
        <w:rPr>
          <w:color w:val="auto"/>
          <w:sz w:val="24"/>
          <w:szCs w:val="24"/>
        </w:rPr>
        <w:t>×</w:t>
      </w:r>
      <w:r>
        <w:rPr>
          <w:rFonts w:hint="eastAsia"/>
          <w:color w:val="auto"/>
          <w:sz w:val="24"/>
          <w:szCs w:val="24"/>
          <w:lang w:val="en-US" w:eastAsia="zh-CN"/>
        </w:rPr>
        <w:t>360/1000000</w:t>
      </w:r>
      <w:r>
        <w:rPr>
          <w:color w:val="auto"/>
          <w:sz w:val="24"/>
          <w:szCs w:val="24"/>
        </w:rPr>
        <w:t>=</w:t>
      </w:r>
      <w:r>
        <w:rPr>
          <w:rFonts w:hint="eastAsia"/>
          <w:color w:val="auto"/>
          <w:sz w:val="24"/>
          <w:szCs w:val="24"/>
          <w:lang w:val="en-US" w:eastAsia="zh-CN"/>
        </w:rPr>
        <w:t>0.051</w:t>
      </w:r>
      <w:r>
        <w:rPr>
          <w:color w:val="auto"/>
          <w:sz w:val="24"/>
          <w:szCs w:val="24"/>
        </w:rPr>
        <w:t>kg。</w:t>
      </w:r>
      <w:r>
        <w:rPr>
          <w:rFonts w:hint="eastAsia"/>
          <w:color w:val="auto"/>
          <w:sz w:val="24"/>
        </w:rPr>
        <w:t>贮水池</w:t>
      </w:r>
      <w:r>
        <w:rPr>
          <w:color w:val="auto"/>
          <w:sz w:val="24"/>
        </w:rPr>
        <w:t>初始泄漏液体污染物按COD浓度为</w:t>
      </w:r>
      <w:r>
        <w:rPr>
          <w:rFonts w:hint="eastAsia"/>
          <w:color w:val="auto"/>
          <w:sz w:val="24"/>
          <w:lang w:eastAsia="zh-CN"/>
        </w:rPr>
        <w:t>189.11</w:t>
      </w:r>
      <w:r>
        <w:rPr>
          <w:color w:val="auto"/>
          <w:sz w:val="24"/>
        </w:rPr>
        <w:t>mg/L确定污染物的浓度取值，则泄漏液体每天注入地下水中的COD质量为</w:t>
      </w:r>
      <w:r>
        <w:rPr>
          <w:rFonts w:hint="eastAsia"/>
          <w:color w:val="auto"/>
          <w:sz w:val="24"/>
          <w:lang w:eastAsia="zh-CN"/>
        </w:rPr>
        <w:t>189.11</w:t>
      </w:r>
      <w:r>
        <w:rPr>
          <w:color w:val="auto"/>
          <w:sz w:val="24"/>
        </w:rPr>
        <w:t>×</w:t>
      </w:r>
      <w:r>
        <w:rPr>
          <w:rFonts w:hint="eastAsia"/>
          <w:color w:val="auto"/>
          <w:sz w:val="24"/>
          <w:szCs w:val="24"/>
          <w:lang w:val="en-US" w:eastAsia="zh-CN"/>
        </w:rPr>
        <w:t>360/1000000</w:t>
      </w:r>
      <w:r>
        <w:rPr>
          <w:color w:val="auto"/>
          <w:sz w:val="24"/>
        </w:rPr>
        <w:t>=</w:t>
      </w:r>
      <w:r>
        <w:rPr>
          <w:rFonts w:hint="eastAsia"/>
          <w:color w:val="auto"/>
          <w:sz w:val="24"/>
          <w:lang w:val="en-US" w:eastAsia="zh-CN"/>
        </w:rPr>
        <w:t>0.068</w:t>
      </w:r>
      <w:r>
        <w:rPr>
          <w:color w:val="auto"/>
          <w:sz w:val="24"/>
        </w:rPr>
        <w:t>kg</w:t>
      </w:r>
      <w:r>
        <w:rPr>
          <w:rFonts w:hint="eastAsia"/>
          <w:color w:val="auto"/>
          <w:sz w:val="24"/>
        </w:rPr>
        <w:t>；</w:t>
      </w:r>
      <w:r>
        <w:rPr>
          <w:color w:val="auto"/>
          <w:sz w:val="24"/>
        </w:rPr>
        <w:t>氨氮浓度为</w:t>
      </w:r>
      <w:r>
        <w:rPr>
          <w:rFonts w:hint="eastAsia"/>
          <w:bCs/>
          <w:color w:val="auto"/>
          <w:sz w:val="24"/>
          <w:lang w:eastAsia="zh-CN"/>
        </w:rPr>
        <w:t>31.27</w:t>
      </w:r>
      <w:r>
        <w:rPr>
          <w:color w:val="auto"/>
          <w:sz w:val="24"/>
        </w:rPr>
        <w:t>mg/L</w:t>
      </w:r>
      <w:r>
        <w:rPr>
          <w:rFonts w:hint="eastAsia"/>
          <w:color w:val="auto"/>
          <w:sz w:val="24"/>
        </w:rPr>
        <w:t>，</w:t>
      </w:r>
      <w:r>
        <w:rPr>
          <w:color w:val="auto"/>
          <w:sz w:val="24"/>
        </w:rPr>
        <w:t>确定污染物的浓度取值，则泄漏液体每天注入地下水中的氨氮质量为</w:t>
      </w:r>
      <w:r>
        <w:rPr>
          <w:rFonts w:hint="eastAsia"/>
          <w:bCs/>
          <w:color w:val="auto"/>
          <w:sz w:val="24"/>
          <w:lang w:eastAsia="zh-CN"/>
        </w:rPr>
        <w:t>31.27</w:t>
      </w:r>
      <w:r>
        <w:rPr>
          <w:color w:val="auto"/>
          <w:sz w:val="24"/>
        </w:rPr>
        <w:t>×</w:t>
      </w:r>
      <w:r>
        <w:rPr>
          <w:rFonts w:hint="eastAsia"/>
          <w:color w:val="auto"/>
          <w:sz w:val="24"/>
          <w:szCs w:val="24"/>
          <w:lang w:val="en-US" w:eastAsia="zh-CN"/>
        </w:rPr>
        <w:t>360/1000000</w:t>
      </w:r>
      <w:r>
        <w:rPr>
          <w:color w:val="auto"/>
          <w:sz w:val="24"/>
        </w:rPr>
        <w:t>=</w:t>
      </w:r>
      <w:r>
        <w:rPr>
          <w:rFonts w:hint="eastAsia"/>
          <w:color w:val="auto"/>
          <w:sz w:val="24"/>
          <w:lang w:val="en-US" w:eastAsia="zh-CN"/>
        </w:rPr>
        <w:t>0.011</w:t>
      </w:r>
      <w:r>
        <w:rPr>
          <w:color w:val="auto"/>
          <w:sz w:val="24"/>
        </w:rPr>
        <w:t>kg。</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3.3.</w:t>
      </w:r>
      <w:r>
        <w:rPr>
          <w:rFonts w:hint="eastAsia" w:ascii="Times New Roman" w:hAnsi="Times New Roman" w:cs="Times New Roman"/>
          <w:b/>
          <w:color w:val="auto"/>
          <w:sz w:val="28"/>
          <w:szCs w:val="28"/>
        </w:rPr>
        <w:t>3环境风险识别</w:t>
      </w:r>
    </w:p>
    <w:p>
      <w:pPr>
        <w:spacing w:line="360" w:lineRule="auto"/>
        <w:contextualSpacing/>
        <w:outlineLvl w:val="3"/>
        <w:rPr>
          <w:rFonts w:eastAsiaTheme="minorEastAsia"/>
          <w:b/>
          <w:color w:val="auto"/>
          <w:sz w:val="24"/>
        </w:rPr>
      </w:pPr>
      <w:r>
        <w:rPr>
          <w:rFonts w:eastAsiaTheme="minorEastAsia"/>
          <w:b/>
          <w:color w:val="auto"/>
          <w:sz w:val="24"/>
        </w:rPr>
        <w:t>3.</w:t>
      </w:r>
      <w:r>
        <w:rPr>
          <w:rFonts w:hint="eastAsia" w:eastAsiaTheme="minorEastAsia"/>
          <w:b/>
          <w:color w:val="auto"/>
          <w:sz w:val="24"/>
        </w:rPr>
        <w:t>3</w:t>
      </w:r>
      <w:r>
        <w:rPr>
          <w:rFonts w:eastAsiaTheme="minorEastAsia"/>
          <w:b/>
          <w:color w:val="auto"/>
          <w:sz w:val="24"/>
        </w:rPr>
        <w:t>.3.1</w:t>
      </w:r>
      <w:r>
        <w:rPr>
          <w:rFonts w:hAnsiTheme="minorEastAsia" w:eastAsiaTheme="minorEastAsia"/>
          <w:b/>
          <w:color w:val="auto"/>
          <w:sz w:val="24"/>
        </w:rPr>
        <w:t>物质危险性分析</w:t>
      </w:r>
    </w:p>
    <w:p>
      <w:pPr>
        <w:spacing w:line="360" w:lineRule="auto"/>
        <w:contextualSpacing/>
        <w:rPr>
          <w:rFonts w:eastAsiaTheme="minorEastAsia"/>
          <w:color w:val="auto"/>
          <w:sz w:val="24"/>
        </w:rPr>
      </w:pPr>
      <w:r>
        <w:rPr>
          <w:rFonts w:hAnsiTheme="minorEastAsia" w:eastAsiaTheme="minorEastAsia"/>
          <w:color w:val="auto"/>
          <w:sz w:val="24"/>
        </w:rPr>
        <w:t>本项目涉及危险物质为次氯酸钠</w:t>
      </w:r>
      <w:r>
        <w:rPr>
          <w:rFonts w:hint="eastAsia" w:hAnsiTheme="minorEastAsia" w:eastAsiaTheme="minorEastAsia"/>
          <w:color w:val="auto"/>
          <w:sz w:val="24"/>
          <w:lang w:eastAsia="zh-CN"/>
        </w:rPr>
        <w:t>、</w:t>
      </w:r>
      <w:r>
        <w:rPr>
          <w:rFonts w:hint="eastAsia" w:hAnsiTheme="minorEastAsia" w:eastAsiaTheme="minorEastAsia"/>
          <w:color w:val="auto"/>
          <w:sz w:val="24"/>
          <w:lang w:val="en-US" w:eastAsia="zh-CN"/>
        </w:rPr>
        <w:t>液氨</w:t>
      </w:r>
      <w:r>
        <w:rPr>
          <w:rFonts w:hAnsiTheme="minorEastAsia" w:eastAsiaTheme="minorEastAsia"/>
          <w:color w:val="auto"/>
          <w:sz w:val="24"/>
        </w:rPr>
        <w:t>，理化性质如下：</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Theme="minorEastAsia" w:eastAsiaTheme="minorEastAsia"/>
          <w:b/>
          <w:color w:val="auto"/>
          <w:sz w:val="24"/>
        </w:rPr>
      </w:pPr>
      <w:r>
        <w:rPr>
          <w:rFonts w:hAnsiTheme="minorEastAsia" w:eastAsiaTheme="minorEastAsia"/>
          <w:b/>
          <w:color w:val="auto"/>
          <w:sz w:val="24"/>
        </w:rPr>
        <w:t>表</w:t>
      </w:r>
      <w:r>
        <w:rPr>
          <w:rFonts w:eastAsiaTheme="minorEastAsia"/>
          <w:b/>
          <w:color w:val="auto"/>
          <w:sz w:val="24"/>
        </w:rPr>
        <w:t>3-</w:t>
      </w:r>
      <w:r>
        <w:rPr>
          <w:rFonts w:hint="eastAsia" w:eastAsiaTheme="minorEastAsia"/>
          <w:b/>
          <w:color w:val="auto"/>
          <w:sz w:val="24"/>
        </w:rPr>
        <w:t>3</w:t>
      </w:r>
      <w:r>
        <w:rPr>
          <w:rFonts w:eastAsiaTheme="minorEastAsia"/>
          <w:b/>
          <w:color w:val="auto"/>
          <w:sz w:val="24"/>
        </w:rPr>
        <w:t>-</w:t>
      </w:r>
      <w:r>
        <w:rPr>
          <w:rFonts w:hint="eastAsia" w:eastAsiaTheme="minorEastAsia"/>
          <w:b/>
          <w:color w:val="auto"/>
          <w:sz w:val="24"/>
        </w:rPr>
        <w:t>16</w:t>
      </w:r>
      <w:r>
        <w:rPr>
          <w:rFonts w:hint="eastAsia" w:hAnsiTheme="minorEastAsia" w:eastAsiaTheme="minorEastAsia"/>
          <w:b/>
          <w:color w:val="auto"/>
          <w:sz w:val="24"/>
        </w:rPr>
        <w:t>次氯酸钠</w:t>
      </w:r>
      <w:r>
        <w:rPr>
          <w:rFonts w:hAnsiTheme="minorEastAsia" w:eastAsiaTheme="minorEastAsia"/>
          <w:b/>
          <w:color w:val="auto"/>
          <w:sz w:val="24"/>
        </w:rPr>
        <w:t>的理化性质及危险、有害特征表</w:t>
      </w:r>
    </w:p>
    <w:tbl>
      <w:tblPr>
        <w:tblStyle w:val="46"/>
        <w:tblW w:w="844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5"/>
        <w:gridCol w:w="1620"/>
        <w:gridCol w:w="1968"/>
        <w:gridCol w:w="1969"/>
        <w:gridCol w:w="19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915" w:type="dxa"/>
            <w:vMerge w:val="restart"/>
            <w:vAlign w:val="center"/>
          </w:tcPr>
          <w:p>
            <w:pPr>
              <w:jc w:val="center"/>
              <w:rPr>
                <w:bCs/>
                <w:color w:val="auto"/>
                <w:szCs w:val="21"/>
              </w:rPr>
            </w:pPr>
            <w:r>
              <w:rPr>
                <w:bCs/>
                <w:color w:val="auto"/>
                <w:szCs w:val="21"/>
              </w:rPr>
              <w:t>理化性质</w:t>
            </w:r>
          </w:p>
        </w:tc>
        <w:tc>
          <w:tcPr>
            <w:tcW w:w="1620" w:type="dxa"/>
            <w:vAlign w:val="center"/>
          </w:tcPr>
          <w:p>
            <w:pPr>
              <w:jc w:val="center"/>
              <w:rPr>
                <w:bCs/>
                <w:color w:val="auto"/>
                <w:szCs w:val="21"/>
              </w:rPr>
            </w:pPr>
            <w:r>
              <w:rPr>
                <w:bCs/>
                <w:color w:val="auto"/>
                <w:szCs w:val="21"/>
              </w:rPr>
              <w:t>中文名称</w:t>
            </w:r>
          </w:p>
        </w:tc>
        <w:tc>
          <w:tcPr>
            <w:tcW w:w="5906" w:type="dxa"/>
            <w:gridSpan w:val="3"/>
            <w:vAlign w:val="center"/>
          </w:tcPr>
          <w:p>
            <w:pPr>
              <w:jc w:val="center"/>
              <w:rPr>
                <w:bCs/>
                <w:color w:val="auto"/>
                <w:szCs w:val="21"/>
              </w:rPr>
            </w:pPr>
            <w:r>
              <w:rPr>
                <w:bCs/>
                <w:color w:val="auto"/>
                <w:szCs w:val="21"/>
              </w:rPr>
              <w:t>次氯酸钠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915" w:type="dxa"/>
            <w:vMerge w:val="continue"/>
            <w:vAlign w:val="center"/>
          </w:tcPr>
          <w:p>
            <w:pPr>
              <w:jc w:val="center"/>
              <w:rPr>
                <w:bCs/>
                <w:color w:val="auto"/>
                <w:szCs w:val="21"/>
              </w:rPr>
            </w:pPr>
          </w:p>
        </w:tc>
        <w:tc>
          <w:tcPr>
            <w:tcW w:w="1620" w:type="dxa"/>
            <w:vAlign w:val="center"/>
          </w:tcPr>
          <w:p>
            <w:pPr>
              <w:jc w:val="center"/>
              <w:rPr>
                <w:bCs/>
                <w:color w:val="auto"/>
                <w:szCs w:val="21"/>
              </w:rPr>
            </w:pPr>
            <w:r>
              <w:rPr>
                <w:bCs/>
                <w:color w:val="auto"/>
                <w:szCs w:val="21"/>
              </w:rPr>
              <w:t>分子式</w:t>
            </w:r>
          </w:p>
        </w:tc>
        <w:tc>
          <w:tcPr>
            <w:tcW w:w="1968" w:type="dxa"/>
            <w:vAlign w:val="center"/>
          </w:tcPr>
          <w:p>
            <w:pPr>
              <w:jc w:val="center"/>
              <w:rPr>
                <w:bCs/>
                <w:color w:val="auto"/>
                <w:szCs w:val="21"/>
              </w:rPr>
            </w:pPr>
            <w:r>
              <w:rPr>
                <w:rFonts w:hint="eastAsia"/>
                <w:bCs/>
                <w:color w:val="auto"/>
                <w:szCs w:val="21"/>
              </w:rPr>
              <w:t>NaClO</w:t>
            </w:r>
          </w:p>
        </w:tc>
        <w:tc>
          <w:tcPr>
            <w:tcW w:w="1969" w:type="dxa"/>
            <w:vAlign w:val="center"/>
          </w:tcPr>
          <w:p>
            <w:pPr>
              <w:jc w:val="center"/>
              <w:rPr>
                <w:bCs/>
                <w:color w:val="auto"/>
                <w:szCs w:val="21"/>
              </w:rPr>
            </w:pPr>
            <w:r>
              <w:rPr>
                <w:bCs/>
                <w:color w:val="auto"/>
                <w:szCs w:val="21"/>
              </w:rPr>
              <w:t>分子量</w:t>
            </w:r>
          </w:p>
        </w:tc>
        <w:tc>
          <w:tcPr>
            <w:tcW w:w="1969" w:type="dxa"/>
            <w:vAlign w:val="center"/>
          </w:tcPr>
          <w:p>
            <w:pPr>
              <w:jc w:val="center"/>
              <w:rPr>
                <w:bCs/>
                <w:color w:val="auto"/>
                <w:szCs w:val="21"/>
              </w:rPr>
            </w:pPr>
            <w:r>
              <w:rPr>
                <w:rFonts w:hint="eastAsia"/>
                <w:bCs/>
                <w:color w:val="auto"/>
                <w:szCs w:val="21"/>
              </w:rPr>
              <w:t>74.4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915" w:type="dxa"/>
            <w:vMerge w:val="continue"/>
            <w:vAlign w:val="center"/>
          </w:tcPr>
          <w:p>
            <w:pPr>
              <w:jc w:val="center"/>
              <w:rPr>
                <w:bCs/>
                <w:color w:val="auto"/>
                <w:szCs w:val="21"/>
              </w:rPr>
            </w:pPr>
          </w:p>
        </w:tc>
        <w:tc>
          <w:tcPr>
            <w:tcW w:w="1620" w:type="dxa"/>
            <w:vAlign w:val="center"/>
          </w:tcPr>
          <w:p>
            <w:pPr>
              <w:jc w:val="center"/>
              <w:rPr>
                <w:bCs/>
                <w:color w:val="auto"/>
                <w:szCs w:val="21"/>
              </w:rPr>
            </w:pPr>
            <w:r>
              <w:rPr>
                <w:bCs/>
                <w:color w:val="auto"/>
                <w:szCs w:val="21"/>
              </w:rPr>
              <w:t>外观与性状</w:t>
            </w:r>
          </w:p>
        </w:tc>
        <w:tc>
          <w:tcPr>
            <w:tcW w:w="5906" w:type="dxa"/>
            <w:gridSpan w:val="3"/>
            <w:vAlign w:val="center"/>
          </w:tcPr>
          <w:p>
            <w:pPr>
              <w:jc w:val="center"/>
              <w:rPr>
                <w:bCs/>
                <w:color w:val="auto"/>
                <w:szCs w:val="21"/>
              </w:rPr>
            </w:pPr>
            <w:r>
              <w:rPr>
                <w:bCs/>
                <w:color w:val="auto"/>
                <w:szCs w:val="21"/>
              </w:rPr>
              <w:t>微黄色液体，有似氯气的气味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915" w:type="dxa"/>
            <w:vMerge w:val="continue"/>
            <w:vAlign w:val="center"/>
          </w:tcPr>
          <w:p>
            <w:pPr>
              <w:jc w:val="center"/>
              <w:rPr>
                <w:bCs/>
                <w:color w:val="auto"/>
                <w:szCs w:val="21"/>
              </w:rPr>
            </w:pPr>
          </w:p>
        </w:tc>
        <w:tc>
          <w:tcPr>
            <w:tcW w:w="1620" w:type="dxa"/>
            <w:vAlign w:val="center"/>
          </w:tcPr>
          <w:p>
            <w:pPr>
              <w:jc w:val="center"/>
              <w:rPr>
                <w:bCs/>
                <w:color w:val="auto"/>
                <w:szCs w:val="21"/>
              </w:rPr>
            </w:pPr>
            <w:r>
              <w:rPr>
                <w:bCs/>
                <w:color w:val="auto"/>
                <w:szCs w:val="21"/>
              </w:rPr>
              <w:t>相对水密度</w:t>
            </w:r>
          </w:p>
        </w:tc>
        <w:tc>
          <w:tcPr>
            <w:tcW w:w="5906" w:type="dxa"/>
            <w:gridSpan w:val="3"/>
            <w:vAlign w:val="center"/>
          </w:tcPr>
          <w:p>
            <w:pPr>
              <w:jc w:val="center"/>
              <w:rPr>
                <w:bCs/>
                <w:color w:val="auto"/>
                <w:szCs w:val="21"/>
              </w:rPr>
            </w:pPr>
            <w:r>
              <w:rPr>
                <w:rFonts w:hint="eastAsia"/>
                <w:bCs/>
                <w:color w:val="auto"/>
                <w:szCs w:val="21"/>
              </w:rPr>
              <w:t>1.10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915" w:type="dxa"/>
            <w:vMerge w:val="continue"/>
            <w:vAlign w:val="center"/>
          </w:tcPr>
          <w:p>
            <w:pPr>
              <w:jc w:val="center"/>
              <w:rPr>
                <w:bCs/>
                <w:color w:val="auto"/>
                <w:szCs w:val="21"/>
              </w:rPr>
            </w:pPr>
          </w:p>
        </w:tc>
        <w:tc>
          <w:tcPr>
            <w:tcW w:w="1620" w:type="dxa"/>
            <w:vAlign w:val="center"/>
          </w:tcPr>
          <w:p>
            <w:pPr>
              <w:jc w:val="center"/>
              <w:rPr>
                <w:bCs/>
                <w:color w:val="auto"/>
                <w:szCs w:val="21"/>
              </w:rPr>
            </w:pPr>
            <w:r>
              <w:rPr>
                <w:bCs/>
                <w:color w:val="auto"/>
                <w:szCs w:val="21"/>
              </w:rPr>
              <w:t>溶解性</w:t>
            </w:r>
          </w:p>
        </w:tc>
        <w:tc>
          <w:tcPr>
            <w:tcW w:w="5906" w:type="dxa"/>
            <w:gridSpan w:val="3"/>
            <w:vAlign w:val="center"/>
          </w:tcPr>
          <w:p>
            <w:pPr>
              <w:jc w:val="center"/>
              <w:rPr>
                <w:bCs/>
                <w:color w:val="auto"/>
                <w:szCs w:val="21"/>
              </w:rPr>
            </w:pPr>
            <w:r>
              <w:rPr>
                <w:rFonts w:hint="eastAsia"/>
                <w:bCs/>
                <w:color w:val="auto"/>
                <w:szCs w:val="21"/>
              </w:rPr>
              <w:t>溶于水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915" w:type="dxa"/>
            <w:vMerge w:val="continue"/>
            <w:vAlign w:val="center"/>
          </w:tcPr>
          <w:p>
            <w:pPr>
              <w:jc w:val="center"/>
              <w:rPr>
                <w:bCs/>
                <w:color w:val="auto"/>
                <w:szCs w:val="21"/>
              </w:rPr>
            </w:pPr>
          </w:p>
        </w:tc>
        <w:tc>
          <w:tcPr>
            <w:tcW w:w="1620" w:type="dxa"/>
            <w:vAlign w:val="center"/>
          </w:tcPr>
          <w:p>
            <w:pPr>
              <w:jc w:val="center"/>
              <w:rPr>
                <w:bCs/>
                <w:color w:val="auto"/>
                <w:szCs w:val="21"/>
              </w:rPr>
            </w:pPr>
            <w:r>
              <w:rPr>
                <w:bCs/>
                <w:color w:val="auto"/>
                <w:szCs w:val="21"/>
              </w:rPr>
              <w:t>熔点（℃）</w:t>
            </w:r>
          </w:p>
        </w:tc>
        <w:tc>
          <w:tcPr>
            <w:tcW w:w="5906" w:type="dxa"/>
            <w:gridSpan w:val="3"/>
            <w:vAlign w:val="center"/>
          </w:tcPr>
          <w:p>
            <w:pPr>
              <w:jc w:val="center"/>
              <w:rPr>
                <w:bCs/>
                <w:color w:val="auto"/>
                <w:szCs w:val="21"/>
              </w:rPr>
            </w:pPr>
            <w:r>
              <w:rPr>
                <w:rFonts w:hint="eastAsia"/>
                <w:bCs/>
                <w:color w:val="auto"/>
                <w:szCs w:val="21"/>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915" w:type="dxa"/>
            <w:vMerge w:val="continue"/>
            <w:vAlign w:val="center"/>
          </w:tcPr>
          <w:p>
            <w:pPr>
              <w:jc w:val="center"/>
              <w:rPr>
                <w:bCs/>
                <w:color w:val="auto"/>
                <w:szCs w:val="21"/>
              </w:rPr>
            </w:pPr>
          </w:p>
        </w:tc>
        <w:tc>
          <w:tcPr>
            <w:tcW w:w="1620" w:type="dxa"/>
            <w:vAlign w:val="center"/>
          </w:tcPr>
          <w:p>
            <w:pPr>
              <w:jc w:val="center"/>
              <w:rPr>
                <w:bCs/>
                <w:color w:val="auto"/>
                <w:szCs w:val="21"/>
              </w:rPr>
            </w:pPr>
            <w:r>
              <w:rPr>
                <w:bCs/>
                <w:color w:val="auto"/>
                <w:szCs w:val="21"/>
              </w:rPr>
              <w:t>沸点（℃）</w:t>
            </w:r>
          </w:p>
        </w:tc>
        <w:tc>
          <w:tcPr>
            <w:tcW w:w="5906" w:type="dxa"/>
            <w:gridSpan w:val="3"/>
            <w:vAlign w:val="center"/>
          </w:tcPr>
          <w:p>
            <w:pPr>
              <w:jc w:val="center"/>
              <w:rPr>
                <w:bCs/>
                <w:color w:val="auto"/>
                <w:szCs w:val="21"/>
              </w:rPr>
            </w:pPr>
            <w:r>
              <w:rPr>
                <w:rFonts w:hint="eastAsia"/>
                <w:bCs/>
                <w:color w:val="auto"/>
                <w:szCs w:val="21"/>
              </w:rPr>
              <w:t>102.2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915" w:type="dxa"/>
            <w:vMerge w:val="restart"/>
            <w:vAlign w:val="center"/>
          </w:tcPr>
          <w:p>
            <w:pPr>
              <w:jc w:val="center"/>
              <w:rPr>
                <w:bCs/>
                <w:color w:val="auto"/>
                <w:szCs w:val="21"/>
              </w:rPr>
            </w:pPr>
            <w:r>
              <w:rPr>
                <w:bCs/>
                <w:color w:val="auto"/>
                <w:szCs w:val="21"/>
              </w:rPr>
              <w:t>毒性与</w:t>
            </w:r>
          </w:p>
          <w:p>
            <w:pPr>
              <w:jc w:val="center"/>
              <w:rPr>
                <w:bCs/>
                <w:color w:val="auto"/>
                <w:szCs w:val="21"/>
              </w:rPr>
            </w:pPr>
            <w:r>
              <w:rPr>
                <w:bCs/>
                <w:color w:val="auto"/>
                <w:szCs w:val="21"/>
              </w:rPr>
              <w:t>危害</w:t>
            </w:r>
          </w:p>
        </w:tc>
        <w:tc>
          <w:tcPr>
            <w:tcW w:w="1620" w:type="dxa"/>
            <w:vAlign w:val="center"/>
          </w:tcPr>
          <w:p>
            <w:pPr>
              <w:jc w:val="center"/>
              <w:rPr>
                <w:bCs/>
                <w:color w:val="auto"/>
                <w:szCs w:val="21"/>
              </w:rPr>
            </w:pPr>
            <w:r>
              <w:rPr>
                <w:bCs/>
                <w:color w:val="auto"/>
                <w:szCs w:val="21"/>
              </w:rPr>
              <w:t>侵入途径</w:t>
            </w:r>
          </w:p>
        </w:tc>
        <w:tc>
          <w:tcPr>
            <w:tcW w:w="5906" w:type="dxa"/>
            <w:gridSpan w:val="3"/>
            <w:vAlign w:val="center"/>
          </w:tcPr>
          <w:p>
            <w:pPr>
              <w:jc w:val="center"/>
              <w:rPr>
                <w:bCs/>
                <w:color w:val="auto"/>
                <w:szCs w:val="21"/>
              </w:rPr>
            </w:pPr>
            <w:r>
              <w:rPr>
                <w:bCs/>
                <w:color w:val="auto"/>
                <w:szCs w:val="21"/>
              </w:rPr>
              <w:t>吸入、食入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915" w:type="dxa"/>
            <w:vMerge w:val="continue"/>
            <w:vAlign w:val="center"/>
          </w:tcPr>
          <w:p>
            <w:pPr>
              <w:jc w:val="center"/>
              <w:rPr>
                <w:bCs/>
                <w:color w:val="auto"/>
                <w:szCs w:val="21"/>
              </w:rPr>
            </w:pPr>
          </w:p>
        </w:tc>
        <w:tc>
          <w:tcPr>
            <w:tcW w:w="1620" w:type="dxa"/>
            <w:vAlign w:val="center"/>
          </w:tcPr>
          <w:p>
            <w:pPr>
              <w:jc w:val="center"/>
              <w:rPr>
                <w:bCs/>
                <w:color w:val="auto"/>
                <w:szCs w:val="21"/>
              </w:rPr>
            </w:pPr>
            <w:r>
              <w:rPr>
                <w:bCs/>
                <w:color w:val="auto"/>
                <w:szCs w:val="21"/>
              </w:rPr>
              <w:t>健康危害</w:t>
            </w:r>
          </w:p>
        </w:tc>
        <w:tc>
          <w:tcPr>
            <w:tcW w:w="5906" w:type="dxa"/>
            <w:gridSpan w:val="3"/>
          </w:tcPr>
          <w:p>
            <w:pPr>
              <w:rPr>
                <w:bCs/>
                <w:color w:val="auto"/>
                <w:szCs w:val="21"/>
              </w:rPr>
            </w:pPr>
            <w:r>
              <w:rPr>
                <w:rFonts w:hint="eastAsia"/>
                <w:bCs/>
                <w:color w:val="auto"/>
                <w:szCs w:val="21"/>
              </w:rPr>
              <w:t>次氯酸钠放出的游离氯可引起中毒，亦可引起皮肤病。已知本品有致敏作用。用次氯酸钠漂白液洗手的工人，手掌大量出汗，指甲变薄，毛发脱落。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2535" w:type="dxa"/>
            <w:gridSpan w:val="2"/>
            <w:vAlign w:val="center"/>
          </w:tcPr>
          <w:p>
            <w:pPr>
              <w:jc w:val="center"/>
              <w:rPr>
                <w:bCs/>
                <w:color w:val="auto"/>
                <w:szCs w:val="21"/>
              </w:rPr>
            </w:pPr>
            <w:r>
              <w:rPr>
                <w:bCs/>
                <w:color w:val="auto"/>
                <w:szCs w:val="21"/>
              </w:rPr>
              <w:t>燃爆危险</w:t>
            </w:r>
          </w:p>
        </w:tc>
        <w:tc>
          <w:tcPr>
            <w:tcW w:w="5906" w:type="dxa"/>
            <w:gridSpan w:val="3"/>
          </w:tcPr>
          <w:p>
            <w:pPr>
              <w:rPr>
                <w:bCs/>
                <w:color w:val="auto"/>
                <w:szCs w:val="21"/>
              </w:rPr>
            </w:pPr>
            <w:r>
              <w:rPr>
                <w:rFonts w:hint="eastAsia"/>
                <w:bCs/>
                <w:color w:val="auto"/>
                <w:szCs w:val="21"/>
              </w:rPr>
              <w:t>本品不燃。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2535" w:type="dxa"/>
            <w:gridSpan w:val="2"/>
            <w:vAlign w:val="center"/>
          </w:tcPr>
          <w:p>
            <w:pPr>
              <w:jc w:val="center"/>
              <w:rPr>
                <w:bCs/>
                <w:color w:val="auto"/>
                <w:szCs w:val="21"/>
              </w:rPr>
            </w:pPr>
            <w:r>
              <w:rPr>
                <w:bCs/>
                <w:color w:val="auto"/>
                <w:szCs w:val="21"/>
              </w:rPr>
              <w:t>危险特性</w:t>
            </w:r>
          </w:p>
        </w:tc>
        <w:tc>
          <w:tcPr>
            <w:tcW w:w="5906" w:type="dxa"/>
            <w:gridSpan w:val="3"/>
          </w:tcPr>
          <w:p>
            <w:pPr>
              <w:rPr>
                <w:bCs/>
                <w:color w:val="auto"/>
                <w:szCs w:val="21"/>
              </w:rPr>
            </w:pPr>
            <w:r>
              <w:rPr>
                <w:rFonts w:hint="eastAsia"/>
                <w:bCs/>
                <w:color w:val="auto"/>
                <w:szCs w:val="21"/>
              </w:rPr>
              <w:t>受高热分解产生有毒的腐蚀性烟气。具有腐蚀性。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2535" w:type="dxa"/>
            <w:gridSpan w:val="2"/>
            <w:vAlign w:val="center"/>
          </w:tcPr>
          <w:p>
            <w:pPr>
              <w:jc w:val="center"/>
              <w:rPr>
                <w:bCs/>
                <w:color w:val="auto"/>
                <w:szCs w:val="21"/>
              </w:rPr>
            </w:pPr>
            <w:r>
              <w:rPr>
                <w:bCs/>
                <w:color w:val="auto"/>
                <w:szCs w:val="21"/>
              </w:rPr>
              <w:t>主要用途</w:t>
            </w:r>
          </w:p>
        </w:tc>
        <w:tc>
          <w:tcPr>
            <w:tcW w:w="5906" w:type="dxa"/>
            <w:gridSpan w:val="3"/>
          </w:tcPr>
          <w:p>
            <w:pPr>
              <w:rPr>
                <w:bCs/>
                <w:color w:val="auto"/>
                <w:szCs w:val="21"/>
              </w:rPr>
            </w:pPr>
            <w:r>
              <w:rPr>
                <w:rFonts w:hint="eastAsia"/>
                <w:bCs/>
                <w:color w:val="auto"/>
                <w:szCs w:val="21"/>
              </w:rPr>
              <w:t>用于水的净化，以及作消毒剂、纸浆漂白等，医药工业中用制氯胺等。</w:t>
            </w:r>
          </w:p>
        </w:tc>
      </w:tr>
    </w:tbl>
    <w:p>
      <w:pPr>
        <w:pStyle w:val="1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4"/>
        </w:rPr>
      </w:pPr>
    </w:p>
    <w:p>
      <w:pPr>
        <w:pStyle w:val="1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4"/>
        </w:rPr>
      </w:pPr>
    </w:p>
    <w:p>
      <w:pPr>
        <w:pStyle w:val="1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4"/>
        </w:rPr>
      </w:pPr>
    </w:p>
    <w:p>
      <w:pPr>
        <w:pStyle w:val="1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4"/>
        </w:rPr>
      </w:pPr>
    </w:p>
    <w:p>
      <w:pPr>
        <w:pStyle w:val="1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bCs/>
          <w:color w:val="auto"/>
          <w:sz w:val="24"/>
        </w:rPr>
      </w:pPr>
    </w:p>
    <w:p>
      <w:pPr>
        <w:pStyle w:val="1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bCs/>
          <w:color w:val="auto"/>
          <w:sz w:val="24"/>
        </w:rPr>
      </w:pPr>
    </w:p>
    <w:p>
      <w:pPr>
        <w:pStyle w:val="1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4"/>
        </w:rPr>
      </w:pPr>
    </w:p>
    <w:p>
      <w:pPr>
        <w:pStyle w:val="1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4"/>
        </w:rPr>
      </w:pPr>
    </w:p>
    <w:p>
      <w:pPr>
        <w:pStyle w:val="1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4"/>
        </w:rPr>
      </w:pPr>
    </w:p>
    <w:p>
      <w:pPr>
        <w:pStyle w:val="1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4"/>
        </w:rPr>
      </w:pPr>
    </w:p>
    <w:p>
      <w:pPr>
        <w:pStyle w:val="1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4"/>
        </w:rPr>
      </w:pPr>
    </w:p>
    <w:p>
      <w:pPr>
        <w:pStyle w:val="1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4"/>
        </w:rPr>
      </w:pPr>
    </w:p>
    <w:p>
      <w:pPr>
        <w:pStyle w:val="1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FF0000"/>
          <w:sz w:val="24"/>
          <w:szCs w:val="24"/>
          <w:lang w:val="en-US" w:eastAsia="zh-CN"/>
        </w:rPr>
      </w:pPr>
      <w:r>
        <w:rPr>
          <w:rFonts w:hint="default" w:ascii="Times New Roman" w:hAnsi="Times New Roman" w:eastAsia="宋体" w:cs="Times New Roman"/>
          <w:b/>
          <w:bCs/>
          <w:color w:val="auto"/>
          <w:sz w:val="24"/>
        </w:rPr>
        <w:t>表</w:t>
      </w:r>
      <w:r>
        <w:rPr>
          <w:rFonts w:hint="eastAsia" w:ascii="Times New Roman" w:hAnsi="Times New Roman" w:eastAsia="宋体" w:cs="Times New Roman"/>
          <w:b/>
          <w:bCs/>
          <w:color w:val="auto"/>
          <w:sz w:val="24"/>
          <w:lang w:val="en-US" w:eastAsia="zh-CN"/>
        </w:rPr>
        <w:t>3-3-17</w:t>
      </w:r>
      <w:r>
        <w:rPr>
          <w:rFonts w:hint="default" w:ascii="Times New Roman" w:hAnsi="Times New Roman" w:eastAsia="宋体" w:cs="Times New Roman"/>
          <w:b/>
          <w:bCs/>
          <w:color w:val="auto"/>
          <w:sz w:val="24"/>
        </w:rPr>
        <w:t xml:space="preserve">  </w:t>
      </w:r>
      <w:r>
        <w:rPr>
          <w:rFonts w:hint="eastAsia" w:ascii="Times New Roman" w:hAnsi="Times New Roman" w:eastAsia="宋体" w:cs="Times New Roman"/>
          <w:b/>
          <w:bCs/>
          <w:color w:val="auto"/>
          <w:sz w:val="24"/>
          <w:lang w:val="en-US" w:eastAsia="zh-CN"/>
        </w:rPr>
        <w:t>液氨的理化性质及危险特性</w:t>
      </w:r>
    </w:p>
    <w:p>
      <w:pPr>
        <w:pStyle w:val="1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FF0000"/>
          <w:sz w:val="24"/>
          <w:szCs w:val="24"/>
          <w:lang w:val="en-US" w:eastAsia="zh-CN"/>
        </w:rPr>
      </w:pPr>
      <w:r>
        <w:drawing>
          <wp:inline distT="0" distB="0" distL="114300" distR="114300">
            <wp:extent cx="5269230" cy="6271260"/>
            <wp:effectExtent l="0" t="0" r="7620" b="15240"/>
            <wp:docPr id="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4"/>
                    <pic:cNvPicPr>
                      <a:picLocks noChangeAspect="1"/>
                    </pic:cNvPicPr>
                  </pic:nvPicPr>
                  <pic:blipFill>
                    <a:blip r:embed="rId37"/>
                    <a:srcRect t="584"/>
                    <a:stretch>
                      <a:fillRect/>
                    </a:stretch>
                  </pic:blipFill>
                  <pic:spPr>
                    <a:xfrm>
                      <a:off x="0" y="0"/>
                      <a:ext cx="5269230" cy="6271260"/>
                    </a:xfrm>
                    <a:prstGeom prst="rect">
                      <a:avLst/>
                    </a:prstGeom>
                    <a:noFill/>
                    <a:ln>
                      <a:noFill/>
                    </a:ln>
                  </pic:spPr>
                </pic:pic>
              </a:graphicData>
            </a:graphic>
          </wp:inline>
        </w:drawing>
      </w:r>
    </w:p>
    <w:p>
      <w:pPr>
        <w:bidi w:val="0"/>
      </w:pPr>
      <w:r>
        <w:drawing>
          <wp:inline distT="0" distB="0" distL="114300" distR="114300">
            <wp:extent cx="5269230" cy="6304915"/>
            <wp:effectExtent l="0" t="0" r="7620" b="635"/>
            <wp:docPr id="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5"/>
                    <pic:cNvPicPr>
                      <a:picLocks noChangeAspect="1"/>
                    </pic:cNvPicPr>
                  </pic:nvPicPr>
                  <pic:blipFill>
                    <a:blip r:embed="rId38"/>
                    <a:stretch>
                      <a:fillRect/>
                    </a:stretch>
                  </pic:blipFill>
                  <pic:spPr>
                    <a:xfrm>
                      <a:off x="0" y="0"/>
                      <a:ext cx="5269230" cy="6304915"/>
                    </a:xfrm>
                    <a:prstGeom prst="rect">
                      <a:avLst/>
                    </a:prstGeom>
                    <a:noFill/>
                    <a:ln>
                      <a:noFill/>
                    </a:ln>
                  </pic:spPr>
                </pic:pic>
              </a:graphicData>
            </a:graphic>
          </wp:inline>
        </w:drawing>
      </w:r>
    </w:p>
    <w:p>
      <w:pPr>
        <w:spacing w:line="360" w:lineRule="auto"/>
        <w:contextualSpacing/>
        <w:outlineLvl w:val="3"/>
        <w:rPr>
          <w:rFonts w:eastAsiaTheme="minorEastAsia"/>
          <w:b/>
          <w:color w:val="auto"/>
          <w:sz w:val="24"/>
        </w:rPr>
      </w:pPr>
      <w:r>
        <w:rPr>
          <w:rFonts w:eastAsiaTheme="minorEastAsia"/>
          <w:b/>
          <w:color w:val="auto"/>
          <w:sz w:val="24"/>
        </w:rPr>
        <w:t>3.</w:t>
      </w:r>
      <w:r>
        <w:rPr>
          <w:rFonts w:hint="eastAsia" w:eastAsiaTheme="minorEastAsia"/>
          <w:b/>
          <w:color w:val="auto"/>
          <w:sz w:val="24"/>
        </w:rPr>
        <w:t>3</w:t>
      </w:r>
      <w:r>
        <w:rPr>
          <w:rFonts w:eastAsiaTheme="minorEastAsia"/>
          <w:b/>
          <w:color w:val="auto"/>
          <w:sz w:val="24"/>
        </w:rPr>
        <w:t>.3.2危险物质数量与临界量比值（Q）</w:t>
      </w:r>
    </w:p>
    <w:p>
      <w:pPr>
        <w:pStyle w:val="74"/>
        <w:adjustRightInd/>
        <w:snapToGrid/>
        <w:jc w:val="both"/>
        <w:rPr>
          <w:rFonts w:ascii="Times New Roman" w:hAnsi="Times New Roman" w:cs="Times New Roman"/>
          <w:color w:val="auto"/>
        </w:rPr>
      </w:pPr>
      <w:r>
        <w:rPr>
          <w:rFonts w:ascii="Times New Roman" w:cs="Times New Roman" w:hAnsiTheme="minorEastAsia"/>
          <w:color w:val="auto"/>
        </w:rPr>
        <w:t>本项目涉及危险物质主要为次氯酸钠，小于</w:t>
      </w:r>
      <w:r>
        <w:rPr>
          <w:rFonts w:hint="eastAsia" w:ascii="Times New Roman" w:cs="Times New Roman" w:hAnsiTheme="minorEastAsia"/>
          <w:color w:val="auto"/>
        </w:rPr>
        <w:t>5</w:t>
      </w:r>
      <w:r>
        <w:rPr>
          <w:rFonts w:ascii="Times New Roman" w:cs="Times New Roman" w:hAnsiTheme="minorEastAsia"/>
          <w:color w:val="auto"/>
        </w:rPr>
        <w:t>t（临界量）</w:t>
      </w:r>
      <w:r>
        <w:rPr>
          <w:rFonts w:hint="eastAsia" w:ascii="Times New Roman" w:cs="Times New Roman" w:hAnsiTheme="minorEastAsia"/>
          <w:color w:val="auto"/>
          <w:lang w:eastAsia="zh-CN"/>
        </w:rPr>
        <w:t>，</w:t>
      </w:r>
      <w:r>
        <w:rPr>
          <w:rFonts w:hint="eastAsia" w:ascii="Times New Roman" w:cs="Times New Roman" w:hAnsiTheme="minorEastAsia"/>
          <w:color w:val="auto"/>
          <w:lang w:val="en-US" w:eastAsia="zh-CN"/>
        </w:rPr>
        <w:t>液氨，小于临界量10t</w:t>
      </w:r>
      <w:r>
        <w:rPr>
          <w:rFonts w:ascii="Times New Roman" w:cs="Times New Roman" w:hAnsiTheme="minorEastAsia"/>
          <w:color w:val="auto"/>
        </w:rPr>
        <w:t>。</w:t>
      </w:r>
    </w:p>
    <w:p>
      <w:pPr>
        <w:pStyle w:val="74"/>
        <w:adjustRightInd/>
        <w:snapToGrid/>
        <w:jc w:val="both"/>
        <w:rPr>
          <w:rFonts w:ascii="Times New Roman" w:hAnsi="Times New Roman" w:cs="Times New Roman"/>
          <w:color w:val="auto"/>
        </w:rPr>
      </w:pPr>
      <w:r>
        <w:rPr>
          <w:rFonts w:ascii="Times New Roman" w:cs="Times New Roman" w:hAnsiTheme="minorEastAsia"/>
          <w:color w:val="auto"/>
        </w:rPr>
        <w:t>当只涉及一种危险物质时，计算该物质的总量与其临界量的比值，即为</w:t>
      </w:r>
      <w:r>
        <w:rPr>
          <w:rFonts w:ascii="Times New Roman" w:hAnsi="Times New Roman" w:cs="Times New Roman"/>
          <w:color w:val="auto"/>
        </w:rPr>
        <w:t>Q</w:t>
      </w:r>
      <w:r>
        <w:rPr>
          <w:rFonts w:ascii="Times New Roman" w:cs="Times New Roman" w:hAnsiTheme="minorEastAsia"/>
          <w:color w:val="auto"/>
        </w:rPr>
        <w:t>；当存在多种危险物质时，则按如下公式计算物质总量与其临界量比值（</w:t>
      </w:r>
      <w:r>
        <w:rPr>
          <w:rFonts w:ascii="Times New Roman" w:hAnsi="Times New Roman" w:cs="Times New Roman"/>
          <w:color w:val="auto"/>
        </w:rPr>
        <w:t>Q</w:t>
      </w:r>
      <w:r>
        <w:rPr>
          <w:rFonts w:ascii="Times New Roman" w:cs="Times New Roman" w:hAnsiTheme="minorEastAsia"/>
          <w:color w:val="auto"/>
        </w:rPr>
        <w:t>）：</w:t>
      </w:r>
    </w:p>
    <w:p>
      <w:pPr>
        <w:pStyle w:val="74"/>
        <w:adjustRightInd/>
        <w:snapToGrid/>
        <w:jc w:val="both"/>
        <w:rPr>
          <w:rFonts w:ascii="Times New Roman" w:hAnsi="Times New Roman" w:cs="Times New Roman"/>
          <w:bCs/>
          <w:i/>
          <w:color w:val="auto"/>
        </w:rPr>
      </w:pPr>
      <w:r>
        <w:rPr>
          <w:rFonts w:ascii="Times New Roman" w:hAnsi="Times New Roman" w:cs="Times New Roman"/>
          <w:bCs/>
          <w:i/>
          <w:color w:val="auto"/>
        </w:rPr>
        <w:t>q</w:t>
      </w:r>
      <w:r>
        <w:rPr>
          <w:rFonts w:ascii="Times New Roman" w:hAnsi="Times New Roman" w:cs="Times New Roman"/>
          <w:bCs/>
          <w:color w:val="auto"/>
          <w:vertAlign w:val="subscript"/>
        </w:rPr>
        <w:t>1</w:t>
      </w:r>
      <w:r>
        <w:rPr>
          <w:rFonts w:ascii="Times New Roman" w:hAnsi="Times New Roman" w:cs="Times New Roman"/>
          <w:bCs/>
          <w:i/>
          <w:color w:val="auto"/>
        </w:rPr>
        <w:t>/Q</w:t>
      </w:r>
      <w:r>
        <w:rPr>
          <w:rFonts w:ascii="Times New Roman" w:hAnsi="Times New Roman" w:cs="Times New Roman"/>
          <w:bCs/>
          <w:color w:val="auto"/>
          <w:vertAlign w:val="subscript"/>
        </w:rPr>
        <w:t>1</w:t>
      </w:r>
      <w:r>
        <w:rPr>
          <w:rFonts w:ascii="Times New Roman" w:cs="Times New Roman" w:hAnsiTheme="minorEastAsia"/>
          <w:bCs/>
          <w:color w:val="auto"/>
        </w:rPr>
        <w:t>＋</w:t>
      </w:r>
      <w:r>
        <w:rPr>
          <w:rFonts w:ascii="Times New Roman" w:hAnsi="Times New Roman" w:cs="Times New Roman"/>
          <w:bCs/>
          <w:i/>
          <w:color w:val="auto"/>
        </w:rPr>
        <w:t>q</w:t>
      </w:r>
      <w:r>
        <w:rPr>
          <w:rFonts w:ascii="Times New Roman" w:hAnsi="Times New Roman" w:cs="Times New Roman"/>
          <w:bCs/>
          <w:color w:val="auto"/>
          <w:vertAlign w:val="subscript"/>
        </w:rPr>
        <w:t>2</w:t>
      </w:r>
      <w:r>
        <w:rPr>
          <w:rFonts w:ascii="Times New Roman" w:hAnsi="Times New Roman" w:cs="Times New Roman"/>
          <w:bCs/>
          <w:i/>
          <w:color w:val="auto"/>
        </w:rPr>
        <w:t>/Q</w:t>
      </w:r>
      <w:r>
        <w:rPr>
          <w:rFonts w:ascii="Times New Roman" w:hAnsi="Times New Roman" w:cs="Times New Roman"/>
          <w:bCs/>
          <w:color w:val="auto"/>
          <w:vertAlign w:val="subscript"/>
        </w:rPr>
        <w:t>2</w:t>
      </w:r>
      <w:r>
        <w:rPr>
          <w:rFonts w:ascii="Times New Roman" w:cs="Times New Roman" w:hAnsiTheme="minorEastAsia"/>
          <w:bCs/>
          <w:color w:val="auto"/>
        </w:rPr>
        <w:t>＋</w:t>
      </w:r>
      <w:r>
        <w:rPr>
          <w:rFonts w:ascii="Times New Roman" w:hAnsi="Times New Roman" w:cs="Times New Roman"/>
          <w:bCs/>
          <w:i/>
          <w:color w:val="auto"/>
        </w:rPr>
        <w:t>……</w:t>
      </w:r>
      <w:r>
        <w:rPr>
          <w:rFonts w:ascii="Times New Roman" w:cs="Times New Roman" w:hAnsiTheme="minorEastAsia"/>
          <w:bCs/>
          <w:color w:val="auto"/>
        </w:rPr>
        <w:t>＋</w:t>
      </w:r>
      <w:r>
        <w:rPr>
          <w:rFonts w:ascii="Times New Roman" w:hAnsi="Times New Roman" w:cs="Times New Roman"/>
          <w:bCs/>
          <w:i/>
          <w:color w:val="auto"/>
        </w:rPr>
        <w:t>q</w:t>
      </w:r>
      <w:r>
        <w:rPr>
          <w:rFonts w:ascii="Times New Roman" w:hAnsi="Times New Roman" w:cs="Times New Roman"/>
          <w:bCs/>
          <w:color w:val="auto"/>
          <w:vertAlign w:val="subscript"/>
        </w:rPr>
        <w:t>n</w:t>
      </w:r>
      <w:r>
        <w:rPr>
          <w:rFonts w:ascii="Times New Roman" w:hAnsi="Times New Roman" w:cs="Times New Roman"/>
          <w:bCs/>
          <w:i/>
          <w:color w:val="auto"/>
        </w:rPr>
        <w:t>/Q</w:t>
      </w:r>
      <w:r>
        <w:rPr>
          <w:rFonts w:ascii="Times New Roman" w:hAnsi="Times New Roman" w:cs="Times New Roman"/>
          <w:bCs/>
          <w:color w:val="auto"/>
          <w:vertAlign w:val="subscript"/>
        </w:rPr>
        <w:t>n</w:t>
      </w:r>
      <w:r>
        <w:rPr>
          <w:rFonts w:ascii="Times New Roman" w:hAnsi="Times New Roman" w:cs="Times New Roman"/>
          <w:bCs/>
          <w:i/>
          <w:color w:val="auto"/>
        </w:rPr>
        <w:t>≥</w:t>
      </w:r>
      <w:r>
        <w:rPr>
          <w:rFonts w:ascii="Times New Roman" w:hAnsi="Times New Roman" w:cs="Times New Roman"/>
          <w:bCs/>
          <w:color w:val="auto"/>
        </w:rPr>
        <w:t>1</w:t>
      </w:r>
    </w:p>
    <w:p>
      <w:pPr>
        <w:pStyle w:val="74"/>
        <w:adjustRightInd/>
        <w:snapToGrid/>
        <w:jc w:val="both"/>
        <w:rPr>
          <w:rFonts w:ascii="Times New Roman" w:hAnsi="Times New Roman" w:cs="Times New Roman"/>
          <w:color w:val="auto"/>
        </w:rPr>
      </w:pPr>
      <w:r>
        <w:rPr>
          <w:rFonts w:ascii="Times New Roman" w:cs="Times New Roman" w:hAnsiTheme="minorEastAsia"/>
          <w:color w:val="auto"/>
        </w:rPr>
        <w:t>式中：</w:t>
      </w:r>
      <w:r>
        <w:rPr>
          <w:rFonts w:ascii="Times New Roman" w:hAnsi="Times New Roman" w:cs="Times New Roman"/>
          <w:i/>
          <w:color w:val="auto"/>
        </w:rPr>
        <w:t>q</w:t>
      </w:r>
      <w:r>
        <w:rPr>
          <w:rFonts w:ascii="Times New Roman" w:hAnsi="Times New Roman" w:cs="Times New Roman"/>
          <w:color w:val="auto"/>
          <w:vertAlign w:val="subscript"/>
        </w:rPr>
        <w:t>1</w:t>
      </w:r>
      <w:r>
        <w:rPr>
          <w:rFonts w:ascii="Times New Roman" w:cs="Times New Roman" w:hAnsiTheme="minorEastAsia"/>
          <w:color w:val="auto"/>
        </w:rPr>
        <w:t>，</w:t>
      </w:r>
      <w:r>
        <w:rPr>
          <w:rFonts w:ascii="Times New Roman" w:hAnsi="Times New Roman" w:cs="Times New Roman"/>
          <w:i/>
          <w:color w:val="auto"/>
        </w:rPr>
        <w:t>q</w:t>
      </w:r>
      <w:r>
        <w:rPr>
          <w:rFonts w:ascii="Times New Roman" w:hAnsi="Times New Roman" w:cs="Times New Roman"/>
          <w:color w:val="auto"/>
          <w:vertAlign w:val="subscript"/>
        </w:rPr>
        <w:t>2</w:t>
      </w:r>
      <w:r>
        <w:rPr>
          <w:rFonts w:ascii="Times New Roman" w:hAnsi="Times New Roman" w:cs="Times New Roman"/>
          <w:color w:val="auto"/>
        </w:rPr>
        <w:t>……</w:t>
      </w:r>
      <w:r>
        <w:rPr>
          <w:rFonts w:ascii="Times New Roman" w:hAnsi="Times New Roman" w:cs="Times New Roman"/>
          <w:i/>
          <w:color w:val="auto"/>
        </w:rPr>
        <w:t>q</w:t>
      </w:r>
      <w:r>
        <w:rPr>
          <w:rFonts w:ascii="Times New Roman" w:hAnsi="Times New Roman" w:cs="Times New Roman"/>
          <w:color w:val="auto"/>
          <w:vertAlign w:val="subscript"/>
        </w:rPr>
        <w:t>n</w:t>
      </w:r>
      <w:r>
        <w:rPr>
          <w:rFonts w:ascii="Times New Roman" w:hAnsi="Times New Roman" w:cs="Times New Roman"/>
          <w:color w:val="auto"/>
        </w:rPr>
        <w:t>—</w:t>
      </w:r>
      <w:r>
        <w:rPr>
          <w:rFonts w:ascii="Times New Roman" w:cs="Times New Roman" w:hAnsiTheme="minorEastAsia"/>
          <w:color w:val="auto"/>
        </w:rPr>
        <w:t>每种危险物质实际存在总量，</w:t>
      </w:r>
      <w:r>
        <w:rPr>
          <w:rFonts w:ascii="Times New Roman" w:hAnsi="Times New Roman" w:cs="Times New Roman"/>
          <w:color w:val="auto"/>
        </w:rPr>
        <w:t>t</w:t>
      </w:r>
      <w:r>
        <w:rPr>
          <w:rFonts w:ascii="Times New Roman" w:cs="Times New Roman" w:hAnsiTheme="minorEastAsia"/>
          <w:color w:val="auto"/>
        </w:rPr>
        <w:t>。</w:t>
      </w:r>
    </w:p>
    <w:p>
      <w:pPr>
        <w:pStyle w:val="74"/>
        <w:adjustRightInd/>
        <w:snapToGrid/>
        <w:jc w:val="both"/>
        <w:rPr>
          <w:rFonts w:ascii="Times New Roman" w:hAnsi="Times New Roman" w:cs="Times New Roman"/>
          <w:color w:val="auto"/>
        </w:rPr>
      </w:pPr>
      <w:r>
        <w:rPr>
          <w:rFonts w:ascii="Times New Roman" w:hAnsi="Times New Roman" w:cs="Times New Roman"/>
          <w:i/>
          <w:color w:val="auto"/>
        </w:rPr>
        <w:t>Q</w:t>
      </w:r>
      <w:r>
        <w:rPr>
          <w:rFonts w:ascii="Times New Roman" w:hAnsi="Times New Roman" w:cs="Times New Roman"/>
          <w:color w:val="auto"/>
          <w:vertAlign w:val="subscript"/>
        </w:rPr>
        <w:t>1</w:t>
      </w:r>
      <w:r>
        <w:rPr>
          <w:rFonts w:ascii="Times New Roman" w:cs="Times New Roman" w:hAnsiTheme="minorEastAsia"/>
          <w:color w:val="auto"/>
        </w:rPr>
        <w:t>，</w:t>
      </w:r>
      <w:r>
        <w:rPr>
          <w:rFonts w:ascii="Times New Roman" w:hAnsi="Times New Roman" w:cs="Times New Roman"/>
          <w:i/>
          <w:color w:val="auto"/>
        </w:rPr>
        <w:t>Q</w:t>
      </w:r>
      <w:r>
        <w:rPr>
          <w:rFonts w:ascii="Times New Roman" w:hAnsi="Times New Roman" w:cs="Times New Roman"/>
          <w:color w:val="auto"/>
          <w:vertAlign w:val="subscript"/>
        </w:rPr>
        <w:t>2</w:t>
      </w:r>
      <w:r>
        <w:rPr>
          <w:rFonts w:ascii="Times New Roman" w:hAnsi="Times New Roman" w:cs="Times New Roman"/>
          <w:color w:val="auto"/>
        </w:rPr>
        <w:t>……</w:t>
      </w:r>
      <w:r>
        <w:rPr>
          <w:rFonts w:ascii="Times New Roman" w:hAnsi="Times New Roman" w:cs="Times New Roman"/>
          <w:i/>
          <w:color w:val="auto"/>
        </w:rPr>
        <w:t>Q</w:t>
      </w:r>
      <w:r>
        <w:rPr>
          <w:rFonts w:ascii="Times New Roman" w:hAnsi="Times New Roman" w:cs="Times New Roman"/>
          <w:color w:val="auto"/>
          <w:vertAlign w:val="subscript"/>
        </w:rPr>
        <w:t>n</w:t>
      </w:r>
      <w:r>
        <w:rPr>
          <w:rFonts w:ascii="Times New Roman" w:hAnsi="Times New Roman" w:cs="Times New Roman"/>
          <w:color w:val="auto"/>
        </w:rPr>
        <w:t>—</w:t>
      </w:r>
      <w:r>
        <w:rPr>
          <w:rFonts w:ascii="Times New Roman" w:cs="Times New Roman" w:hAnsiTheme="minorEastAsia"/>
          <w:color w:val="auto"/>
        </w:rPr>
        <w:t>每种危险物质的临界量，</w:t>
      </w:r>
      <w:r>
        <w:rPr>
          <w:rFonts w:ascii="Times New Roman" w:hAnsi="Times New Roman" w:cs="Times New Roman"/>
          <w:color w:val="auto"/>
        </w:rPr>
        <w:t>t</w:t>
      </w:r>
      <w:r>
        <w:rPr>
          <w:rFonts w:ascii="Times New Roman" w:cs="Times New Roman" w:hAnsiTheme="minorEastAsia"/>
          <w:color w:val="auto"/>
        </w:rPr>
        <w:t>。</w:t>
      </w:r>
    </w:p>
    <w:p>
      <w:pPr>
        <w:pStyle w:val="74"/>
        <w:adjustRightInd/>
        <w:snapToGrid/>
        <w:jc w:val="both"/>
        <w:rPr>
          <w:rFonts w:ascii="Times New Roman" w:hAnsi="Times New Roman" w:cs="Times New Roman"/>
          <w:color w:val="auto"/>
        </w:rPr>
      </w:pPr>
      <w:r>
        <w:rPr>
          <w:rFonts w:ascii="Times New Roman" w:cs="Times New Roman" w:hAnsiTheme="minorEastAsia"/>
          <w:color w:val="auto"/>
        </w:rPr>
        <w:t>当</w:t>
      </w:r>
      <w:r>
        <w:rPr>
          <w:rFonts w:ascii="Times New Roman" w:hAnsi="Times New Roman" w:cs="Times New Roman"/>
          <w:color w:val="auto"/>
        </w:rPr>
        <w:t>Q</w:t>
      </w:r>
      <w:r>
        <w:rPr>
          <w:rFonts w:ascii="Times New Roman" w:cs="Times New Roman" w:hAnsiTheme="minorEastAsia"/>
          <w:color w:val="auto"/>
        </w:rPr>
        <w:t>＜</w:t>
      </w:r>
      <w:r>
        <w:rPr>
          <w:rFonts w:ascii="Times New Roman" w:hAnsi="Times New Roman" w:cs="Times New Roman"/>
          <w:color w:val="auto"/>
        </w:rPr>
        <w:t>1</w:t>
      </w:r>
      <w:r>
        <w:rPr>
          <w:rFonts w:ascii="Times New Roman" w:cs="Times New Roman" w:hAnsiTheme="minorEastAsia"/>
          <w:color w:val="auto"/>
        </w:rPr>
        <w:t>时，该项目环境风险潜势为</w:t>
      </w:r>
      <w:r>
        <w:rPr>
          <w:rFonts w:ascii="Times New Roman" w:hAnsi="Times New Roman" w:cs="Times New Roman"/>
          <w:color w:val="auto"/>
        </w:rPr>
        <w:fldChar w:fldCharType="begin"/>
      </w:r>
      <w:r>
        <w:rPr>
          <w:rFonts w:ascii="Times New Roman" w:hAnsi="Times New Roman" w:cs="Times New Roman"/>
          <w:color w:val="auto"/>
        </w:rPr>
        <w:instrText xml:space="preserve"> = 1 \* ROMAN </w:instrText>
      </w:r>
      <w:r>
        <w:rPr>
          <w:rFonts w:ascii="Times New Roman" w:hAnsi="Times New Roman" w:cs="Times New Roman"/>
          <w:color w:val="auto"/>
        </w:rPr>
        <w:fldChar w:fldCharType="separate"/>
      </w:r>
      <w:r>
        <w:rPr>
          <w:rFonts w:ascii="Times New Roman" w:hAnsi="Times New Roman" w:cs="Times New Roman"/>
          <w:color w:val="auto"/>
        </w:rPr>
        <w:t>I</w:t>
      </w:r>
      <w:r>
        <w:rPr>
          <w:rFonts w:ascii="Times New Roman" w:hAnsi="Times New Roman" w:cs="Times New Roman"/>
          <w:color w:val="auto"/>
        </w:rPr>
        <w:fldChar w:fldCharType="end"/>
      </w:r>
      <w:r>
        <w:rPr>
          <w:rFonts w:ascii="Times New Roman" w:cs="Times New Roman" w:hAnsiTheme="minorEastAsia"/>
          <w:color w:val="auto"/>
        </w:rPr>
        <w:t>。</w:t>
      </w:r>
    </w:p>
    <w:p>
      <w:pPr>
        <w:pStyle w:val="74"/>
        <w:adjustRightInd/>
        <w:snapToGrid/>
        <w:jc w:val="both"/>
        <w:rPr>
          <w:rFonts w:ascii="Times New Roman" w:hAnsi="Times New Roman" w:cs="Times New Roman"/>
          <w:color w:val="auto"/>
        </w:rPr>
      </w:pPr>
      <w:r>
        <w:rPr>
          <w:rFonts w:ascii="Times New Roman" w:cs="Times New Roman" w:hAnsiTheme="minorEastAsia"/>
          <w:color w:val="auto"/>
        </w:rPr>
        <w:t>当</w:t>
      </w:r>
      <w:r>
        <w:rPr>
          <w:rFonts w:ascii="Times New Roman" w:hAnsi="Times New Roman" w:cs="Times New Roman"/>
          <w:color w:val="auto"/>
        </w:rPr>
        <w:t>Q≥1</w:t>
      </w:r>
      <w:r>
        <w:rPr>
          <w:rFonts w:ascii="Times New Roman" w:cs="Times New Roman" w:hAnsiTheme="minorEastAsia"/>
          <w:color w:val="auto"/>
        </w:rPr>
        <w:t>时，将</w:t>
      </w:r>
      <w:r>
        <w:rPr>
          <w:rFonts w:ascii="Times New Roman" w:hAnsi="Times New Roman" w:cs="Times New Roman"/>
          <w:color w:val="auto"/>
        </w:rPr>
        <w:t>Q</w:t>
      </w:r>
      <w:r>
        <w:rPr>
          <w:rFonts w:ascii="Times New Roman" w:cs="Times New Roman" w:hAnsiTheme="minorEastAsia"/>
          <w:color w:val="auto"/>
        </w:rPr>
        <w:t>值划分为：（</w:t>
      </w:r>
      <w:r>
        <w:rPr>
          <w:rFonts w:ascii="Times New Roman" w:hAnsi="Times New Roman" w:cs="Times New Roman"/>
          <w:color w:val="auto"/>
        </w:rPr>
        <w:t>1</w:t>
      </w:r>
      <w:r>
        <w:rPr>
          <w:rFonts w:ascii="Times New Roman" w:cs="Times New Roman" w:hAnsiTheme="minorEastAsia"/>
          <w:color w:val="auto"/>
        </w:rPr>
        <w:t>）</w:t>
      </w:r>
      <w:r>
        <w:rPr>
          <w:rFonts w:ascii="Times New Roman" w:hAnsi="Times New Roman" w:cs="Times New Roman"/>
          <w:color w:val="auto"/>
        </w:rPr>
        <w:t>1≤Q</w:t>
      </w:r>
      <w:r>
        <w:rPr>
          <w:rFonts w:ascii="Times New Roman" w:cs="Times New Roman" w:hAnsiTheme="minorEastAsia"/>
          <w:color w:val="auto"/>
        </w:rPr>
        <w:t>＜</w:t>
      </w:r>
      <w:r>
        <w:rPr>
          <w:rFonts w:ascii="Times New Roman" w:hAnsi="Times New Roman" w:cs="Times New Roman"/>
          <w:color w:val="auto"/>
        </w:rPr>
        <w:t>10</w:t>
      </w:r>
      <w:r>
        <w:rPr>
          <w:rFonts w:ascii="Times New Roman" w:cs="Times New Roman" w:hAnsiTheme="minorEastAsia"/>
          <w:color w:val="auto"/>
        </w:rPr>
        <w:t>；（</w:t>
      </w:r>
      <w:r>
        <w:rPr>
          <w:rFonts w:ascii="Times New Roman" w:hAnsi="Times New Roman" w:cs="Times New Roman"/>
          <w:color w:val="auto"/>
        </w:rPr>
        <w:t>2</w:t>
      </w:r>
      <w:r>
        <w:rPr>
          <w:rFonts w:ascii="Times New Roman" w:cs="Times New Roman" w:hAnsiTheme="minorEastAsia"/>
          <w:color w:val="auto"/>
        </w:rPr>
        <w:t>）</w:t>
      </w:r>
      <w:r>
        <w:rPr>
          <w:rFonts w:ascii="Times New Roman" w:hAnsi="Times New Roman" w:cs="Times New Roman"/>
          <w:color w:val="auto"/>
        </w:rPr>
        <w:t>10≤Q</w:t>
      </w:r>
      <w:r>
        <w:rPr>
          <w:rFonts w:ascii="Times New Roman" w:cs="Times New Roman" w:hAnsiTheme="minorEastAsia"/>
          <w:color w:val="auto"/>
        </w:rPr>
        <w:t>＜</w:t>
      </w:r>
      <w:r>
        <w:rPr>
          <w:rFonts w:ascii="Times New Roman" w:hAnsi="Times New Roman" w:cs="Times New Roman"/>
          <w:color w:val="auto"/>
        </w:rPr>
        <w:t>100</w:t>
      </w:r>
      <w:r>
        <w:rPr>
          <w:rFonts w:ascii="Times New Roman" w:cs="Times New Roman" w:hAnsiTheme="minorEastAsia"/>
          <w:color w:val="auto"/>
        </w:rPr>
        <w:t>；（</w:t>
      </w:r>
      <w:r>
        <w:rPr>
          <w:rFonts w:ascii="Times New Roman" w:hAnsi="Times New Roman" w:cs="Times New Roman"/>
          <w:color w:val="auto"/>
        </w:rPr>
        <w:t>3</w:t>
      </w:r>
      <w:r>
        <w:rPr>
          <w:rFonts w:ascii="Times New Roman" w:cs="Times New Roman" w:hAnsiTheme="minorEastAsia"/>
          <w:color w:val="auto"/>
        </w:rPr>
        <w:t>）</w:t>
      </w:r>
      <w:r>
        <w:rPr>
          <w:rFonts w:ascii="Times New Roman" w:hAnsi="Times New Roman" w:cs="Times New Roman"/>
          <w:color w:val="auto"/>
        </w:rPr>
        <w:t>Q≥100</w:t>
      </w:r>
      <w:r>
        <w:rPr>
          <w:rFonts w:ascii="Times New Roman" w:cs="Times New Roman" w:hAnsiTheme="minorEastAsia"/>
          <w:color w:val="auto"/>
        </w:rPr>
        <w:t>。</w:t>
      </w:r>
    </w:p>
    <w:p>
      <w:pPr>
        <w:pStyle w:val="7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ascii="Times New Roman" w:hAnsi="Times New Roman" w:cs="Times New Roman" w:eastAsiaTheme="minorEastAsia"/>
          <w:color w:val="auto"/>
          <w:sz w:val="24"/>
          <w:szCs w:val="24"/>
        </w:rPr>
      </w:pPr>
      <w:r>
        <w:rPr>
          <w:rFonts w:ascii="Times New Roman" w:cs="Times New Roman" w:hAnsiTheme="minorEastAsia" w:eastAsiaTheme="minorEastAsia"/>
          <w:color w:val="auto"/>
          <w:sz w:val="24"/>
          <w:szCs w:val="24"/>
        </w:rPr>
        <w:t>表</w:t>
      </w:r>
      <w:r>
        <w:rPr>
          <w:rFonts w:ascii="Times New Roman" w:hAnsi="Times New Roman" w:cs="Times New Roman" w:eastAsiaTheme="minorEastAsia"/>
          <w:color w:val="auto"/>
          <w:sz w:val="24"/>
          <w:szCs w:val="24"/>
        </w:rPr>
        <w:t>3-</w:t>
      </w:r>
      <w:r>
        <w:rPr>
          <w:rFonts w:hint="eastAsia" w:ascii="Times New Roman" w:hAnsi="Times New Roman" w:cs="Times New Roman" w:eastAsiaTheme="minorEastAsia"/>
          <w:color w:val="auto"/>
          <w:sz w:val="24"/>
          <w:szCs w:val="24"/>
        </w:rPr>
        <w:t>3</w:t>
      </w:r>
      <w:r>
        <w:rPr>
          <w:rFonts w:ascii="Times New Roman" w:hAnsi="Times New Roman" w:cs="Times New Roman" w:eastAsiaTheme="minorEastAsia"/>
          <w:color w:val="auto"/>
          <w:sz w:val="24"/>
          <w:szCs w:val="24"/>
        </w:rPr>
        <w:t>-1</w:t>
      </w:r>
      <w:r>
        <w:rPr>
          <w:rFonts w:hint="eastAsia" w:ascii="Times New Roman" w:hAnsi="Times New Roman" w:cs="Times New Roman" w:eastAsiaTheme="minorEastAsia"/>
          <w:color w:val="auto"/>
          <w:sz w:val="24"/>
          <w:szCs w:val="24"/>
          <w:lang w:val="en-US" w:eastAsia="zh-CN"/>
        </w:rPr>
        <w:t>8</w:t>
      </w:r>
      <w:r>
        <w:rPr>
          <w:rFonts w:ascii="Times New Roman" w:hAnsi="Times New Roman" w:cs="Times New Roman" w:eastAsiaTheme="minorEastAsia"/>
          <w:color w:val="auto"/>
          <w:sz w:val="24"/>
          <w:szCs w:val="24"/>
        </w:rPr>
        <w:t xml:space="preserve">  Q</w:t>
      </w:r>
      <w:r>
        <w:rPr>
          <w:rFonts w:ascii="Times New Roman" w:cs="Times New Roman" w:hAnsiTheme="minorEastAsia" w:eastAsiaTheme="minorEastAsia"/>
          <w:color w:val="auto"/>
          <w:sz w:val="24"/>
          <w:szCs w:val="24"/>
        </w:rPr>
        <w:t>值计算表</w:t>
      </w:r>
    </w:p>
    <w:tbl>
      <w:tblPr>
        <w:tblStyle w:val="4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2269"/>
        <w:gridCol w:w="1558"/>
        <w:gridCol w:w="2038"/>
        <w:gridCol w:w="16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3" w:type="pct"/>
            <w:shd w:val="clear" w:color="auto" w:fill="auto"/>
            <w:vAlign w:val="center"/>
          </w:tcPr>
          <w:p>
            <w:pPr>
              <w:pStyle w:val="84"/>
              <w:rPr>
                <w:rFonts w:hAnsi="Times New Roman" w:eastAsiaTheme="minorEastAsia"/>
                <w:snapToGrid w:val="0"/>
                <w:color w:val="auto"/>
                <w:szCs w:val="22"/>
              </w:rPr>
            </w:pPr>
            <w:r>
              <w:rPr>
                <w:rFonts w:eastAsiaTheme="minorEastAsia"/>
                <w:snapToGrid w:val="0"/>
                <w:color w:val="auto"/>
                <w:szCs w:val="22"/>
              </w:rPr>
              <w:t>序号</w:t>
            </w:r>
          </w:p>
        </w:tc>
        <w:tc>
          <w:tcPr>
            <w:tcW w:w="1331" w:type="pct"/>
            <w:shd w:val="clear" w:color="auto" w:fill="auto"/>
            <w:vAlign w:val="center"/>
          </w:tcPr>
          <w:p>
            <w:pPr>
              <w:pStyle w:val="84"/>
              <w:rPr>
                <w:rFonts w:hAnsi="Times New Roman" w:eastAsiaTheme="minorEastAsia"/>
                <w:snapToGrid w:val="0"/>
                <w:color w:val="auto"/>
                <w:szCs w:val="22"/>
              </w:rPr>
            </w:pPr>
            <w:r>
              <w:rPr>
                <w:rFonts w:eastAsiaTheme="minorEastAsia"/>
                <w:snapToGrid w:val="0"/>
                <w:color w:val="auto"/>
                <w:szCs w:val="22"/>
              </w:rPr>
              <w:t>物质名称</w:t>
            </w:r>
          </w:p>
        </w:tc>
        <w:tc>
          <w:tcPr>
            <w:tcW w:w="914" w:type="pct"/>
            <w:shd w:val="clear" w:color="auto" w:fill="auto"/>
            <w:vAlign w:val="center"/>
          </w:tcPr>
          <w:p>
            <w:pPr>
              <w:pStyle w:val="84"/>
              <w:rPr>
                <w:rFonts w:hAnsi="Times New Roman" w:eastAsiaTheme="minorEastAsia"/>
                <w:snapToGrid w:val="0"/>
                <w:color w:val="auto"/>
                <w:szCs w:val="22"/>
              </w:rPr>
            </w:pPr>
            <w:r>
              <w:rPr>
                <w:rFonts w:eastAsiaTheme="minorEastAsia"/>
                <w:snapToGrid w:val="0"/>
                <w:color w:val="auto"/>
                <w:szCs w:val="22"/>
              </w:rPr>
              <w:t>临界量（</w:t>
            </w:r>
            <w:r>
              <w:rPr>
                <w:rFonts w:hAnsi="Times New Roman" w:eastAsiaTheme="minorEastAsia"/>
                <w:snapToGrid w:val="0"/>
                <w:color w:val="auto"/>
                <w:szCs w:val="22"/>
              </w:rPr>
              <w:t>t</w:t>
            </w:r>
            <w:r>
              <w:rPr>
                <w:rFonts w:eastAsiaTheme="minorEastAsia"/>
                <w:snapToGrid w:val="0"/>
                <w:color w:val="auto"/>
                <w:szCs w:val="22"/>
              </w:rPr>
              <w:t>）</w:t>
            </w:r>
          </w:p>
        </w:tc>
        <w:tc>
          <w:tcPr>
            <w:tcW w:w="1196" w:type="pct"/>
            <w:shd w:val="clear" w:color="auto" w:fill="auto"/>
            <w:vAlign w:val="center"/>
          </w:tcPr>
          <w:p>
            <w:pPr>
              <w:pStyle w:val="84"/>
              <w:rPr>
                <w:rFonts w:hAnsi="Times New Roman" w:eastAsiaTheme="minorEastAsia"/>
                <w:snapToGrid w:val="0"/>
                <w:color w:val="auto"/>
                <w:szCs w:val="22"/>
              </w:rPr>
            </w:pPr>
            <w:r>
              <w:rPr>
                <w:rFonts w:hint="eastAsia" w:eastAsiaTheme="minorEastAsia"/>
                <w:snapToGrid w:val="0"/>
                <w:color w:val="auto"/>
                <w:szCs w:val="22"/>
              </w:rPr>
              <w:t>最大</w:t>
            </w:r>
            <w:r>
              <w:rPr>
                <w:rFonts w:eastAsiaTheme="minorEastAsia"/>
                <w:snapToGrid w:val="0"/>
                <w:color w:val="auto"/>
                <w:szCs w:val="22"/>
              </w:rPr>
              <w:t>存在量（</w:t>
            </w:r>
            <w:r>
              <w:rPr>
                <w:rFonts w:hAnsi="Times New Roman" w:eastAsiaTheme="minorEastAsia"/>
                <w:snapToGrid w:val="0"/>
                <w:color w:val="auto"/>
                <w:szCs w:val="22"/>
              </w:rPr>
              <w:t>t</w:t>
            </w:r>
            <w:r>
              <w:rPr>
                <w:rFonts w:eastAsiaTheme="minorEastAsia"/>
                <w:snapToGrid w:val="0"/>
                <w:color w:val="auto"/>
                <w:szCs w:val="22"/>
              </w:rPr>
              <w:t>）</w:t>
            </w:r>
          </w:p>
        </w:tc>
        <w:tc>
          <w:tcPr>
            <w:tcW w:w="996" w:type="pct"/>
            <w:shd w:val="clear" w:color="auto" w:fill="auto"/>
            <w:vAlign w:val="center"/>
          </w:tcPr>
          <w:p>
            <w:pPr>
              <w:pStyle w:val="84"/>
              <w:rPr>
                <w:rFonts w:hAnsi="Times New Roman" w:eastAsiaTheme="minorEastAsia"/>
                <w:snapToGrid w:val="0"/>
                <w:color w:val="auto"/>
                <w:szCs w:val="22"/>
              </w:rPr>
            </w:pPr>
            <w:r>
              <w:rPr>
                <w:rFonts w:hAnsi="Times New Roman" w:eastAsiaTheme="minorEastAsia"/>
                <w:snapToGrid w:val="0"/>
                <w:color w:val="auto"/>
                <w:szCs w:val="22"/>
              </w:rPr>
              <w:t>q/Q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trPr>
        <w:tc>
          <w:tcPr>
            <w:tcW w:w="563" w:type="pct"/>
            <w:shd w:val="clear" w:color="auto" w:fill="auto"/>
            <w:vAlign w:val="center"/>
          </w:tcPr>
          <w:p>
            <w:pPr>
              <w:pStyle w:val="84"/>
              <w:rPr>
                <w:rFonts w:hAnsi="Times New Roman" w:eastAsiaTheme="minorEastAsia"/>
                <w:snapToGrid w:val="0"/>
                <w:color w:val="auto"/>
                <w:szCs w:val="22"/>
              </w:rPr>
            </w:pPr>
            <w:r>
              <w:rPr>
                <w:rFonts w:hAnsi="Times New Roman" w:eastAsiaTheme="minorEastAsia"/>
                <w:snapToGrid w:val="0"/>
                <w:color w:val="auto"/>
                <w:szCs w:val="22"/>
              </w:rPr>
              <w:t>1</w:t>
            </w:r>
          </w:p>
        </w:tc>
        <w:tc>
          <w:tcPr>
            <w:tcW w:w="1331" w:type="pct"/>
            <w:shd w:val="clear" w:color="auto" w:fill="auto"/>
            <w:vAlign w:val="center"/>
          </w:tcPr>
          <w:p>
            <w:pPr>
              <w:pStyle w:val="84"/>
              <w:spacing w:line="0" w:lineRule="atLeast"/>
              <w:rPr>
                <w:rFonts w:hAnsi="Times New Roman" w:eastAsiaTheme="minorEastAsia"/>
                <w:snapToGrid w:val="0"/>
                <w:color w:val="auto"/>
                <w:szCs w:val="22"/>
              </w:rPr>
            </w:pPr>
            <w:r>
              <w:rPr>
                <w:rFonts w:hint="eastAsia" w:eastAsiaTheme="minorEastAsia"/>
                <w:snapToGrid w:val="0"/>
                <w:color w:val="auto"/>
                <w:szCs w:val="22"/>
              </w:rPr>
              <w:t>次氯酸钠</w:t>
            </w:r>
          </w:p>
        </w:tc>
        <w:tc>
          <w:tcPr>
            <w:tcW w:w="914" w:type="pct"/>
            <w:shd w:val="clear" w:color="auto" w:fill="auto"/>
            <w:vAlign w:val="center"/>
          </w:tcPr>
          <w:p>
            <w:pPr>
              <w:pStyle w:val="84"/>
              <w:spacing w:line="0" w:lineRule="atLeast"/>
              <w:rPr>
                <w:rFonts w:hAnsi="Times New Roman" w:eastAsiaTheme="minorEastAsia"/>
                <w:snapToGrid w:val="0"/>
                <w:color w:val="auto"/>
                <w:szCs w:val="22"/>
              </w:rPr>
            </w:pPr>
            <w:r>
              <w:rPr>
                <w:rFonts w:hint="eastAsia" w:hAnsi="Times New Roman" w:eastAsiaTheme="minorEastAsia"/>
                <w:snapToGrid w:val="0"/>
                <w:color w:val="auto"/>
                <w:szCs w:val="22"/>
              </w:rPr>
              <w:t>5</w:t>
            </w:r>
          </w:p>
        </w:tc>
        <w:tc>
          <w:tcPr>
            <w:tcW w:w="1196" w:type="pct"/>
            <w:shd w:val="clear" w:color="auto" w:fill="auto"/>
            <w:vAlign w:val="center"/>
          </w:tcPr>
          <w:p>
            <w:pPr>
              <w:pStyle w:val="84"/>
              <w:spacing w:line="0" w:lineRule="atLeast"/>
              <w:rPr>
                <w:rFonts w:hAnsi="Times New Roman" w:eastAsiaTheme="minorEastAsia"/>
                <w:snapToGrid w:val="0"/>
                <w:color w:val="auto"/>
                <w:szCs w:val="22"/>
              </w:rPr>
            </w:pPr>
            <w:r>
              <w:rPr>
                <w:rFonts w:hint="eastAsia" w:hAnsi="Times New Roman" w:eastAsiaTheme="minorEastAsia"/>
                <w:snapToGrid w:val="0"/>
                <w:color w:val="auto"/>
                <w:szCs w:val="22"/>
              </w:rPr>
              <w:t>0.2</w:t>
            </w:r>
          </w:p>
        </w:tc>
        <w:tc>
          <w:tcPr>
            <w:tcW w:w="996" w:type="pct"/>
            <w:shd w:val="clear" w:color="auto" w:fill="auto"/>
            <w:vAlign w:val="center"/>
          </w:tcPr>
          <w:p>
            <w:pPr>
              <w:pStyle w:val="84"/>
              <w:spacing w:line="0" w:lineRule="atLeast"/>
              <w:rPr>
                <w:rFonts w:hAnsi="Times New Roman" w:eastAsiaTheme="minorEastAsia"/>
                <w:snapToGrid w:val="0"/>
                <w:color w:val="auto"/>
                <w:szCs w:val="22"/>
              </w:rPr>
            </w:pPr>
            <w:r>
              <w:rPr>
                <w:rFonts w:hint="eastAsia" w:hAnsi="Times New Roman" w:eastAsiaTheme="minorEastAsia"/>
                <w:snapToGrid w:val="0"/>
                <w:color w:val="auto"/>
                <w:szCs w:val="22"/>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trPr>
        <w:tc>
          <w:tcPr>
            <w:tcW w:w="563" w:type="pct"/>
            <w:shd w:val="clear" w:color="auto" w:fill="auto"/>
            <w:vAlign w:val="center"/>
          </w:tcPr>
          <w:p>
            <w:pPr>
              <w:pStyle w:val="84"/>
              <w:rPr>
                <w:rFonts w:hint="eastAsia" w:hAnsi="Times New Roman" w:eastAsiaTheme="minorEastAsia"/>
                <w:snapToGrid w:val="0"/>
                <w:color w:val="auto"/>
                <w:szCs w:val="22"/>
                <w:lang w:val="en-US" w:eastAsia="zh-CN"/>
              </w:rPr>
            </w:pPr>
            <w:r>
              <w:rPr>
                <w:rFonts w:hint="eastAsia" w:hAnsi="Times New Roman" w:eastAsiaTheme="minorEastAsia"/>
                <w:snapToGrid w:val="0"/>
                <w:color w:val="auto"/>
                <w:szCs w:val="22"/>
                <w:lang w:val="en-US" w:eastAsia="zh-CN"/>
              </w:rPr>
              <w:t>2</w:t>
            </w:r>
          </w:p>
        </w:tc>
        <w:tc>
          <w:tcPr>
            <w:tcW w:w="1331" w:type="pct"/>
            <w:shd w:val="clear" w:color="auto" w:fill="auto"/>
            <w:vAlign w:val="center"/>
          </w:tcPr>
          <w:p>
            <w:pPr>
              <w:pStyle w:val="84"/>
              <w:spacing w:line="0" w:lineRule="atLeast"/>
              <w:rPr>
                <w:rFonts w:hint="eastAsia" w:eastAsiaTheme="minorEastAsia"/>
                <w:snapToGrid w:val="0"/>
                <w:color w:val="auto"/>
                <w:szCs w:val="22"/>
                <w:lang w:val="en-US" w:eastAsia="zh-CN"/>
              </w:rPr>
            </w:pPr>
            <w:r>
              <w:rPr>
                <w:rFonts w:hint="eastAsia" w:eastAsiaTheme="minorEastAsia"/>
                <w:snapToGrid w:val="0"/>
                <w:color w:val="auto"/>
                <w:szCs w:val="22"/>
                <w:lang w:val="en-US" w:eastAsia="zh-CN"/>
              </w:rPr>
              <w:t>液氨</w:t>
            </w:r>
          </w:p>
        </w:tc>
        <w:tc>
          <w:tcPr>
            <w:tcW w:w="914" w:type="pct"/>
            <w:shd w:val="clear" w:color="auto" w:fill="auto"/>
            <w:vAlign w:val="center"/>
          </w:tcPr>
          <w:p>
            <w:pPr>
              <w:pStyle w:val="84"/>
              <w:spacing w:line="0" w:lineRule="atLeast"/>
              <w:rPr>
                <w:rFonts w:hint="default" w:hAnsi="Times New Roman" w:eastAsiaTheme="minorEastAsia"/>
                <w:snapToGrid w:val="0"/>
                <w:color w:val="auto"/>
                <w:szCs w:val="22"/>
                <w:lang w:val="en-US" w:eastAsia="zh-CN"/>
              </w:rPr>
            </w:pPr>
            <w:r>
              <w:rPr>
                <w:rFonts w:hint="eastAsia" w:hAnsi="Times New Roman" w:eastAsiaTheme="minorEastAsia"/>
                <w:snapToGrid w:val="0"/>
                <w:color w:val="auto"/>
                <w:szCs w:val="22"/>
                <w:lang w:val="en-US" w:eastAsia="zh-CN"/>
              </w:rPr>
              <w:t>10</w:t>
            </w:r>
          </w:p>
        </w:tc>
        <w:tc>
          <w:tcPr>
            <w:tcW w:w="1196" w:type="pct"/>
            <w:shd w:val="clear" w:color="auto" w:fill="auto"/>
            <w:vAlign w:val="center"/>
          </w:tcPr>
          <w:p>
            <w:pPr>
              <w:pStyle w:val="84"/>
              <w:spacing w:line="0" w:lineRule="atLeast"/>
              <w:rPr>
                <w:rFonts w:hint="eastAsia" w:hAnsi="Times New Roman" w:eastAsiaTheme="minorEastAsia"/>
                <w:snapToGrid w:val="0"/>
                <w:color w:val="auto"/>
                <w:szCs w:val="22"/>
                <w:lang w:val="en-US" w:eastAsia="zh-CN"/>
              </w:rPr>
            </w:pPr>
            <w:r>
              <w:rPr>
                <w:rFonts w:hint="eastAsia" w:hAnsi="Times New Roman" w:eastAsiaTheme="minorEastAsia"/>
                <w:snapToGrid w:val="0"/>
                <w:color w:val="auto"/>
                <w:szCs w:val="22"/>
                <w:lang w:val="en-US" w:eastAsia="zh-CN"/>
              </w:rPr>
              <w:t>8</w:t>
            </w:r>
          </w:p>
        </w:tc>
        <w:tc>
          <w:tcPr>
            <w:tcW w:w="996" w:type="pct"/>
            <w:shd w:val="clear" w:color="auto" w:fill="auto"/>
            <w:vAlign w:val="center"/>
          </w:tcPr>
          <w:p>
            <w:pPr>
              <w:pStyle w:val="84"/>
              <w:spacing w:line="0" w:lineRule="atLeast"/>
              <w:rPr>
                <w:rFonts w:hint="default" w:hAnsi="Times New Roman" w:eastAsiaTheme="minorEastAsia"/>
                <w:snapToGrid w:val="0"/>
                <w:color w:val="auto"/>
                <w:szCs w:val="22"/>
                <w:lang w:val="en-US" w:eastAsia="zh-CN"/>
              </w:rPr>
            </w:pPr>
            <w:r>
              <w:rPr>
                <w:rFonts w:hint="eastAsia" w:hAnsi="Times New Roman" w:eastAsiaTheme="minorEastAsia"/>
                <w:snapToGrid w:val="0"/>
                <w:color w:val="auto"/>
                <w:szCs w:val="22"/>
                <w:lang w:val="en-US" w:eastAsia="zh-CN"/>
              </w:rPr>
              <w:t>0.8</w:t>
            </w:r>
          </w:p>
        </w:tc>
      </w:tr>
    </w:tbl>
    <w:p>
      <w:pPr>
        <w:pStyle w:val="74"/>
        <w:adjustRightInd/>
        <w:snapToGrid/>
        <w:rPr>
          <w:rFonts w:ascii="Times New Roman" w:hAnsi="Times New Roman" w:cs="Times New Roman"/>
          <w:color w:val="auto"/>
        </w:rPr>
      </w:pPr>
      <w:r>
        <w:rPr>
          <w:rFonts w:ascii="Times New Roman" w:cs="Times New Roman" w:hAnsiTheme="minorEastAsia"/>
          <w:color w:val="auto"/>
        </w:rPr>
        <w:t>根据上述公式计算可知：</w:t>
      </w:r>
      <w:r>
        <w:rPr>
          <w:rFonts w:ascii="Times New Roman" w:hAnsi="Times New Roman" w:cs="Times New Roman"/>
          <w:color w:val="auto"/>
        </w:rPr>
        <w:t>Q=</w:t>
      </w:r>
      <w:r>
        <w:rPr>
          <w:rFonts w:hint="eastAsia" w:ascii="Times New Roman" w:hAnsi="Times New Roman" w:cs="Times New Roman"/>
          <w:color w:val="auto"/>
          <w:lang w:val="en-US" w:eastAsia="zh-CN"/>
        </w:rPr>
        <w:t>0.84</w:t>
      </w:r>
      <w:r>
        <w:rPr>
          <w:rFonts w:ascii="Times New Roman" w:hAnsi="Times New Roman" w:cs="Times New Roman"/>
          <w:color w:val="auto"/>
        </w:rPr>
        <w:t>&lt;1</w:t>
      </w:r>
      <w:r>
        <w:rPr>
          <w:rFonts w:ascii="Times New Roman" w:cs="Times New Roman" w:hAnsiTheme="minorEastAsia"/>
          <w:color w:val="auto"/>
        </w:rPr>
        <w:t>，故环境风险潜势为</w:t>
      </w:r>
      <w:r>
        <w:rPr>
          <w:rFonts w:ascii="Times New Roman" w:hAnsi="Times New Roman" w:cs="Times New Roman"/>
          <w:color w:val="auto"/>
        </w:rPr>
        <w:fldChar w:fldCharType="begin"/>
      </w:r>
      <w:r>
        <w:rPr>
          <w:rFonts w:ascii="Times New Roman" w:hAnsi="Times New Roman" w:cs="Times New Roman"/>
          <w:color w:val="auto"/>
        </w:rPr>
        <w:instrText xml:space="preserve"> = 1 \* ROMAN </w:instrText>
      </w:r>
      <w:r>
        <w:rPr>
          <w:rFonts w:ascii="Times New Roman" w:hAnsi="Times New Roman" w:cs="Times New Roman"/>
          <w:color w:val="auto"/>
        </w:rPr>
        <w:fldChar w:fldCharType="separate"/>
      </w:r>
      <w:r>
        <w:rPr>
          <w:rFonts w:ascii="Times New Roman" w:hAnsi="Times New Roman" w:cs="Times New Roman"/>
          <w:color w:val="auto"/>
        </w:rPr>
        <w:t>I</w:t>
      </w:r>
      <w:r>
        <w:rPr>
          <w:rFonts w:ascii="Times New Roman" w:hAnsi="Times New Roman" w:cs="Times New Roman"/>
          <w:color w:val="auto"/>
        </w:rPr>
        <w:fldChar w:fldCharType="end"/>
      </w:r>
      <w:r>
        <w:rPr>
          <w:rFonts w:ascii="Times New Roman" w:cs="Times New Roman" w:hAnsiTheme="minorEastAsia"/>
          <w:color w:val="auto"/>
        </w:rPr>
        <w:t>。</w:t>
      </w:r>
    </w:p>
    <w:p>
      <w:pPr>
        <w:spacing w:line="360" w:lineRule="auto"/>
        <w:contextualSpacing/>
        <w:outlineLvl w:val="3"/>
        <w:rPr>
          <w:rFonts w:eastAsiaTheme="minorEastAsia"/>
          <w:b/>
          <w:color w:val="auto"/>
          <w:sz w:val="24"/>
        </w:rPr>
      </w:pPr>
      <w:r>
        <w:rPr>
          <w:rFonts w:eastAsiaTheme="minorEastAsia"/>
          <w:b/>
          <w:color w:val="auto"/>
          <w:sz w:val="24"/>
        </w:rPr>
        <w:t>3.</w:t>
      </w:r>
      <w:r>
        <w:rPr>
          <w:rFonts w:hint="eastAsia" w:eastAsiaTheme="minorEastAsia"/>
          <w:b/>
          <w:color w:val="auto"/>
          <w:sz w:val="24"/>
        </w:rPr>
        <w:t>3</w:t>
      </w:r>
      <w:r>
        <w:rPr>
          <w:rFonts w:eastAsiaTheme="minorEastAsia"/>
          <w:b/>
          <w:color w:val="auto"/>
          <w:sz w:val="24"/>
        </w:rPr>
        <w:t>.3.3风险识别及环境影响途径</w:t>
      </w:r>
    </w:p>
    <w:p>
      <w:pPr>
        <w:pStyle w:val="74"/>
        <w:adjustRightInd/>
        <w:snapToGrid/>
        <w:jc w:val="both"/>
        <w:rPr>
          <w:rFonts w:hint="default" w:ascii="Times New Roman" w:cs="Times New Roman" w:hAnsiTheme="minorEastAsia" w:eastAsiaTheme="minorEastAsia"/>
          <w:snapToGrid w:val="0"/>
          <w:color w:val="auto"/>
          <w:lang w:val="en-US" w:eastAsia="zh-CN"/>
        </w:rPr>
      </w:pPr>
      <w:r>
        <w:rPr>
          <w:rFonts w:ascii="Times New Roman" w:cs="Times New Roman" w:hAnsiTheme="minorEastAsia"/>
          <w:snapToGrid w:val="0"/>
          <w:color w:val="auto"/>
        </w:rPr>
        <w:t>本项目风险主要为</w:t>
      </w:r>
      <w:r>
        <w:rPr>
          <w:rFonts w:hint="eastAsia" w:ascii="Times New Roman" w:cs="Times New Roman" w:hAnsiTheme="minorEastAsia"/>
          <w:snapToGrid w:val="0"/>
          <w:color w:val="auto"/>
        </w:rPr>
        <w:t>次氯酸钠</w:t>
      </w:r>
      <w:r>
        <w:rPr>
          <w:rFonts w:hint="eastAsia" w:ascii="Times New Roman" w:cs="Times New Roman" w:hAnsiTheme="minorEastAsia"/>
          <w:snapToGrid w:val="0"/>
          <w:color w:val="auto"/>
          <w:lang w:eastAsia="zh-CN"/>
        </w:rPr>
        <w:t>、</w:t>
      </w:r>
      <w:r>
        <w:rPr>
          <w:rFonts w:hint="eastAsia" w:ascii="Times New Roman" w:cs="Times New Roman" w:hAnsiTheme="minorEastAsia"/>
          <w:snapToGrid w:val="0"/>
          <w:color w:val="auto"/>
          <w:lang w:val="en-US" w:eastAsia="zh-CN"/>
        </w:rPr>
        <w:t>液氨、污水处理站</w:t>
      </w:r>
      <w:r>
        <w:rPr>
          <w:rFonts w:ascii="Times New Roman" w:cs="Times New Roman" w:hAnsiTheme="minorEastAsia"/>
          <w:snapToGrid w:val="0"/>
          <w:color w:val="auto"/>
        </w:rPr>
        <w:t>泄漏事故。</w:t>
      </w:r>
      <w:r>
        <w:rPr>
          <w:rFonts w:hint="eastAsia" w:ascii="Times New Roman" w:cs="Times New Roman" w:hAnsiTheme="minorEastAsia"/>
          <w:snapToGrid w:val="0"/>
          <w:color w:val="auto"/>
        </w:rPr>
        <w:t>次氯酸钠一旦因为员工操作不当，导致次氯酸钠发生泄露未及时进行收集，通过雨水、消防废水等进入外环境，可能导致地表水和地下水污染。</w:t>
      </w:r>
      <w:r>
        <w:rPr>
          <w:rFonts w:hint="eastAsia" w:ascii="Times New Roman" w:cs="Times New Roman" w:hAnsiTheme="minorEastAsia"/>
          <w:snapToGrid w:val="0"/>
          <w:color w:val="auto"/>
          <w:lang w:val="en-US" w:eastAsia="zh-CN"/>
        </w:rPr>
        <w:t>管道、阀门泄露可造成液氨泄露，可能导致大气污染。</w:t>
      </w:r>
      <w:r>
        <w:rPr>
          <w:rFonts w:hint="default" w:ascii="Times New Roman" w:hAnsi="Times New Roman" w:eastAsia="宋体" w:cs="Times New Roman"/>
          <w:color w:val="auto"/>
          <w:spacing w:val="0"/>
          <w:kern w:val="2"/>
          <w:sz w:val="24"/>
          <w:szCs w:val="24"/>
          <w:lang w:val="en-US" w:eastAsia="zh-CN"/>
        </w:rPr>
        <w:t>污水处理站内池体泄漏</w:t>
      </w:r>
      <w:r>
        <w:rPr>
          <w:rFonts w:hint="default" w:ascii="Times New Roman" w:hAnsi="Times New Roman" w:eastAsia="宋体" w:cs="Times New Roman"/>
          <w:color w:val="auto"/>
          <w:spacing w:val="0"/>
          <w:kern w:val="2"/>
          <w:sz w:val="24"/>
          <w:szCs w:val="24"/>
          <w:lang w:val="zh-CN"/>
        </w:rPr>
        <w:t>可能对周围土壤和地下水造成污染，对外环境产生影响</w:t>
      </w:r>
      <w:r>
        <w:rPr>
          <w:rFonts w:hint="eastAsia" w:ascii="Times New Roman" w:hAnsi="Times New Roman" w:eastAsia="宋体" w:cs="Times New Roman"/>
          <w:color w:val="auto"/>
          <w:spacing w:val="0"/>
          <w:kern w:val="2"/>
          <w:sz w:val="24"/>
          <w:szCs w:val="24"/>
          <w:lang w:val="zh-CN"/>
        </w:rPr>
        <w:t>。</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3.3.</w:t>
      </w:r>
      <w:r>
        <w:rPr>
          <w:rFonts w:hint="eastAsia" w:ascii="Times New Roman" w:hAnsi="Times New Roman" w:cs="Times New Roman"/>
          <w:b/>
          <w:color w:val="auto"/>
          <w:sz w:val="28"/>
          <w:szCs w:val="28"/>
        </w:rPr>
        <w:t>4</w:t>
      </w:r>
      <w:r>
        <w:rPr>
          <w:rFonts w:ascii="Times New Roman" w:hAnsi="Times New Roman" w:cs="Times New Roman"/>
          <w:b/>
          <w:color w:val="auto"/>
          <w:sz w:val="28"/>
          <w:szCs w:val="28"/>
        </w:rPr>
        <w:t>清洁生产</w:t>
      </w:r>
    </w:p>
    <w:p>
      <w:pPr>
        <w:pStyle w:val="74"/>
        <w:adjustRightInd/>
        <w:snapToGrid/>
        <w:jc w:val="both"/>
        <w:rPr>
          <w:rFonts w:ascii="Times New Roman" w:cs="Times New Roman" w:hAnsiTheme="minorEastAsia"/>
          <w:snapToGrid w:val="0"/>
          <w:color w:val="auto"/>
        </w:rPr>
      </w:pPr>
      <w:r>
        <w:rPr>
          <w:rFonts w:ascii="Times New Roman" w:cs="Times New Roman" w:hAnsiTheme="minorEastAsia"/>
          <w:snapToGrid w:val="0"/>
          <w:color w:val="auto"/>
        </w:rPr>
        <w:t>对一个生产企业来说，清洁生产是指不断采取改进设计、使用清洁能源和原料、采用先进的工艺技术与设备、改善管理、综合利用等措施从源头削减污染，提高资源利用效率，减少或者避免生产、服务和产品使用过程中污染物的产生和排放，以减轻或消除对人类和环境的危害。</w:t>
      </w:r>
    </w:p>
    <w:p>
      <w:pPr>
        <w:pStyle w:val="74"/>
        <w:adjustRightInd/>
        <w:snapToGrid/>
        <w:jc w:val="both"/>
        <w:rPr>
          <w:rFonts w:ascii="Times New Roman" w:cs="Times New Roman" w:hAnsiTheme="minorEastAsia"/>
          <w:snapToGrid w:val="0"/>
          <w:color w:val="auto"/>
        </w:rPr>
      </w:pPr>
      <w:r>
        <w:rPr>
          <w:rFonts w:ascii="Times New Roman" w:cs="Times New Roman" w:hAnsiTheme="minorEastAsia"/>
          <w:snapToGrid w:val="0"/>
          <w:color w:val="auto"/>
        </w:rPr>
        <w:t>清洁生产可通过优化工艺和全过程控制来达到减少污染物产生和排放的目的。本评价将分析本项目投产后，在产业规模及工业链分析、工艺技术与设备的先进性分析、资源能源利用水平分析、水资源利用水平分析、污染物产生分析等方面进行分析，评价其清洁生产水平，同时对建设前后进行全过程清洁生产分析比较，在分析评价的基础上，提出促进项目可持续发展的清洁生产改进要求及建议。</w:t>
      </w:r>
    </w:p>
    <w:p>
      <w:pPr>
        <w:spacing w:line="360" w:lineRule="auto"/>
        <w:contextualSpacing/>
        <w:outlineLvl w:val="3"/>
        <w:rPr>
          <w:rFonts w:eastAsiaTheme="minorEastAsia"/>
          <w:b/>
          <w:color w:val="auto"/>
          <w:sz w:val="24"/>
        </w:rPr>
      </w:pPr>
      <w:r>
        <w:rPr>
          <w:rFonts w:hint="eastAsia" w:eastAsiaTheme="minorEastAsia"/>
          <w:b/>
          <w:color w:val="auto"/>
          <w:sz w:val="24"/>
        </w:rPr>
        <w:t>3.3.4.1产业</w:t>
      </w:r>
      <w:r>
        <w:rPr>
          <w:rFonts w:eastAsiaTheme="minorEastAsia"/>
          <w:b/>
          <w:color w:val="auto"/>
          <w:sz w:val="24"/>
        </w:rPr>
        <w:t>结构及规模分析</w:t>
      </w:r>
    </w:p>
    <w:p>
      <w:pPr>
        <w:pStyle w:val="74"/>
        <w:adjustRightInd/>
        <w:snapToGrid/>
        <w:jc w:val="both"/>
        <w:rPr>
          <w:rFonts w:ascii="Times New Roman" w:cs="Times New Roman" w:hAnsiTheme="minorEastAsia"/>
          <w:snapToGrid w:val="0"/>
          <w:color w:val="auto"/>
        </w:rPr>
      </w:pPr>
      <w:r>
        <w:rPr>
          <w:rFonts w:ascii="Times New Roman" w:cs="Times New Roman" w:hAnsiTheme="minorEastAsia"/>
          <w:snapToGrid w:val="0"/>
          <w:color w:val="auto"/>
        </w:rPr>
        <w:t>国际先进经验证明，没有发达的农产品加工业，就没有农产品的商品化和产业化。目前，发达国家农产品加工程度达到80%以上，我国只有45%，而黑龙江省的</w:t>
      </w:r>
      <w:r>
        <w:rPr>
          <w:rFonts w:hint="eastAsia" w:ascii="Times New Roman" w:cs="Times New Roman" w:hAnsiTheme="minorEastAsia"/>
          <w:snapToGrid w:val="0"/>
          <w:color w:val="auto"/>
        </w:rPr>
        <w:t>牛肉</w:t>
      </w:r>
      <w:r>
        <w:rPr>
          <w:rFonts w:ascii="Times New Roman" w:cs="Times New Roman" w:hAnsiTheme="minorEastAsia"/>
          <w:snapToGrid w:val="0"/>
          <w:color w:val="auto"/>
        </w:rPr>
        <w:t>及其制品主要是由中小屠宰场生产，工艺落后，设备陈旧，厂房简陋，生产环境较差，有的还延续手工屠宰工艺。本项目通过新建规范化、现代化的</w:t>
      </w:r>
      <w:r>
        <w:rPr>
          <w:rFonts w:hint="eastAsia" w:ascii="Times New Roman" w:cs="Times New Roman" w:hAnsiTheme="minorEastAsia"/>
          <w:snapToGrid w:val="0"/>
          <w:color w:val="auto"/>
        </w:rPr>
        <w:t>肉牛屠宰线</w:t>
      </w:r>
      <w:r>
        <w:rPr>
          <w:rFonts w:ascii="Times New Roman" w:cs="Times New Roman" w:hAnsiTheme="minorEastAsia"/>
          <w:snapToGrid w:val="0"/>
          <w:color w:val="auto"/>
        </w:rPr>
        <w:t>，</w:t>
      </w:r>
      <w:r>
        <w:rPr>
          <w:rFonts w:hint="eastAsia" w:ascii="Times New Roman" w:cs="Times New Roman" w:hAnsiTheme="minorEastAsia"/>
          <w:snapToGrid w:val="0"/>
          <w:color w:val="auto"/>
        </w:rPr>
        <w:t>肉牛</w:t>
      </w:r>
      <w:r>
        <w:rPr>
          <w:rFonts w:ascii="Times New Roman" w:cs="Times New Roman" w:hAnsiTheme="minorEastAsia"/>
          <w:snapToGrid w:val="0"/>
          <w:color w:val="auto"/>
        </w:rPr>
        <w:t>屠宰量达到每年</w:t>
      </w:r>
      <w:r>
        <w:rPr>
          <w:rFonts w:hint="eastAsia" w:ascii="Times New Roman" w:cs="Times New Roman" w:hAnsiTheme="minorEastAsia"/>
          <w:snapToGrid w:val="0"/>
          <w:color w:val="auto"/>
          <w:lang w:eastAsia="zh-CN"/>
        </w:rPr>
        <w:t>2万</w:t>
      </w:r>
      <w:r>
        <w:rPr>
          <w:rFonts w:ascii="Times New Roman" w:cs="Times New Roman" w:hAnsiTheme="minorEastAsia"/>
          <w:snapToGrid w:val="0"/>
          <w:color w:val="auto"/>
        </w:rPr>
        <w:t>头，可大大提高农产品加工水平，促进产业升级，保证群众吃上“放心肉”、“安全肉”，因此，本项目产业结构与规模合理，项目建设符合国家发展规划，符合我国畜牧业总体发展目标。</w:t>
      </w:r>
    </w:p>
    <w:p>
      <w:pPr>
        <w:spacing w:line="360" w:lineRule="auto"/>
        <w:contextualSpacing/>
        <w:outlineLvl w:val="3"/>
        <w:rPr>
          <w:rFonts w:eastAsiaTheme="minorEastAsia"/>
          <w:b/>
          <w:color w:val="auto"/>
          <w:sz w:val="24"/>
        </w:rPr>
      </w:pPr>
      <w:r>
        <w:rPr>
          <w:rFonts w:hint="eastAsia" w:eastAsiaTheme="minorEastAsia"/>
          <w:b/>
          <w:color w:val="auto"/>
          <w:sz w:val="24"/>
        </w:rPr>
        <w:t>3.3.4.2</w:t>
      </w:r>
      <w:r>
        <w:rPr>
          <w:rFonts w:eastAsiaTheme="minorEastAsia"/>
          <w:b/>
          <w:color w:val="auto"/>
          <w:sz w:val="24"/>
        </w:rPr>
        <w:t>工艺技术与设备的先进性分析</w:t>
      </w:r>
    </w:p>
    <w:p>
      <w:pPr>
        <w:spacing w:line="360" w:lineRule="auto"/>
        <w:ind w:firstLine="480" w:firstLineChars="200"/>
        <w:contextualSpacing/>
        <w:rPr>
          <w:rFonts w:ascii="宋体" w:hAnsi="宋体" w:cs="宋体"/>
          <w:color w:val="auto"/>
          <w:kern w:val="0"/>
          <w:sz w:val="24"/>
        </w:rPr>
      </w:pPr>
      <w:r>
        <w:rPr>
          <w:color w:val="auto"/>
          <w:sz w:val="24"/>
        </w:rPr>
        <w:t>屠宰加工技术的先进程度主要依赖于采用的生产工艺、技术设备水平、机械化程度和人员的操作技能等，本项目</w:t>
      </w:r>
      <w:r>
        <w:rPr>
          <w:rFonts w:hint="eastAsia"/>
          <w:color w:val="auto"/>
          <w:sz w:val="24"/>
        </w:rPr>
        <w:t>采用全自动屠宰生产线设计年屠宰</w:t>
      </w:r>
      <w:r>
        <w:rPr>
          <w:rFonts w:hint="eastAsia"/>
          <w:color w:val="auto"/>
          <w:sz w:val="24"/>
          <w:lang w:eastAsia="zh-CN"/>
        </w:rPr>
        <w:t>2万</w:t>
      </w:r>
      <w:r>
        <w:rPr>
          <w:rFonts w:hint="eastAsia"/>
          <w:color w:val="auto"/>
          <w:sz w:val="24"/>
        </w:rPr>
        <w:t>头肉牛，采取的工艺和设备均</w:t>
      </w:r>
      <w:r>
        <w:rPr>
          <w:color w:val="auto"/>
          <w:sz w:val="24"/>
        </w:rPr>
        <w:t>不属于</w:t>
      </w:r>
      <w:r>
        <w:rPr>
          <w:rFonts w:hint="eastAsia"/>
          <w:color w:val="auto"/>
          <w:sz w:val="24"/>
          <w:lang w:eastAsia="zh-CN"/>
        </w:rPr>
        <w:t>《产业结构调整指导目录》（2024年本）</w:t>
      </w:r>
      <w:r>
        <w:rPr>
          <w:rFonts w:hint="eastAsia"/>
          <w:color w:val="auto"/>
          <w:sz w:val="24"/>
        </w:rPr>
        <w:t>淘汰类和限制类</w:t>
      </w:r>
      <w:r>
        <w:rPr>
          <w:color w:val="auto"/>
          <w:sz w:val="24"/>
        </w:rPr>
        <w:t>。</w:t>
      </w:r>
    </w:p>
    <w:p>
      <w:pPr>
        <w:spacing w:line="360" w:lineRule="auto"/>
        <w:contextualSpacing/>
        <w:outlineLvl w:val="3"/>
        <w:rPr>
          <w:rFonts w:eastAsiaTheme="minorEastAsia"/>
          <w:b/>
          <w:color w:val="auto"/>
          <w:sz w:val="24"/>
        </w:rPr>
      </w:pPr>
      <w:r>
        <w:rPr>
          <w:rFonts w:hint="eastAsia" w:eastAsiaTheme="minorEastAsia"/>
          <w:b/>
          <w:color w:val="auto"/>
          <w:sz w:val="24"/>
        </w:rPr>
        <w:t>3.3.4.3</w:t>
      </w:r>
      <w:r>
        <w:rPr>
          <w:rFonts w:eastAsiaTheme="minorEastAsia"/>
          <w:b/>
          <w:color w:val="auto"/>
          <w:sz w:val="24"/>
        </w:rPr>
        <w:t>资源能源利用水平分析</w:t>
      </w:r>
    </w:p>
    <w:p>
      <w:pPr>
        <w:spacing w:line="360" w:lineRule="auto"/>
        <w:ind w:firstLine="480" w:firstLineChars="200"/>
        <w:contextualSpacing/>
        <w:rPr>
          <w:color w:val="auto"/>
          <w:sz w:val="24"/>
        </w:rPr>
      </w:pPr>
      <w:r>
        <w:rPr>
          <w:rFonts w:hint="eastAsia"/>
          <w:color w:val="auto"/>
          <w:sz w:val="24"/>
        </w:rPr>
        <w:t>（1）能耗分析</w:t>
      </w:r>
    </w:p>
    <w:p>
      <w:pPr>
        <w:spacing w:line="360" w:lineRule="auto"/>
        <w:ind w:firstLine="528" w:firstLineChars="200"/>
        <w:jc w:val="left"/>
        <w:rPr>
          <w:color w:val="auto"/>
          <w:spacing w:val="12"/>
          <w:sz w:val="24"/>
        </w:rPr>
      </w:pPr>
      <w:r>
        <w:rPr>
          <w:color w:val="auto"/>
          <w:spacing w:val="12"/>
          <w:sz w:val="24"/>
        </w:rPr>
        <w:t>本项目能耗主要是电耗</w:t>
      </w:r>
      <w:r>
        <w:rPr>
          <w:rFonts w:hint="eastAsia"/>
          <w:color w:val="auto"/>
          <w:spacing w:val="12"/>
          <w:sz w:val="24"/>
          <w:lang w:val="en-US" w:eastAsia="zh-CN"/>
        </w:rPr>
        <w:t>及生物质燃料</w:t>
      </w:r>
      <w:r>
        <w:rPr>
          <w:color w:val="auto"/>
          <w:spacing w:val="12"/>
          <w:sz w:val="24"/>
        </w:rPr>
        <w:t>，项目采取的主要节能措施有：</w:t>
      </w:r>
    </w:p>
    <w:p>
      <w:pPr>
        <w:spacing w:line="360" w:lineRule="auto"/>
        <w:ind w:firstLine="528" w:firstLineChars="200"/>
        <w:contextualSpacing/>
        <w:rPr>
          <w:color w:val="auto"/>
          <w:sz w:val="24"/>
        </w:rPr>
      </w:pPr>
      <w:r>
        <w:rPr>
          <w:rFonts w:hint="eastAsia"/>
          <w:color w:val="auto"/>
          <w:spacing w:val="12"/>
          <w:sz w:val="24"/>
        </w:rPr>
        <w:t>①</w:t>
      </w:r>
      <w:r>
        <w:rPr>
          <w:color w:val="auto"/>
          <w:sz w:val="24"/>
        </w:rPr>
        <w:t>采用处理国际国内领先水平的行业最新技术、工艺路线和生产技术设备，保持生产运行的最佳状态，取得最好节能效果。</w:t>
      </w:r>
    </w:p>
    <w:p>
      <w:pPr>
        <w:spacing w:line="360" w:lineRule="auto"/>
        <w:ind w:firstLine="480" w:firstLineChars="200"/>
        <w:contextualSpacing/>
        <w:rPr>
          <w:color w:val="auto"/>
          <w:sz w:val="24"/>
        </w:rPr>
      </w:pPr>
      <w:r>
        <w:rPr>
          <w:rFonts w:hint="eastAsia"/>
          <w:color w:val="auto"/>
          <w:sz w:val="24"/>
        </w:rPr>
        <w:t>②</w:t>
      </w:r>
      <w:r>
        <w:rPr>
          <w:bCs/>
          <w:color w:val="auto"/>
          <w:sz w:val="24"/>
        </w:rPr>
        <w:t>本项目</w:t>
      </w:r>
      <w:r>
        <w:rPr>
          <w:rFonts w:hint="eastAsia"/>
          <w:bCs/>
          <w:color w:val="auto"/>
          <w:sz w:val="24"/>
        </w:rPr>
        <w:t>冬季采取</w:t>
      </w:r>
      <w:r>
        <w:rPr>
          <w:rFonts w:hint="eastAsia"/>
          <w:bCs/>
          <w:color w:val="auto"/>
          <w:sz w:val="24"/>
          <w:lang w:val="en-US" w:eastAsia="zh-CN"/>
        </w:rPr>
        <w:t>生物质锅炉</w:t>
      </w:r>
      <w:r>
        <w:rPr>
          <w:rFonts w:hint="eastAsia"/>
          <w:bCs/>
          <w:color w:val="auto"/>
          <w:sz w:val="24"/>
        </w:rPr>
        <w:t>取暖</w:t>
      </w:r>
      <w:r>
        <w:rPr>
          <w:bCs/>
          <w:color w:val="auto"/>
          <w:sz w:val="24"/>
        </w:rPr>
        <w:t>。</w:t>
      </w:r>
    </w:p>
    <w:p>
      <w:pPr>
        <w:spacing w:line="360" w:lineRule="auto"/>
        <w:ind w:firstLine="480" w:firstLineChars="200"/>
        <w:contextualSpacing/>
        <w:rPr>
          <w:color w:val="auto"/>
          <w:sz w:val="24"/>
        </w:rPr>
      </w:pPr>
      <w:r>
        <w:rPr>
          <w:rFonts w:hint="eastAsia"/>
          <w:color w:val="auto"/>
          <w:sz w:val="24"/>
        </w:rPr>
        <w:t>③</w:t>
      </w:r>
      <w:r>
        <w:rPr>
          <w:color w:val="auto"/>
          <w:sz w:val="24"/>
        </w:rPr>
        <w:t>传动设备的电机全部采用节能型的Y系列产品。</w:t>
      </w:r>
    </w:p>
    <w:p>
      <w:pPr>
        <w:spacing w:line="360" w:lineRule="auto"/>
        <w:ind w:firstLine="480" w:firstLineChars="200"/>
        <w:contextualSpacing/>
        <w:rPr>
          <w:color w:val="auto"/>
          <w:sz w:val="24"/>
        </w:rPr>
      </w:pPr>
      <w:r>
        <w:rPr>
          <w:rFonts w:hint="eastAsia"/>
          <w:color w:val="auto"/>
          <w:sz w:val="24"/>
        </w:rPr>
        <w:t>④</w:t>
      </w:r>
      <w:r>
        <w:rPr>
          <w:color w:val="auto"/>
          <w:sz w:val="24"/>
        </w:rPr>
        <w:t>设立无功补偿电容器柜，使补偿后的功率因数达到0.9以上，节省电能。</w:t>
      </w:r>
    </w:p>
    <w:p>
      <w:pPr>
        <w:spacing w:line="360" w:lineRule="auto"/>
        <w:ind w:firstLine="480" w:firstLineChars="200"/>
        <w:contextualSpacing/>
        <w:rPr>
          <w:color w:val="auto"/>
          <w:sz w:val="24"/>
        </w:rPr>
      </w:pPr>
      <w:r>
        <w:rPr>
          <w:rFonts w:hint="eastAsia"/>
          <w:color w:val="auto"/>
          <w:sz w:val="24"/>
        </w:rPr>
        <w:t>⑤</w:t>
      </w:r>
      <w:r>
        <w:rPr>
          <w:color w:val="auto"/>
          <w:sz w:val="24"/>
        </w:rPr>
        <w:t>对非常温设备及管道均采用保温材料予以保温，减少冷、热损耗，节约能源。</w:t>
      </w:r>
    </w:p>
    <w:p>
      <w:pPr>
        <w:spacing w:line="360" w:lineRule="auto"/>
        <w:ind w:firstLine="480" w:firstLineChars="200"/>
        <w:contextualSpacing/>
        <w:rPr>
          <w:color w:val="auto"/>
          <w:sz w:val="24"/>
        </w:rPr>
      </w:pPr>
      <w:r>
        <w:rPr>
          <w:rFonts w:hint="eastAsia"/>
          <w:color w:val="auto"/>
          <w:sz w:val="24"/>
        </w:rPr>
        <w:t>⑥</w:t>
      </w:r>
      <w:r>
        <w:rPr>
          <w:color w:val="auto"/>
          <w:sz w:val="24"/>
        </w:rPr>
        <w:t>所有照明都要选用节能灯具，室外光源采用光电控制，充分利用自然光，节约电源。</w:t>
      </w:r>
    </w:p>
    <w:p>
      <w:pPr>
        <w:spacing w:line="360" w:lineRule="auto"/>
        <w:ind w:firstLine="480" w:firstLineChars="200"/>
        <w:contextualSpacing/>
        <w:rPr>
          <w:color w:val="auto"/>
          <w:sz w:val="24"/>
        </w:rPr>
      </w:pPr>
      <w:r>
        <w:rPr>
          <w:rFonts w:hint="eastAsia"/>
          <w:color w:val="auto"/>
          <w:sz w:val="24"/>
        </w:rPr>
        <w:t>⑦</w:t>
      </w:r>
      <w:r>
        <w:rPr>
          <w:color w:val="auto"/>
          <w:sz w:val="24"/>
        </w:rPr>
        <w:t>本项目主要工艺流程和生产设备，均应采取节能新技术、新工艺、新设备。</w:t>
      </w:r>
    </w:p>
    <w:p>
      <w:pPr>
        <w:spacing w:line="360" w:lineRule="auto"/>
        <w:ind w:firstLine="480" w:firstLineChars="200"/>
        <w:contextualSpacing/>
        <w:rPr>
          <w:color w:val="auto"/>
          <w:sz w:val="24"/>
        </w:rPr>
      </w:pPr>
      <w:r>
        <w:rPr>
          <w:rFonts w:hint="eastAsia"/>
          <w:color w:val="auto"/>
          <w:sz w:val="24"/>
        </w:rPr>
        <w:t>⑧</w:t>
      </w:r>
      <w:r>
        <w:rPr>
          <w:color w:val="auto"/>
          <w:sz w:val="24"/>
        </w:rPr>
        <w:t>厂房墙体围护材料，选用彩钢夹层发泡塑料材料，以节约冬季取暖、夏季降温的能源消耗。</w:t>
      </w:r>
    </w:p>
    <w:p>
      <w:pPr>
        <w:spacing w:line="360" w:lineRule="auto"/>
        <w:ind w:firstLine="480" w:firstLineChars="200"/>
        <w:contextualSpacing/>
        <w:rPr>
          <w:color w:val="auto"/>
          <w:sz w:val="24"/>
        </w:rPr>
      </w:pPr>
      <w:r>
        <w:rPr>
          <w:rFonts w:hint="eastAsia"/>
          <w:color w:val="auto"/>
          <w:sz w:val="24"/>
        </w:rPr>
        <w:t>⑨</w:t>
      </w:r>
      <w:r>
        <w:rPr>
          <w:color w:val="auto"/>
          <w:sz w:val="24"/>
        </w:rPr>
        <w:t>加强节能教育，制定和严格执行节能规章制度。提高全体员工节能意识，建设“节能型企业”。</w:t>
      </w:r>
    </w:p>
    <w:p>
      <w:pPr>
        <w:spacing w:line="360" w:lineRule="auto"/>
        <w:ind w:firstLine="480" w:firstLineChars="200"/>
        <w:contextualSpacing/>
        <w:rPr>
          <w:color w:val="auto"/>
          <w:sz w:val="24"/>
        </w:rPr>
      </w:pPr>
      <w:r>
        <w:rPr>
          <w:color w:val="auto"/>
          <w:sz w:val="24"/>
        </w:rPr>
        <w:t>在采取上述节能措施后，可将能耗控制在最低水平。</w:t>
      </w:r>
    </w:p>
    <w:p>
      <w:pPr>
        <w:spacing w:line="360" w:lineRule="auto"/>
        <w:ind w:firstLine="480" w:firstLineChars="200"/>
        <w:rPr>
          <w:color w:val="auto"/>
          <w:sz w:val="24"/>
        </w:rPr>
      </w:pPr>
      <w:r>
        <w:rPr>
          <w:color w:val="auto"/>
          <w:sz w:val="24"/>
        </w:rPr>
        <w:t>（</w:t>
      </w:r>
      <w:r>
        <w:rPr>
          <w:rFonts w:hint="eastAsia"/>
          <w:color w:val="auto"/>
          <w:sz w:val="24"/>
        </w:rPr>
        <w:t>2</w:t>
      </w:r>
      <w:r>
        <w:rPr>
          <w:color w:val="auto"/>
          <w:sz w:val="24"/>
        </w:rPr>
        <w:t>）水资源利用水平分析</w:t>
      </w:r>
    </w:p>
    <w:p>
      <w:pPr>
        <w:spacing w:line="360" w:lineRule="auto"/>
        <w:ind w:firstLine="480" w:firstLineChars="200"/>
        <w:rPr>
          <w:color w:val="auto"/>
          <w:sz w:val="24"/>
        </w:rPr>
      </w:pPr>
      <w:r>
        <w:rPr>
          <w:rFonts w:hAnsi="宋体"/>
          <w:color w:val="auto"/>
          <w:sz w:val="24"/>
        </w:rPr>
        <w:t>本项目耗水最多的是屠宰过程对牛体的清洗、设备清洗和冲洗地面耗水。</w:t>
      </w:r>
    </w:p>
    <w:p>
      <w:pPr>
        <w:spacing w:line="360" w:lineRule="auto"/>
        <w:ind w:firstLine="480" w:firstLineChars="200"/>
        <w:rPr>
          <w:color w:val="auto"/>
          <w:sz w:val="24"/>
        </w:rPr>
      </w:pPr>
      <w:r>
        <w:rPr>
          <w:rFonts w:hAnsi="宋体"/>
          <w:color w:val="auto"/>
          <w:sz w:val="24"/>
        </w:rPr>
        <w:t>采取的主要节水措施有：</w:t>
      </w:r>
    </w:p>
    <w:p>
      <w:pPr>
        <w:spacing w:line="360" w:lineRule="auto"/>
        <w:ind w:firstLine="480" w:firstLineChars="200"/>
        <w:rPr>
          <w:color w:val="auto"/>
          <w:sz w:val="24"/>
        </w:rPr>
      </w:pPr>
      <w:r>
        <w:rPr>
          <w:rFonts w:hint="eastAsia"/>
          <w:color w:val="auto"/>
          <w:sz w:val="24"/>
        </w:rPr>
        <w:t>①</w:t>
      </w:r>
      <w:r>
        <w:rPr>
          <w:rFonts w:hAnsi="宋体"/>
          <w:color w:val="auto"/>
          <w:sz w:val="24"/>
        </w:rPr>
        <w:t>屠宰过程实现机械化作业，流水线生产。胴体不与地面等任何污染源接触，牛血集中收集，粪便干法排除，从而可大大减少冲洗水用量。</w:t>
      </w:r>
    </w:p>
    <w:p>
      <w:pPr>
        <w:spacing w:line="360" w:lineRule="auto"/>
        <w:ind w:firstLine="480" w:firstLineChars="200"/>
        <w:rPr>
          <w:color w:val="auto"/>
          <w:sz w:val="24"/>
        </w:rPr>
      </w:pPr>
      <w:r>
        <w:rPr>
          <w:rFonts w:hint="eastAsia"/>
          <w:color w:val="auto"/>
          <w:sz w:val="24"/>
        </w:rPr>
        <w:t>②</w:t>
      </w:r>
      <w:r>
        <w:rPr>
          <w:rFonts w:hAnsi="宋体"/>
          <w:color w:val="auto"/>
          <w:sz w:val="24"/>
        </w:rPr>
        <w:t>冲洗采用高压水作业，提高冲洗效率，节约用水。</w:t>
      </w:r>
    </w:p>
    <w:p>
      <w:pPr>
        <w:spacing w:line="360" w:lineRule="auto"/>
        <w:ind w:firstLine="480" w:firstLineChars="200"/>
        <w:rPr>
          <w:color w:val="FF0000"/>
          <w:sz w:val="24"/>
        </w:rPr>
      </w:pPr>
      <w:r>
        <w:rPr>
          <w:rFonts w:hAnsi="宋体"/>
          <w:color w:val="auto"/>
          <w:sz w:val="24"/>
        </w:rPr>
        <w:t>本项目屠宰耗水量、屠宰量越大，单位耗水量越小，根据黑龙江省地方标准《用水定额》（</w:t>
      </w:r>
      <w:r>
        <w:rPr>
          <w:color w:val="auto"/>
          <w:sz w:val="24"/>
        </w:rPr>
        <w:t>DB23/T 727-20</w:t>
      </w:r>
      <w:r>
        <w:rPr>
          <w:rFonts w:hint="eastAsia"/>
          <w:color w:val="auto"/>
          <w:sz w:val="24"/>
        </w:rPr>
        <w:t>21</w:t>
      </w:r>
      <w:r>
        <w:rPr>
          <w:rFonts w:hAnsi="宋体"/>
          <w:color w:val="auto"/>
          <w:sz w:val="24"/>
        </w:rPr>
        <w:t>）</w:t>
      </w:r>
      <w:r>
        <w:rPr>
          <w:rFonts w:hint="eastAsia" w:hAnsi="宋体"/>
          <w:color w:val="auto"/>
          <w:sz w:val="24"/>
        </w:rPr>
        <w:t>牲畜屠宰行业，</w:t>
      </w:r>
      <w:r>
        <w:rPr>
          <w:rFonts w:hAnsi="宋体"/>
          <w:color w:val="auto"/>
          <w:sz w:val="24"/>
        </w:rPr>
        <w:t>屠宰牛按</w:t>
      </w:r>
      <w:r>
        <w:rPr>
          <w:color w:val="auto"/>
          <w:sz w:val="24"/>
        </w:rPr>
        <w:t>1m</w:t>
      </w:r>
      <w:r>
        <w:rPr>
          <w:color w:val="auto"/>
          <w:sz w:val="24"/>
          <w:vertAlign w:val="superscript"/>
        </w:rPr>
        <w:t>3</w:t>
      </w:r>
      <w:r>
        <w:rPr>
          <w:color w:val="auto"/>
          <w:sz w:val="24"/>
        </w:rPr>
        <w:t>/</w:t>
      </w:r>
      <w:r>
        <w:rPr>
          <w:rFonts w:hAnsi="宋体"/>
          <w:color w:val="auto"/>
          <w:sz w:val="24"/>
        </w:rPr>
        <w:t>头计算。根据《屠宰与肉类加工废水治理工程技术规范》（</w:t>
      </w:r>
      <w:r>
        <w:rPr>
          <w:color w:val="auto"/>
          <w:sz w:val="24"/>
        </w:rPr>
        <w:t>HJ2004-2010</w:t>
      </w:r>
      <w:r>
        <w:rPr>
          <w:rFonts w:hAnsi="宋体"/>
          <w:color w:val="auto"/>
          <w:sz w:val="24"/>
        </w:rPr>
        <w:t>），废水量宜取全厂用水量的</w:t>
      </w:r>
      <w:r>
        <w:rPr>
          <w:color w:val="auto"/>
          <w:sz w:val="24"/>
        </w:rPr>
        <w:t>80%~90%</w:t>
      </w:r>
      <w:r>
        <w:rPr>
          <w:rFonts w:hAnsi="宋体"/>
          <w:color w:val="auto"/>
          <w:sz w:val="24"/>
        </w:rPr>
        <w:t>，且结合本项目特征，本项目取</w:t>
      </w:r>
      <w:r>
        <w:rPr>
          <w:color w:val="auto"/>
          <w:sz w:val="24"/>
        </w:rPr>
        <w:t>80%</w:t>
      </w:r>
      <w:r>
        <w:rPr>
          <w:rFonts w:hAnsi="宋体"/>
          <w:color w:val="auto"/>
          <w:sz w:val="24"/>
        </w:rPr>
        <w:t>，屠宰每头牛的排水量为</w:t>
      </w:r>
      <w:r>
        <w:rPr>
          <w:color w:val="auto"/>
          <w:sz w:val="24"/>
        </w:rPr>
        <w:t>0.8m</w:t>
      </w:r>
      <w:r>
        <w:rPr>
          <w:color w:val="auto"/>
          <w:sz w:val="24"/>
          <w:vertAlign w:val="superscript"/>
        </w:rPr>
        <w:t>3</w:t>
      </w:r>
      <w:r>
        <w:rPr>
          <w:rFonts w:hAnsi="宋体"/>
          <w:color w:val="auto"/>
          <w:sz w:val="24"/>
        </w:rPr>
        <w:t>。因此，通过采用节水措施和强化管理，可达到节约用水的目的。</w:t>
      </w:r>
    </w:p>
    <w:p>
      <w:pPr>
        <w:spacing w:line="360" w:lineRule="auto"/>
        <w:outlineLvl w:val="3"/>
        <w:rPr>
          <w:rFonts w:ascii="宋体" w:hAnsi="宋体" w:cs="宋体"/>
          <w:color w:val="auto"/>
          <w:sz w:val="24"/>
        </w:rPr>
      </w:pPr>
      <w:r>
        <w:rPr>
          <w:rFonts w:hint="eastAsia" w:eastAsiaTheme="minorEastAsia"/>
          <w:b/>
          <w:color w:val="auto"/>
          <w:sz w:val="24"/>
        </w:rPr>
        <w:t>3.3.4.4污染物</w:t>
      </w:r>
      <w:r>
        <w:rPr>
          <w:rFonts w:eastAsiaTheme="minorEastAsia"/>
          <w:b/>
          <w:color w:val="auto"/>
          <w:sz w:val="24"/>
        </w:rPr>
        <w:t>产生分析</w:t>
      </w:r>
    </w:p>
    <w:p>
      <w:pPr>
        <w:spacing w:line="360" w:lineRule="auto"/>
        <w:ind w:firstLine="480" w:firstLineChars="200"/>
        <w:rPr>
          <w:rFonts w:hAnsi="宋体"/>
          <w:color w:val="auto"/>
          <w:sz w:val="24"/>
        </w:rPr>
      </w:pPr>
      <w:r>
        <w:rPr>
          <w:rFonts w:hAnsi="宋体"/>
          <w:color w:val="auto"/>
          <w:sz w:val="24"/>
        </w:rPr>
        <w:t>本项目</w:t>
      </w:r>
      <w:r>
        <w:rPr>
          <w:rFonts w:hint="eastAsia" w:hAnsi="宋体"/>
          <w:color w:val="auto"/>
          <w:sz w:val="24"/>
        </w:rPr>
        <w:t>肉牛</w:t>
      </w:r>
      <w:r>
        <w:rPr>
          <w:rFonts w:hAnsi="宋体"/>
          <w:color w:val="auto"/>
          <w:sz w:val="24"/>
        </w:rPr>
        <w:t>屠宰加工的剩余物都可以进一步加工利用，</w:t>
      </w:r>
      <w:r>
        <w:rPr>
          <w:rFonts w:hint="eastAsia" w:hAnsi="宋体"/>
          <w:color w:val="auto"/>
          <w:sz w:val="24"/>
        </w:rPr>
        <w:t>肉牛</w:t>
      </w:r>
      <w:r>
        <w:rPr>
          <w:rFonts w:hAnsi="宋体"/>
          <w:color w:val="auto"/>
          <w:sz w:val="24"/>
        </w:rPr>
        <w:t>本身基本无废物，主要污染物来自屠宰加工过程中产生的</w:t>
      </w:r>
      <w:r>
        <w:rPr>
          <w:rFonts w:hint="eastAsia" w:hAnsi="宋体"/>
          <w:color w:val="auto"/>
          <w:sz w:val="24"/>
        </w:rPr>
        <w:t>废水、固废</w:t>
      </w:r>
      <w:r>
        <w:rPr>
          <w:rFonts w:hAnsi="宋体"/>
          <w:color w:val="auto"/>
          <w:sz w:val="24"/>
        </w:rPr>
        <w:t>和恶臭气体等。</w:t>
      </w:r>
    </w:p>
    <w:p>
      <w:pPr>
        <w:spacing w:line="360" w:lineRule="auto"/>
        <w:ind w:firstLine="480" w:firstLineChars="200"/>
        <w:rPr>
          <w:rFonts w:hAnsi="宋体"/>
          <w:color w:val="auto"/>
          <w:sz w:val="24"/>
        </w:rPr>
      </w:pPr>
      <w:r>
        <w:rPr>
          <w:rFonts w:hint="eastAsia" w:hAnsi="宋体"/>
          <w:color w:val="auto"/>
          <w:sz w:val="24"/>
        </w:rPr>
        <w:t>（1）废水</w:t>
      </w:r>
    </w:p>
    <w:p>
      <w:pPr>
        <w:spacing w:line="360" w:lineRule="auto"/>
        <w:ind w:firstLine="480" w:firstLineChars="200"/>
        <w:rPr>
          <w:rFonts w:hAnsi="宋体"/>
          <w:color w:val="auto"/>
          <w:sz w:val="24"/>
        </w:rPr>
      </w:pPr>
      <w:r>
        <w:rPr>
          <w:rFonts w:hAnsi="宋体"/>
          <w:color w:val="auto"/>
          <w:sz w:val="24"/>
        </w:rPr>
        <w:t>污水中污染物的产生量取决于设备的先进性、员工操作技术、废水产生量、血液收集率、粪便收集率及生产管理水平等。通过分析，本项目对</w:t>
      </w:r>
      <w:r>
        <w:rPr>
          <w:rFonts w:hint="eastAsia" w:hAnsi="宋体"/>
          <w:color w:val="auto"/>
          <w:sz w:val="24"/>
        </w:rPr>
        <w:t>牛</w:t>
      </w:r>
      <w:r>
        <w:rPr>
          <w:rFonts w:hAnsi="宋体"/>
          <w:color w:val="auto"/>
          <w:sz w:val="24"/>
        </w:rPr>
        <w:t>血、</w:t>
      </w:r>
      <w:r>
        <w:rPr>
          <w:rFonts w:hint="eastAsia" w:hAnsi="宋体"/>
          <w:color w:val="auto"/>
          <w:sz w:val="24"/>
        </w:rPr>
        <w:t>皮毛、头蹄</w:t>
      </w:r>
      <w:r>
        <w:rPr>
          <w:rFonts w:hAnsi="宋体"/>
          <w:color w:val="auto"/>
          <w:sz w:val="24"/>
        </w:rPr>
        <w:t>、</w:t>
      </w:r>
      <w:r>
        <w:rPr>
          <w:rFonts w:hint="eastAsia" w:hAnsi="宋体"/>
          <w:color w:val="auto"/>
          <w:sz w:val="24"/>
        </w:rPr>
        <w:t>红白内脏</w:t>
      </w:r>
      <w:r>
        <w:rPr>
          <w:rFonts w:hAnsi="宋体"/>
          <w:color w:val="auto"/>
          <w:sz w:val="24"/>
        </w:rPr>
        <w:t>等有价物质的回收率较高，致使污染物的产生量较低，因而，污水可通过生化处理实现达标排放。本项目所排放的废水经处理后能</w:t>
      </w:r>
      <w:r>
        <w:rPr>
          <w:rFonts w:hAnsi="宋体"/>
          <w:bCs/>
          <w:color w:val="auto"/>
          <w:sz w:val="24"/>
        </w:rPr>
        <w:t>《肉类加工工业水污染物排放标准》（GB13457-92）表3三级畜类屠宰加工标准限值，</w:t>
      </w:r>
      <w:r>
        <w:rPr>
          <w:rFonts w:hint="eastAsia" w:hAnsi="宋体"/>
          <w:bCs/>
          <w:color w:val="auto"/>
          <w:sz w:val="24"/>
        </w:rPr>
        <w:t>暂存</w:t>
      </w:r>
      <w:r>
        <w:rPr>
          <w:rFonts w:hAnsi="宋体"/>
          <w:bCs/>
          <w:color w:val="auto"/>
          <w:sz w:val="24"/>
        </w:rPr>
        <w:t>于贮水池，</w:t>
      </w:r>
      <w:r>
        <w:rPr>
          <w:rFonts w:hint="eastAsia" w:hAnsi="宋体"/>
          <w:bCs/>
          <w:color w:val="auto"/>
          <w:sz w:val="24"/>
        </w:rPr>
        <w:t>每天</w:t>
      </w:r>
      <w:r>
        <w:rPr>
          <w:rFonts w:hAnsi="宋体"/>
          <w:bCs/>
          <w:color w:val="auto"/>
          <w:sz w:val="24"/>
        </w:rPr>
        <w:t>采用专用罐车</w:t>
      </w:r>
      <w:r>
        <w:rPr>
          <w:rFonts w:hint="eastAsia" w:hAnsi="宋体"/>
          <w:bCs/>
          <w:color w:val="auto"/>
          <w:sz w:val="24"/>
        </w:rPr>
        <w:t>运至</w:t>
      </w:r>
      <w:r>
        <w:rPr>
          <w:rFonts w:hint="eastAsia" w:hAnsi="宋体"/>
          <w:bCs/>
          <w:color w:val="auto"/>
          <w:sz w:val="24"/>
          <w:lang w:eastAsia="zh-CN"/>
        </w:rPr>
        <w:t>尚志污水处理厂</w:t>
      </w:r>
      <w:r>
        <w:rPr>
          <w:rFonts w:hint="eastAsia" w:hAnsi="宋体"/>
          <w:bCs/>
          <w:color w:val="auto"/>
          <w:sz w:val="24"/>
        </w:rPr>
        <w:t>，经</w:t>
      </w:r>
      <w:r>
        <w:rPr>
          <w:rFonts w:hint="eastAsia" w:hAnsi="宋体"/>
          <w:bCs/>
          <w:color w:val="auto"/>
          <w:sz w:val="24"/>
          <w:lang w:eastAsia="zh-CN"/>
        </w:rPr>
        <w:t>尚志污水处理厂</w:t>
      </w:r>
      <w:r>
        <w:rPr>
          <w:rFonts w:hint="eastAsia" w:hAnsi="宋体"/>
          <w:bCs/>
          <w:color w:val="auto"/>
          <w:sz w:val="24"/>
        </w:rPr>
        <w:t>处理后达标后排放</w:t>
      </w:r>
      <w:r>
        <w:rPr>
          <w:rFonts w:hAnsi="宋体"/>
          <w:color w:val="auto"/>
          <w:sz w:val="24"/>
        </w:rPr>
        <w:t>。</w:t>
      </w:r>
      <w:r>
        <w:rPr>
          <w:rFonts w:hint="eastAsia" w:hAnsi="宋体"/>
          <w:color w:val="auto"/>
          <w:sz w:val="24"/>
        </w:rPr>
        <w:t>本项目所排废水量较小</w:t>
      </w:r>
      <w:r>
        <w:rPr>
          <w:rFonts w:hAnsi="宋体"/>
          <w:color w:val="auto"/>
          <w:sz w:val="24"/>
        </w:rPr>
        <w:t>，能够达到节水降污的要求。</w:t>
      </w:r>
    </w:p>
    <w:p>
      <w:pPr>
        <w:spacing w:line="360" w:lineRule="auto"/>
        <w:ind w:firstLine="480" w:firstLineChars="200"/>
        <w:rPr>
          <w:color w:val="auto"/>
          <w:sz w:val="24"/>
        </w:rPr>
      </w:pPr>
      <w:bookmarkStart w:id="98" w:name="_Hlk479528944"/>
      <w:r>
        <w:rPr>
          <w:rFonts w:hAnsi="宋体"/>
          <w:color w:val="auto"/>
          <w:sz w:val="24"/>
        </w:rPr>
        <w:t>（</w:t>
      </w:r>
      <w:r>
        <w:rPr>
          <w:color w:val="auto"/>
          <w:sz w:val="24"/>
        </w:rPr>
        <w:t>2</w:t>
      </w:r>
      <w:r>
        <w:rPr>
          <w:rFonts w:hAnsi="宋体"/>
          <w:color w:val="auto"/>
          <w:sz w:val="24"/>
        </w:rPr>
        <w:t>）废气</w:t>
      </w:r>
    </w:p>
    <w:p>
      <w:pPr>
        <w:spacing w:line="360" w:lineRule="auto"/>
        <w:ind w:firstLine="480" w:firstLineChars="200"/>
        <w:rPr>
          <w:color w:val="FF0000"/>
          <w:sz w:val="24"/>
        </w:rPr>
      </w:pPr>
      <w:r>
        <w:rPr>
          <w:color w:val="auto"/>
          <w:sz w:val="24"/>
        </w:rPr>
        <w:t>本项目待宰</w:t>
      </w:r>
      <w:r>
        <w:rPr>
          <w:rFonts w:hint="eastAsia"/>
          <w:color w:val="auto"/>
          <w:sz w:val="24"/>
        </w:rPr>
        <w:t>间封闭，</w:t>
      </w:r>
      <w:r>
        <w:rPr>
          <w:bCs/>
          <w:color w:val="auto"/>
          <w:sz w:val="24"/>
        </w:rPr>
        <w:t>及时清扫，并投加或喷洒除臭剂，产生的</w:t>
      </w:r>
      <w:r>
        <w:rPr>
          <w:rFonts w:hint="eastAsia"/>
          <w:bCs/>
          <w:color w:val="auto"/>
          <w:sz w:val="24"/>
        </w:rPr>
        <w:t>恶臭气体</w:t>
      </w:r>
      <w:r>
        <w:rPr>
          <w:bCs/>
          <w:color w:val="auto"/>
          <w:sz w:val="24"/>
        </w:rPr>
        <w:t>经负压集中收集后，通过活性炭吸附净化后由15m高排气筒排放</w:t>
      </w:r>
      <w:r>
        <w:rPr>
          <w:color w:val="auto"/>
          <w:sz w:val="24"/>
        </w:rPr>
        <w:t>。</w:t>
      </w:r>
      <w:r>
        <w:rPr>
          <w:rFonts w:hint="eastAsia"/>
          <w:color w:val="auto"/>
          <w:sz w:val="24"/>
        </w:rPr>
        <w:t>屠宰车间采用负压集中收集废气，负压收集的废气通过活性炭吸附净化后由1根15m高排气筒排放。</w:t>
      </w:r>
      <w:r>
        <w:rPr>
          <w:color w:val="auto"/>
          <w:sz w:val="24"/>
        </w:rPr>
        <w:t>污水处理站封闭，</w:t>
      </w:r>
      <w:r>
        <w:rPr>
          <w:rFonts w:hint="eastAsia"/>
          <w:color w:val="auto"/>
          <w:sz w:val="24"/>
        </w:rPr>
        <w:t>采用负压集中收集废气，负压收集的废气通过活性炭吸附净化后由1根15m高排气筒排放。</w:t>
      </w:r>
      <w:r>
        <w:rPr>
          <w:color w:val="auto"/>
          <w:sz w:val="24"/>
        </w:rPr>
        <w:t>食堂设</w:t>
      </w:r>
      <w:r>
        <w:rPr>
          <w:rFonts w:hint="eastAsia"/>
          <w:color w:val="auto"/>
          <w:sz w:val="24"/>
        </w:rPr>
        <w:t>2个灶头，</w:t>
      </w:r>
      <w:r>
        <w:rPr>
          <w:color w:val="auto"/>
          <w:sz w:val="24"/>
        </w:rPr>
        <w:t>食堂油烟经油烟净化器处理后经高于楼顶的专用烟道排放，净化去除效率</w:t>
      </w:r>
      <w:r>
        <w:rPr>
          <w:rFonts w:hint="eastAsia"/>
          <w:color w:val="auto"/>
          <w:sz w:val="24"/>
        </w:rPr>
        <w:t>60</w:t>
      </w:r>
      <w:r>
        <w:rPr>
          <w:color w:val="auto"/>
          <w:sz w:val="24"/>
        </w:rPr>
        <w:t>%</w:t>
      </w:r>
      <w:r>
        <w:rPr>
          <w:bCs/>
          <w:color w:val="auto"/>
          <w:sz w:val="24"/>
        </w:rPr>
        <w:t>。</w:t>
      </w:r>
      <w:r>
        <w:rPr>
          <w:rFonts w:hint="eastAsia"/>
          <w:bCs/>
          <w:color w:val="auto"/>
          <w:sz w:val="24"/>
          <w:lang w:val="en-US" w:eastAsia="zh-CN"/>
        </w:rPr>
        <w:t>锅炉烟气经布袋除尘器处理后经30m高烟囱排放。</w:t>
      </w:r>
      <w:r>
        <w:rPr>
          <w:bCs/>
          <w:color w:val="auto"/>
          <w:sz w:val="24"/>
        </w:rPr>
        <w:t>本项目废弃各污染物均达标排放，</w:t>
      </w:r>
      <w:r>
        <w:rPr>
          <w:rFonts w:hint="eastAsia"/>
          <w:color w:val="auto"/>
          <w:sz w:val="24"/>
        </w:rPr>
        <w:t>对周围环境空气影响较小。</w:t>
      </w:r>
    </w:p>
    <w:bookmarkEnd w:id="98"/>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Ansi="宋体"/>
          <w:color w:val="auto"/>
          <w:sz w:val="24"/>
        </w:rPr>
      </w:pPr>
      <w:r>
        <w:rPr>
          <w:rFonts w:hint="eastAsia" w:hAnsi="宋体"/>
          <w:color w:val="auto"/>
          <w:sz w:val="24"/>
        </w:rPr>
        <w:t>（3）</w:t>
      </w:r>
      <w:r>
        <w:rPr>
          <w:rFonts w:hAnsi="宋体"/>
          <w:color w:val="auto"/>
          <w:sz w:val="24"/>
        </w:rPr>
        <w:t>固体废物</w:t>
      </w:r>
    </w:p>
    <w:p>
      <w:pPr>
        <w:pStyle w:val="74"/>
        <w:keepNext w:val="0"/>
        <w:keepLines w:val="0"/>
        <w:pageBreakBefore w:val="0"/>
        <w:kinsoku/>
        <w:wordWrap/>
        <w:overflowPunct/>
        <w:topLinePunct w:val="0"/>
        <w:autoSpaceDE/>
        <w:autoSpaceDN/>
        <w:bidi w:val="0"/>
        <w:adjustRightInd/>
        <w:snapToGrid/>
        <w:contextualSpacing/>
        <w:jc w:val="both"/>
        <w:textAlignment w:val="auto"/>
        <w:rPr>
          <w:rFonts w:ascii="Times New Roman" w:hAnsi="Times New Roman" w:eastAsia="宋体" w:cs="Times New Roman"/>
          <w:color w:val="auto"/>
        </w:rPr>
      </w:pPr>
      <w:r>
        <w:rPr>
          <w:rFonts w:ascii="Times New Roman" w:hAnsi="Times New Roman" w:eastAsia="宋体" w:cs="Times New Roman"/>
          <w:bCs/>
          <w:color w:val="auto"/>
        </w:rPr>
        <w:t>本项目粪便</w:t>
      </w:r>
      <w:r>
        <w:rPr>
          <w:rFonts w:hint="eastAsia" w:ascii="Times New Roman" w:hAnsi="Times New Roman" w:eastAsia="宋体" w:cs="Times New Roman"/>
          <w:bCs/>
          <w:color w:val="auto"/>
        </w:rPr>
        <w:t>暂存于待宰间内储粪池内，日产日清，使用密闭运输车运走作为有机肥原料外卖。检疫废物（HW01）</w:t>
      </w:r>
      <w:r>
        <w:rPr>
          <w:rFonts w:ascii="Times New Roman" w:hAnsi="Times New Roman" w:eastAsia="宋体" w:cs="Times New Roman"/>
          <w:bCs/>
          <w:color w:val="auto"/>
        </w:rPr>
        <w:t>单独收集，用</w:t>
      </w:r>
      <w:r>
        <w:rPr>
          <w:rFonts w:hint="eastAsia" w:ascii="Times New Roman" w:hAnsi="Times New Roman" w:eastAsia="宋体" w:cs="Times New Roman"/>
          <w:bCs/>
          <w:color w:val="auto"/>
        </w:rPr>
        <w:t>有</w:t>
      </w:r>
      <w:r>
        <w:rPr>
          <w:rFonts w:ascii="Times New Roman" w:hAnsi="Times New Roman" w:eastAsia="宋体" w:cs="Times New Roman"/>
          <w:bCs/>
          <w:color w:val="auto"/>
        </w:rPr>
        <w:t>明显标识的</w:t>
      </w:r>
      <w:r>
        <w:rPr>
          <w:rFonts w:hint="eastAsia" w:ascii="Times New Roman" w:hAnsi="Times New Roman" w:eastAsia="宋体" w:cs="Times New Roman"/>
          <w:bCs/>
          <w:color w:val="auto"/>
        </w:rPr>
        <w:t>塑料袋</w:t>
      </w:r>
      <w:r>
        <w:rPr>
          <w:rFonts w:ascii="Times New Roman" w:hAnsi="Times New Roman" w:eastAsia="宋体" w:cs="Times New Roman"/>
          <w:bCs/>
          <w:color w:val="auto"/>
        </w:rPr>
        <w:t>盛装，暂存于</w:t>
      </w:r>
      <w:r>
        <w:rPr>
          <w:rFonts w:hint="eastAsia" w:ascii="Times New Roman" w:hAnsi="Times New Roman" w:eastAsia="宋体" w:cs="Times New Roman"/>
          <w:bCs/>
          <w:color w:val="auto"/>
          <w:lang w:eastAsia="zh-CN"/>
        </w:rPr>
        <w:t>危险废物贮存点</w:t>
      </w:r>
      <w:r>
        <w:rPr>
          <w:rFonts w:ascii="Times New Roman" w:hAnsi="Times New Roman" w:eastAsia="宋体" w:cs="Times New Roman"/>
          <w:bCs/>
          <w:color w:val="auto"/>
        </w:rPr>
        <w:t>，</w:t>
      </w:r>
      <w:r>
        <w:rPr>
          <w:rFonts w:hint="eastAsia" w:ascii="Times New Roman" w:hAnsi="Times New Roman" w:eastAsia="宋体" w:cs="Times New Roman"/>
          <w:bCs/>
          <w:color w:val="auto"/>
        </w:rPr>
        <w:t>交</w:t>
      </w:r>
      <w:r>
        <w:rPr>
          <w:rFonts w:ascii="Times New Roman" w:hAnsi="Times New Roman" w:eastAsia="宋体" w:cs="Times New Roman"/>
          <w:bCs/>
          <w:color w:val="auto"/>
        </w:rPr>
        <w:t>由有资质单位进行处置。不可</w:t>
      </w:r>
      <w:r>
        <w:rPr>
          <w:rFonts w:hint="eastAsia" w:ascii="Times New Roman" w:hAnsi="Times New Roman" w:eastAsia="宋体" w:cs="Times New Roman"/>
          <w:bCs/>
          <w:color w:val="auto"/>
        </w:rPr>
        <w:t>食用</w:t>
      </w:r>
      <w:r>
        <w:rPr>
          <w:rFonts w:ascii="Times New Roman" w:hAnsi="Times New Roman" w:eastAsia="宋体" w:cs="Times New Roman"/>
          <w:bCs/>
          <w:color w:val="auto"/>
        </w:rPr>
        <w:t>内脏</w:t>
      </w:r>
      <w:r>
        <w:rPr>
          <w:rFonts w:hint="eastAsia" w:ascii="Times New Roman" w:hAnsi="Times New Roman" w:eastAsia="宋体" w:cs="Times New Roman"/>
          <w:bCs/>
          <w:color w:val="auto"/>
        </w:rPr>
        <w:t>、检疫不合格肉牛及病死牛委托</w:t>
      </w:r>
      <w:r>
        <w:rPr>
          <w:rFonts w:hint="eastAsia" w:ascii="Times New Roman" w:hAnsi="Times New Roman" w:eastAsia="宋体" w:cs="Times New Roman"/>
          <w:bCs/>
          <w:color w:val="auto"/>
          <w:lang w:eastAsia="zh-CN"/>
        </w:rPr>
        <w:t>无害化处理有限公司</w:t>
      </w:r>
      <w:r>
        <w:rPr>
          <w:rFonts w:hint="eastAsia" w:ascii="Times New Roman" w:hAnsi="Times New Roman" w:eastAsia="宋体" w:cs="Times New Roman"/>
          <w:bCs/>
          <w:color w:val="auto"/>
        </w:rPr>
        <w:t>处理。</w:t>
      </w:r>
      <w:r>
        <w:rPr>
          <w:rFonts w:ascii="Times New Roman" w:hAnsi="Times New Roman" w:eastAsia="宋体" w:cs="Times New Roman"/>
          <w:bCs/>
          <w:color w:val="auto"/>
        </w:rPr>
        <w:t>生活垃圾由市政部门统一处理。</w:t>
      </w:r>
      <w:r>
        <w:rPr>
          <w:rFonts w:hint="eastAsia"/>
          <w:bCs/>
          <w:color w:val="auto"/>
          <w:sz w:val="24"/>
        </w:rPr>
        <w:t>废活性炭</w:t>
      </w:r>
      <w:r>
        <w:rPr>
          <w:rFonts w:hint="eastAsia"/>
          <w:bCs/>
          <w:color w:val="auto"/>
          <w:sz w:val="24"/>
          <w:lang w:val="en-US" w:eastAsia="zh-CN"/>
        </w:rPr>
        <w:t>交由厂家再生利用。</w:t>
      </w:r>
      <w:r>
        <w:rPr>
          <w:rFonts w:ascii="Times New Roman" w:hAnsi="Times New Roman" w:eastAsia="宋体" w:cs="Times New Roman"/>
          <w:bCs/>
          <w:color w:val="auto"/>
        </w:rPr>
        <w:t>废弃包装物集中收集，外售综合利用。污泥及栅渣采用压滤机脱水后，</w:t>
      </w:r>
      <w:r>
        <w:rPr>
          <w:rFonts w:hint="eastAsia" w:ascii="Times New Roman" w:hAnsi="Times New Roman" w:eastAsia="宋体" w:cs="Times New Roman"/>
          <w:bCs/>
          <w:color w:val="auto"/>
        </w:rPr>
        <w:t>送生活垃圾填埋场处理，压滤废水返回污水处理工艺。</w:t>
      </w:r>
      <w:r>
        <w:rPr>
          <w:rFonts w:ascii="Times New Roman" w:hAnsi="Times New Roman" w:eastAsia="宋体" w:cs="Times New Roman"/>
          <w:bCs/>
          <w:color w:val="auto"/>
        </w:rPr>
        <w:t>食堂餐馀垃圾交由符合规定的回收处置单位统一回收处置；食堂废油脂按</w:t>
      </w:r>
      <w:r>
        <w:rPr>
          <w:rFonts w:hint="eastAsia" w:ascii="Times New Roman" w:hAnsi="Times New Roman" w:eastAsia="宋体" w:cs="Times New Roman"/>
          <w:bCs/>
          <w:color w:val="auto"/>
          <w:lang w:eastAsia="zh-CN"/>
        </w:rPr>
        <w:t>《哈尔滨市城市餐厨废弃物管理办法》</w:t>
      </w:r>
      <w:r>
        <w:rPr>
          <w:rFonts w:ascii="Times New Roman" w:hAnsi="Times New Roman" w:eastAsia="宋体" w:cs="Times New Roman"/>
          <w:bCs/>
          <w:color w:val="auto"/>
        </w:rPr>
        <w:t>处置。屠宰车间</w:t>
      </w:r>
      <w:r>
        <w:rPr>
          <w:rFonts w:hint="eastAsia" w:ascii="Times New Roman" w:hAnsi="Times New Roman" w:eastAsia="宋体" w:cs="Times New Roman"/>
          <w:bCs/>
          <w:color w:val="auto"/>
        </w:rPr>
        <w:t>产生的</w:t>
      </w:r>
      <w:r>
        <w:rPr>
          <w:rFonts w:ascii="Times New Roman" w:hAnsi="Times New Roman" w:eastAsia="宋体" w:cs="Times New Roman"/>
          <w:bCs/>
          <w:color w:val="auto"/>
        </w:rPr>
        <w:t>肠胃内容物同粪便</w:t>
      </w:r>
      <w:r>
        <w:rPr>
          <w:rFonts w:hint="eastAsia" w:ascii="Times New Roman" w:hAnsi="Times New Roman" w:eastAsia="宋体" w:cs="Times New Roman"/>
          <w:bCs/>
          <w:color w:val="auto"/>
        </w:rPr>
        <w:t>使用密闭运输车运走作为有机肥原料外卖。污水处理站废油脂交由有资质单位处置</w:t>
      </w:r>
      <w:r>
        <w:rPr>
          <w:rFonts w:ascii="Times New Roman" w:hAnsi="Times New Roman" w:eastAsia="宋体" w:cs="Times New Roman"/>
          <w:bCs/>
          <w:color w:val="auto"/>
        </w:rPr>
        <w:t>。</w:t>
      </w:r>
      <w:r>
        <w:rPr>
          <w:rFonts w:hint="eastAsia"/>
          <w:bCs/>
          <w:color w:val="auto"/>
          <w:sz w:val="24"/>
          <w:lang w:val="en-US" w:eastAsia="zh-CN"/>
        </w:rPr>
        <w:t>锅炉房软化水设备产生的废离子交换树脂由厂家回收；废布袋由除尘器厂家回收利用；锅炉产生灰渣暂存于锅炉房内灰渣间，收集后袋装密封暂存，外售用于生产有机肥。</w:t>
      </w:r>
    </w:p>
    <w:p>
      <w:pPr>
        <w:spacing w:line="360" w:lineRule="auto"/>
        <w:outlineLvl w:val="3"/>
        <w:rPr>
          <w:color w:val="auto"/>
          <w:sz w:val="24"/>
        </w:rPr>
      </w:pPr>
      <w:r>
        <w:rPr>
          <w:rFonts w:hint="eastAsia" w:eastAsiaTheme="minorEastAsia"/>
          <w:b/>
          <w:color w:val="auto"/>
          <w:sz w:val="24"/>
        </w:rPr>
        <w:t>3.3.4.5清洁</w:t>
      </w:r>
      <w:r>
        <w:rPr>
          <w:rFonts w:eastAsiaTheme="minorEastAsia"/>
          <w:b/>
          <w:color w:val="auto"/>
          <w:sz w:val="24"/>
        </w:rPr>
        <w:t>生产方案</w:t>
      </w:r>
    </w:p>
    <w:p>
      <w:pPr>
        <w:spacing w:line="360" w:lineRule="auto"/>
        <w:ind w:firstLine="480" w:firstLineChars="200"/>
        <w:rPr>
          <w:color w:val="auto"/>
          <w:sz w:val="24"/>
        </w:rPr>
      </w:pPr>
      <w:r>
        <w:rPr>
          <w:color w:val="auto"/>
          <w:sz w:val="24"/>
        </w:rPr>
        <w:t>（</w:t>
      </w:r>
      <w:r>
        <w:rPr>
          <w:rFonts w:hint="eastAsia"/>
          <w:color w:val="auto"/>
          <w:sz w:val="24"/>
        </w:rPr>
        <w:t>1</w:t>
      </w:r>
      <w:r>
        <w:rPr>
          <w:color w:val="auto"/>
          <w:sz w:val="24"/>
        </w:rPr>
        <w:t>）</w:t>
      </w:r>
      <w:r>
        <w:rPr>
          <w:rFonts w:hint="eastAsia"/>
          <w:color w:val="auto"/>
          <w:sz w:val="24"/>
        </w:rPr>
        <w:t>节水</w:t>
      </w:r>
      <w:r>
        <w:rPr>
          <w:color w:val="auto"/>
          <w:sz w:val="24"/>
        </w:rPr>
        <w:t>方案</w:t>
      </w:r>
    </w:p>
    <w:p>
      <w:pPr>
        <w:spacing w:line="360" w:lineRule="auto"/>
        <w:ind w:firstLine="480" w:firstLineChars="200"/>
        <w:rPr>
          <w:bCs/>
          <w:color w:val="auto"/>
          <w:sz w:val="24"/>
        </w:rPr>
      </w:pPr>
      <w:r>
        <w:rPr>
          <w:rFonts w:hint="eastAsia"/>
          <w:bCs/>
          <w:color w:val="auto"/>
          <w:sz w:val="24"/>
        </w:rPr>
        <w:t>①</w:t>
      </w:r>
      <w:r>
        <w:rPr>
          <w:bCs/>
          <w:color w:val="auto"/>
          <w:sz w:val="24"/>
        </w:rPr>
        <w:t>安装水表、定期记录用水量、避免浪费行为。</w:t>
      </w:r>
    </w:p>
    <w:p>
      <w:pPr>
        <w:spacing w:line="360" w:lineRule="auto"/>
        <w:ind w:firstLine="480" w:firstLineChars="200"/>
        <w:rPr>
          <w:bCs/>
          <w:color w:val="auto"/>
          <w:sz w:val="24"/>
        </w:rPr>
      </w:pPr>
      <w:r>
        <w:rPr>
          <w:rFonts w:hint="eastAsia"/>
          <w:bCs/>
          <w:color w:val="auto"/>
          <w:sz w:val="24"/>
        </w:rPr>
        <w:t>②</w:t>
      </w:r>
      <w:r>
        <w:rPr>
          <w:bCs/>
          <w:color w:val="auto"/>
          <w:sz w:val="24"/>
        </w:rPr>
        <w:t>洗手和刀具消毒器的水流控制采用自动控制系统。</w:t>
      </w:r>
    </w:p>
    <w:p>
      <w:pPr>
        <w:spacing w:line="360" w:lineRule="auto"/>
        <w:ind w:firstLine="480" w:firstLineChars="200"/>
        <w:rPr>
          <w:bCs/>
          <w:color w:val="auto"/>
          <w:sz w:val="24"/>
        </w:rPr>
      </w:pPr>
      <w:r>
        <w:rPr>
          <w:rFonts w:hint="eastAsia"/>
          <w:bCs/>
          <w:color w:val="auto"/>
          <w:sz w:val="24"/>
        </w:rPr>
        <w:t>③</w:t>
      </w:r>
      <w:r>
        <w:rPr>
          <w:bCs/>
          <w:color w:val="auto"/>
          <w:sz w:val="24"/>
        </w:rPr>
        <w:t>安装高压、低剂量喷嘴。</w:t>
      </w:r>
    </w:p>
    <w:p>
      <w:pPr>
        <w:spacing w:line="360" w:lineRule="auto"/>
        <w:ind w:firstLine="480" w:firstLineChars="200"/>
        <w:rPr>
          <w:bCs/>
          <w:color w:val="auto"/>
          <w:sz w:val="24"/>
        </w:rPr>
      </w:pPr>
      <w:r>
        <w:rPr>
          <w:rFonts w:hint="eastAsia"/>
          <w:bCs/>
          <w:color w:val="auto"/>
          <w:sz w:val="24"/>
        </w:rPr>
        <w:t>④</w:t>
      </w:r>
      <w:r>
        <w:rPr>
          <w:bCs/>
          <w:color w:val="auto"/>
          <w:sz w:val="24"/>
        </w:rPr>
        <w:t>使用内脏转动系统以避免或尽量减少水的消耗。</w:t>
      </w:r>
    </w:p>
    <w:p>
      <w:pPr>
        <w:spacing w:line="360" w:lineRule="auto"/>
        <w:ind w:firstLine="480" w:firstLineChars="200"/>
        <w:rPr>
          <w:bCs/>
          <w:color w:val="auto"/>
          <w:sz w:val="24"/>
        </w:rPr>
      </w:pPr>
      <w:r>
        <w:rPr>
          <w:rFonts w:hint="eastAsia"/>
          <w:bCs/>
          <w:color w:val="auto"/>
          <w:sz w:val="24"/>
        </w:rPr>
        <w:t>⑤</w:t>
      </w:r>
      <w:r>
        <w:rPr>
          <w:bCs/>
          <w:color w:val="auto"/>
          <w:sz w:val="24"/>
        </w:rPr>
        <w:t>表面清洁采用高压冲洗而非大量清水冲洗。</w:t>
      </w:r>
    </w:p>
    <w:p>
      <w:pPr>
        <w:spacing w:line="360" w:lineRule="auto"/>
        <w:ind w:firstLine="480" w:firstLineChars="200"/>
        <w:rPr>
          <w:bCs/>
          <w:color w:val="auto"/>
          <w:sz w:val="24"/>
        </w:rPr>
      </w:pPr>
      <w:r>
        <w:rPr>
          <w:rFonts w:hint="eastAsia"/>
          <w:bCs/>
          <w:color w:val="auto"/>
          <w:sz w:val="24"/>
        </w:rPr>
        <w:t>⑥</w:t>
      </w:r>
      <w:r>
        <w:rPr>
          <w:bCs/>
          <w:color w:val="auto"/>
          <w:sz w:val="24"/>
        </w:rPr>
        <w:t>将清洗操作程序产生的最终废水再应用于第二天的必要清洗环节。</w:t>
      </w:r>
    </w:p>
    <w:p>
      <w:pPr>
        <w:spacing w:line="360" w:lineRule="auto"/>
        <w:ind w:firstLine="480" w:firstLineChars="200"/>
        <w:rPr>
          <w:color w:val="auto"/>
          <w:sz w:val="24"/>
        </w:rPr>
      </w:pPr>
      <w:r>
        <w:rPr>
          <w:color w:val="auto"/>
          <w:sz w:val="24"/>
        </w:rPr>
        <w:t>（</w:t>
      </w:r>
      <w:r>
        <w:rPr>
          <w:rFonts w:hint="eastAsia"/>
          <w:color w:val="auto"/>
          <w:sz w:val="24"/>
        </w:rPr>
        <w:t>2</w:t>
      </w:r>
      <w:r>
        <w:rPr>
          <w:color w:val="auto"/>
          <w:sz w:val="24"/>
        </w:rPr>
        <w:t>）减少废水所含污染物质的方案</w:t>
      </w:r>
    </w:p>
    <w:p>
      <w:pPr>
        <w:spacing w:line="360" w:lineRule="auto"/>
        <w:ind w:firstLine="480" w:firstLineChars="200"/>
        <w:rPr>
          <w:bCs/>
          <w:color w:val="auto"/>
          <w:sz w:val="24"/>
        </w:rPr>
      </w:pPr>
      <w:r>
        <w:rPr>
          <w:rFonts w:hint="eastAsia"/>
          <w:bCs/>
          <w:color w:val="auto"/>
          <w:sz w:val="24"/>
        </w:rPr>
        <w:t>①</w:t>
      </w:r>
      <w:r>
        <w:rPr>
          <w:bCs/>
          <w:color w:val="auto"/>
          <w:sz w:val="24"/>
        </w:rPr>
        <w:t>通过设计使用合适的血液收集设备并给予放血足够的时间（通常为7min）最大限度的将血液分离出来。</w:t>
      </w:r>
    </w:p>
    <w:p>
      <w:pPr>
        <w:spacing w:line="360" w:lineRule="auto"/>
        <w:ind w:firstLine="480" w:firstLineChars="200"/>
        <w:rPr>
          <w:bCs/>
          <w:color w:val="auto"/>
          <w:sz w:val="24"/>
        </w:rPr>
      </w:pPr>
      <w:r>
        <w:rPr>
          <w:rFonts w:hint="eastAsia"/>
          <w:bCs/>
          <w:color w:val="auto"/>
          <w:sz w:val="24"/>
        </w:rPr>
        <w:t>②</w:t>
      </w:r>
      <w:r>
        <w:rPr>
          <w:bCs/>
          <w:color w:val="auto"/>
          <w:sz w:val="24"/>
        </w:rPr>
        <w:t>在排水管上装配筛网以防止固体物质进入废水排放系统。</w:t>
      </w:r>
    </w:p>
    <w:p>
      <w:pPr>
        <w:spacing w:line="360" w:lineRule="auto"/>
        <w:ind w:firstLine="480" w:firstLineChars="200"/>
        <w:rPr>
          <w:color w:val="auto"/>
          <w:sz w:val="24"/>
        </w:rPr>
      </w:pPr>
      <w:r>
        <w:rPr>
          <w:color w:val="auto"/>
          <w:sz w:val="24"/>
        </w:rPr>
        <w:t>（</w:t>
      </w:r>
      <w:r>
        <w:rPr>
          <w:rFonts w:hint="eastAsia"/>
          <w:color w:val="auto"/>
          <w:sz w:val="24"/>
        </w:rPr>
        <w:t>3</w:t>
      </w:r>
      <w:r>
        <w:rPr>
          <w:color w:val="auto"/>
          <w:sz w:val="24"/>
        </w:rPr>
        <w:t>）</w:t>
      </w:r>
      <w:r>
        <w:rPr>
          <w:rFonts w:hint="eastAsia"/>
          <w:color w:val="auto"/>
          <w:sz w:val="24"/>
        </w:rPr>
        <w:t>节约</w:t>
      </w:r>
      <w:r>
        <w:rPr>
          <w:color w:val="auto"/>
          <w:sz w:val="24"/>
        </w:rPr>
        <w:t>能源方案</w:t>
      </w:r>
    </w:p>
    <w:p>
      <w:pPr>
        <w:spacing w:line="360" w:lineRule="auto"/>
        <w:ind w:firstLine="480" w:firstLineChars="200"/>
        <w:rPr>
          <w:color w:val="auto"/>
          <w:sz w:val="24"/>
        </w:rPr>
      </w:pPr>
      <w:r>
        <w:rPr>
          <w:rFonts w:hint="eastAsia"/>
          <w:bCs/>
          <w:color w:val="auto"/>
          <w:sz w:val="24"/>
        </w:rPr>
        <w:t>①</w:t>
      </w:r>
      <w:r>
        <w:rPr>
          <w:color w:val="auto"/>
          <w:sz w:val="24"/>
        </w:rPr>
        <w:t>实施能源断开项目，安装传感器以使在电灯及设备不使用时关闭电源或停止供电。</w:t>
      </w:r>
    </w:p>
    <w:p>
      <w:pPr>
        <w:spacing w:line="360" w:lineRule="auto"/>
        <w:ind w:firstLine="480" w:firstLineChars="200"/>
        <w:rPr>
          <w:color w:val="auto"/>
          <w:sz w:val="24"/>
        </w:rPr>
      </w:pPr>
      <w:r>
        <w:rPr>
          <w:rFonts w:hint="eastAsia"/>
          <w:bCs/>
          <w:color w:val="auto"/>
          <w:sz w:val="24"/>
        </w:rPr>
        <w:t>②</w:t>
      </w:r>
      <w:r>
        <w:rPr>
          <w:color w:val="auto"/>
          <w:sz w:val="24"/>
        </w:rPr>
        <w:t>更多地采用高效能设备。</w:t>
      </w:r>
    </w:p>
    <w:p>
      <w:pPr>
        <w:spacing w:line="360" w:lineRule="auto"/>
        <w:ind w:firstLine="480" w:firstLineChars="200"/>
        <w:rPr>
          <w:color w:val="auto"/>
          <w:sz w:val="24"/>
        </w:rPr>
      </w:pPr>
      <w:r>
        <w:rPr>
          <w:rFonts w:hint="eastAsia"/>
          <w:bCs/>
          <w:color w:val="auto"/>
          <w:sz w:val="24"/>
        </w:rPr>
        <w:t>③</w:t>
      </w:r>
      <w:r>
        <w:rPr>
          <w:color w:val="auto"/>
          <w:sz w:val="24"/>
        </w:rPr>
        <w:t>提高维护保养水平以实现设备能源效率最大化。</w:t>
      </w:r>
    </w:p>
    <w:p>
      <w:pPr>
        <w:spacing w:line="360" w:lineRule="auto"/>
        <w:outlineLvl w:val="3"/>
        <w:rPr>
          <w:rFonts w:eastAsiaTheme="minorEastAsia"/>
          <w:b/>
          <w:color w:val="auto"/>
          <w:sz w:val="24"/>
        </w:rPr>
      </w:pPr>
      <w:r>
        <w:rPr>
          <w:rFonts w:hint="eastAsia" w:eastAsiaTheme="minorEastAsia"/>
          <w:b/>
          <w:color w:val="auto"/>
          <w:sz w:val="24"/>
        </w:rPr>
        <w:t>3.3.4.6清洁</w:t>
      </w:r>
      <w:r>
        <w:rPr>
          <w:rFonts w:eastAsiaTheme="minorEastAsia"/>
          <w:b/>
          <w:color w:val="auto"/>
          <w:sz w:val="24"/>
        </w:rPr>
        <w:t>生产</w:t>
      </w:r>
      <w:r>
        <w:rPr>
          <w:rFonts w:hint="eastAsia" w:eastAsiaTheme="minorEastAsia"/>
          <w:b/>
          <w:color w:val="auto"/>
          <w:sz w:val="24"/>
        </w:rPr>
        <w:t>结论</w:t>
      </w:r>
      <w:r>
        <w:rPr>
          <w:rFonts w:eastAsiaTheme="minorEastAsia"/>
          <w:b/>
          <w:color w:val="auto"/>
          <w:sz w:val="24"/>
        </w:rPr>
        <w:t>及建议</w:t>
      </w:r>
    </w:p>
    <w:p>
      <w:pPr>
        <w:spacing w:line="360" w:lineRule="auto"/>
        <w:ind w:firstLine="480" w:firstLineChars="200"/>
        <w:rPr>
          <w:color w:val="auto"/>
          <w:sz w:val="24"/>
          <w:szCs w:val="21"/>
        </w:rPr>
      </w:pPr>
      <w:r>
        <w:rPr>
          <w:color w:val="auto"/>
          <w:sz w:val="24"/>
        </w:rPr>
        <w:t>本项目的建设采用先进的工艺和设备，实现连续机械化、规模化生产，保证原料利用率、能源利用率达到较高的水平，同时提高废物资源化水平以减少污染物的产生量，可达到增效、节能、降耗、减污的清洁生产目的，在提高经济效益的同时，达到保护环境的目的。因此，本项目符合清洁生产要求，清洁生产是本企业可持续发展的必然选择，同时，清洁生产又是一个相对的、动态的概念，推行清洁生产本身是一个不断完善的过程，建议企业要适时地提出更新的目标，将清洁生产不断地、长期地进行下去，实现企业的可持续发展。</w:t>
      </w:r>
    </w:p>
    <w:p>
      <w:pPr>
        <w:spacing w:line="360" w:lineRule="auto"/>
        <w:ind w:firstLine="482" w:firstLineChars="200"/>
        <w:rPr>
          <w:b/>
          <w:color w:val="auto"/>
          <w:sz w:val="24"/>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widowControl/>
        <w:tabs>
          <w:tab w:val="left" w:leader="middleDot" w:pos="7371"/>
        </w:tabs>
        <w:spacing w:line="360" w:lineRule="auto"/>
        <w:jc w:val="left"/>
        <w:outlineLvl w:val="0"/>
        <w:rPr>
          <w:rFonts w:hint="eastAsia" w:eastAsia="宋体"/>
          <w:b/>
          <w:color w:val="auto"/>
          <w:kern w:val="0"/>
          <w:sz w:val="32"/>
          <w:szCs w:val="32"/>
          <w:highlight w:val="yellow"/>
          <w:lang w:eastAsia="zh-CN"/>
        </w:rPr>
      </w:pPr>
      <w:bookmarkStart w:id="99" w:name="_Toc477954563"/>
      <w:bookmarkStart w:id="100" w:name="_Toc20188"/>
      <w:r>
        <w:rPr>
          <w:b/>
          <w:color w:val="auto"/>
          <w:kern w:val="0"/>
          <w:sz w:val="32"/>
          <w:szCs w:val="32"/>
          <w:highlight w:val="none"/>
        </w:rPr>
        <w:t>4环境现状调查与评价</w:t>
      </w:r>
      <w:bookmarkEnd w:id="99"/>
      <w:bookmarkEnd w:id="100"/>
    </w:p>
    <w:p>
      <w:pPr>
        <w:spacing w:line="360" w:lineRule="auto"/>
        <w:jc w:val="left"/>
        <w:outlineLvl w:val="1"/>
        <w:rPr>
          <w:b/>
          <w:bCs/>
          <w:color w:val="auto"/>
          <w:kern w:val="44"/>
          <w:sz w:val="30"/>
          <w:szCs w:val="30"/>
        </w:rPr>
      </w:pPr>
      <w:bookmarkStart w:id="101" w:name="_Toc12247"/>
      <w:r>
        <w:rPr>
          <w:b/>
          <w:bCs/>
          <w:color w:val="auto"/>
          <w:kern w:val="44"/>
          <w:sz w:val="30"/>
          <w:szCs w:val="30"/>
        </w:rPr>
        <w:t>4.1自然环境概况</w:t>
      </w:r>
      <w:bookmarkEnd w:id="101"/>
    </w:p>
    <w:p>
      <w:pPr>
        <w:pStyle w:val="5"/>
        <w:spacing w:before="0" w:after="0" w:line="360" w:lineRule="auto"/>
        <w:ind w:firstLine="141" w:firstLineChars="50"/>
        <w:rPr>
          <w:rFonts w:ascii="Times New Roman" w:hAnsi="Times New Roman" w:cs="Times New Roman"/>
          <w:b/>
          <w:color w:val="auto"/>
          <w:sz w:val="28"/>
          <w:szCs w:val="28"/>
        </w:rPr>
      </w:pPr>
      <w:bookmarkStart w:id="102" w:name="_Toc218825485"/>
      <w:r>
        <w:rPr>
          <w:rFonts w:ascii="Times New Roman" w:hAnsi="Times New Roman" w:cs="Times New Roman"/>
          <w:b/>
          <w:color w:val="auto"/>
          <w:sz w:val="28"/>
          <w:szCs w:val="28"/>
        </w:rPr>
        <w:t>4.1.1地理位置</w:t>
      </w:r>
      <w:bookmarkEnd w:id="102"/>
    </w:p>
    <w:p>
      <w:pPr>
        <w:pStyle w:val="718"/>
        <w:ind w:firstLine="480"/>
        <w:rPr>
          <w:rFonts w:ascii="Times New Roman" w:hAnsi="Times New Roman" w:eastAsia="宋体" w:cs="Times New Roman"/>
          <w:color w:val="FF0000"/>
        </w:rPr>
      </w:pPr>
      <w:r>
        <w:rPr>
          <w:rFonts w:ascii="Times New Roman" w:hAnsi="Times New Roman" w:eastAsia="宋体" w:cs="Times New Roman"/>
          <w:color w:val="auto"/>
        </w:rPr>
        <w:t>哈尔滨市地处我国东北部地区，黑龙江省西南部，松嫩平原东端。是黑龙江省省会，中国东北部的政治、文化、科技和交通中心。地理位置北纬45°09′-46°45′，东经125°42′-130°10′之间，西北与肇东、兰西、绥化接壤，东南与巴彦、宾县、尚志市相连，西南与五常毗邻。辖区总面积5.3×10</w:t>
      </w:r>
      <w:r>
        <w:rPr>
          <w:rFonts w:ascii="Times New Roman" w:hAnsi="Times New Roman" w:eastAsia="宋体" w:cs="Times New Roman"/>
          <w:color w:val="auto"/>
          <w:vertAlign w:val="superscript"/>
        </w:rPr>
        <w:t>4</w:t>
      </w:r>
      <w:r>
        <w:rPr>
          <w:rFonts w:ascii="Times New Roman" w:hAnsi="Times New Roman" w:eastAsia="宋体" w:cs="Times New Roman"/>
          <w:color w:val="auto"/>
        </w:rPr>
        <w:t>km</w:t>
      </w:r>
      <w:r>
        <w:rPr>
          <w:rFonts w:ascii="Times New Roman" w:hAnsi="Times New Roman" w:eastAsia="宋体" w:cs="Times New Roman"/>
          <w:color w:val="auto"/>
          <w:vertAlign w:val="superscript"/>
        </w:rPr>
        <w:t>2</w:t>
      </w:r>
      <w:r>
        <w:rPr>
          <w:rFonts w:ascii="Times New Roman" w:hAnsi="Times New Roman" w:eastAsia="宋体" w:cs="Times New Roman"/>
          <w:color w:val="auto"/>
        </w:rPr>
        <w:t>。</w:t>
      </w:r>
    </w:p>
    <w:p>
      <w:pPr>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尚志市是黑龙江省哈尔滨市代管县级市，位于黑龙江省中南部，哈尔滨市东南部，东经127°17′-129°12′、北纬44°29′-45°34′。东界海林市，西邻阿城区，南与五常市接壤，北与延寿县、方正县、宾县相连接。东西长约153千米，南北宽约90千米。总面积8900平方千米。2009年总人口62万人。辖10个镇、5个乡、2个民族乡。市政府驻尚志镇西大直街187号。</w:t>
      </w:r>
    </w:p>
    <w:p>
      <w:pPr>
        <w:spacing w:line="360" w:lineRule="auto"/>
        <w:ind w:firstLine="480" w:firstLineChars="200"/>
        <w:rPr>
          <w:b/>
          <w:color w:val="auto"/>
          <w:sz w:val="24"/>
        </w:rPr>
      </w:pPr>
      <w:r>
        <w:rPr>
          <w:color w:val="auto"/>
          <w:sz w:val="24"/>
        </w:rPr>
        <w:t>本项目位于黑龙江省</w:t>
      </w:r>
      <w:r>
        <w:rPr>
          <w:rFonts w:hint="eastAsia"/>
          <w:color w:val="auto"/>
          <w:sz w:val="24"/>
          <w:lang w:eastAsia="zh-CN"/>
        </w:rPr>
        <w:t>哈尔滨市尚志市长寿乡一曼村</w:t>
      </w:r>
      <w:r>
        <w:rPr>
          <w:color w:val="auto"/>
          <w:sz w:val="24"/>
        </w:rPr>
        <w:t>，占地面积</w:t>
      </w:r>
      <w:r>
        <w:rPr>
          <w:rFonts w:hint="eastAsia"/>
          <w:color w:val="auto"/>
          <w:sz w:val="24"/>
          <w:lang w:eastAsia="zh-CN"/>
        </w:rPr>
        <w:t>29672</w:t>
      </w:r>
      <w:r>
        <w:rPr>
          <w:color w:val="auto"/>
          <w:sz w:val="24"/>
        </w:rPr>
        <w:t>m</w:t>
      </w:r>
      <w:r>
        <w:rPr>
          <w:color w:val="auto"/>
          <w:sz w:val="24"/>
          <w:vertAlign w:val="superscript"/>
        </w:rPr>
        <w:t>2</w:t>
      </w:r>
      <w:r>
        <w:rPr>
          <w:color w:val="auto"/>
          <w:sz w:val="24"/>
        </w:rPr>
        <w:t>，占地类型为</w:t>
      </w:r>
      <w:r>
        <w:rPr>
          <w:rFonts w:hint="eastAsia"/>
          <w:color w:val="auto"/>
          <w:sz w:val="24"/>
        </w:rPr>
        <w:t>工业</w:t>
      </w:r>
      <w:r>
        <w:rPr>
          <w:color w:val="auto"/>
          <w:sz w:val="24"/>
        </w:rPr>
        <w:t>用地，项目所在位置见图4</w:t>
      </w:r>
      <w:r>
        <w:rPr>
          <w:rFonts w:hint="eastAsia"/>
          <w:color w:val="auto"/>
          <w:sz w:val="24"/>
          <w:lang w:val="en-US" w:eastAsia="zh-CN"/>
        </w:rPr>
        <w:t>-</w:t>
      </w:r>
      <w:r>
        <w:rPr>
          <w:color w:val="auto"/>
          <w:sz w:val="24"/>
        </w:rPr>
        <w:t>1-1。</w:t>
      </w:r>
    </w:p>
    <w:p>
      <w:pPr>
        <w:contextualSpacing/>
        <w:jc w:val="center"/>
        <w:rPr>
          <w:b/>
          <w:color w:val="auto"/>
          <w:sz w:val="24"/>
        </w:rPr>
      </w:pPr>
      <w:r>
        <w:rPr>
          <w:sz w:val="21"/>
        </w:rPr>
        <w:pict>
          <v:shape id="_x0000_s71688" o:spid="_x0000_s71688" o:spt="62" type="#_x0000_t62" style="position:absolute;left:0pt;margin-left:183.1pt;margin-top:58.1pt;height:29.3pt;width:62.25pt;z-index:251676672;mso-width-relative:page;mso-height-relative:page;" fillcolor="#FFFFFF" filled="t" stroked="t" coordsize="21600,21600" adj="3175,36971">
            <v:path/>
            <v:fill on="t" color2="#FFFFFF" focussize="0,0"/>
            <v:stroke weight="1pt" color="#000000"/>
            <v:imagedata o:title=""/>
            <o:lock v:ext="edit" aspectratio="f"/>
            <v:textbox>
              <w:txbxContent>
                <w:p>
                  <w:pPr>
                    <w:rPr>
                      <w:rFonts w:hint="default" w:eastAsia="宋体"/>
                      <w:lang w:val="en-US" w:eastAsia="zh-CN"/>
                    </w:rPr>
                  </w:pPr>
                  <w:r>
                    <w:rPr>
                      <w:rFonts w:hint="eastAsia"/>
                      <w:lang w:val="en-US" w:eastAsia="zh-CN"/>
                    </w:rPr>
                    <w:t>项目位置</w:t>
                  </w:r>
                </w:p>
              </w:txbxContent>
            </v:textbox>
          </v:shape>
        </w:pict>
      </w:r>
      <w:r>
        <w:rPr>
          <w:sz w:val="21"/>
        </w:rPr>
        <w:pict>
          <v:shape id="_x0000_s71687" o:spid="_x0000_s71687" o:spt="12" type="#_x0000_t12" style="position:absolute;left:0pt;margin-left:189.85pt;margin-top:109.9pt;height:8.25pt;width:9.75pt;z-index:251675648;mso-width-relative:page;mso-height-relative:page;" fillcolor="#FF0000" filled="t" stroked="t" coordsize="21600,21600">
            <v:path/>
            <v:fill on="t" color2="#FFFFFF" focussize="0,0"/>
            <v:stroke weight="1pt" color="#FF0000"/>
            <v:imagedata o:title=""/>
            <o:lock v:ext="edit" aspectratio="f"/>
          </v:shape>
        </w:pict>
      </w:r>
      <w:r>
        <w:drawing>
          <wp:inline distT="0" distB="0" distL="114300" distR="114300">
            <wp:extent cx="5272405" cy="3315335"/>
            <wp:effectExtent l="0" t="0" r="4445" b="18415"/>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39"/>
                    <a:stretch>
                      <a:fillRect/>
                    </a:stretch>
                  </pic:blipFill>
                  <pic:spPr>
                    <a:xfrm>
                      <a:off x="0" y="0"/>
                      <a:ext cx="5272405" cy="3315335"/>
                    </a:xfrm>
                    <a:prstGeom prst="rect">
                      <a:avLst/>
                    </a:prstGeom>
                    <a:noFill/>
                    <a:ln>
                      <a:noFill/>
                    </a:ln>
                  </pic:spPr>
                </pic:pic>
              </a:graphicData>
            </a:graphic>
          </wp:inline>
        </w:drawing>
      </w:r>
    </w:p>
    <w:p>
      <w:pPr>
        <w:contextualSpacing/>
        <w:jc w:val="center"/>
        <w:rPr>
          <w:b/>
          <w:color w:val="auto"/>
          <w:sz w:val="24"/>
        </w:rPr>
      </w:pPr>
      <w:r>
        <w:rPr>
          <w:b/>
          <w:color w:val="auto"/>
          <w:sz w:val="24"/>
        </w:rPr>
        <w:t>图4-1-1</w:t>
      </w:r>
      <w:r>
        <w:rPr>
          <w:rFonts w:hint="eastAsia"/>
          <w:b/>
          <w:color w:val="auto"/>
          <w:sz w:val="24"/>
          <w:lang w:val="en-US" w:eastAsia="zh-CN"/>
        </w:rPr>
        <w:t xml:space="preserve"> </w:t>
      </w:r>
      <w:r>
        <w:rPr>
          <w:b/>
          <w:color w:val="auto"/>
          <w:sz w:val="24"/>
        </w:rPr>
        <w:t>项目地理位置图</w:t>
      </w:r>
    </w:p>
    <w:p>
      <w:pPr>
        <w:pStyle w:val="5"/>
        <w:spacing w:before="0" w:after="0" w:line="360" w:lineRule="auto"/>
        <w:ind w:firstLine="141" w:firstLineChars="50"/>
        <w:rPr>
          <w:rFonts w:ascii="Times New Roman" w:hAnsi="Times New Roman" w:cs="Times New Roman"/>
          <w:b/>
          <w:color w:val="auto"/>
          <w:sz w:val="28"/>
          <w:szCs w:val="28"/>
        </w:rPr>
      </w:pPr>
      <w:r>
        <w:rPr>
          <w:rFonts w:ascii="Times New Roman" w:hAnsi="Times New Roman" w:cs="Times New Roman"/>
          <w:b/>
          <w:color w:val="auto"/>
          <w:sz w:val="28"/>
          <w:szCs w:val="28"/>
        </w:rPr>
        <w:t>4.1.2地形地貌</w:t>
      </w:r>
    </w:p>
    <w:p>
      <w:pPr>
        <w:pStyle w:val="718"/>
        <w:ind w:firstLine="480"/>
        <w:rPr>
          <w:rFonts w:ascii="Times New Roman" w:hAnsi="Times New Roman" w:eastAsia="宋体" w:cs="Times New Roman"/>
          <w:color w:val="auto"/>
        </w:rPr>
      </w:pPr>
      <w:bookmarkStart w:id="103" w:name="_Toc241292978"/>
      <w:r>
        <w:rPr>
          <w:rFonts w:ascii="Times New Roman" w:hAnsi="Times New Roman" w:eastAsia="宋体" w:cs="Times New Roman"/>
          <w:color w:val="auto"/>
        </w:rPr>
        <w:t>哈尔滨市的地形东南高，西北低，由东南向西北倾斜，地域平坦，平均海拔高度151m。东南临张广才岭支脉丘陵，西北为呼兰河、泥河流域低洼地带，中部有松花江通过，山势不高，河流纵横，平原辽阔，高岗洼地交错分布。哈尔滨市区主要分布在松花江形成的三级阶地上，第一级阶地海拔132-140m之间，主要包括道里区、道外区、松北区，该区域地势平坦，无明显起伏。第二级阶地海拔145-175m之间，由第一阶地逐步过渡无明显界限，主要包括南岗区、香坊区的部分地区，面积较大，由于过去长期流水侵蚀，略有起伏，土层深厚。第三级阶地海拔180-200m之间，主要分布在荒山嘴子和文昌区南部等地，往东南则逐渐过渡到张广才岭余脉，为丘陵地区。</w:t>
      </w:r>
    </w:p>
    <w:p>
      <w:pPr>
        <w:pStyle w:val="718"/>
        <w:ind w:firstLine="480"/>
        <w:rPr>
          <w:rFonts w:hint="eastAsia" w:ascii="Times New Roman" w:hAnsi="Times New Roman" w:eastAsia="宋体" w:cs="Times New Roman"/>
          <w:color w:val="auto"/>
        </w:rPr>
      </w:pPr>
      <w:r>
        <w:rPr>
          <w:rFonts w:hint="eastAsia" w:ascii="Times New Roman" w:hAnsi="Times New Roman" w:eastAsia="宋体" w:cs="Times New Roman"/>
          <w:color w:val="auto"/>
        </w:rPr>
        <w:t>尚志市总面积8824.9平方公里，其中山地丘陵、平原、水域分别占总面积的80%、15%和5%，大体呈八山、半水、分半田结构。地貌为东南至西北环型高、中间低的阶梯特征。最高点为珍珠山乡境内的三秃顶子，海拔1639.6米；最低点为蚂蜒河下游冲击平原，海拔176米。全部地貌为低山、沟谷与局部中山相间的山地、丘陵地。境内东部多侵蚀中山，西部多剥蚀低山、丘陵，中部多剥蚀丘陵和堆积漫滩。</w:t>
      </w:r>
    </w:p>
    <w:p>
      <w:pPr>
        <w:pStyle w:val="5"/>
        <w:spacing w:before="0" w:after="0" w:line="360" w:lineRule="auto"/>
        <w:ind w:firstLine="141" w:firstLineChars="50"/>
        <w:rPr>
          <w:rFonts w:ascii="Times New Roman" w:hAnsi="Times New Roman" w:cs="Times New Roman"/>
          <w:b/>
          <w:color w:val="auto"/>
          <w:sz w:val="28"/>
          <w:szCs w:val="28"/>
        </w:rPr>
      </w:pPr>
      <w:r>
        <w:rPr>
          <w:rFonts w:ascii="Times New Roman" w:hAnsi="Times New Roman" w:cs="Times New Roman"/>
          <w:b/>
          <w:color w:val="auto"/>
          <w:sz w:val="28"/>
          <w:szCs w:val="28"/>
        </w:rPr>
        <w:t>4.1.3气候</w:t>
      </w:r>
      <w:bookmarkEnd w:id="103"/>
      <w:r>
        <w:rPr>
          <w:rFonts w:ascii="Times New Roman" w:hAnsi="Times New Roman" w:cs="Times New Roman"/>
          <w:b/>
          <w:color w:val="auto"/>
          <w:sz w:val="28"/>
          <w:szCs w:val="28"/>
        </w:rPr>
        <w:t>、气象</w:t>
      </w:r>
    </w:p>
    <w:p>
      <w:pPr>
        <w:pStyle w:val="718"/>
        <w:ind w:firstLine="480"/>
        <w:rPr>
          <w:rFonts w:ascii="Times New Roman" w:hAnsi="Times New Roman" w:eastAsia="宋体" w:cs="Times New Roman"/>
          <w:color w:val="auto"/>
        </w:rPr>
      </w:pPr>
      <w:r>
        <w:rPr>
          <w:rFonts w:ascii="Times New Roman" w:hAnsi="Times New Roman" w:eastAsia="宋体" w:cs="Times New Roman"/>
          <w:color w:val="auto"/>
        </w:rPr>
        <w:t>哈尔滨市属于半湿润中温带大陆性季风气候，冬季受蒙古西北气流控制，而且也受东部鄂霍次克寒流影响，因此冬季漫长、寒冷而干燥。夏季多受太平洋西伸北跃西南气流的影响，炎热多雨。春秋两季短促，多风且干燥。一年中寒暑温差较大。年平均气温4.2</w:t>
      </w:r>
      <w:r>
        <w:rPr>
          <w:rFonts w:hint="eastAsia" w:eastAsia="宋体" w:cs="宋体"/>
          <w:color w:val="auto"/>
        </w:rPr>
        <w:t>℃</w:t>
      </w:r>
      <w:r>
        <w:rPr>
          <w:rFonts w:ascii="Times New Roman" w:hAnsi="Times New Roman" w:eastAsia="宋体" w:cs="Times New Roman"/>
          <w:color w:val="auto"/>
        </w:rPr>
        <w:t>，极端最高温度为36.7</w:t>
      </w:r>
      <w:r>
        <w:rPr>
          <w:rFonts w:hint="eastAsia" w:eastAsia="宋体" w:cs="宋体"/>
          <w:color w:val="auto"/>
        </w:rPr>
        <w:t>℃</w:t>
      </w:r>
      <w:r>
        <w:rPr>
          <w:rFonts w:ascii="Times New Roman" w:hAnsi="Times New Roman" w:eastAsia="宋体" w:cs="Times New Roman"/>
          <w:color w:val="auto"/>
        </w:rPr>
        <w:t>，极端最低温度为-38.1</w:t>
      </w:r>
      <w:r>
        <w:rPr>
          <w:rFonts w:hint="eastAsia" w:eastAsia="宋体" w:cs="宋体"/>
          <w:color w:val="auto"/>
        </w:rPr>
        <w:t>℃</w:t>
      </w:r>
      <w:r>
        <w:rPr>
          <w:rFonts w:ascii="Times New Roman" w:hAnsi="Times New Roman" w:eastAsia="宋体" w:cs="Times New Roman"/>
          <w:color w:val="auto"/>
        </w:rPr>
        <w:t>；年平均风速为2.6m/s，年最大风速为26.0m/s，出现风向为西南西（WSW）风，年主导风向为南风和南南西风，出现频率均为13%；最大冻土深度为1.99m；结冰期150天左右，采暖期180天；年平均降水量为524.5mm；年平均蒸发量1622.0mm；年平均气压997.2Pa；最大积雪深度41cm；年日照时长2474.4h；年平均相对湿度约65%。</w:t>
      </w:r>
    </w:p>
    <w:p>
      <w:pPr>
        <w:pStyle w:val="718"/>
        <w:ind w:firstLine="480"/>
        <w:rPr>
          <w:rFonts w:ascii="Times New Roman" w:hAnsi="Times New Roman" w:eastAsia="宋体" w:cs="Times New Roman"/>
          <w:bCs/>
          <w:color w:val="auto"/>
        </w:rPr>
      </w:pPr>
      <w:r>
        <w:rPr>
          <w:rFonts w:hint="eastAsia" w:ascii="Times New Roman" w:hAnsi="Times New Roman" w:eastAsia="宋体" w:cs="Times New Roman"/>
          <w:bCs/>
          <w:color w:val="auto"/>
        </w:rPr>
        <w:t>尚志市属温带大陆性季风气候。全年日照2450-2600小时，≥10℃积温2400℃，无霜期120天左右。年平均气温为2.3℃。1月最冷，平均气温-20.5℃;7月最热，平均气温21.6℃。年平均蒸发量1056-1128毫米，年平均降雨量666.1毫米，年平均相对湿度为72%。主要风向春季多为西南风，冬季多为西北风，融雪在3月下旬，结冻期约150-180天。</w:t>
      </w:r>
    </w:p>
    <w:p>
      <w:pPr>
        <w:pStyle w:val="5"/>
        <w:spacing w:before="0" w:after="0" w:line="360" w:lineRule="auto"/>
        <w:ind w:firstLine="141" w:firstLineChars="50"/>
        <w:rPr>
          <w:rFonts w:ascii="Times New Roman" w:hAnsi="Times New Roman" w:cs="Times New Roman"/>
          <w:b/>
          <w:color w:val="auto"/>
          <w:sz w:val="28"/>
          <w:szCs w:val="28"/>
        </w:rPr>
      </w:pPr>
      <w:r>
        <w:rPr>
          <w:rFonts w:ascii="Times New Roman" w:hAnsi="Times New Roman" w:cs="Times New Roman"/>
          <w:b/>
          <w:color w:val="auto"/>
          <w:sz w:val="28"/>
          <w:szCs w:val="28"/>
        </w:rPr>
        <w:t>4.1.4地面气象特征</w:t>
      </w:r>
    </w:p>
    <w:p>
      <w:pPr>
        <w:spacing w:line="360" w:lineRule="auto"/>
        <w:outlineLvl w:val="3"/>
        <w:rPr>
          <w:b/>
          <w:color w:val="auto"/>
          <w:sz w:val="24"/>
        </w:rPr>
      </w:pPr>
      <w:r>
        <w:rPr>
          <w:b/>
          <w:color w:val="auto"/>
          <w:sz w:val="24"/>
        </w:rPr>
        <w:t>4.1.4.1资料来源</w:t>
      </w:r>
    </w:p>
    <w:p>
      <w:pPr>
        <w:pStyle w:val="718"/>
        <w:ind w:firstLine="480"/>
        <w:rPr>
          <w:rFonts w:ascii="Times New Roman" w:hAnsi="Times New Roman" w:eastAsia="宋体" w:cs="Times New Roman"/>
          <w:color w:val="auto"/>
        </w:rPr>
      </w:pPr>
      <w:bookmarkStart w:id="104" w:name="_Toc241292979"/>
      <w:r>
        <w:rPr>
          <w:rFonts w:ascii="Times New Roman" w:hAnsi="Times New Roman" w:eastAsia="宋体" w:cs="Times New Roman"/>
          <w:color w:val="auto"/>
        </w:rPr>
        <w:t>本评价区地面历史资料利用哈尔滨市（国家级）气象台气象观测站地面多年（大于20年）观测资料。</w:t>
      </w:r>
    </w:p>
    <w:p>
      <w:pPr>
        <w:spacing w:line="360" w:lineRule="auto"/>
        <w:outlineLvl w:val="3"/>
        <w:rPr>
          <w:b/>
          <w:color w:val="auto"/>
          <w:sz w:val="24"/>
        </w:rPr>
      </w:pPr>
      <w:r>
        <w:rPr>
          <w:b/>
          <w:color w:val="auto"/>
          <w:sz w:val="24"/>
        </w:rPr>
        <w:t>4.1.4.2风向</w:t>
      </w:r>
    </w:p>
    <w:p>
      <w:pPr>
        <w:spacing w:line="360" w:lineRule="auto"/>
        <w:ind w:firstLine="424" w:firstLineChars="177"/>
        <w:rPr>
          <w:b/>
          <w:color w:val="auto"/>
          <w:kern w:val="0"/>
          <w:sz w:val="20"/>
          <w:szCs w:val="21"/>
        </w:rPr>
      </w:pPr>
      <w:r>
        <w:rPr>
          <w:color w:val="auto"/>
          <w:sz w:val="24"/>
          <w:szCs w:val="21"/>
        </w:rPr>
        <w:t>哈尔滨市20</w:t>
      </w:r>
      <w:r>
        <w:rPr>
          <w:rFonts w:hint="eastAsia"/>
          <w:color w:val="auto"/>
          <w:sz w:val="24"/>
          <w:szCs w:val="21"/>
        </w:rPr>
        <w:t>年</w:t>
      </w:r>
      <w:r>
        <w:rPr>
          <w:color w:val="auto"/>
          <w:sz w:val="24"/>
          <w:szCs w:val="21"/>
        </w:rPr>
        <w:t>来主导风向为南</w:t>
      </w:r>
      <w:r>
        <w:rPr>
          <w:rFonts w:hint="eastAsia"/>
          <w:color w:val="auto"/>
          <w:sz w:val="24"/>
          <w:szCs w:val="21"/>
        </w:rPr>
        <w:t>（</w:t>
      </w:r>
      <w:r>
        <w:rPr>
          <w:color w:val="auto"/>
          <w:sz w:val="24"/>
          <w:szCs w:val="21"/>
        </w:rPr>
        <w:t>S</w:t>
      </w:r>
      <w:r>
        <w:rPr>
          <w:rFonts w:hint="eastAsia"/>
          <w:color w:val="auto"/>
          <w:sz w:val="24"/>
          <w:szCs w:val="21"/>
        </w:rPr>
        <w:t>）</w:t>
      </w:r>
      <w:r>
        <w:rPr>
          <w:color w:val="auto"/>
          <w:sz w:val="24"/>
          <w:szCs w:val="21"/>
        </w:rPr>
        <w:t>风、南南西</w:t>
      </w:r>
      <w:r>
        <w:rPr>
          <w:rFonts w:hint="eastAsia"/>
          <w:color w:val="auto"/>
          <w:sz w:val="24"/>
          <w:szCs w:val="21"/>
        </w:rPr>
        <w:t>（</w:t>
      </w:r>
      <w:r>
        <w:rPr>
          <w:color w:val="auto"/>
          <w:sz w:val="24"/>
          <w:szCs w:val="21"/>
        </w:rPr>
        <w:t>SSW</w:t>
      </w:r>
      <w:r>
        <w:rPr>
          <w:rFonts w:hint="eastAsia"/>
          <w:color w:val="auto"/>
          <w:sz w:val="24"/>
          <w:szCs w:val="21"/>
        </w:rPr>
        <w:t>）</w:t>
      </w:r>
      <w:r>
        <w:rPr>
          <w:color w:val="auto"/>
          <w:sz w:val="24"/>
          <w:szCs w:val="21"/>
        </w:rPr>
        <w:t>和西南</w:t>
      </w:r>
      <w:r>
        <w:rPr>
          <w:rFonts w:hint="eastAsia"/>
          <w:color w:val="auto"/>
          <w:sz w:val="24"/>
          <w:szCs w:val="21"/>
        </w:rPr>
        <w:t>（</w:t>
      </w:r>
      <w:r>
        <w:rPr>
          <w:color w:val="auto"/>
          <w:sz w:val="24"/>
          <w:szCs w:val="21"/>
        </w:rPr>
        <w:t>SW</w:t>
      </w:r>
      <w:r>
        <w:rPr>
          <w:rFonts w:hint="eastAsia"/>
          <w:color w:val="auto"/>
          <w:sz w:val="24"/>
          <w:szCs w:val="21"/>
        </w:rPr>
        <w:t>）</w:t>
      </w:r>
      <w:r>
        <w:rPr>
          <w:color w:val="auto"/>
          <w:sz w:val="24"/>
          <w:szCs w:val="21"/>
        </w:rPr>
        <w:t>风（连续45°角，风频之和大于30%），风向频率分别为12%，12%，9%，静风频率为8%。哈尔滨市近20</w:t>
      </w:r>
      <w:r>
        <w:rPr>
          <w:rFonts w:hint="eastAsia"/>
          <w:color w:val="auto"/>
          <w:sz w:val="24"/>
          <w:szCs w:val="21"/>
        </w:rPr>
        <w:t>那年</w:t>
      </w:r>
      <w:r>
        <w:rPr>
          <w:color w:val="auto"/>
          <w:sz w:val="24"/>
          <w:szCs w:val="21"/>
        </w:rPr>
        <w:t>各季度风向频率见表4-1-1和图4-1-</w:t>
      </w:r>
      <w:r>
        <w:rPr>
          <w:rFonts w:hint="eastAsia"/>
          <w:color w:val="auto"/>
          <w:sz w:val="24"/>
          <w:szCs w:val="21"/>
        </w:rPr>
        <w:t>2</w:t>
      </w:r>
      <w:r>
        <w:rPr>
          <w:color w:val="auto"/>
          <w:sz w:val="24"/>
          <w:szCs w:val="21"/>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AnsiTheme="minorEastAsia" w:eastAsiaTheme="minorEastAsia"/>
          <w:b/>
          <w:color w:val="auto"/>
          <w:kern w:val="0"/>
          <w:sz w:val="24"/>
        </w:rPr>
      </w:pPr>
      <w:r>
        <w:rPr>
          <w:rFonts w:hAnsiTheme="minorEastAsia" w:eastAsiaTheme="minorEastAsia"/>
          <w:b/>
          <w:color w:val="auto"/>
          <w:kern w:val="0"/>
          <w:sz w:val="24"/>
        </w:rPr>
        <w:t>表</w:t>
      </w:r>
      <w:r>
        <w:rPr>
          <w:rFonts w:eastAsiaTheme="minorEastAsia"/>
          <w:b/>
          <w:color w:val="auto"/>
          <w:kern w:val="0"/>
          <w:sz w:val="24"/>
        </w:rPr>
        <w:t xml:space="preserve">4-1-1  </w:t>
      </w:r>
      <w:r>
        <w:rPr>
          <w:rFonts w:hAnsiTheme="minorEastAsia" w:eastAsiaTheme="minorEastAsia"/>
          <w:b/>
          <w:color w:val="auto"/>
          <w:kern w:val="0"/>
          <w:sz w:val="24"/>
        </w:rPr>
        <w:t>哈尔滨市各季风向频率</w:t>
      </w:r>
      <w:r>
        <w:rPr>
          <w:rFonts w:hint="eastAsia" w:hAnsiTheme="minorEastAsia" w:eastAsiaTheme="minorEastAsia"/>
          <w:b/>
          <w:color w:val="auto"/>
          <w:kern w:val="0"/>
          <w:sz w:val="24"/>
        </w:rPr>
        <w:t>（</w:t>
      </w:r>
      <w:r>
        <w:rPr>
          <w:rFonts w:eastAsiaTheme="minorEastAsia"/>
          <w:b/>
          <w:color w:val="auto"/>
          <w:kern w:val="0"/>
          <w:sz w:val="24"/>
        </w:rPr>
        <w:t>%</w:t>
      </w:r>
      <w:r>
        <w:rPr>
          <w:rFonts w:hint="eastAsia" w:hAnsiTheme="minorEastAsia" w:eastAsiaTheme="minorEastAsia"/>
          <w:b/>
          <w:color w:val="auto"/>
          <w:kern w:val="0"/>
          <w:sz w:val="24"/>
        </w:rPr>
        <w:t>）</w:t>
      </w:r>
      <w:r>
        <w:rPr>
          <w:rFonts w:hAnsiTheme="minorEastAsia" w:eastAsiaTheme="minorEastAsia"/>
          <w:b/>
          <w:color w:val="auto"/>
          <w:kern w:val="0"/>
          <w:sz w:val="24"/>
        </w:rPr>
        <w:t>统计表</w:t>
      </w:r>
      <w:r>
        <w:rPr>
          <w:rFonts w:hint="eastAsia" w:hAnsiTheme="minorEastAsia" w:eastAsiaTheme="minorEastAsia"/>
          <w:b/>
          <w:color w:val="auto"/>
          <w:kern w:val="0"/>
          <w:sz w:val="24"/>
        </w:rPr>
        <w:t>（</w:t>
      </w:r>
      <w:r>
        <w:rPr>
          <w:rFonts w:eastAsiaTheme="minorEastAsia"/>
          <w:b/>
          <w:color w:val="auto"/>
          <w:kern w:val="0"/>
          <w:sz w:val="24"/>
        </w:rPr>
        <w:t>20a</w:t>
      </w:r>
      <w:r>
        <w:rPr>
          <w:rFonts w:hAnsiTheme="minorEastAsia" w:eastAsiaTheme="minorEastAsia"/>
          <w:b/>
          <w:color w:val="auto"/>
          <w:kern w:val="0"/>
          <w:sz w:val="24"/>
        </w:rPr>
        <w:t>平均值</w:t>
      </w:r>
      <w:r>
        <w:rPr>
          <w:rFonts w:hint="eastAsia" w:hAnsiTheme="minorEastAsia" w:eastAsiaTheme="minorEastAsia"/>
          <w:b/>
          <w:color w:val="auto"/>
          <w:kern w:val="0"/>
          <w:sz w:val="24"/>
        </w:rPr>
        <w:t>）</w:t>
      </w:r>
    </w:p>
    <w:tbl>
      <w:tblPr>
        <w:tblStyle w:val="46"/>
        <w:tblW w:w="8483" w:type="dxa"/>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30" w:type="dxa"/>
          <w:bottom w:w="0" w:type="dxa"/>
          <w:right w:w="30" w:type="dxa"/>
        </w:tblCellMar>
      </w:tblPr>
      <w:tblGrid>
        <w:gridCol w:w="956"/>
        <w:gridCol w:w="301"/>
        <w:gridCol w:w="501"/>
        <w:gridCol w:w="370"/>
        <w:gridCol w:w="507"/>
        <w:gridCol w:w="343"/>
        <w:gridCol w:w="507"/>
        <w:gridCol w:w="419"/>
        <w:gridCol w:w="423"/>
        <w:gridCol w:w="377"/>
        <w:gridCol w:w="494"/>
        <w:gridCol w:w="419"/>
        <w:gridCol w:w="578"/>
        <w:gridCol w:w="271"/>
        <w:gridCol w:w="587"/>
        <w:gridCol w:w="471"/>
        <w:gridCol w:w="573"/>
        <w:gridCol w:w="386"/>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30" w:type="dxa"/>
            <w:bottom w:w="0" w:type="dxa"/>
            <w:right w:w="30" w:type="dxa"/>
          </w:tblCellMar>
        </w:tblPrEx>
        <w:trPr>
          <w:trHeight w:val="595" w:hRule="atLeast"/>
          <w:jc w:val="center"/>
        </w:trPr>
        <w:tc>
          <w:tcPr>
            <w:tcW w:w="956" w:type="dxa"/>
            <w:tcBorders>
              <w:top w:val="single" w:color="auto" w:sz="12" w:space="0"/>
              <w:tl2br w:val="single" w:color="auto" w:sz="6" w:space="0"/>
            </w:tcBorders>
            <w:vAlign w:val="center"/>
          </w:tcPr>
          <w:p>
            <w:pPr>
              <w:pStyle w:val="305"/>
              <w:spacing w:line="240" w:lineRule="auto"/>
              <w:ind w:firstLine="0" w:firstLineChars="0"/>
              <w:rPr>
                <w:rFonts w:eastAsiaTheme="minorEastAsia"/>
                <w:color w:val="auto"/>
                <w:sz w:val="21"/>
                <w:szCs w:val="21"/>
              </w:rPr>
            </w:pPr>
            <w:r>
              <w:rPr>
                <w:rFonts w:hAnsiTheme="minorEastAsia" w:eastAsiaTheme="minorEastAsia"/>
                <w:color w:val="auto"/>
                <w:sz w:val="21"/>
                <w:szCs w:val="21"/>
              </w:rPr>
              <w:t>风向</w:t>
            </w:r>
          </w:p>
          <w:p>
            <w:pPr>
              <w:pStyle w:val="305"/>
              <w:spacing w:line="240" w:lineRule="auto"/>
              <w:ind w:firstLine="0" w:firstLineChars="0"/>
              <w:rPr>
                <w:rFonts w:eastAsiaTheme="minorEastAsia"/>
                <w:color w:val="auto"/>
                <w:sz w:val="21"/>
                <w:szCs w:val="21"/>
              </w:rPr>
            </w:pPr>
            <w:r>
              <w:rPr>
                <w:rFonts w:hAnsiTheme="minorEastAsia" w:eastAsiaTheme="minorEastAsia"/>
                <w:color w:val="auto"/>
                <w:sz w:val="21"/>
                <w:szCs w:val="21"/>
              </w:rPr>
              <w:t>风频</w:t>
            </w:r>
            <w:r>
              <w:rPr>
                <w:rFonts w:eastAsiaTheme="minorEastAsia"/>
                <w:color w:val="auto"/>
                <w:sz w:val="21"/>
                <w:szCs w:val="21"/>
              </w:rPr>
              <w:t>(%)</w:t>
            </w:r>
          </w:p>
        </w:tc>
        <w:tc>
          <w:tcPr>
            <w:tcW w:w="301" w:type="dxa"/>
            <w:tcBorders>
              <w:top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N</w:t>
            </w:r>
          </w:p>
        </w:tc>
        <w:tc>
          <w:tcPr>
            <w:tcW w:w="501" w:type="dxa"/>
            <w:tcBorders>
              <w:top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NNE</w:t>
            </w:r>
          </w:p>
        </w:tc>
        <w:tc>
          <w:tcPr>
            <w:tcW w:w="370" w:type="dxa"/>
            <w:tcBorders>
              <w:top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NE</w:t>
            </w:r>
          </w:p>
        </w:tc>
        <w:tc>
          <w:tcPr>
            <w:tcW w:w="507" w:type="dxa"/>
            <w:tcBorders>
              <w:top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ENE</w:t>
            </w:r>
          </w:p>
        </w:tc>
        <w:tc>
          <w:tcPr>
            <w:tcW w:w="343" w:type="dxa"/>
            <w:tcBorders>
              <w:top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E</w:t>
            </w:r>
          </w:p>
        </w:tc>
        <w:tc>
          <w:tcPr>
            <w:tcW w:w="507" w:type="dxa"/>
            <w:tcBorders>
              <w:top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ESE</w:t>
            </w:r>
          </w:p>
        </w:tc>
        <w:tc>
          <w:tcPr>
            <w:tcW w:w="419" w:type="dxa"/>
            <w:tcBorders>
              <w:top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SE</w:t>
            </w:r>
          </w:p>
        </w:tc>
        <w:tc>
          <w:tcPr>
            <w:tcW w:w="423" w:type="dxa"/>
            <w:tcBorders>
              <w:top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SSE</w:t>
            </w:r>
          </w:p>
        </w:tc>
        <w:tc>
          <w:tcPr>
            <w:tcW w:w="377" w:type="dxa"/>
            <w:tcBorders>
              <w:top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S</w:t>
            </w:r>
          </w:p>
        </w:tc>
        <w:tc>
          <w:tcPr>
            <w:tcW w:w="494" w:type="dxa"/>
            <w:tcBorders>
              <w:top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SSW</w:t>
            </w:r>
          </w:p>
        </w:tc>
        <w:tc>
          <w:tcPr>
            <w:tcW w:w="419" w:type="dxa"/>
            <w:tcBorders>
              <w:top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SW</w:t>
            </w:r>
          </w:p>
        </w:tc>
        <w:tc>
          <w:tcPr>
            <w:tcW w:w="578" w:type="dxa"/>
            <w:tcBorders>
              <w:top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WSW</w:t>
            </w:r>
          </w:p>
        </w:tc>
        <w:tc>
          <w:tcPr>
            <w:tcW w:w="271" w:type="dxa"/>
            <w:tcBorders>
              <w:top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W</w:t>
            </w:r>
          </w:p>
        </w:tc>
        <w:tc>
          <w:tcPr>
            <w:tcW w:w="587" w:type="dxa"/>
            <w:tcBorders>
              <w:top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WNW</w:t>
            </w:r>
          </w:p>
        </w:tc>
        <w:tc>
          <w:tcPr>
            <w:tcW w:w="471" w:type="dxa"/>
            <w:tcBorders>
              <w:top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NW</w:t>
            </w:r>
          </w:p>
        </w:tc>
        <w:tc>
          <w:tcPr>
            <w:tcW w:w="573" w:type="dxa"/>
            <w:tcBorders>
              <w:top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NNW</w:t>
            </w:r>
          </w:p>
        </w:tc>
        <w:tc>
          <w:tcPr>
            <w:tcW w:w="386" w:type="dxa"/>
            <w:tcBorders>
              <w:top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C</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30" w:type="dxa"/>
            <w:bottom w:w="0" w:type="dxa"/>
            <w:right w:w="30" w:type="dxa"/>
          </w:tblCellMar>
        </w:tblPrEx>
        <w:trPr>
          <w:trHeight w:val="291" w:hRule="atLeast"/>
          <w:jc w:val="center"/>
        </w:trPr>
        <w:tc>
          <w:tcPr>
            <w:tcW w:w="956" w:type="dxa"/>
            <w:vAlign w:val="center"/>
          </w:tcPr>
          <w:p>
            <w:pPr>
              <w:pStyle w:val="305"/>
              <w:spacing w:line="240" w:lineRule="auto"/>
              <w:ind w:firstLine="0" w:firstLineChars="0"/>
              <w:rPr>
                <w:rFonts w:eastAsiaTheme="minorEastAsia"/>
                <w:color w:val="auto"/>
                <w:sz w:val="21"/>
                <w:szCs w:val="21"/>
              </w:rPr>
            </w:pPr>
            <w:r>
              <w:rPr>
                <w:rFonts w:hAnsiTheme="minorEastAsia" w:eastAsiaTheme="minorEastAsia"/>
                <w:color w:val="auto"/>
                <w:sz w:val="21"/>
                <w:szCs w:val="21"/>
              </w:rPr>
              <w:t>春季</w:t>
            </w:r>
          </w:p>
        </w:tc>
        <w:tc>
          <w:tcPr>
            <w:tcW w:w="301"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4</w:t>
            </w:r>
          </w:p>
        </w:tc>
        <w:tc>
          <w:tcPr>
            <w:tcW w:w="501"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3</w:t>
            </w:r>
          </w:p>
        </w:tc>
        <w:tc>
          <w:tcPr>
            <w:tcW w:w="370"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3</w:t>
            </w:r>
          </w:p>
        </w:tc>
        <w:tc>
          <w:tcPr>
            <w:tcW w:w="507"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4</w:t>
            </w:r>
          </w:p>
        </w:tc>
        <w:tc>
          <w:tcPr>
            <w:tcW w:w="343"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3</w:t>
            </w:r>
          </w:p>
        </w:tc>
        <w:tc>
          <w:tcPr>
            <w:tcW w:w="507"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2</w:t>
            </w:r>
          </w:p>
        </w:tc>
        <w:tc>
          <w:tcPr>
            <w:tcW w:w="419"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3</w:t>
            </w:r>
          </w:p>
        </w:tc>
        <w:tc>
          <w:tcPr>
            <w:tcW w:w="423"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5</w:t>
            </w:r>
          </w:p>
        </w:tc>
        <w:tc>
          <w:tcPr>
            <w:tcW w:w="377"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9</w:t>
            </w:r>
          </w:p>
        </w:tc>
        <w:tc>
          <w:tcPr>
            <w:tcW w:w="494"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11</w:t>
            </w:r>
          </w:p>
        </w:tc>
        <w:tc>
          <w:tcPr>
            <w:tcW w:w="419"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9</w:t>
            </w:r>
          </w:p>
        </w:tc>
        <w:tc>
          <w:tcPr>
            <w:tcW w:w="578"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8</w:t>
            </w:r>
          </w:p>
        </w:tc>
        <w:tc>
          <w:tcPr>
            <w:tcW w:w="271"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9</w:t>
            </w:r>
          </w:p>
        </w:tc>
        <w:tc>
          <w:tcPr>
            <w:tcW w:w="587"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8</w:t>
            </w:r>
          </w:p>
        </w:tc>
        <w:tc>
          <w:tcPr>
            <w:tcW w:w="471"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8</w:t>
            </w:r>
          </w:p>
        </w:tc>
        <w:tc>
          <w:tcPr>
            <w:tcW w:w="573"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5</w:t>
            </w:r>
          </w:p>
        </w:tc>
        <w:tc>
          <w:tcPr>
            <w:tcW w:w="386"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5</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30" w:type="dxa"/>
            <w:bottom w:w="0" w:type="dxa"/>
            <w:right w:w="30" w:type="dxa"/>
          </w:tblCellMar>
        </w:tblPrEx>
        <w:trPr>
          <w:trHeight w:val="291" w:hRule="atLeast"/>
          <w:jc w:val="center"/>
        </w:trPr>
        <w:tc>
          <w:tcPr>
            <w:tcW w:w="956" w:type="dxa"/>
            <w:vAlign w:val="center"/>
          </w:tcPr>
          <w:p>
            <w:pPr>
              <w:pStyle w:val="305"/>
              <w:spacing w:line="240" w:lineRule="auto"/>
              <w:ind w:firstLine="0" w:firstLineChars="0"/>
              <w:rPr>
                <w:rFonts w:eastAsiaTheme="minorEastAsia"/>
                <w:color w:val="auto"/>
                <w:sz w:val="21"/>
                <w:szCs w:val="21"/>
              </w:rPr>
            </w:pPr>
            <w:r>
              <w:rPr>
                <w:rFonts w:hAnsiTheme="minorEastAsia" w:eastAsiaTheme="minorEastAsia"/>
                <w:color w:val="auto"/>
                <w:sz w:val="21"/>
                <w:szCs w:val="21"/>
              </w:rPr>
              <w:t>夏季</w:t>
            </w:r>
          </w:p>
        </w:tc>
        <w:tc>
          <w:tcPr>
            <w:tcW w:w="301"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3</w:t>
            </w:r>
          </w:p>
        </w:tc>
        <w:tc>
          <w:tcPr>
            <w:tcW w:w="501"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3</w:t>
            </w:r>
          </w:p>
        </w:tc>
        <w:tc>
          <w:tcPr>
            <w:tcW w:w="370"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4</w:t>
            </w:r>
          </w:p>
        </w:tc>
        <w:tc>
          <w:tcPr>
            <w:tcW w:w="507"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6</w:t>
            </w:r>
          </w:p>
        </w:tc>
        <w:tc>
          <w:tcPr>
            <w:tcW w:w="343"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6</w:t>
            </w:r>
          </w:p>
        </w:tc>
        <w:tc>
          <w:tcPr>
            <w:tcW w:w="507"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4</w:t>
            </w:r>
          </w:p>
        </w:tc>
        <w:tc>
          <w:tcPr>
            <w:tcW w:w="419"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7</w:t>
            </w:r>
          </w:p>
        </w:tc>
        <w:tc>
          <w:tcPr>
            <w:tcW w:w="423"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9</w:t>
            </w:r>
          </w:p>
        </w:tc>
        <w:tc>
          <w:tcPr>
            <w:tcW w:w="377"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12</w:t>
            </w:r>
          </w:p>
        </w:tc>
        <w:tc>
          <w:tcPr>
            <w:tcW w:w="494"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10</w:t>
            </w:r>
          </w:p>
        </w:tc>
        <w:tc>
          <w:tcPr>
            <w:tcW w:w="419"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10</w:t>
            </w:r>
          </w:p>
        </w:tc>
        <w:tc>
          <w:tcPr>
            <w:tcW w:w="578"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5</w:t>
            </w:r>
          </w:p>
        </w:tc>
        <w:tc>
          <w:tcPr>
            <w:tcW w:w="271"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5</w:t>
            </w:r>
          </w:p>
        </w:tc>
        <w:tc>
          <w:tcPr>
            <w:tcW w:w="587"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3</w:t>
            </w:r>
          </w:p>
        </w:tc>
        <w:tc>
          <w:tcPr>
            <w:tcW w:w="471"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4</w:t>
            </w:r>
          </w:p>
        </w:tc>
        <w:tc>
          <w:tcPr>
            <w:tcW w:w="573"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2</w:t>
            </w:r>
          </w:p>
        </w:tc>
        <w:tc>
          <w:tcPr>
            <w:tcW w:w="386"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9</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30" w:type="dxa"/>
            <w:bottom w:w="0" w:type="dxa"/>
            <w:right w:w="30" w:type="dxa"/>
          </w:tblCellMar>
        </w:tblPrEx>
        <w:trPr>
          <w:trHeight w:val="304" w:hRule="atLeast"/>
          <w:jc w:val="center"/>
        </w:trPr>
        <w:tc>
          <w:tcPr>
            <w:tcW w:w="956" w:type="dxa"/>
            <w:vAlign w:val="center"/>
          </w:tcPr>
          <w:p>
            <w:pPr>
              <w:pStyle w:val="305"/>
              <w:spacing w:line="240" w:lineRule="auto"/>
              <w:ind w:firstLine="0" w:firstLineChars="0"/>
              <w:rPr>
                <w:rFonts w:eastAsiaTheme="minorEastAsia"/>
                <w:color w:val="auto"/>
                <w:sz w:val="21"/>
                <w:szCs w:val="21"/>
              </w:rPr>
            </w:pPr>
            <w:r>
              <w:rPr>
                <w:rFonts w:hAnsiTheme="minorEastAsia" w:eastAsiaTheme="minorEastAsia"/>
                <w:color w:val="auto"/>
                <w:sz w:val="21"/>
                <w:szCs w:val="21"/>
              </w:rPr>
              <w:t>秋季</w:t>
            </w:r>
          </w:p>
        </w:tc>
        <w:tc>
          <w:tcPr>
            <w:tcW w:w="301"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3</w:t>
            </w:r>
          </w:p>
        </w:tc>
        <w:tc>
          <w:tcPr>
            <w:tcW w:w="501"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2</w:t>
            </w:r>
          </w:p>
        </w:tc>
        <w:tc>
          <w:tcPr>
            <w:tcW w:w="370"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2</w:t>
            </w:r>
          </w:p>
        </w:tc>
        <w:tc>
          <w:tcPr>
            <w:tcW w:w="507"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3</w:t>
            </w:r>
          </w:p>
        </w:tc>
        <w:tc>
          <w:tcPr>
            <w:tcW w:w="343"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2</w:t>
            </w:r>
          </w:p>
        </w:tc>
        <w:tc>
          <w:tcPr>
            <w:tcW w:w="507"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1</w:t>
            </w:r>
          </w:p>
        </w:tc>
        <w:tc>
          <w:tcPr>
            <w:tcW w:w="419"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3</w:t>
            </w:r>
          </w:p>
        </w:tc>
        <w:tc>
          <w:tcPr>
            <w:tcW w:w="423"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5</w:t>
            </w:r>
          </w:p>
        </w:tc>
        <w:tc>
          <w:tcPr>
            <w:tcW w:w="377"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13</w:t>
            </w:r>
          </w:p>
        </w:tc>
        <w:tc>
          <w:tcPr>
            <w:tcW w:w="494"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11</w:t>
            </w:r>
          </w:p>
        </w:tc>
        <w:tc>
          <w:tcPr>
            <w:tcW w:w="419"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10</w:t>
            </w:r>
          </w:p>
        </w:tc>
        <w:tc>
          <w:tcPr>
            <w:tcW w:w="578"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8</w:t>
            </w:r>
          </w:p>
        </w:tc>
        <w:tc>
          <w:tcPr>
            <w:tcW w:w="271"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9</w:t>
            </w:r>
          </w:p>
        </w:tc>
        <w:tc>
          <w:tcPr>
            <w:tcW w:w="587"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7</w:t>
            </w:r>
          </w:p>
        </w:tc>
        <w:tc>
          <w:tcPr>
            <w:tcW w:w="471"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8</w:t>
            </w:r>
          </w:p>
        </w:tc>
        <w:tc>
          <w:tcPr>
            <w:tcW w:w="573"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4</w:t>
            </w:r>
          </w:p>
        </w:tc>
        <w:tc>
          <w:tcPr>
            <w:tcW w:w="386"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8</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30" w:type="dxa"/>
            <w:bottom w:w="0" w:type="dxa"/>
            <w:right w:w="30" w:type="dxa"/>
          </w:tblCellMar>
        </w:tblPrEx>
        <w:trPr>
          <w:trHeight w:val="291" w:hRule="atLeast"/>
          <w:jc w:val="center"/>
        </w:trPr>
        <w:tc>
          <w:tcPr>
            <w:tcW w:w="956" w:type="dxa"/>
            <w:vAlign w:val="center"/>
          </w:tcPr>
          <w:p>
            <w:pPr>
              <w:pStyle w:val="305"/>
              <w:spacing w:line="240" w:lineRule="auto"/>
              <w:ind w:firstLine="0" w:firstLineChars="0"/>
              <w:rPr>
                <w:rFonts w:eastAsiaTheme="minorEastAsia"/>
                <w:color w:val="auto"/>
                <w:sz w:val="21"/>
                <w:szCs w:val="21"/>
              </w:rPr>
            </w:pPr>
            <w:r>
              <w:rPr>
                <w:rFonts w:hAnsiTheme="minorEastAsia" w:eastAsiaTheme="minorEastAsia"/>
                <w:color w:val="auto"/>
                <w:sz w:val="21"/>
                <w:szCs w:val="21"/>
              </w:rPr>
              <w:t>冬季</w:t>
            </w:r>
          </w:p>
        </w:tc>
        <w:tc>
          <w:tcPr>
            <w:tcW w:w="301"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3</w:t>
            </w:r>
          </w:p>
        </w:tc>
        <w:tc>
          <w:tcPr>
            <w:tcW w:w="501"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2</w:t>
            </w:r>
          </w:p>
        </w:tc>
        <w:tc>
          <w:tcPr>
            <w:tcW w:w="370"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2</w:t>
            </w:r>
          </w:p>
        </w:tc>
        <w:tc>
          <w:tcPr>
            <w:tcW w:w="507"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2</w:t>
            </w:r>
          </w:p>
        </w:tc>
        <w:tc>
          <w:tcPr>
            <w:tcW w:w="343"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1</w:t>
            </w:r>
          </w:p>
        </w:tc>
        <w:tc>
          <w:tcPr>
            <w:tcW w:w="507"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1</w:t>
            </w:r>
          </w:p>
        </w:tc>
        <w:tc>
          <w:tcPr>
            <w:tcW w:w="419"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1</w:t>
            </w:r>
          </w:p>
        </w:tc>
        <w:tc>
          <w:tcPr>
            <w:tcW w:w="423"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4</w:t>
            </w:r>
          </w:p>
        </w:tc>
        <w:tc>
          <w:tcPr>
            <w:tcW w:w="377"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13</w:t>
            </w:r>
          </w:p>
        </w:tc>
        <w:tc>
          <w:tcPr>
            <w:tcW w:w="494"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14</w:t>
            </w:r>
          </w:p>
        </w:tc>
        <w:tc>
          <w:tcPr>
            <w:tcW w:w="419"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9</w:t>
            </w:r>
          </w:p>
        </w:tc>
        <w:tc>
          <w:tcPr>
            <w:tcW w:w="578"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9</w:t>
            </w:r>
          </w:p>
        </w:tc>
        <w:tc>
          <w:tcPr>
            <w:tcW w:w="271"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9</w:t>
            </w:r>
          </w:p>
        </w:tc>
        <w:tc>
          <w:tcPr>
            <w:tcW w:w="587"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7</w:t>
            </w:r>
          </w:p>
        </w:tc>
        <w:tc>
          <w:tcPr>
            <w:tcW w:w="471"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9</w:t>
            </w:r>
          </w:p>
        </w:tc>
        <w:tc>
          <w:tcPr>
            <w:tcW w:w="573"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4</w:t>
            </w:r>
          </w:p>
        </w:tc>
        <w:tc>
          <w:tcPr>
            <w:tcW w:w="386" w:type="dxa"/>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10</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30" w:type="dxa"/>
            <w:bottom w:w="0" w:type="dxa"/>
            <w:right w:w="30" w:type="dxa"/>
          </w:tblCellMar>
        </w:tblPrEx>
        <w:trPr>
          <w:trHeight w:val="304" w:hRule="atLeast"/>
          <w:jc w:val="center"/>
        </w:trPr>
        <w:tc>
          <w:tcPr>
            <w:tcW w:w="956" w:type="dxa"/>
            <w:tcBorders>
              <w:bottom w:val="single" w:color="auto" w:sz="12" w:space="0"/>
            </w:tcBorders>
            <w:vAlign w:val="center"/>
          </w:tcPr>
          <w:p>
            <w:pPr>
              <w:pStyle w:val="305"/>
              <w:spacing w:line="240" w:lineRule="auto"/>
              <w:ind w:firstLine="0" w:firstLineChars="0"/>
              <w:rPr>
                <w:rFonts w:eastAsiaTheme="minorEastAsia"/>
                <w:color w:val="auto"/>
                <w:sz w:val="21"/>
                <w:szCs w:val="21"/>
              </w:rPr>
            </w:pPr>
            <w:r>
              <w:rPr>
                <w:rFonts w:hAnsiTheme="minorEastAsia" w:eastAsiaTheme="minorEastAsia"/>
                <w:color w:val="auto"/>
                <w:sz w:val="21"/>
                <w:szCs w:val="21"/>
              </w:rPr>
              <w:t>年平均</w:t>
            </w:r>
          </w:p>
        </w:tc>
        <w:tc>
          <w:tcPr>
            <w:tcW w:w="301" w:type="dxa"/>
            <w:tcBorders>
              <w:bottom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4</w:t>
            </w:r>
          </w:p>
        </w:tc>
        <w:tc>
          <w:tcPr>
            <w:tcW w:w="501" w:type="dxa"/>
            <w:tcBorders>
              <w:bottom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3</w:t>
            </w:r>
          </w:p>
        </w:tc>
        <w:tc>
          <w:tcPr>
            <w:tcW w:w="370" w:type="dxa"/>
            <w:tcBorders>
              <w:bottom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3</w:t>
            </w:r>
          </w:p>
        </w:tc>
        <w:tc>
          <w:tcPr>
            <w:tcW w:w="507" w:type="dxa"/>
            <w:tcBorders>
              <w:bottom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3</w:t>
            </w:r>
          </w:p>
        </w:tc>
        <w:tc>
          <w:tcPr>
            <w:tcW w:w="343" w:type="dxa"/>
            <w:tcBorders>
              <w:bottom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3</w:t>
            </w:r>
          </w:p>
        </w:tc>
        <w:tc>
          <w:tcPr>
            <w:tcW w:w="507" w:type="dxa"/>
            <w:tcBorders>
              <w:bottom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2</w:t>
            </w:r>
          </w:p>
        </w:tc>
        <w:tc>
          <w:tcPr>
            <w:tcW w:w="419" w:type="dxa"/>
            <w:tcBorders>
              <w:bottom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4</w:t>
            </w:r>
          </w:p>
        </w:tc>
        <w:tc>
          <w:tcPr>
            <w:tcW w:w="423" w:type="dxa"/>
            <w:tcBorders>
              <w:bottom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6</w:t>
            </w:r>
          </w:p>
        </w:tc>
        <w:tc>
          <w:tcPr>
            <w:tcW w:w="377" w:type="dxa"/>
            <w:tcBorders>
              <w:bottom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12</w:t>
            </w:r>
          </w:p>
        </w:tc>
        <w:tc>
          <w:tcPr>
            <w:tcW w:w="494" w:type="dxa"/>
            <w:tcBorders>
              <w:bottom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12</w:t>
            </w:r>
          </w:p>
        </w:tc>
        <w:tc>
          <w:tcPr>
            <w:tcW w:w="419" w:type="dxa"/>
            <w:tcBorders>
              <w:bottom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9</w:t>
            </w:r>
          </w:p>
        </w:tc>
        <w:tc>
          <w:tcPr>
            <w:tcW w:w="578" w:type="dxa"/>
            <w:tcBorders>
              <w:bottom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7</w:t>
            </w:r>
          </w:p>
        </w:tc>
        <w:tc>
          <w:tcPr>
            <w:tcW w:w="271" w:type="dxa"/>
            <w:tcBorders>
              <w:bottom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8</w:t>
            </w:r>
          </w:p>
        </w:tc>
        <w:tc>
          <w:tcPr>
            <w:tcW w:w="587" w:type="dxa"/>
            <w:tcBorders>
              <w:bottom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6</w:t>
            </w:r>
          </w:p>
        </w:tc>
        <w:tc>
          <w:tcPr>
            <w:tcW w:w="471" w:type="dxa"/>
            <w:tcBorders>
              <w:bottom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7</w:t>
            </w:r>
          </w:p>
        </w:tc>
        <w:tc>
          <w:tcPr>
            <w:tcW w:w="573" w:type="dxa"/>
            <w:tcBorders>
              <w:bottom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4</w:t>
            </w:r>
          </w:p>
        </w:tc>
        <w:tc>
          <w:tcPr>
            <w:tcW w:w="386" w:type="dxa"/>
            <w:tcBorders>
              <w:bottom w:val="single" w:color="auto" w:sz="12" w:space="0"/>
            </w:tcBorders>
            <w:vAlign w:val="center"/>
          </w:tcPr>
          <w:p>
            <w:pPr>
              <w:pStyle w:val="305"/>
              <w:spacing w:line="240" w:lineRule="auto"/>
              <w:ind w:firstLine="0" w:firstLineChars="0"/>
              <w:rPr>
                <w:rFonts w:eastAsiaTheme="minorEastAsia"/>
                <w:color w:val="auto"/>
                <w:sz w:val="21"/>
                <w:szCs w:val="21"/>
              </w:rPr>
            </w:pPr>
            <w:r>
              <w:rPr>
                <w:rFonts w:eastAsiaTheme="minorEastAsia"/>
                <w:color w:val="auto"/>
                <w:sz w:val="21"/>
                <w:szCs w:val="21"/>
              </w:rPr>
              <w:t>8</w:t>
            </w:r>
          </w:p>
        </w:tc>
      </w:tr>
    </w:tbl>
    <w:p>
      <w:pPr>
        <w:jc w:val="center"/>
        <w:rPr>
          <w:color w:val="auto"/>
        </w:rPr>
      </w:pPr>
      <w:r>
        <w:rPr>
          <w:color w:val="auto"/>
        </w:rPr>
        <w:drawing>
          <wp:inline distT="0" distB="0" distL="0" distR="0">
            <wp:extent cx="5274310" cy="3105150"/>
            <wp:effectExtent l="57150" t="38100" r="21590" b="0"/>
            <wp:docPr id="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6"/>
                    <pic:cNvPicPr>
                      <a:picLocks noChangeAspect="1" noChangeArrowheads="1"/>
                    </pic:cNvPicPr>
                  </pic:nvPicPr>
                  <pic:blipFill>
                    <a:blip r:embed="rId40" cstate="print"/>
                    <a:srcRect/>
                    <a:stretch>
                      <a:fillRect/>
                    </a:stretch>
                  </pic:blipFill>
                  <pic:spPr>
                    <a:xfrm>
                      <a:off x="0" y="0"/>
                      <a:ext cx="5274310" cy="3105150"/>
                    </a:xfrm>
                    <a:prstGeom prst="rect">
                      <a:avLst/>
                    </a:prstGeom>
                    <a:noFill/>
                    <a:ln w="9525">
                      <a:solidFill>
                        <a:schemeClr val="tx1"/>
                      </a:solidFill>
                      <a:miter lim="800000"/>
                      <a:headEnd/>
                      <a:tailEnd/>
                    </a:ln>
                    <a:scene3d>
                      <a:camera prst="orthographicFront"/>
                      <a:lightRig rig="threePt" dir="t"/>
                    </a:scene3d>
                    <a:sp3d contourW="6350"/>
                  </pic:spPr>
                </pic:pic>
              </a:graphicData>
            </a:graphic>
          </wp:inline>
        </w:drawing>
      </w:r>
    </w:p>
    <w:p>
      <w:pPr>
        <w:pStyle w:val="152"/>
        <w:rPr>
          <w:color w:val="auto"/>
        </w:rPr>
      </w:pPr>
      <w:r>
        <w:rPr>
          <w:color w:val="auto"/>
        </w:rPr>
        <w:t>图4-1-2评价区近20a各季及全年风向玫瑰图</w:t>
      </w:r>
    </w:p>
    <w:p>
      <w:pPr>
        <w:spacing w:line="360" w:lineRule="auto"/>
        <w:outlineLvl w:val="3"/>
        <w:rPr>
          <w:b/>
          <w:color w:val="auto"/>
          <w:sz w:val="24"/>
        </w:rPr>
      </w:pPr>
      <w:r>
        <w:rPr>
          <w:b/>
          <w:color w:val="auto"/>
          <w:sz w:val="24"/>
        </w:rPr>
        <w:t>4.1.4.3风速</w:t>
      </w:r>
    </w:p>
    <w:p>
      <w:pPr>
        <w:pStyle w:val="718"/>
        <w:ind w:firstLine="480"/>
        <w:rPr>
          <w:rFonts w:ascii="Times New Roman" w:hAnsi="Times New Roman" w:eastAsia="宋体" w:cs="Times New Roman"/>
          <w:color w:val="auto"/>
        </w:rPr>
      </w:pPr>
      <w:r>
        <w:rPr>
          <w:rFonts w:ascii="Times New Roman" w:hAnsi="Times New Roman" w:eastAsia="宋体" w:cs="Times New Roman"/>
          <w:color w:val="auto"/>
        </w:rPr>
        <w:t>哈尔滨统计的年平均风速为2.6m/s，最大风速出现在4月，月平均风速均为3.2m/s；最小风速出现在8月，月平均风速均为2.1m/s。哈尔滨年平均风速的月变化统计见表4-1-2。哈尔滨季小时平均风速的日变化见表4-1-3，图4-1-3。</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color w:val="auto"/>
          <w:kern w:val="0"/>
          <w:sz w:val="24"/>
        </w:rPr>
      </w:pPr>
      <w:r>
        <w:rPr>
          <w:b/>
          <w:color w:val="auto"/>
          <w:kern w:val="0"/>
          <w:sz w:val="24"/>
        </w:rPr>
        <w:t>表4-1-2哈尔滨年平均风速的月变化</w:t>
      </w:r>
    </w:p>
    <w:tbl>
      <w:tblPr>
        <w:tblStyle w:val="46"/>
        <w:tblW w:w="875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55"/>
        <w:gridCol w:w="573"/>
        <w:gridCol w:w="638"/>
        <w:gridCol w:w="638"/>
        <w:gridCol w:w="639"/>
        <w:gridCol w:w="639"/>
        <w:gridCol w:w="639"/>
        <w:gridCol w:w="639"/>
        <w:gridCol w:w="639"/>
        <w:gridCol w:w="639"/>
        <w:gridCol w:w="639"/>
        <w:gridCol w:w="639"/>
        <w:gridCol w:w="63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55" w:type="dxa"/>
            <w:vAlign w:val="center"/>
          </w:tcPr>
          <w:p>
            <w:pPr>
              <w:pStyle w:val="305"/>
              <w:spacing w:line="240" w:lineRule="auto"/>
              <w:ind w:firstLine="0" w:firstLineChars="0"/>
              <w:rPr>
                <w:color w:val="auto"/>
                <w:sz w:val="21"/>
                <w:szCs w:val="21"/>
              </w:rPr>
            </w:pPr>
            <w:r>
              <w:rPr>
                <w:color w:val="auto"/>
                <w:sz w:val="21"/>
                <w:szCs w:val="21"/>
              </w:rPr>
              <w:t>月份</w:t>
            </w:r>
          </w:p>
        </w:tc>
        <w:tc>
          <w:tcPr>
            <w:tcW w:w="573" w:type="dxa"/>
            <w:vAlign w:val="center"/>
          </w:tcPr>
          <w:p>
            <w:pPr>
              <w:pStyle w:val="305"/>
              <w:spacing w:line="240" w:lineRule="auto"/>
              <w:ind w:firstLine="0" w:firstLineChars="0"/>
              <w:rPr>
                <w:color w:val="auto"/>
                <w:sz w:val="21"/>
                <w:szCs w:val="21"/>
              </w:rPr>
            </w:pPr>
            <w:r>
              <w:rPr>
                <w:color w:val="auto"/>
                <w:sz w:val="21"/>
                <w:szCs w:val="21"/>
              </w:rPr>
              <w:t>1月</w:t>
            </w:r>
          </w:p>
        </w:tc>
        <w:tc>
          <w:tcPr>
            <w:tcW w:w="638" w:type="dxa"/>
            <w:vAlign w:val="center"/>
          </w:tcPr>
          <w:p>
            <w:pPr>
              <w:pStyle w:val="305"/>
              <w:spacing w:line="240" w:lineRule="auto"/>
              <w:ind w:firstLine="0" w:firstLineChars="0"/>
              <w:rPr>
                <w:color w:val="auto"/>
                <w:sz w:val="21"/>
                <w:szCs w:val="21"/>
              </w:rPr>
            </w:pPr>
            <w:r>
              <w:rPr>
                <w:color w:val="auto"/>
                <w:sz w:val="21"/>
                <w:szCs w:val="21"/>
              </w:rPr>
              <w:t>2月</w:t>
            </w:r>
          </w:p>
        </w:tc>
        <w:tc>
          <w:tcPr>
            <w:tcW w:w="638" w:type="dxa"/>
            <w:vAlign w:val="center"/>
          </w:tcPr>
          <w:p>
            <w:pPr>
              <w:pStyle w:val="305"/>
              <w:spacing w:line="240" w:lineRule="auto"/>
              <w:ind w:firstLine="0" w:firstLineChars="0"/>
              <w:rPr>
                <w:color w:val="auto"/>
                <w:sz w:val="21"/>
                <w:szCs w:val="21"/>
              </w:rPr>
            </w:pPr>
            <w:r>
              <w:rPr>
                <w:color w:val="auto"/>
                <w:sz w:val="21"/>
                <w:szCs w:val="21"/>
              </w:rPr>
              <w:t>3月</w:t>
            </w:r>
          </w:p>
        </w:tc>
        <w:tc>
          <w:tcPr>
            <w:tcW w:w="639" w:type="dxa"/>
            <w:vAlign w:val="center"/>
          </w:tcPr>
          <w:p>
            <w:pPr>
              <w:pStyle w:val="305"/>
              <w:spacing w:line="240" w:lineRule="auto"/>
              <w:ind w:firstLine="0" w:firstLineChars="0"/>
              <w:rPr>
                <w:color w:val="auto"/>
                <w:sz w:val="21"/>
                <w:szCs w:val="21"/>
              </w:rPr>
            </w:pPr>
            <w:r>
              <w:rPr>
                <w:color w:val="auto"/>
                <w:sz w:val="21"/>
                <w:szCs w:val="21"/>
              </w:rPr>
              <w:t>4月</w:t>
            </w:r>
          </w:p>
        </w:tc>
        <w:tc>
          <w:tcPr>
            <w:tcW w:w="639" w:type="dxa"/>
            <w:vAlign w:val="center"/>
          </w:tcPr>
          <w:p>
            <w:pPr>
              <w:pStyle w:val="305"/>
              <w:spacing w:line="240" w:lineRule="auto"/>
              <w:ind w:firstLine="0" w:firstLineChars="0"/>
              <w:rPr>
                <w:color w:val="auto"/>
                <w:sz w:val="21"/>
                <w:szCs w:val="21"/>
              </w:rPr>
            </w:pPr>
            <w:r>
              <w:rPr>
                <w:color w:val="auto"/>
                <w:sz w:val="21"/>
                <w:szCs w:val="21"/>
              </w:rPr>
              <w:t>5月</w:t>
            </w:r>
          </w:p>
        </w:tc>
        <w:tc>
          <w:tcPr>
            <w:tcW w:w="639" w:type="dxa"/>
            <w:vAlign w:val="center"/>
          </w:tcPr>
          <w:p>
            <w:pPr>
              <w:pStyle w:val="305"/>
              <w:spacing w:line="240" w:lineRule="auto"/>
              <w:ind w:firstLine="0" w:firstLineChars="0"/>
              <w:rPr>
                <w:color w:val="auto"/>
                <w:sz w:val="21"/>
                <w:szCs w:val="21"/>
              </w:rPr>
            </w:pPr>
            <w:r>
              <w:rPr>
                <w:color w:val="auto"/>
                <w:sz w:val="21"/>
                <w:szCs w:val="21"/>
              </w:rPr>
              <w:t>6月</w:t>
            </w:r>
          </w:p>
        </w:tc>
        <w:tc>
          <w:tcPr>
            <w:tcW w:w="639" w:type="dxa"/>
            <w:vAlign w:val="center"/>
          </w:tcPr>
          <w:p>
            <w:pPr>
              <w:pStyle w:val="305"/>
              <w:spacing w:line="240" w:lineRule="auto"/>
              <w:ind w:firstLine="0" w:firstLineChars="0"/>
              <w:rPr>
                <w:color w:val="auto"/>
                <w:sz w:val="21"/>
                <w:szCs w:val="21"/>
              </w:rPr>
            </w:pPr>
            <w:r>
              <w:rPr>
                <w:color w:val="auto"/>
                <w:sz w:val="21"/>
                <w:szCs w:val="21"/>
              </w:rPr>
              <w:t>7月</w:t>
            </w:r>
          </w:p>
        </w:tc>
        <w:tc>
          <w:tcPr>
            <w:tcW w:w="639" w:type="dxa"/>
            <w:vAlign w:val="center"/>
          </w:tcPr>
          <w:p>
            <w:pPr>
              <w:pStyle w:val="305"/>
              <w:spacing w:line="240" w:lineRule="auto"/>
              <w:ind w:firstLine="0" w:firstLineChars="0"/>
              <w:rPr>
                <w:color w:val="auto"/>
                <w:sz w:val="21"/>
                <w:szCs w:val="21"/>
              </w:rPr>
            </w:pPr>
            <w:r>
              <w:rPr>
                <w:color w:val="auto"/>
                <w:sz w:val="21"/>
                <w:szCs w:val="21"/>
              </w:rPr>
              <w:t>8月</w:t>
            </w:r>
          </w:p>
        </w:tc>
        <w:tc>
          <w:tcPr>
            <w:tcW w:w="639" w:type="dxa"/>
            <w:vAlign w:val="center"/>
          </w:tcPr>
          <w:p>
            <w:pPr>
              <w:pStyle w:val="305"/>
              <w:spacing w:line="240" w:lineRule="auto"/>
              <w:ind w:firstLine="0" w:firstLineChars="0"/>
              <w:rPr>
                <w:color w:val="auto"/>
                <w:sz w:val="21"/>
                <w:szCs w:val="21"/>
              </w:rPr>
            </w:pPr>
            <w:r>
              <w:rPr>
                <w:color w:val="auto"/>
                <w:sz w:val="21"/>
                <w:szCs w:val="21"/>
              </w:rPr>
              <w:t>9月</w:t>
            </w:r>
          </w:p>
        </w:tc>
        <w:tc>
          <w:tcPr>
            <w:tcW w:w="639" w:type="dxa"/>
            <w:vAlign w:val="center"/>
          </w:tcPr>
          <w:p>
            <w:pPr>
              <w:pStyle w:val="305"/>
              <w:spacing w:line="240" w:lineRule="auto"/>
              <w:ind w:firstLine="0" w:firstLineChars="0"/>
              <w:rPr>
                <w:color w:val="auto"/>
                <w:sz w:val="21"/>
                <w:szCs w:val="21"/>
              </w:rPr>
            </w:pPr>
            <w:r>
              <w:rPr>
                <w:color w:val="auto"/>
                <w:sz w:val="21"/>
                <w:szCs w:val="21"/>
              </w:rPr>
              <w:t>10月</w:t>
            </w:r>
          </w:p>
        </w:tc>
        <w:tc>
          <w:tcPr>
            <w:tcW w:w="639" w:type="dxa"/>
            <w:vAlign w:val="center"/>
          </w:tcPr>
          <w:p>
            <w:pPr>
              <w:pStyle w:val="305"/>
              <w:spacing w:line="240" w:lineRule="auto"/>
              <w:ind w:firstLine="0" w:firstLineChars="0"/>
              <w:rPr>
                <w:color w:val="auto"/>
                <w:sz w:val="21"/>
                <w:szCs w:val="21"/>
              </w:rPr>
            </w:pPr>
            <w:r>
              <w:rPr>
                <w:color w:val="auto"/>
                <w:sz w:val="21"/>
                <w:szCs w:val="21"/>
              </w:rPr>
              <w:t>11月</w:t>
            </w:r>
          </w:p>
        </w:tc>
        <w:tc>
          <w:tcPr>
            <w:tcW w:w="639" w:type="dxa"/>
            <w:vAlign w:val="center"/>
          </w:tcPr>
          <w:p>
            <w:pPr>
              <w:pStyle w:val="305"/>
              <w:spacing w:line="240" w:lineRule="auto"/>
              <w:ind w:firstLine="0" w:firstLineChars="0"/>
              <w:rPr>
                <w:color w:val="auto"/>
                <w:sz w:val="21"/>
                <w:szCs w:val="21"/>
              </w:rPr>
            </w:pPr>
            <w:r>
              <w:rPr>
                <w:color w:val="auto"/>
                <w:sz w:val="21"/>
                <w:szCs w:val="21"/>
              </w:rPr>
              <w:t>12月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8" w:hRule="atLeast"/>
          <w:jc w:val="center"/>
        </w:trPr>
        <w:tc>
          <w:tcPr>
            <w:tcW w:w="1155" w:type="dxa"/>
            <w:vAlign w:val="center"/>
          </w:tcPr>
          <w:p>
            <w:pPr>
              <w:pStyle w:val="305"/>
              <w:spacing w:line="240" w:lineRule="auto"/>
              <w:ind w:firstLine="0" w:firstLineChars="0"/>
              <w:rPr>
                <w:color w:val="auto"/>
                <w:sz w:val="21"/>
                <w:szCs w:val="21"/>
              </w:rPr>
            </w:pPr>
            <w:r>
              <w:rPr>
                <w:color w:val="auto"/>
                <w:sz w:val="21"/>
                <w:szCs w:val="21"/>
              </w:rPr>
              <w:t>风速（m/s）</w:t>
            </w:r>
          </w:p>
        </w:tc>
        <w:tc>
          <w:tcPr>
            <w:tcW w:w="573" w:type="dxa"/>
            <w:vAlign w:val="center"/>
          </w:tcPr>
          <w:p>
            <w:pPr>
              <w:pStyle w:val="305"/>
              <w:spacing w:line="240" w:lineRule="auto"/>
              <w:ind w:firstLine="0" w:firstLineChars="0"/>
              <w:rPr>
                <w:color w:val="auto"/>
                <w:sz w:val="21"/>
                <w:szCs w:val="21"/>
              </w:rPr>
            </w:pPr>
            <w:r>
              <w:rPr>
                <w:color w:val="auto"/>
                <w:sz w:val="21"/>
                <w:szCs w:val="21"/>
              </w:rPr>
              <w:t>2.2</w:t>
            </w:r>
          </w:p>
        </w:tc>
        <w:tc>
          <w:tcPr>
            <w:tcW w:w="638" w:type="dxa"/>
            <w:vAlign w:val="center"/>
          </w:tcPr>
          <w:p>
            <w:pPr>
              <w:pStyle w:val="305"/>
              <w:spacing w:line="240" w:lineRule="auto"/>
              <w:ind w:firstLine="0" w:firstLineChars="0"/>
              <w:rPr>
                <w:color w:val="auto"/>
                <w:sz w:val="21"/>
                <w:szCs w:val="21"/>
              </w:rPr>
            </w:pPr>
            <w:r>
              <w:rPr>
                <w:color w:val="auto"/>
                <w:sz w:val="21"/>
                <w:szCs w:val="21"/>
              </w:rPr>
              <w:t>2.6</w:t>
            </w:r>
          </w:p>
        </w:tc>
        <w:tc>
          <w:tcPr>
            <w:tcW w:w="638" w:type="dxa"/>
            <w:vAlign w:val="center"/>
          </w:tcPr>
          <w:p>
            <w:pPr>
              <w:pStyle w:val="305"/>
              <w:spacing w:line="240" w:lineRule="auto"/>
              <w:ind w:firstLine="0" w:firstLineChars="0"/>
              <w:rPr>
                <w:color w:val="auto"/>
                <w:sz w:val="21"/>
                <w:szCs w:val="21"/>
              </w:rPr>
            </w:pPr>
            <w:r>
              <w:rPr>
                <w:color w:val="auto"/>
                <w:sz w:val="21"/>
                <w:szCs w:val="21"/>
              </w:rPr>
              <w:t>3.2</w:t>
            </w:r>
          </w:p>
        </w:tc>
        <w:tc>
          <w:tcPr>
            <w:tcW w:w="639" w:type="dxa"/>
            <w:vAlign w:val="center"/>
          </w:tcPr>
          <w:p>
            <w:pPr>
              <w:pStyle w:val="305"/>
              <w:spacing w:line="240" w:lineRule="auto"/>
              <w:ind w:firstLine="0" w:firstLineChars="0"/>
              <w:rPr>
                <w:color w:val="auto"/>
                <w:sz w:val="21"/>
                <w:szCs w:val="21"/>
              </w:rPr>
            </w:pPr>
            <w:r>
              <w:rPr>
                <w:color w:val="auto"/>
                <w:sz w:val="21"/>
                <w:szCs w:val="21"/>
              </w:rPr>
              <w:t>3.3</w:t>
            </w:r>
          </w:p>
        </w:tc>
        <w:tc>
          <w:tcPr>
            <w:tcW w:w="639" w:type="dxa"/>
            <w:vAlign w:val="center"/>
          </w:tcPr>
          <w:p>
            <w:pPr>
              <w:pStyle w:val="305"/>
              <w:spacing w:line="240" w:lineRule="auto"/>
              <w:ind w:firstLine="0" w:firstLineChars="0"/>
              <w:rPr>
                <w:color w:val="auto"/>
                <w:sz w:val="21"/>
                <w:szCs w:val="21"/>
              </w:rPr>
            </w:pPr>
            <w:r>
              <w:rPr>
                <w:color w:val="auto"/>
                <w:sz w:val="21"/>
                <w:szCs w:val="21"/>
              </w:rPr>
              <w:t>3.2</w:t>
            </w:r>
          </w:p>
        </w:tc>
        <w:tc>
          <w:tcPr>
            <w:tcW w:w="639" w:type="dxa"/>
            <w:vAlign w:val="center"/>
          </w:tcPr>
          <w:p>
            <w:pPr>
              <w:pStyle w:val="305"/>
              <w:spacing w:line="240" w:lineRule="auto"/>
              <w:ind w:firstLine="0" w:firstLineChars="0"/>
              <w:rPr>
                <w:color w:val="auto"/>
                <w:sz w:val="21"/>
                <w:szCs w:val="21"/>
              </w:rPr>
            </w:pPr>
            <w:r>
              <w:rPr>
                <w:color w:val="auto"/>
                <w:sz w:val="21"/>
                <w:szCs w:val="21"/>
              </w:rPr>
              <w:t>2.7</w:t>
            </w:r>
          </w:p>
        </w:tc>
        <w:tc>
          <w:tcPr>
            <w:tcW w:w="639" w:type="dxa"/>
            <w:vAlign w:val="center"/>
          </w:tcPr>
          <w:p>
            <w:pPr>
              <w:pStyle w:val="305"/>
              <w:spacing w:line="240" w:lineRule="auto"/>
              <w:ind w:firstLine="0" w:firstLineChars="0"/>
              <w:rPr>
                <w:color w:val="auto"/>
                <w:sz w:val="21"/>
                <w:szCs w:val="21"/>
              </w:rPr>
            </w:pPr>
            <w:r>
              <w:rPr>
                <w:color w:val="auto"/>
                <w:sz w:val="21"/>
                <w:szCs w:val="21"/>
              </w:rPr>
              <w:t>2.3</w:t>
            </w:r>
          </w:p>
        </w:tc>
        <w:tc>
          <w:tcPr>
            <w:tcW w:w="639" w:type="dxa"/>
            <w:vAlign w:val="center"/>
          </w:tcPr>
          <w:p>
            <w:pPr>
              <w:pStyle w:val="305"/>
              <w:spacing w:line="240" w:lineRule="auto"/>
              <w:ind w:firstLine="0" w:firstLineChars="0"/>
              <w:rPr>
                <w:color w:val="auto"/>
                <w:sz w:val="21"/>
                <w:szCs w:val="21"/>
              </w:rPr>
            </w:pPr>
            <w:r>
              <w:rPr>
                <w:color w:val="auto"/>
                <w:sz w:val="21"/>
                <w:szCs w:val="21"/>
              </w:rPr>
              <w:t>2.1</w:t>
            </w:r>
          </w:p>
        </w:tc>
        <w:tc>
          <w:tcPr>
            <w:tcW w:w="639" w:type="dxa"/>
            <w:vAlign w:val="center"/>
          </w:tcPr>
          <w:p>
            <w:pPr>
              <w:pStyle w:val="305"/>
              <w:spacing w:line="240" w:lineRule="auto"/>
              <w:ind w:firstLine="0" w:firstLineChars="0"/>
              <w:rPr>
                <w:color w:val="auto"/>
                <w:sz w:val="21"/>
                <w:szCs w:val="21"/>
              </w:rPr>
            </w:pPr>
            <w:r>
              <w:rPr>
                <w:color w:val="auto"/>
                <w:sz w:val="21"/>
                <w:szCs w:val="21"/>
              </w:rPr>
              <w:t>2.2</w:t>
            </w:r>
          </w:p>
        </w:tc>
        <w:tc>
          <w:tcPr>
            <w:tcW w:w="639" w:type="dxa"/>
            <w:vAlign w:val="center"/>
          </w:tcPr>
          <w:p>
            <w:pPr>
              <w:pStyle w:val="305"/>
              <w:spacing w:line="240" w:lineRule="auto"/>
              <w:ind w:firstLine="0" w:firstLineChars="0"/>
              <w:rPr>
                <w:color w:val="auto"/>
                <w:sz w:val="21"/>
                <w:szCs w:val="21"/>
              </w:rPr>
            </w:pPr>
            <w:r>
              <w:rPr>
                <w:color w:val="auto"/>
                <w:sz w:val="21"/>
                <w:szCs w:val="21"/>
              </w:rPr>
              <w:t>2.7</w:t>
            </w:r>
          </w:p>
        </w:tc>
        <w:tc>
          <w:tcPr>
            <w:tcW w:w="639" w:type="dxa"/>
            <w:vAlign w:val="center"/>
          </w:tcPr>
          <w:p>
            <w:pPr>
              <w:pStyle w:val="305"/>
              <w:spacing w:line="240" w:lineRule="auto"/>
              <w:ind w:firstLine="0" w:firstLineChars="0"/>
              <w:rPr>
                <w:color w:val="auto"/>
                <w:sz w:val="21"/>
                <w:szCs w:val="21"/>
              </w:rPr>
            </w:pPr>
            <w:r>
              <w:rPr>
                <w:color w:val="auto"/>
                <w:sz w:val="21"/>
                <w:szCs w:val="21"/>
              </w:rPr>
              <w:t>2.8</w:t>
            </w:r>
          </w:p>
        </w:tc>
        <w:tc>
          <w:tcPr>
            <w:tcW w:w="639" w:type="dxa"/>
            <w:vAlign w:val="center"/>
          </w:tcPr>
          <w:p>
            <w:pPr>
              <w:pStyle w:val="305"/>
              <w:spacing w:line="240" w:lineRule="auto"/>
              <w:ind w:firstLine="0" w:firstLineChars="0"/>
              <w:rPr>
                <w:color w:val="auto"/>
                <w:sz w:val="21"/>
                <w:szCs w:val="21"/>
              </w:rPr>
            </w:pPr>
            <w:r>
              <w:rPr>
                <w:color w:val="auto"/>
                <w:sz w:val="21"/>
                <w:szCs w:val="21"/>
              </w:rPr>
              <w:t>2.2</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color w:val="auto"/>
          <w:kern w:val="0"/>
          <w:sz w:val="24"/>
        </w:rPr>
      </w:pPr>
      <w:r>
        <w:rPr>
          <w:b/>
          <w:color w:val="auto"/>
          <w:kern w:val="0"/>
          <w:sz w:val="24"/>
        </w:rPr>
        <w:t>表4-1-3哈尔滨季小时平均风速的日变化（单位：m/s）</w:t>
      </w:r>
    </w:p>
    <w:tbl>
      <w:tblPr>
        <w:tblStyle w:val="46"/>
        <w:tblW w:w="875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65"/>
        <w:gridCol w:w="655"/>
        <w:gridCol w:w="11"/>
        <w:gridCol w:w="646"/>
        <w:gridCol w:w="11"/>
        <w:gridCol w:w="646"/>
        <w:gridCol w:w="9"/>
        <w:gridCol w:w="648"/>
        <w:gridCol w:w="8"/>
        <w:gridCol w:w="649"/>
        <w:gridCol w:w="7"/>
        <w:gridCol w:w="650"/>
        <w:gridCol w:w="6"/>
        <w:gridCol w:w="656"/>
        <w:gridCol w:w="657"/>
        <w:gridCol w:w="657"/>
        <w:gridCol w:w="657"/>
        <w:gridCol w:w="657"/>
        <w:gridCol w:w="65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83" w:hRule="atLeast"/>
          <w:jc w:val="center"/>
        </w:trPr>
        <w:tc>
          <w:tcPr>
            <w:tcW w:w="865" w:type="dxa"/>
            <w:vAlign w:val="center"/>
          </w:tcPr>
          <w:p>
            <w:pPr>
              <w:pStyle w:val="305"/>
              <w:spacing w:line="240" w:lineRule="auto"/>
              <w:ind w:firstLine="0" w:firstLineChars="0"/>
              <w:rPr>
                <w:color w:val="auto"/>
                <w:sz w:val="21"/>
                <w:szCs w:val="21"/>
              </w:rPr>
            </w:pPr>
            <w:r>
              <w:rPr>
                <w:color w:val="auto"/>
                <w:sz w:val="21"/>
                <w:szCs w:val="21"/>
              </w:rPr>
              <w:t>时间</w:t>
            </w:r>
          </w:p>
          <w:p>
            <w:pPr>
              <w:pStyle w:val="305"/>
              <w:spacing w:line="240" w:lineRule="auto"/>
              <w:ind w:firstLine="0" w:firstLineChars="0"/>
              <w:rPr>
                <w:color w:val="auto"/>
                <w:sz w:val="21"/>
                <w:szCs w:val="21"/>
              </w:rPr>
            </w:pPr>
            <w:r>
              <w:rPr>
                <w:color w:val="auto"/>
                <w:sz w:val="21"/>
                <w:szCs w:val="21"/>
              </w:rPr>
              <w:t>风速</w:t>
            </w:r>
          </w:p>
        </w:tc>
        <w:tc>
          <w:tcPr>
            <w:tcW w:w="666" w:type="dxa"/>
            <w:gridSpan w:val="2"/>
            <w:vAlign w:val="center"/>
          </w:tcPr>
          <w:p>
            <w:pPr>
              <w:pStyle w:val="305"/>
              <w:spacing w:line="240" w:lineRule="auto"/>
              <w:ind w:firstLine="0" w:firstLineChars="0"/>
              <w:rPr>
                <w:color w:val="auto"/>
                <w:sz w:val="21"/>
                <w:szCs w:val="21"/>
              </w:rPr>
            </w:pPr>
            <w:r>
              <w:rPr>
                <w:color w:val="auto"/>
                <w:sz w:val="21"/>
                <w:szCs w:val="21"/>
              </w:rPr>
              <w:t>1</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2</w:t>
            </w:r>
          </w:p>
        </w:tc>
        <w:tc>
          <w:tcPr>
            <w:tcW w:w="655" w:type="dxa"/>
            <w:gridSpan w:val="2"/>
            <w:vAlign w:val="center"/>
          </w:tcPr>
          <w:p>
            <w:pPr>
              <w:pStyle w:val="305"/>
              <w:spacing w:line="240" w:lineRule="auto"/>
              <w:ind w:firstLine="0" w:firstLineChars="0"/>
              <w:rPr>
                <w:color w:val="auto"/>
                <w:sz w:val="21"/>
                <w:szCs w:val="21"/>
              </w:rPr>
            </w:pPr>
            <w:r>
              <w:rPr>
                <w:color w:val="auto"/>
                <w:sz w:val="21"/>
                <w:szCs w:val="21"/>
              </w:rPr>
              <w:t>3</w:t>
            </w:r>
          </w:p>
        </w:tc>
        <w:tc>
          <w:tcPr>
            <w:tcW w:w="656" w:type="dxa"/>
            <w:gridSpan w:val="2"/>
            <w:vAlign w:val="center"/>
          </w:tcPr>
          <w:p>
            <w:pPr>
              <w:pStyle w:val="305"/>
              <w:spacing w:line="240" w:lineRule="auto"/>
              <w:ind w:firstLine="0" w:firstLineChars="0"/>
              <w:rPr>
                <w:color w:val="auto"/>
                <w:sz w:val="21"/>
                <w:szCs w:val="21"/>
              </w:rPr>
            </w:pPr>
            <w:r>
              <w:rPr>
                <w:color w:val="auto"/>
                <w:sz w:val="21"/>
                <w:szCs w:val="21"/>
              </w:rPr>
              <w:t>4</w:t>
            </w:r>
          </w:p>
        </w:tc>
        <w:tc>
          <w:tcPr>
            <w:tcW w:w="656" w:type="dxa"/>
            <w:gridSpan w:val="2"/>
            <w:vAlign w:val="center"/>
          </w:tcPr>
          <w:p>
            <w:pPr>
              <w:pStyle w:val="305"/>
              <w:spacing w:line="240" w:lineRule="auto"/>
              <w:ind w:firstLine="0" w:firstLineChars="0"/>
              <w:rPr>
                <w:color w:val="auto"/>
                <w:sz w:val="21"/>
                <w:szCs w:val="21"/>
              </w:rPr>
            </w:pPr>
            <w:r>
              <w:rPr>
                <w:color w:val="auto"/>
                <w:sz w:val="21"/>
                <w:szCs w:val="21"/>
              </w:rPr>
              <w:t>5</w:t>
            </w:r>
          </w:p>
        </w:tc>
        <w:tc>
          <w:tcPr>
            <w:tcW w:w="656" w:type="dxa"/>
            <w:gridSpan w:val="2"/>
            <w:vAlign w:val="center"/>
          </w:tcPr>
          <w:p>
            <w:pPr>
              <w:pStyle w:val="305"/>
              <w:spacing w:line="240" w:lineRule="auto"/>
              <w:ind w:firstLine="0" w:firstLineChars="0"/>
              <w:rPr>
                <w:color w:val="auto"/>
                <w:sz w:val="21"/>
                <w:szCs w:val="21"/>
              </w:rPr>
            </w:pPr>
            <w:r>
              <w:rPr>
                <w:color w:val="auto"/>
                <w:sz w:val="21"/>
                <w:szCs w:val="21"/>
              </w:rPr>
              <w:t>6</w:t>
            </w:r>
          </w:p>
        </w:tc>
        <w:tc>
          <w:tcPr>
            <w:tcW w:w="656" w:type="dxa"/>
            <w:vAlign w:val="center"/>
          </w:tcPr>
          <w:p>
            <w:pPr>
              <w:pStyle w:val="305"/>
              <w:spacing w:line="240" w:lineRule="auto"/>
              <w:ind w:firstLine="0" w:firstLineChars="0"/>
              <w:rPr>
                <w:color w:val="auto"/>
                <w:sz w:val="21"/>
                <w:szCs w:val="21"/>
              </w:rPr>
            </w:pPr>
            <w:r>
              <w:rPr>
                <w:color w:val="auto"/>
                <w:sz w:val="21"/>
                <w:szCs w:val="21"/>
              </w:rPr>
              <w:t>7</w:t>
            </w:r>
          </w:p>
        </w:tc>
        <w:tc>
          <w:tcPr>
            <w:tcW w:w="657" w:type="dxa"/>
            <w:vAlign w:val="center"/>
          </w:tcPr>
          <w:p>
            <w:pPr>
              <w:pStyle w:val="305"/>
              <w:spacing w:line="240" w:lineRule="auto"/>
              <w:ind w:firstLine="0" w:firstLineChars="0"/>
              <w:rPr>
                <w:color w:val="auto"/>
                <w:sz w:val="21"/>
                <w:szCs w:val="21"/>
              </w:rPr>
            </w:pPr>
            <w:r>
              <w:rPr>
                <w:color w:val="auto"/>
                <w:sz w:val="21"/>
                <w:szCs w:val="21"/>
              </w:rPr>
              <w:t>8</w:t>
            </w:r>
          </w:p>
        </w:tc>
        <w:tc>
          <w:tcPr>
            <w:tcW w:w="657" w:type="dxa"/>
            <w:vAlign w:val="center"/>
          </w:tcPr>
          <w:p>
            <w:pPr>
              <w:pStyle w:val="305"/>
              <w:spacing w:line="240" w:lineRule="auto"/>
              <w:ind w:firstLine="0" w:firstLineChars="0"/>
              <w:rPr>
                <w:color w:val="auto"/>
                <w:sz w:val="21"/>
                <w:szCs w:val="21"/>
              </w:rPr>
            </w:pPr>
            <w:r>
              <w:rPr>
                <w:color w:val="auto"/>
                <w:sz w:val="21"/>
                <w:szCs w:val="21"/>
              </w:rPr>
              <w:t>9</w:t>
            </w:r>
          </w:p>
        </w:tc>
        <w:tc>
          <w:tcPr>
            <w:tcW w:w="657" w:type="dxa"/>
            <w:vAlign w:val="center"/>
          </w:tcPr>
          <w:p>
            <w:pPr>
              <w:pStyle w:val="305"/>
              <w:spacing w:line="240" w:lineRule="auto"/>
              <w:ind w:firstLine="0" w:firstLineChars="0"/>
              <w:rPr>
                <w:color w:val="auto"/>
                <w:sz w:val="21"/>
                <w:szCs w:val="21"/>
              </w:rPr>
            </w:pPr>
            <w:r>
              <w:rPr>
                <w:color w:val="auto"/>
                <w:sz w:val="21"/>
                <w:szCs w:val="21"/>
              </w:rPr>
              <w:t>10</w:t>
            </w:r>
          </w:p>
        </w:tc>
        <w:tc>
          <w:tcPr>
            <w:tcW w:w="657" w:type="dxa"/>
            <w:vAlign w:val="center"/>
          </w:tcPr>
          <w:p>
            <w:pPr>
              <w:pStyle w:val="305"/>
              <w:spacing w:line="240" w:lineRule="auto"/>
              <w:ind w:firstLine="0" w:firstLineChars="0"/>
              <w:rPr>
                <w:color w:val="auto"/>
                <w:sz w:val="21"/>
                <w:szCs w:val="21"/>
              </w:rPr>
            </w:pPr>
            <w:r>
              <w:rPr>
                <w:color w:val="auto"/>
                <w:sz w:val="21"/>
                <w:szCs w:val="21"/>
              </w:rPr>
              <w:t>11</w:t>
            </w:r>
          </w:p>
        </w:tc>
        <w:tc>
          <w:tcPr>
            <w:tcW w:w="657" w:type="dxa"/>
            <w:vAlign w:val="center"/>
          </w:tcPr>
          <w:p>
            <w:pPr>
              <w:pStyle w:val="305"/>
              <w:spacing w:line="240" w:lineRule="auto"/>
              <w:ind w:firstLine="0" w:firstLineChars="0"/>
              <w:rPr>
                <w:color w:val="auto"/>
                <w:sz w:val="21"/>
                <w:szCs w:val="21"/>
              </w:rPr>
            </w:pPr>
            <w:r>
              <w:rPr>
                <w:color w:val="auto"/>
                <w:sz w:val="21"/>
                <w:szCs w:val="21"/>
              </w:rPr>
              <w:t>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03" w:hRule="atLeast"/>
          <w:jc w:val="center"/>
        </w:trPr>
        <w:tc>
          <w:tcPr>
            <w:tcW w:w="865" w:type="dxa"/>
            <w:vAlign w:val="center"/>
          </w:tcPr>
          <w:p>
            <w:pPr>
              <w:pStyle w:val="305"/>
              <w:spacing w:line="240" w:lineRule="auto"/>
              <w:ind w:firstLine="0" w:firstLineChars="0"/>
              <w:rPr>
                <w:color w:val="auto"/>
                <w:sz w:val="21"/>
                <w:szCs w:val="21"/>
              </w:rPr>
            </w:pPr>
            <w:r>
              <w:rPr>
                <w:color w:val="auto"/>
                <w:sz w:val="21"/>
                <w:szCs w:val="21"/>
              </w:rPr>
              <w:t>春季</w:t>
            </w:r>
          </w:p>
        </w:tc>
        <w:tc>
          <w:tcPr>
            <w:tcW w:w="666" w:type="dxa"/>
            <w:gridSpan w:val="2"/>
            <w:vAlign w:val="center"/>
          </w:tcPr>
          <w:p>
            <w:pPr>
              <w:pStyle w:val="305"/>
              <w:spacing w:line="240" w:lineRule="auto"/>
              <w:ind w:firstLine="0" w:firstLineChars="0"/>
              <w:rPr>
                <w:color w:val="auto"/>
                <w:sz w:val="21"/>
                <w:szCs w:val="21"/>
              </w:rPr>
            </w:pPr>
            <w:r>
              <w:rPr>
                <w:color w:val="auto"/>
                <w:sz w:val="21"/>
                <w:szCs w:val="21"/>
              </w:rPr>
              <w:t>1.7</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1.6</w:t>
            </w:r>
          </w:p>
        </w:tc>
        <w:tc>
          <w:tcPr>
            <w:tcW w:w="655" w:type="dxa"/>
            <w:gridSpan w:val="2"/>
            <w:vAlign w:val="center"/>
          </w:tcPr>
          <w:p>
            <w:pPr>
              <w:pStyle w:val="305"/>
              <w:spacing w:line="240" w:lineRule="auto"/>
              <w:ind w:firstLine="0" w:firstLineChars="0"/>
              <w:rPr>
                <w:color w:val="auto"/>
                <w:sz w:val="21"/>
                <w:szCs w:val="21"/>
              </w:rPr>
            </w:pPr>
            <w:r>
              <w:rPr>
                <w:color w:val="auto"/>
                <w:sz w:val="21"/>
                <w:szCs w:val="21"/>
              </w:rPr>
              <w:t>1.6</w:t>
            </w:r>
          </w:p>
        </w:tc>
        <w:tc>
          <w:tcPr>
            <w:tcW w:w="656" w:type="dxa"/>
            <w:gridSpan w:val="2"/>
            <w:vAlign w:val="center"/>
          </w:tcPr>
          <w:p>
            <w:pPr>
              <w:pStyle w:val="305"/>
              <w:spacing w:line="240" w:lineRule="auto"/>
              <w:ind w:firstLine="0" w:firstLineChars="0"/>
              <w:rPr>
                <w:color w:val="auto"/>
                <w:sz w:val="21"/>
                <w:szCs w:val="21"/>
              </w:rPr>
            </w:pPr>
            <w:r>
              <w:rPr>
                <w:color w:val="auto"/>
                <w:sz w:val="21"/>
                <w:szCs w:val="21"/>
              </w:rPr>
              <w:t>1.5</w:t>
            </w:r>
          </w:p>
        </w:tc>
        <w:tc>
          <w:tcPr>
            <w:tcW w:w="656" w:type="dxa"/>
            <w:gridSpan w:val="2"/>
            <w:vAlign w:val="center"/>
          </w:tcPr>
          <w:p>
            <w:pPr>
              <w:pStyle w:val="305"/>
              <w:spacing w:line="240" w:lineRule="auto"/>
              <w:ind w:firstLine="0" w:firstLineChars="0"/>
              <w:rPr>
                <w:color w:val="auto"/>
                <w:sz w:val="21"/>
                <w:szCs w:val="21"/>
              </w:rPr>
            </w:pPr>
            <w:r>
              <w:rPr>
                <w:color w:val="auto"/>
                <w:sz w:val="21"/>
                <w:szCs w:val="21"/>
              </w:rPr>
              <w:t>1.6</w:t>
            </w:r>
          </w:p>
        </w:tc>
        <w:tc>
          <w:tcPr>
            <w:tcW w:w="656" w:type="dxa"/>
            <w:gridSpan w:val="2"/>
            <w:vAlign w:val="center"/>
          </w:tcPr>
          <w:p>
            <w:pPr>
              <w:pStyle w:val="305"/>
              <w:spacing w:line="240" w:lineRule="auto"/>
              <w:ind w:firstLine="0" w:firstLineChars="0"/>
              <w:rPr>
                <w:color w:val="auto"/>
                <w:sz w:val="21"/>
                <w:szCs w:val="21"/>
              </w:rPr>
            </w:pPr>
            <w:r>
              <w:rPr>
                <w:color w:val="auto"/>
                <w:sz w:val="21"/>
                <w:szCs w:val="21"/>
              </w:rPr>
              <w:t>1.8</w:t>
            </w:r>
          </w:p>
        </w:tc>
        <w:tc>
          <w:tcPr>
            <w:tcW w:w="656" w:type="dxa"/>
            <w:vAlign w:val="center"/>
          </w:tcPr>
          <w:p>
            <w:pPr>
              <w:pStyle w:val="305"/>
              <w:spacing w:line="240" w:lineRule="auto"/>
              <w:ind w:firstLine="0" w:firstLineChars="0"/>
              <w:rPr>
                <w:color w:val="auto"/>
                <w:sz w:val="21"/>
                <w:szCs w:val="21"/>
              </w:rPr>
            </w:pPr>
            <w:r>
              <w:rPr>
                <w:color w:val="auto"/>
                <w:sz w:val="21"/>
                <w:szCs w:val="21"/>
              </w:rPr>
              <w:t>2.2</w:t>
            </w:r>
          </w:p>
        </w:tc>
        <w:tc>
          <w:tcPr>
            <w:tcW w:w="657" w:type="dxa"/>
            <w:vAlign w:val="center"/>
          </w:tcPr>
          <w:p>
            <w:pPr>
              <w:pStyle w:val="305"/>
              <w:spacing w:line="240" w:lineRule="auto"/>
              <w:ind w:firstLine="0" w:firstLineChars="0"/>
              <w:rPr>
                <w:color w:val="auto"/>
                <w:sz w:val="21"/>
                <w:szCs w:val="21"/>
              </w:rPr>
            </w:pPr>
            <w:r>
              <w:rPr>
                <w:color w:val="auto"/>
                <w:sz w:val="21"/>
                <w:szCs w:val="21"/>
              </w:rPr>
              <w:t>2.4</w:t>
            </w:r>
          </w:p>
        </w:tc>
        <w:tc>
          <w:tcPr>
            <w:tcW w:w="657" w:type="dxa"/>
            <w:vAlign w:val="center"/>
          </w:tcPr>
          <w:p>
            <w:pPr>
              <w:pStyle w:val="305"/>
              <w:spacing w:line="240" w:lineRule="auto"/>
              <w:ind w:firstLine="0" w:firstLineChars="0"/>
              <w:rPr>
                <w:color w:val="auto"/>
                <w:sz w:val="21"/>
                <w:szCs w:val="21"/>
              </w:rPr>
            </w:pPr>
            <w:r>
              <w:rPr>
                <w:color w:val="auto"/>
                <w:sz w:val="21"/>
                <w:szCs w:val="21"/>
              </w:rPr>
              <w:t>2.7</w:t>
            </w:r>
          </w:p>
        </w:tc>
        <w:tc>
          <w:tcPr>
            <w:tcW w:w="657" w:type="dxa"/>
            <w:vAlign w:val="center"/>
          </w:tcPr>
          <w:p>
            <w:pPr>
              <w:pStyle w:val="305"/>
              <w:spacing w:line="240" w:lineRule="auto"/>
              <w:ind w:firstLine="0" w:firstLineChars="0"/>
              <w:rPr>
                <w:color w:val="auto"/>
                <w:sz w:val="21"/>
                <w:szCs w:val="21"/>
              </w:rPr>
            </w:pPr>
            <w:r>
              <w:rPr>
                <w:color w:val="auto"/>
                <w:sz w:val="21"/>
                <w:szCs w:val="21"/>
              </w:rPr>
              <w:t>3.1</w:t>
            </w:r>
          </w:p>
        </w:tc>
        <w:tc>
          <w:tcPr>
            <w:tcW w:w="657" w:type="dxa"/>
            <w:vAlign w:val="center"/>
          </w:tcPr>
          <w:p>
            <w:pPr>
              <w:pStyle w:val="305"/>
              <w:spacing w:line="240" w:lineRule="auto"/>
              <w:ind w:firstLine="0" w:firstLineChars="0"/>
              <w:rPr>
                <w:color w:val="auto"/>
                <w:sz w:val="21"/>
                <w:szCs w:val="21"/>
              </w:rPr>
            </w:pPr>
            <w:r>
              <w:rPr>
                <w:color w:val="auto"/>
                <w:sz w:val="21"/>
                <w:szCs w:val="21"/>
              </w:rPr>
              <w:t>3.3</w:t>
            </w:r>
          </w:p>
        </w:tc>
        <w:tc>
          <w:tcPr>
            <w:tcW w:w="657" w:type="dxa"/>
            <w:vAlign w:val="center"/>
          </w:tcPr>
          <w:p>
            <w:pPr>
              <w:pStyle w:val="305"/>
              <w:spacing w:line="240" w:lineRule="auto"/>
              <w:ind w:firstLine="0" w:firstLineChars="0"/>
              <w:rPr>
                <w:color w:val="auto"/>
                <w:sz w:val="21"/>
                <w:szCs w:val="21"/>
              </w:rPr>
            </w:pPr>
            <w:r>
              <w:rPr>
                <w:color w:val="auto"/>
                <w:sz w:val="21"/>
                <w:szCs w:val="21"/>
              </w:rPr>
              <w:t>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90" w:hRule="atLeast"/>
          <w:jc w:val="center"/>
        </w:trPr>
        <w:tc>
          <w:tcPr>
            <w:tcW w:w="865" w:type="dxa"/>
            <w:vAlign w:val="center"/>
          </w:tcPr>
          <w:p>
            <w:pPr>
              <w:pStyle w:val="305"/>
              <w:spacing w:line="240" w:lineRule="auto"/>
              <w:ind w:firstLine="0" w:firstLineChars="0"/>
              <w:rPr>
                <w:color w:val="auto"/>
                <w:sz w:val="21"/>
                <w:szCs w:val="21"/>
              </w:rPr>
            </w:pPr>
            <w:r>
              <w:rPr>
                <w:color w:val="auto"/>
                <w:sz w:val="21"/>
                <w:szCs w:val="21"/>
              </w:rPr>
              <w:t>夏季</w:t>
            </w:r>
          </w:p>
        </w:tc>
        <w:tc>
          <w:tcPr>
            <w:tcW w:w="666" w:type="dxa"/>
            <w:gridSpan w:val="2"/>
            <w:vAlign w:val="center"/>
          </w:tcPr>
          <w:p>
            <w:pPr>
              <w:pStyle w:val="305"/>
              <w:spacing w:line="240" w:lineRule="auto"/>
              <w:ind w:firstLine="0" w:firstLineChars="0"/>
              <w:rPr>
                <w:color w:val="auto"/>
                <w:sz w:val="21"/>
                <w:szCs w:val="21"/>
              </w:rPr>
            </w:pPr>
            <w:r>
              <w:rPr>
                <w:color w:val="auto"/>
                <w:sz w:val="21"/>
                <w:szCs w:val="21"/>
              </w:rPr>
              <w:t>1.2</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1.2</w:t>
            </w:r>
          </w:p>
        </w:tc>
        <w:tc>
          <w:tcPr>
            <w:tcW w:w="655" w:type="dxa"/>
            <w:gridSpan w:val="2"/>
            <w:vAlign w:val="center"/>
          </w:tcPr>
          <w:p>
            <w:pPr>
              <w:pStyle w:val="305"/>
              <w:spacing w:line="240" w:lineRule="auto"/>
              <w:ind w:firstLine="0" w:firstLineChars="0"/>
              <w:rPr>
                <w:color w:val="auto"/>
                <w:sz w:val="21"/>
                <w:szCs w:val="21"/>
              </w:rPr>
            </w:pPr>
            <w:r>
              <w:rPr>
                <w:color w:val="auto"/>
                <w:sz w:val="21"/>
                <w:szCs w:val="21"/>
              </w:rPr>
              <w:t>1.2</w:t>
            </w:r>
          </w:p>
        </w:tc>
        <w:tc>
          <w:tcPr>
            <w:tcW w:w="656" w:type="dxa"/>
            <w:gridSpan w:val="2"/>
            <w:vAlign w:val="center"/>
          </w:tcPr>
          <w:p>
            <w:pPr>
              <w:pStyle w:val="305"/>
              <w:spacing w:line="240" w:lineRule="auto"/>
              <w:ind w:firstLine="0" w:firstLineChars="0"/>
              <w:rPr>
                <w:color w:val="auto"/>
                <w:sz w:val="21"/>
                <w:szCs w:val="21"/>
              </w:rPr>
            </w:pPr>
            <w:r>
              <w:rPr>
                <w:color w:val="auto"/>
                <w:sz w:val="21"/>
                <w:szCs w:val="21"/>
              </w:rPr>
              <w:t>1.3</w:t>
            </w:r>
          </w:p>
        </w:tc>
        <w:tc>
          <w:tcPr>
            <w:tcW w:w="656" w:type="dxa"/>
            <w:gridSpan w:val="2"/>
            <w:vAlign w:val="center"/>
          </w:tcPr>
          <w:p>
            <w:pPr>
              <w:pStyle w:val="305"/>
              <w:spacing w:line="240" w:lineRule="auto"/>
              <w:ind w:firstLine="0" w:firstLineChars="0"/>
              <w:rPr>
                <w:color w:val="auto"/>
                <w:sz w:val="21"/>
                <w:szCs w:val="21"/>
              </w:rPr>
            </w:pPr>
            <w:r>
              <w:rPr>
                <w:color w:val="auto"/>
                <w:sz w:val="21"/>
                <w:szCs w:val="21"/>
              </w:rPr>
              <w:t>1.4</w:t>
            </w:r>
          </w:p>
        </w:tc>
        <w:tc>
          <w:tcPr>
            <w:tcW w:w="656" w:type="dxa"/>
            <w:gridSpan w:val="2"/>
            <w:vAlign w:val="center"/>
          </w:tcPr>
          <w:p>
            <w:pPr>
              <w:pStyle w:val="305"/>
              <w:spacing w:line="240" w:lineRule="auto"/>
              <w:ind w:firstLine="0" w:firstLineChars="0"/>
              <w:rPr>
                <w:color w:val="auto"/>
                <w:sz w:val="21"/>
                <w:szCs w:val="21"/>
              </w:rPr>
            </w:pPr>
            <w:r>
              <w:rPr>
                <w:color w:val="auto"/>
                <w:sz w:val="21"/>
                <w:szCs w:val="21"/>
              </w:rPr>
              <w:t>1.6</w:t>
            </w:r>
          </w:p>
        </w:tc>
        <w:tc>
          <w:tcPr>
            <w:tcW w:w="656" w:type="dxa"/>
            <w:vAlign w:val="center"/>
          </w:tcPr>
          <w:p>
            <w:pPr>
              <w:pStyle w:val="305"/>
              <w:spacing w:line="240" w:lineRule="auto"/>
              <w:ind w:firstLine="0" w:firstLineChars="0"/>
              <w:rPr>
                <w:color w:val="auto"/>
                <w:sz w:val="21"/>
                <w:szCs w:val="21"/>
              </w:rPr>
            </w:pPr>
            <w:r>
              <w:rPr>
                <w:color w:val="auto"/>
                <w:sz w:val="21"/>
                <w:szCs w:val="21"/>
              </w:rPr>
              <w:t>1.9</w:t>
            </w:r>
          </w:p>
        </w:tc>
        <w:tc>
          <w:tcPr>
            <w:tcW w:w="657" w:type="dxa"/>
            <w:vAlign w:val="center"/>
          </w:tcPr>
          <w:p>
            <w:pPr>
              <w:pStyle w:val="305"/>
              <w:spacing w:line="240" w:lineRule="auto"/>
              <w:ind w:firstLine="0" w:firstLineChars="0"/>
              <w:rPr>
                <w:color w:val="auto"/>
                <w:sz w:val="21"/>
                <w:szCs w:val="21"/>
              </w:rPr>
            </w:pPr>
            <w:r>
              <w:rPr>
                <w:color w:val="auto"/>
                <w:sz w:val="21"/>
                <w:szCs w:val="21"/>
              </w:rPr>
              <w:t>2.1</w:t>
            </w:r>
          </w:p>
        </w:tc>
        <w:tc>
          <w:tcPr>
            <w:tcW w:w="657" w:type="dxa"/>
            <w:vAlign w:val="center"/>
          </w:tcPr>
          <w:p>
            <w:pPr>
              <w:pStyle w:val="305"/>
              <w:spacing w:line="240" w:lineRule="auto"/>
              <w:ind w:firstLine="0" w:firstLineChars="0"/>
              <w:rPr>
                <w:color w:val="auto"/>
                <w:sz w:val="21"/>
                <w:szCs w:val="21"/>
              </w:rPr>
            </w:pPr>
            <w:r>
              <w:rPr>
                <w:color w:val="auto"/>
                <w:sz w:val="21"/>
                <w:szCs w:val="21"/>
              </w:rPr>
              <w:t>2.4</w:t>
            </w:r>
          </w:p>
        </w:tc>
        <w:tc>
          <w:tcPr>
            <w:tcW w:w="657" w:type="dxa"/>
            <w:vAlign w:val="center"/>
          </w:tcPr>
          <w:p>
            <w:pPr>
              <w:pStyle w:val="305"/>
              <w:spacing w:line="240" w:lineRule="auto"/>
              <w:ind w:firstLine="0" w:firstLineChars="0"/>
              <w:rPr>
                <w:color w:val="auto"/>
                <w:sz w:val="21"/>
                <w:szCs w:val="21"/>
              </w:rPr>
            </w:pPr>
            <w:r>
              <w:rPr>
                <w:color w:val="auto"/>
                <w:sz w:val="21"/>
                <w:szCs w:val="21"/>
              </w:rPr>
              <w:t>2.5</w:t>
            </w:r>
          </w:p>
        </w:tc>
        <w:tc>
          <w:tcPr>
            <w:tcW w:w="657" w:type="dxa"/>
            <w:vAlign w:val="center"/>
          </w:tcPr>
          <w:p>
            <w:pPr>
              <w:pStyle w:val="305"/>
              <w:spacing w:line="240" w:lineRule="auto"/>
              <w:ind w:firstLine="0" w:firstLineChars="0"/>
              <w:rPr>
                <w:color w:val="auto"/>
                <w:sz w:val="21"/>
                <w:szCs w:val="21"/>
              </w:rPr>
            </w:pPr>
            <w:r>
              <w:rPr>
                <w:color w:val="auto"/>
                <w:sz w:val="21"/>
                <w:szCs w:val="21"/>
              </w:rPr>
              <w:t>2.6</w:t>
            </w:r>
          </w:p>
        </w:tc>
        <w:tc>
          <w:tcPr>
            <w:tcW w:w="657" w:type="dxa"/>
            <w:vAlign w:val="center"/>
          </w:tcPr>
          <w:p>
            <w:pPr>
              <w:pStyle w:val="305"/>
              <w:spacing w:line="240" w:lineRule="auto"/>
              <w:ind w:firstLine="0" w:firstLineChars="0"/>
              <w:rPr>
                <w:color w:val="auto"/>
                <w:sz w:val="21"/>
                <w:szCs w:val="21"/>
              </w:rPr>
            </w:pPr>
            <w:r>
              <w:rPr>
                <w:color w:val="auto"/>
                <w:sz w:val="21"/>
                <w:szCs w:val="21"/>
              </w:rPr>
              <w:t>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03" w:hRule="atLeast"/>
          <w:jc w:val="center"/>
        </w:trPr>
        <w:tc>
          <w:tcPr>
            <w:tcW w:w="865" w:type="dxa"/>
            <w:vAlign w:val="center"/>
          </w:tcPr>
          <w:p>
            <w:pPr>
              <w:pStyle w:val="305"/>
              <w:spacing w:line="240" w:lineRule="auto"/>
              <w:ind w:firstLine="0" w:firstLineChars="0"/>
              <w:rPr>
                <w:color w:val="auto"/>
                <w:sz w:val="21"/>
                <w:szCs w:val="21"/>
              </w:rPr>
            </w:pPr>
            <w:r>
              <w:rPr>
                <w:color w:val="auto"/>
                <w:sz w:val="21"/>
                <w:szCs w:val="21"/>
              </w:rPr>
              <w:t>秋季</w:t>
            </w:r>
          </w:p>
        </w:tc>
        <w:tc>
          <w:tcPr>
            <w:tcW w:w="666" w:type="dxa"/>
            <w:gridSpan w:val="2"/>
            <w:vAlign w:val="center"/>
          </w:tcPr>
          <w:p>
            <w:pPr>
              <w:pStyle w:val="305"/>
              <w:spacing w:line="240" w:lineRule="auto"/>
              <w:ind w:firstLine="0" w:firstLineChars="0"/>
              <w:rPr>
                <w:color w:val="auto"/>
                <w:sz w:val="21"/>
                <w:szCs w:val="21"/>
              </w:rPr>
            </w:pPr>
            <w:r>
              <w:rPr>
                <w:color w:val="auto"/>
                <w:sz w:val="21"/>
                <w:szCs w:val="21"/>
              </w:rPr>
              <w:t>1.5</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1.5</w:t>
            </w:r>
          </w:p>
        </w:tc>
        <w:tc>
          <w:tcPr>
            <w:tcW w:w="655" w:type="dxa"/>
            <w:gridSpan w:val="2"/>
            <w:vAlign w:val="center"/>
          </w:tcPr>
          <w:p>
            <w:pPr>
              <w:pStyle w:val="305"/>
              <w:spacing w:line="240" w:lineRule="auto"/>
              <w:ind w:firstLine="0" w:firstLineChars="0"/>
              <w:rPr>
                <w:color w:val="auto"/>
                <w:sz w:val="21"/>
                <w:szCs w:val="21"/>
              </w:rPr>
            </w:pPr>
            <w:r>
              <w:rPr>
                <w:color w:val="auto"/>
                <w:sz w:val="21"/>
                <w:szCs w:val="21"/>
              </w:rPr>
              <w:t>1.6</w:t>
            </w:r>
          </w:p>
        </w:tc>
        <w:tc>
          <w:tcPr>
            <w:tcW w:w="656" w:type="dxa"/>
            <w:gridSpan w:val="2"/>
            <w:vAlign w:val="center"/>
          </w:tcPr>
          <w:p>
            <w:pPr>
              <w:pStyle w:val="305"/>
              <w:spacing w:line="240" w:lineRule="auto"/>
              <w:ind w:firstLine="0" w:firstLineChars="0"/>
              <w:rPr>
                <w:color w:val="auto"/>
                <w:sz w:val="21"/>
                <w:szCs w:val="21"/>
              </w:rPr>
            </w:pPr>
            <w:r>
              <w:rPr>
                <w:color w:val="auto"/>
                <w:sz w:val="21"/>
                <w:szCs w:val="21"/>
              </w:rPr>
              <w:t>1.5</w:t>
            </w:r>
          </w:p>
        </w:tc>
        <w:tc>
          <w:tcPr>
            <w:tcW w:w="656" w:type="dxa"/>
            <w:gridSpan w:val="2"/>
            <w:vAlign w:val="center"/>
          </w:tcPr>
          <w:p>
            <w:pPr>
              <w:pStyle w:val="305"/>
              <w:spacing w:line="240" w:lineRule="auto"/>
              <w:ind w:firstLine="0" w:firstLineChars="0"/>
              <w:rPr>
                <w:color w:val="auto"/>
                <w:sz w:val="21"/>
                <w:szCs w:val="21"/>
              </w:rPr>
            </w:pPr>
            <w:r>
              <w:rPr>
                <w:color w:val="auto"/>
                <w:sz w:val="21"/>
                <w:szCs w:val="21"/>
              </w:rPr>
              <w:t>1.6</w:t>
            </w:r>
          </w:p>
        </w:tc>
        <w:tc>
          <w:tcPr>
            <w:tcW w:w="656" w:type="dxa"/>
            <w:gridSpan w:val="2"/>
            <w:vAlign w:val="center"/>
          </w:tcPr>
          <w:p>
            <w:pPr>
              <w:pStyle w:val="305"/>
              <w:spacing w:line="240" w:lineRule="auto"/>
              <w:ind w:firstLine="0" w:firstLineChars="0"/>
              <w:rPr>
                <w:color w:val="auto"/>
                <w:sz w:val="21"/>
                <w:szCs w:val="21"/>
              </w:rPr>
            </w:pPr>
            <w:r>
              <w:rPr>
                <w:color w:val="auto"/>
                <w:sz w:val="21"/>
                <w:szCs w:val="21"/>
              </w:rPr>
              <w:t>1.6</w:t>
            </w:r>
          </w:p>
        </w:tc>
        <w:tc>
          <w:tcPr>
            <w:tcW w:w="656" w:type="dxa"/>
            <w:vAlign w:val="center"/>
          </w:tcPr>
          <w:p>
            <w:pPr>
              <w:pStyle w:val="305"/>
              <w:spacing w:line="240" w:lineRule="auto"/>
              <w:ind w:firstLine="0" w:firstLineChars="0"/>
              <w:rPr>
                <w:color w:val="auto"/>
                <w:sz w:val="21"/>
                <w:szCs w:val="21"/>
              </w:rPr>
            </w:pPr>
            <w:r>
              <w:rPr>
                <w:color w:val="auto"/>
                <w:sz w:val="21"/>
                <w:szCs w:val="21"/>
              </w:rPr>
              <w:t>1.9</w:t>
            </w:r>
          </w:p>
        </w:tc>
        <w:tc>
          <w:tcPr>
            <w:tcW w:w="657" w:type="dxa"/>
            <w:vAlign w:val="center"/>
          </w:tcPr>
          <w:p>
            <w:pPr>
              <w:pStyle w:val="305"/>
              <w:spacing w:line="240" w:lineRule="auto"/>
              <w:ind w:firstLine="0" w:firstLineChars="0"/>
              <w:rPr>
                <w:color w:val="auto"/>
                <w:sz w:val="21"/>
                <w:szCs w:val="21"/>
              </w:rPr>
            </w:pPr>
            <w:r>
              <w:rPr>
                <w:color w:val="auto"/>
                <w:sz w:val="21"/>
                <w:szCs w:val="21"/>
              </w:rPr>
              <w:t>2.1</w:t>
            </w:r>
          </w:p>
        </w:tc>
        <w:tc>
          <w:tcPr>
            <w:tcW w:w="657" w:type="dxa"/>
            <w:vAlign w:val="center"/>
          </w:tcPr>
          <w:p>
            <w:pPr>
              <w:pStyle w:val="305"/>
              <w:spacing w:line="240" w:lineRule="auto"/>
              <w:ind w:firstLine="0" w:firstLineChars="0"/>
              <w:rPr>
                <w:color w:val="auto"/>
                <w:sz w:val="21"/>
                <w:szCs w:val="21"/>
              </w:rPr>
            </w:pPr>
            <w:r>
              <w:rPr>
                <w:color w:val="auto"/>
                <w:sz w:val="21"/>
                <w:szCs w:val="21"/>
              </w:rPr>
              <w:t>2.3</w:t>
            </w:r>
          </w:p>
        </w:tc>
        <w:tc>
          <w:tcPr>
            <w:tcW w:w="657" w:type="dxa"/>
            <w:vAlign w:val="center"/>
          </w:tcPr>
          <w:p>
            <w:pPr>
              <w:pStyle w:val="305"/>
              <w:spacing w:line="240" w:lineRule="auto"/>
              <w:ind w:firstLine="0" w:firstLineChars="0"/>
              <w:rPr>
                <w:color w:val="auto"/>
                <w:sz w:val="21"/>
                <w:szCs w:val="21"/>
              </w:rPr>
            </w:pPr>
            <w:r>
              <w:rPr>
                <w:color w:val="auto"/>
                <w:sz w:val="21"/>
                <w:szCs w:val="21"/>
              </w:rPr>
              <w:t>2.8</w:t>
            </w:r>
          </w:p>
        </w:tc>
        <w:tc>
          <w:tcPr>
            <w:tcW w:w="657" w:type="dxa"/>
            <w:vAlign w:val="center"/>
          </w:tcPr>
          <w:p>
            <w:pPr>
              <w:pStyle w:val="305"/>
              <w:spacing w:line="240" w:lineRule="auto"/>
              <w:ind w:firstLine="0" w:firstLineChars="0"/>
              <w:rPr>
                <w:color w:val="auto"/>
                <w:sz w:val="21"/>
                <w:szCs w:val="21"/>
              </w:rPr>
            </w:pPr>
            <w:r>
              <w:rPr>
                <w:color w:val="auto"/>
                <w:sz w:val="21"/>
                <w:szCs w:val="21"/>
              </w:rPr>
              <w:t>3.0</w:t>
            </w:r>
          </w:p>
        </w:tc>
        <w:tc>
          <w:tcPr>
            <w:tcW w:w="657" w:type="dxa"/>
            <w:vAlign w:val="center"/>
          </w:tcPr>
          <w:p>
            <w:pPr>
              <w:pStyle w:val="305"/>
              <w:spacing w:line="240" w:lineRule="auto"/>
              <w:ind w:firstLine="0" w:firstLineChars="0"/>
              <w:rPr>
                <w:color w:val="auto"/>
                <w:sz w:val="21"/>
                <w:szCs w:val="21"/>
              </w:rPr>
            </w:pPr>
            <w:r>
              <w:rPr>
                <w:color w:val="auto"/>
                <w:sz w:val="21"/>
                <w:szCs w:val="21"/>
              </w:rPr>
              <w:t>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90" w:hRule="atLeast"/>
          <w:jc w:val="center"/>
        </w:trPr>
        <w:tc>
          <w:tcPr>
            <w:tcW w:w="865" w:type="dxa"/>
            <w:vAlign w:val="center"/>
          </w:tcPr>
          <w:p>
            <w:pPr>
              <w:pStyle w:val="305"/>
              <w:spacing w:line="240" w:lineRule="auto"/>
              <w:ind w:firstLine="0" w:firstLineChars="0"/>
              <w:rPr>
                <w:color w:val="auto"/>
                <w:sz w:val="21"/>
                <w:szCs w:val="21"/>
              </w:rPr>
            </w:pPr>
            <w:r>
              <w:rPr>
                <w:color w:val="auto"/>
                <w:sz w:val="21"/>
                <w:szCs w:val="21"/>
              </w:rPr>
              <w:t>冬季</w:t>
            </w:r>
          </w:p>
        </w:tc>
        <w:tc>
          <w:tcPr>
            <w:tcW w:w="655" w:type="dxa"/>
            <w:vAlign w:val="center"/>
          </w:tcPr>
          <w:p>
            <w:pPr>
              <w:pStyle w:val="305"/>
              <w:spacing w:line="240" w:lineRule="auto"/>
              <w:ind w:firstLine="0" w:firstLineChars="0"/>
              <w:rPr>
                <w:color w:val="auto"/>
                <w:sz w:val="21"/>
                <w:szCs w:val="21"/>
              </w:rPr>
            </w:pPr>
            <w:r>
              <w:rPr>
                <w:color w:val="auto"/>
                <w:sz w:val="21"/>
                <w:szCs w:val="21"/>
              </w:rPr>
              <w:t>1.5</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1.5</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1.6</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1.5</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1.5</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1.6</w:t>
            </w:r>
          </w:p>
        </w:tc>
        <w:tc>
          <w:tcPr>
            <w:tcW w:w="662" w:type="dxa"/>
            <w:gridSpan w:val="2"/>
            <w:vAlign w:val="center"/>
          </w:tcPr>
          <w:p>
            <w:pPr>
              <w:pStyle w:val="305"/>
              <w:spacing w:line="240" w:lineRule="auto"/>
              <w:ind w:firstLine="0" w:firstLineChars="0"/>
              <w:rPr>
                <w:color w:val="auto"/>
                <w:sz w:val="21"/>
                <w:szCs w:val="21"/>
              </w:rPr>
            </w:pPr>
            <w:r>
              <w:rPr>
                <w:color w:val="auto"/>
                <w:sz w:val="21"/>
                <w:szCs w:val="21"/>
              </w:rPr>
              <w:t>1.5</w:t>
            </w:r>
          </w:p>
        </w:tc>
        <w:tc>
          <w:tcPr>
            <w:tcW w:w="657" w:type="dxa"/>
            <w:vAlign w:val="center"/>
          </w:tcPr>
          <w:p>
            <w:pPr>
              <w:pStyle w:val="305"/>
              <w:spacing w:line="240" w:lineRule="auto"/>
              <w:ind w:firstLine="0" w:firstLineChars="0"/>
              <w:rPr>
                <w:color w:val="auto"/>
                <w:sz w:val="21"/>
                <w:szCs w:val="21"/>
              </w:rPr>
            </w:pPr>
            <w:r>
              <w:rPr>
                <w:color w:val="auto"/>
                <w:sz w:val="21"/>
                <w:szCs w:val="21"/>
              </w:rPr>
              <w:t>1.7</w:t>
            </w:r>
          </w:p>
        </w:tc>
        <w:tc>
          <w:tcPr>
            <w:tcW w:w="657" w:type="dxa"/>
            <w:vAlign w:val="center"/>
          </w:tcPr>
          <w:p>
            <w:pPr>
              <w:pStyle w:val="305"/>
              <w:spacing w:line="240" w:lineRule="auto"/>
              <w:ind w:firstLine="0" w:firstLineChars="0"/>
              <w:rPr>
                <w:color w:val="auto"/>
                <w:sz w:val="21"/>
                <w:szCs w:val="21"/>
              </w:rPr>
            </w:pPr>
            <w:r>
              <w:rPr>
                <w:color w:val="auto"/>
                <w:sz w:val="21"/>
                <w:szCs w:val="21"/>
              </w:rPr>
              <w:t>2.0</w:t>
            </w:r>
          </w:p>
        </w:tc>
        <w:tc>
          <w:tcPr>
            <w:tcW w:w="657" w:type="dxa"/>
            <w:vAlign w:val="center"/>
          </w:tcPr>
          <w:p>
            <w:pPr>
              <w:pStyle w:val="305"/>
              <w:spacing w:line="240" w:lineRule="auto"/>
              <w:ind w:firstLine="0" w:firstLineChars="0"/>
              <w:rPr>
                <w:color w:val="auto"/>
                <w:sz w:val="21"/>
                <w:szCs w:val="21"/>
              </w:rPr>
            </w:pPr>
            <w:r>
              <w:rPr>
                <w:color w:val="auto"/>
                <w:sz w:val="21"/>
                <w:szCs w:val="21"/>
              </w:rPr>
              <w:t>2.3</w:t>
            </w:r>
          </w:p>
        </w:tc>
        <w:tc>
          <w:tcPr>
            <w:tcW w:w="657" w:type="dxa"/>
            <w:vAlign w:val="center"/>
          </w:tcPr>
          <w:p>
            <w:pPr>
              <w:pStyle w:val="305"/>
              <w:spacing w:line="240" w:lineRule="auto"/>
              <w:ind w:firstLine="0" w:firstLineChars="0"/>
              <w:rPr>
                <w:color w:val="auto"/>
                <w:sz w:val="21"/>
                <w:szCs w:val="21"/>
              </w:rPr>
            </w:pPr>
            <w:r>
              <w:rPr>
                <w:color w:val="auto"/>
                <w:sz w:val="21"/>
                <w:szCs w:val="21"/>
              </w:rPr>
              <w:t>2.6</w:t>
            </w:r>
          </w:p>
        </w:tc>
        <w:tc>
          <w:tcPr>
            <w:tcW w:w="657" w:type="dxa"/>
            <w:vAlign w:val="center"/>
          </w:tcPr>
          <w:p>
            <w:pPr>
              <w:pStyle w:val="305"/>
              <w:spacing w:line="240" w:lineRule="auto"/>
              <w:ind w:firstLine="0" w:firstLineChars="0"/>
              <w:rPr>
                <w:color w:val="auto"/>
                <w:sz w:val="21"/>
                <w:szCs w:val="21"/>
              </w:rPr>
            </w:pPr>
            <w:r>
              <w:rPr>
                <w:color w:val="auto"/>
                <w:sz w:val="21"/>
                <w:szCs w:val="21"/>
              </w:rPr>
              <w:t>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90" w:hRule="atLeast"/>
          <w:jc w:val="center"/>
        </w:trPr>
        <w:tc>
          <w:tcPr>
            <w:tcW w:w="865" w:type="dxa"/>
            <w:vAlign w:val="center"/>
          </w:tcPr>
          <w:p>
            <w:pPr>
              <w:pStyle w:val="305"/>
              <w:spacing w:line="240" w:lineRule="auto"/>
              <w:ind w:firstLine="0" w:firstLineChars="0"/>
              <w:rPr>
                <w:color w:val="auto"/>
                <w:sz w:val="21"/>
                <w:szCs w:val="21"/>
              </w:rPr>
            </w:pPr>
            <w:r>
              <w:rPr>
                <w:color w:val="auto"/>
                <w:sz w:val="21"/>
                <w:szCs w:val="21"/>
              </w:rPr>
              <w:t>春季</w:t>
            </w:r>
          </w:p>
        </w:tc>
        <w:tc>
          <w:tcPr>
            <w:tcW w:w="655" w:type="dxa"/>
            <w:vAlign w:val="center"/>
          </w:tcPr>
          <w:p>
            <w:pPr>
              <w:pStyle w:val="305"/>
              <w:spacing w:line="240" w:lineRule="auto"/>
              <w:ind w:firstLine="0" w:firstLineChars="0"/>
              <w:rPr>
                <w:color w:val="auto"/>
                <w:sz w:val="21"/>
                <w:szCs w:val="21"/>
              </w:rPr>
            </w:pPr>
            <w:r>
              <w:rPr>
                <w:color w:val="auto"/>
                <w:sz w:val="21"/>
                <w:szCs w:val="21"/>
              </w:rPr>
              <w:t>3.3</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3.2</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3.2</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3.1</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2.6</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2.1</w:t>
            </w:r>
          </w:p>
        </w:tc>
        <w:tc>
          <w:tcPr>
            <w:tcW w:w="662" w:type="dxa"/>
            <w:gridSpan w:val="2"/>
            <w:vAlign w:val="center"/>
          </w:tcPr>
          <w:p>
            <w:pPr>
              <w:pStyle w:val="305"/>
              <w:spacing w:line="240" w:lineRule="auto"/>
              <w:ind w:firstLine="0" w:firstLineChars="0"/>
              <w:rPr>
                <w:color w:val="auto"/>
                <w:sz w:val="21"/>
                <w:szCs w:val="21"/>
              </w:rPr>
            </w:pPr>
            <w:r>
              <w:rPr>
                <w:color w:val="auto"/>
                <w:sz w:val="21"/>
                <w:szCs w:val="21"/>
              </w:rPr>
              <w:t>1.8</w:t>
            </w:r>
          </w:p>
        </w:tc>
        <w:tc>
          <w:tcPr>
            <w:tcW w:w="657" w:type="dxa"/>
            <w:vAlign w:val="center"/>
          </w:tcPr>
          <w:p>
            <w:pPr>
              <w:pStyle w:val="305"/>
              <w:spacing w:line="240" w:lineRule="auto"/>
              <w:ind w:firstLine="0" w:firstLineChars="0"/>
              <w:rPr>
                <w:color w:val="auto"/>
                <w:sz w:val="21"/>
                <w:szCs w:val="21"/>
              </w:rPr>
            </w:pPr>
            <w:r>
              <w:rPr>
                <w:color w:val="auto"/>
                <w:sz w:val="21"/>
                <w:szCs w:val="21"/>
              </w:rPr>
              <w:t>1.7</w:t>
            </w:r>
          </w:p>
        </w:tc>
        <w:tc>
          <w:tcPr>
            <w:tcW w:w="657" w:type="dxa"/>
            <w:vAlign w:val="center"/>
          </w:tcPr>
          <w:p>
            <w:pPr>
              <w:pStyle w:val="305"/>
              <w:spacing w:line="240" w:lineRule="auto"/>
              <w:ind w:firstLine="0" w:firstLineChars="0"/>
              <w:rPr>
                <w:color w:val="auto"/>
                <w:sz w:val="21"/>
                <w:szCs w:val="21"/>
              </w:rPr>
            </w:pPr>
            <w:r>
              <w:rPr>
                <w:color w:val="auto"/>
                <w:sz w:val="21"/>
                <w:szCs w:val="21"/>
              </w:rPr>
              <w:t>1.6</w:t>
            </w:r>
          </w:p>
        </w:tc>
        <w:tc>
          <w:tcPr>
            <w:tcW w:w="657" w:type="dxa"/>
            <w:vAlign w:val="center"/>
          </w:tcPr>
          <w:p>
            <w:pPr>
              <w:pStyle w:val="305"/>
              <w:spacing w:line="240" w:lineRule="auto"/>
              <w:ind w:firstLine="0" w:firstLineChars="0"/>
              <w:rPr>
                <w:color w:val="auto"/>
                <w:sz w:val="21"/>
                <w:szCs w:val="21"/>
              </w:rPr>
            </w:pPr>
            <w:r>
              <w:rPr>
                <w:color w:val="auto"/>
                <w:sz w:val="21"/>
                <w:szCs w:val="21"/>
              </w:rPr>
              <w:t>1.5</w:t>
            </w:r>
          </w:p>
        </w:tc>
        <w:tc>
          <w:tcPr>
            <w:tcW w:w="657" w:type="dxa"/>
            <w:vAlign w:val="center"/>
          </w:tcPr>
          <w:p>
            <w:pPr>
              <w:pStyle w:val="305"/>
              <w:spacing w:line="240" w:lineRule="auto"/>
              <w:ind w:firstLine="0" w:firstLineChars="0"/>
              <w:rPr>
                <w:color w:val="auto"/>
                <w:sz w:val="21"/>
                <w:szCs w:val="21"/>
              </w:rPr>
            </w:pPr>
            <w:r>
              <w:rPr>
                <w:color w:val="auto"/>
                <w:sz w:val="21"/>
                <w:szCs w:val="21"/>
              </w:rPr>
              <w:t>1.6</w:t>
            </w:r>
          </w:p>
        </w:tc>
        <w:tc>
          <w:tcPr>
            <w:tcW w:w="657" w:type="dxa"/>
            <w:vAlign w:val="center"/>
          </w:tcPr>
          <w:p>
            <w:pPr>
              <w:pStyle w:val="305"/>
              <w:spacing w:line="240" w:lineRule="auto"/>
              <w:ind w:firstLine="0" w:firstLineChars="0"/>
              <w:rPr>
                <w:color w:val="auto"/>
                <w:sz w:val="21"/>
                <w:szCs w:val="21"/>
              </w:rPr>
            </w:pPr>
            <w:r>
              <w:rPr>
                <w:color w:val="auto"/>
                <w:sz w:val="21"/>
                <w:szCs w:val="21"/>
              </w:rPr>
              <w:t>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03" w:hRule="atLeast"/>
          <w:jc w:val="center"/>
        </w:trPr>
        <w:tc>
          <w:tcPr>
            <w:tcW w:w="865" w:type="dxa"/>
            <w:vAlign w:val="center"/>
          </w:tcPr>
          <w:p>
            <w:pPr>
              <w:pStyle w:val="305"/>
              <w:spacing w:line="240" w:lineRule="auto"/>
              <w:ind w:firstLine="0" w:firstLineChars="0"/>
              <w:rPr>
                <w:color w:val="auto"/>
                <w:sz w:val="21"/>
                <w:szCs w:val="21"/>
              </w:rPr>
            </w:pPr>
            <w:r>
              <w:rPr>
                <w:color w:val="auto"/>
                <w:sz w:val="21"/>
                <w:szCs w:val="21"/>
              </w:rPr>
              <w:t>夏季</w:t>
            </w:r>
          </w:p>
        </w:tc>
        <w:tc>
          <w:tcPr>
            <w:tcW w:w="655" w:type="dxa"/>
            <w:vAlign w:val="center"/>
          </w:tcPr>
          <w:p>
            <w:pPr>
              <w:pStyle w:val="305"/>
              <w:spacing w:line="240" w:lineRule="auto"/>
              <w:ind w:firstLine="0" w:firstLineChars="0"/>
              <w:rPr>
                <w:color w:val="auto"/>
                <w:sz w:val="21"/>
                <w:szCs w:val="21"/>
              </w:rPr>
            </w:pPr>
            <w:r>
              <w:rPr>
                <w:color w:val="auto"/>
                <w:sz w:val="21"/>
                <w:szCs w:val="21"/>
              </w:rPr>
              <w:t>2.7</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2.7</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2.8</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2.7</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2.4</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2.1</w:t>
            </w:r>
          </w:p>
        </w:tc>
        <w:tc>
          <w:tcPr>
            <w:tcW w:w="662" w:type="dxa"/>
            <w:gridSpan w:val="2"/>
            <w:vAlign w:val="center"/>
          </w:tcPr>
          <w:p>
            <w:pPr>
              <w:pStyle w:val="305"/>
              <w:spacing w:line="240" w:lineRule="auto"/>
              <w:ind w:firstLine="0" w:firstLineChars="0"/>
              <w:rPr>
                <w:color w:val="auto"/>
                <w:sz w:val="21"/>
                <w:szCs w:val="21"/>
              </w:rPr>
            </w:pPr>
            <w:r>
              <w:rPr>
                <w:color w:val="auto"/>
                <w:sz w:val="21"/>
                <w:szCs w:val="21"/>
              </w:rPr>
              <w:t>1.5</w:t>
            </w:r>
          </w:p>
        </w:tc>
        <w:tc>
          <w:tcPr>
            <w:tcW w:w="657" w:type="dxa"/>
            <w:vAlign w:val="center"/>
          </w:tcPr>
          <w:p>
            <w:pPr>
              <w:pStyle w:val="305"/>
              <w:spacing w:line="240" w:lineRule="auto"/>
              <w:ind w:firstLine="0" w:firstLineChars="0"/>
              <w:rPr>
                <w:color w:val="auto"/>
                <w:sz w:val="21"/>
                <w:szCs w:val="21"/>
              </w:rPr>
            </w:pPr>
            <w:r>
              <w:rPr>
                <w:color w:val="auto"/>
                <w:sz w:val="21"/>
                <w:szCs w:val="21"/>
              </w:rPr>
              <w:t>1.3</w:t>
            </w:r>
          </w:p>
        </w:tc>
        <w:tc>
          <w:tcPr>
            <w:tcW w:w="657" w:type="dxa"/>
            <w:vAlign w:val="center"/>
          </w:tcPr>
          <w:p>
            <w:pPr>
              <w:pStyle w:val="305"/>
              <w:spacing w:line="240" w:lineRule="auto"/>
              <w:ind w:firstLine="0" w:firstLineChars="0"/>
              <w:rPr>
                <w:color w:val="auto"/>
                <w:sz w:val="21"/>
                <w:szCs w:val="21"/>
              </w:rPr>
            </w:pPr>
            <w:r>
              <w:rPr>
                <w:color w:val="auto"/>
                <w:sz w:val="21"/>
                <w:szCs w:val="21"/>
              </w:rPr>
              <w:t>1.3</w:t>
            </w:r>
          </w:p>
        </w:tc>
        <w:tc>
          <w:tcPr>
            <w:tcW w:w="657" w:type="dxa"/>
            <w:vAlign w:val="center"/>
          </w:tcPr>
          <w:p>
            <w:pPr>
              <w:pStyle w:val="305"/>
              <w:spacing w:line="240" w:lineRule="auto"/>
              <w:ind w:firstLine="0" w:firstLineChars="0"/>
              <w:rPr>
                <w:color w:val="auto"/>
                <w:sz w:val="21"/>
                <w:szCs w:val="21"/>
              </w:rPr>
            </w:pPr>
            <w:r>
              <w:rPr>
                <w:color w:val="auto"/>
                <w:sz w:val="21"/>
                <w:szCs w:val="21"/>
              </w:rPr>
              <w:t>1.5</w:t>
            </w:r>
          </w:p>
        </w:tc>
        <w:tc>
          <w:tcPr>
            <w:tcW w:w="657" w:type="dxa"/>
            <w:vAlign w:val="center"/>
          </w:tcPr>
          <w:p>
            <w:pPr>
              <w:pStyle w:val="305"/>
              <w:spacing w:line="240" w:lineRule="auto"/>
              <w:ind w:firstLine="0" w:firstLineChars="0"/>
              <w:rPr>
                <w:color w:val="auto"/>
                <w:sz w:val="21"/>
                <w:szCs w:val="21"/>
              </w:rPr>
            </w:pPr>
            <w:r>
              <w:rPr>
                <w:color w:val="auto"/>
                <w:sz w:val="21"/>
                <w:szCs w:val="21"/>
              </w:rPr>
              <w:t>1.3</w:t>
            </w:r>
          </w:p>
        </w:tc>
        <w:tc>
          <w:tcPr>
            <w:tcW w:w="657" w:type="dxa"/>
            <w:vAlign w:val="center"/>
          </w:tcPr>
          <w:p>
            <w:pPr>
              <w:pStyle w:val="305"/>
              <w:spacing w:line="240" w:lineRule="auto"/>
              <w:ind w:firstLine="0" w:firstLineChars="0"/>
              <w:rPr>
                <w:color w:val="auto"/>
                <w:sz w:val="21"/>
                <w:szCs w:val="21"/>
              </w:rPr>
            </w:pPr>
            <w:r>
              <w:rPr>
                <w:color w:val="auto"/>
                <w:sz w:val="21"/>
                <w:szCs w:val="21"/>
              </w:rPr>
              <w:t>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90" w:hRule="atLeast"/>
          <w:jc w:val="center"/>
        </w:trPr>
        <w:tc>
          <w:tcPr>
            <w:tcW w:w="865" w:type="dxa"/>
            <w:vAlign w:val="center"/>
          </w:tcPr>
          <w:p>
            <w:pPr>
              <w:pStyle w:val="305"/>
              <w:spacing w:line="240" w:lineRule="auto"/>
              <w:ind w:firstLine="0" w:firstLineChars="0"/>
              <w:rPr>
                <w:color w:val="auto"/>
                <w:sz w:val="21"/>
                <w:szCs w:val="21"/>
              </w:rPr>
            </w:pPr>
            <w:r>
              <w:rPr>
                <w:color w:val="auto"/>
                <w:sz w:val="21"/>
                <w:szCs w:val="21"/>
              </w:rPr>
              <w:t>秋季</w:t>
            </w:r>
          </w:p>
        </w:tc>
        <w:tc>
          <w:tcPr>
            <w:tcW w:w="655" w:type="dxa"/>
            <w:vAlign w:val="center"/>
          </w:tcPr>
          <w:p>
            <w:pPr>
              <w:pStyle w:val="305"/>
              <w:spacing w:line="240" w:lineRule="auto"/>
              <w:ind w:firstLine="0" w:firstLineChars="0"/>
              <w:rPr>
                <w:color w:val="auto"/>
                <w:sz w:val="21"/>
                <w:szCs w:val="21"/>
              </w:rPr>
            </w:pPr>
            <w:r>
              <w:rPr>
                <w:color w:val="auto"/>
                <w:sz w:val="21"/>
                <w:szCs w:val="21"/>
              </w:rPr>
              <w:t>3.1</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3.1</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2.8</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2.4</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2.1</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1.7</w:t>
            </w:r>
          </w:p>
        </w:tc>
        <w:tc>
          <w:tcPr>
            <w:tcW w:w="662" w:type="dxa"/>
            <w:gridSpan w:val="2"/>
            <w:vAlign w:val="center"/>
          </w:tcPr>
          <w:p>
            <w:pPr>
              <w:pStyle w:val="305"/>
              <w:spacing w:line="240" w:lineRule="auto"/>
              <w:ind w:firstLine="0" w:firstLineChars="0"/>
              <w:rPr>
                <w:color w:val="auto"/>
                <w:sz w:val="21"/>
                <w:szCs w:val="21"/>
              </w:rPr>
            </w:pPr>
            <w:r>
              <w:rPr>
                <w:color w:val="auto"/>
                <w:sz w:val="21"/>
                <w:szCs w:val="21"/>
              </w:rPr>
              <w:t>1.5</w:t>
            </w:r>
          </w:p>
        </w:tc>
        <w:tc>
          <w:tcPr>
            <w:tcW w:w="657" w:type="dxa"/>
            <w:vAlign w:val="center"/>
          </w:tcPr>
          <w:p>
            <w:pPr>
              <w:pStyle w:val="305"/>
              <w:spacing w:line="240" w:lineRule="auto"/>
              <w:ind w:firstLine="0" w:firstLineChars="0"/>
              <w:rPr>
                <w:color w:val="auto"/>
                <w:sz w:val="21"/>
                <w:szCs w:val="21"/>
              </w:rPr>
            </w:pPr>
            <w:r>
              <w:rPr>
                <w:color w:val="auto"/>
                <w:sz w:val="21"/>
                <w:szCs w:val="21"/>
              </w:rPr>
              <w:t>1.6</w:t>
            </w:r>
          </w:p>
        </w:tc>
        <w:tc>
          <w:tcPr>
            <w:tcW w:w="657" w:type="dxa"/>
            <w:vAlign w:val="center"/>
          </w:tcPr>
          <w:p>
            <w:pPr>
              <w:pStyle w:val="305"/>
              <w:spacing w:line="240" w:lineRule="auto"/>
              <w:ind w:firstLine="0" w:firstLineChars="0"/>
              <w:rPr>
                <w:color w:val="auto"/>
                <w:sz w:val="21"/>
                <w:szCs w:val="21"/>
              </w:rPr>
            </w:pPr>
            <w:r>
              <w:rPr>
                <w:color w:val="auto"/>
                <w:sz w:val="21"/>
                <w:szCs w:val="21"/>
              </w:rPr>
              <w:t>1.6</w:t>
            </w:r>
          </w:p>
        </w:tc>
        <w:tc>
          <w:tcPr>
            <w:tcW w:w="657" w:type="dxa"/>
            <w:vAlign w:val="center"/>
          </w:tcPr>
          <w:p>
            <w:pPr>
              <w:pStyle w:val="305"/>
              <w:spacing w:line="240" w:lineRule="auto"/>
              <w:ind w:firstLine="0" w:firstLineChars="0"/>
              <w:rPr>
                <w:color w:val="auto"/>
                <w:sz w:val="21"/>
                <w:szCs w:val="21"/>
              </w:rPr>
            </w:pPr>
            <w:r>
              <w:rPr>
                <w:color w:val="auto"/>
                <w:sz w:val="21"/>
                <w:szCs w:val="21"/>
              </w:rPr>
              <w:t>1.6</w:t>
            </w:r>
          </w:p>
        </w:tc>
        <w:tc>
          <w:tcPr>
            <w:tcW w:w="657" w:type="dxa"/>
            <w:vAlign w:val="center"/>
          </w:tcPr>
          <w:p>
            <w:pPr>
              <w:pStyle w:val="305"/>
              <w:spacing w:line="240" w:lineRule="auto"/>
              <w:ind w:firstLine="0" w:firstLineChars="0"/>
              <w:rPr>
                <w:color w:val="auto"/>
                <w:sz w:val="21"/>
                <w:szCs w:val="21"/>
              </w:rPr>
            </w:pPr>
            <w:r>
              <w:rPr>
                <w:color w:val="auto"/>
                <w:sz w:val="21"/>
                <w:szCs w:val="21"/>
              </w:rPr>
              <w:t>1.5</w:t>
            </w:r>
          </w:p>
        </w:tc>
        <w:tc>
          <w:tcPr>
            <w:tcW w:w="657" w:type="dxa"/>
            <w:vAlign w:val="center"/>
          </w:tcPr>
          <w:p>
            <w:pPr>
              <w:pStyle w:val="305"/>
              <w:spacing w:line="240" w:lineRule="auto"/>
              <w:ind w:firstLine="0" w:firstLineChars="0"/>
              <w:rPr>
                <w:color w:val="auto"/>
                <w:sz w:val="21"/>
                <w:szCs w:val="21"/>
              </w:rPr>
            </w:pPr>
            <w:r>
              <w:rPr>
                <w:color w:val="auto"/>
                <w:sz w:val="21"/>
                <w:szCs w:val="21"/>
              </w:rPr>
              <w:t>2.7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03" w:hRule="atLeast"/>
          <w:jc w:val="center"/>
        </w:trPr>
        <w:tc>
          <w:tcPr>
            <w:tcW w:w="865" w:type="dxa"/>
            <w:vAlign w:val="center"/>
          </w:tcPr>
          <w:p>
            <w:pPr>
              <w:pStyle w:val="305"/>
              <w:spacing w:line="240" w:lineRule="auto"/>
              <w:ind w:firstLine="0" w:firstLineChars="0"/>
              <w:rPr>
                <w:color w:val="auto"/>
                <w:sz w:val="21"/>
                <w:szCs w:val="21"/>
              </w:rPr>
            </w:pPr>
            <w:r>
              <w:rPr>
                <w:color w:val="auto"/>
                <w:sz w:val="21"/>
                <w:szCs w:val="21"/>
              </w:rPr>
              <w:t>冬季</w:t>
            </w:r>
          </w:p>
        </w:tc>
        <w:tc>
          <w:tcPr>
            <w:tcW w:w="655" w:type="dxa"/>
            <w:vAlign w:val="center"/>
          </w:tcPr>
          <w:p>
            <w:pPr>
              <w:pStyle w:val="305"/>
              <w:spacing w:line="240" w:lineRule="auto"/>
              <w:ind w:firstLine="0" w:firstLineChars="0"/>
              <w:rPr>
                <w:color w:val="auto"/>
                <w:sz w:val="21"/>
                <w:szCs w:val="21"/>
              </w:rPr>
            </w:pPr>
            <w:r>
              <w:rPr>
                <w:color w:val="auto"/>
                <w:sz w:val="21"/>
                <w:szCs w:val="21"/>
              </w:rPr>
              <w:t>2.9</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2.9</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2.7</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2.3</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2.1</w:t>
            </w:r>
          </w:p>
        </w:tc>
        <w:tc>
          <w:tcPr>
            <w:tcW w:w="657" w:type="dxa"/>
            <w:gridSpan w:val="2"/>
            <w:vAlign w:val="center"/>
          </w:tcPr>
          <w:p>
            <w:pPr>
              <w:pStyle w:val="305"/>
              <w:spacing w:line="240" w:lineRule="auto"/>
              <w:ind w:firstLine="0" w:firstLineChars="0"/>
              <w:rPr>
                <w:color w:val="auto"/>
                <w:sz w:val="21"/>
                <w:szCs w:val="21"/>
              </w:rPr>
            </w:pPr>
            <w:r>
              <w:rPr>
                <w:color w:val="auto"/>
                <w:sz w:val="21"/>
                <w:szCs w:val="21"/>
              </w:rPr>
              <w:t>2.0</w:t>
            </w:r>
          </w:p>
        </w:tc>
        <w:tc>
          <w:tcPr>
            <w:tcW w:w="662" w:type="dxa"/>
            <w:gridSpan w:val="2"/>
            <w:vAlign w:val="center"/>
          </w:tcPr>
          <w:p>
            <w:pPr>
              <w:pStyle w:val="305"/>
              <w:spacing w:line="240" w:lineRule="auto"/>
              <w:ind w:firstLine="0" w:firstLineChars="0"/>
              <w:rPr>
                <w:color w:val="auto"/>
                <w:sz w:val="21"/>
                <w:szCs w:val="21"/>
              </w:rPr>
            </w:pPr>
            <w:r>
              <w:rPr>
                <w:color w:val="auto"/>
                <w:sz w:val="21"/>
                <w:szCs w:val="21"/>
              </w:rPr>
              <w:t>2.0</w:t>
            </w:r>
          </w:p>
        </w:tc>
        <w:tc>
          <w:tcPr>
            <w:tcW w:w="657" w:type="dxa"/>
            <w:vAlign w:val="center"/>
          </w:tcPr>
          <w:p>
            <w:pPr>
              <w:pStyle w:val="305"/>
              <w:spacing w:line="240" w:lineRule="auto"/>
              <w:ind w:firstLine="0" w:firstLineChars="0"/>
              <w:rPr>
                <w:color w:val="auto"/>
                <w:sz w:val="21"/>
                <w:szCs w:val="21"/>
              </w:rPr>
            </w:pPr>
            <w:r>
              <w:rPr>
                <w:color w:val="auto"/>
                <w:sz w:val="21"/>
                <w:szCs w:val="21"/>
              </w:rPr>
              <w:t>1.8</w:t>
            </w:r>
          </w:p>
        </w:tc>
        <w:tc>
          <w:tcPr>
            <w:tcW w:w="657" w:type="dxa"/>
            <w:vAlign w:val="center"/>
          </w:tcPr>
          <w:p>
            <w:pPr>
              <w:pStyle w:val="305"/>
              <w:spacing w:line="240" w:lineRule="auto"/>
              <w:ind w:firstLine="0" w:firstLineChars="0"/>
              <w:rPr>
                <w:color w:val="auto"/>
                <w:sz w:val="21"/>
                <w:szCs w:val="21"/>
              </w:rPr>
            </w:pPr>
            <w:r>
              <w:rPr>
                <w:color w:val="auto"/>
                <w:sz w:val="21"/>
                <w:szCs w:val="21"/>
              </w:rPr>
              <w:t>1.5</w:t>
            </w:r>
          </w:p>
        </w:tc>
        <w:tc>
          <w:tcPr>
            <w:tcW w:w="657" w:type="dxa"/>
            <w:vAlign w:val="center"/>
          </w:tcPr>
          <w:p>
            <w:pPr>
              <w:pStyle w:val="305"/>
              <w:spacing w:line="240" w:lineRule="auto"/>
              <w:ind w:firstLine="0" w:firstLineChars="0"/>
              <w:rPr>
                <w:color w:val="auto"/>
                <w:sz w:val="21"/>
                <w:szCs w:val="21"/>
              </w:rPr>
            </w:pPr>
            <w:r>
              <w:rPr>
                <w:color w:val="auto"/>
                <w:sz w:val="21"/>
                <w:szCs w:val="21"/>
              </w:rPr>
              <w:t>1.5</w:t>
            </w:r>
          </w:p>
        </w:tc>
        <w:tc>
          <w:tcPr>
            <w:tcW w:w="657" w:type="dxa"/>
            <w:vAlign w:val="center"/>
          </w:tcPr>
          <w:p>
            <w:pPr>
              <w:pStyle w:val="305"/>
              <w:spacing w:line="240" w:lineRule="auto"/>
              <w:ind w:firstLine="0" w:firstLineChars="0"/>
              <w:rPr>
                <w:color w:val="auto"/>
                <w:sz w:val="21"/>
                <w:szCs w:val="21"/>
              </w:rPr>
            </w:pPr>
            <w:r>
              <w:rPr>
                <w:color w:val="auto"/>
                <w:sz w:val="21"/>
                <w:szCs w:val="21"/>
              </w:rPr>
              <w:t>1.4</w:t>
            </w:r>
          </w:p>
        </w:tc>
        <w:tc>
          <w:tcPr>
            <w:tcW w:w="657" w:type="dxa"/>
            <w:vAlign w:val="center"/>
          </w:tcPr>
          <w:p>
            <w:pPr>
              <w:pStyle w:val="305"/>
              <w:spacing w:line="240" w:lineRule="auto"/>
              <w:ind w:firstLine="0" w:firstLineChars="0"/>
              <w:rPr>
                <w:color w:val="auto"/>
                <w:sz w:val="21"/>
                <w:szCs w:val="21"/>
              </w:rPr>
            </w:pPr>
            <w:r>
              <w:rPr>
                <w:color w:val="auto"/>
                <w:sz w:val="21"/>
                <w:szCs w:val="21"/>
              </w:rPr>
              <w:t>1.4</w:t>
            </w:r>
          </w:p>
        </w:tc>
      </w:tr>
    </w:tbl>
    <w:p>
      <w:pPr>
        <w:pStyle w:val="152"/>
        <w:rPr>
          <w:color w:val="auto"/>
        </w:rPr>
      </w:pPr>
      <w:r>
        <w:rPr>
          <w:color w:val="auto"/>
        </w:rPr>
        <w:drawing>
          <wp:inline distT="0" distB="0" distL="0" distR="0">
            <wp:extent cx="4966335" cy="2070735"/>
            <wp:effectExtent l="0" t="0" r="0" b="0"/>
            <wp:docPr id="1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5"/>
                    <pic:cNvPicPr>
                      <a:picLocks noChangeAspect="1" noChangeArrowheads="1"/>
                    </pic:cNvPicPr>
                  </pic:nvPicPr>
                  <pic:blipFill>
                    <a:blip r:embed="rId41" cstate="print"/>
                    <a:srcRect/>
                    <a:stretch>
                      <a:fillRect/>
                    </a:stretch>
                  </pic:blipFill>
                  <pic:spPr>
                    <a:xfrm>
                      <a:off x="0" y="0"/>
                      <a:ext cx="4968568" cy="2071814"/>
                    </a:xfrm>
                    <a:prstGeom prst="rect">
                      <a:avLst/>
                    </a:prstGeom>
                    <a:noFill/>
                    <a:ln w="9525">
                      <a:noFill/>
                      <a:miter lim="800000"/>
                      <a:headEnd/>
                      <a:tailEnd/>
                    </a:ln>
                    <a:effectLst/>
                  </pic:spPr>
                </pic:pic>
              </a:graphicData>
            </a:graphic>
          </wp:inline>
        </w:drawing>
      </w:r>
    </w:p>
    <w:p>
      <w:pPr>
        <w:pStyle w:val="152"/>
        <w:rPr>
          <w:bCs/>
          <w:color w:val="auto"/>
        </w:rPr>
      </w:pPr>
      <w:r>
        <w:rPr>
          <w:color w:val="auto"/>
        </w:rPr>
        <w:t>图4-1-3季小时平均风速的日变化曲线</w:t>
      </w:r>
    </w:p>
    <w:p>
      <w:pPr>
        <w:spacing w:line="360" w:lineRule="auto"/>
        <w:outlineLvl w:val="3"/>
        <w:rPr>
          <w:b/>
          <w:color w:val="auto"/>
          <w:sz w:val="24"/>
        </w:rPr>
      </w:pPr>
      <w:r>
        <w:rPr>
          <w:b/>
          <w:color w:val="auto"/>
          <w:sz w:val="24"/>
        </w:rPr>
        <w:t>4.1.4.4地面温度场特征分析</w:t>
      </w:r>
    </w:p>
    <w:p>
      <w:pPr>
        <w:pStyle w:val="718"/>
        <w:ind w:firstLine="480"/>
        <w:rPr>
          <w:rFonts w:ascii="Times New Roman" w:hAnsi="Times New Roman" w:eastAsia="宋体" w:cs="Times New Roman"/>
          <w:color w:val="auto"/>
        </w:rPr>
      </w:pPr>
      <w:r>
        <w:rPr>
          <w:rFonts w:ascii="Times New Roman" w:hAnsi="Times New Roman" w:eastAsia="宋体" w:cs="Times New Roman"/>
          <w:color w:val="auto"/>
        </w:rPr>
        <w:t>哈尔滨年平均气温为4.2</w:t>
      </w:r>
      <w:r>
        <w:rPr>
          <w:rFonts w:hint="eastAsia" w:eastAsia="宋体" w:cs="宋体"/>
          <w:color w:val="auto"/>
        </w:rPr>
        <w:t>℃</w:t>
      </w:r>
      <w:r>
        <w:rPr>
          <w:rFonts w:ascii="Times New Roman" w:hAnsi="Times New Roman" w:eastAsia="宋体" w:cs="Times New Roman"/>
          <w:color w:val="auto"/>
        </w:rPr>
        <w:t>，一月份平均气温最低，为-18.4</w:t>
      </w:r>
      <w:r>
        <w:rPr>
          <w:rFonts w:hint="eastAsia" w:eastAsia="宋体" w:cs="宋体"/>
          <w:color w:val="auto"/>
        </w:rPr>
        <w:t>℃</w:t>
      </w:r>
      <w:r>
        <w:rPr>
          <w:rFonts w:ascii="Times New Roman" w:hAnsi="Times New Roman" w:eastAsia="宋体" w:cs="Times New Roman"/>
          <w:color w:val="auto"/>
        </w:rPr>
        <w:t>，七月份平均气温最高，为23.0</w:t>
      </w:r>
      <w:r>
        <w:rPr>
          <w:rFonts w:hint="eastAsia" w:eastAsia="宋体" w:cs="宋体"/>
          <w:color w:val="auto"/>
        </w:rPr>
        <w:t>℃</w:t>
      </w:r>
      <w:r>
        <w:rPr>
          <w:rFonts w:ascii="Times New Roman" w:hAnsi="Times New Roman" w:eastAsia="宋体" w:cs="Times New Roman"/>
          <w:color w:val="auto"/>
        </w:rPr>
        <w:t>。哈尔滨市年平均温度月变化统计见表4-1-4，图4-1-4。</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color w:val="auto"/>
          <w:kern w:val="0"/>
          <w:sz w:val="24"/>
        </w:rPr>
      </w:pPr>
      <w:r>
        <w:rPr>
          <w:b/>
          <w:color w:val="auto"/>
          <w:kern w:val="0"/>
          <w:sz w:val="24"/>
        </w:rPr>
        <w:t>表4-1-4哈尔滨年平均温度的月变化（单位：</w:t>
      </w:r>
      <w:r>
        <w:rPr>
          <w:rFonts w:hint="eastAsia" w:ascii="宋体" w:hAnsi="宋体" w:cs="宋体"/>
          <w:b/>
          <w:color w:val="auto"/>
          <w:kern w:val="0"/>
          <w:sz w:val="24"/>
        </w:rPr>
        <w:t>℃</w:t>
      </w:r>
      <w:r>
        <w:rPr>
          <w:b/>
          <w:color w:val="auto"/>
          <w:kern w:val="0"/>
          <w:sz w:val="24"/>
        </w:rPr>
        <w:t>）</w:t>
      </w:r>
    </w:p>
    <w:tbl>
      <w:tblPr>
        <w:tblStyle w:val="46"/>
        <w:tblW w:w="870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0"/>
        <w:gridCol w:w="656"/>
        <w:gridCol w:w="656"/>
        <w:gridCol w:w="656"/>
        <w:gridCol w:w="656"/>
        <w:gridCol w:w="656"/>
        <w:gridCol w:w="656"/>
        <w:gridCol w:w="656"/>
        <w:gridCol w:w="656"/>
        <w:gridCol w:w="656"/>
        <w:gridCol w:w="656"/>
        <w:gridCol w:w="656"/>
        <w:gridCol w:w="81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6" w:hRule="atLeast"/>
          <w:jc w:val="center"/>
        </w:trPr>
        <w:tc>
          <w:tcPr>
            <w:tcW w:w="670" w:type="dxa"/>
            <w:vAlign w:val="center"/>
          </w:tcPr>
          <w:p>
            <w:pPr>
              <w:pStyle w:val="305"/>
              <w:spacing w:line="240" w:lineRule="auto"/>
              <w:ind w:firstLine="0" w:firstLineChars="0"/>
              <w:rPr>
                <w:color w:val="auto"/>
                <w:sz w:val="21"/>
                <w:szCs w:val="21"/>
              </w:rPr>
            </w:pPr>
            <w:r>
              <w:rPr>
                <w:color w:val="auto"/>
                <w:sz w:val="21"/>
                <w:szCs w:val="21"/>
              </w:rPr>
              <w:t>月份</w:t>
            </w:r>
          </w:p>
        </w:tc>
        <w:tc>
          <w:tcPr>
            <w:tcW w:w="656" w:type="dxa"/>
            <w:vAlign w:val="center"/>
          </w:tcPr>
          <w:p>
            <w:pPr>
              <w:pStyle w:val="305"/>
              <w:spacing w:line="240" w:lineRule="auto"/>
              <w:ind w:firstLine="0" w:firstLineChars="0"/>
              <w:rPr>
                <w:color w:val="auto"/>
                <w:sz w:val="21"/>
                <w:szCs w:val="21"/>
              </w:rPr>
            </w:pPr>
            <w:r>
              <w:rPr>
                <w:color w:val="auto"/>
                <w:sz w:val="21"/>
                <w:szCs w:val="21"/>
              </w:rPr>
              <w:t>1月</w:t>
            </w:r>
          </w:p>
        </w:tc>
        <w:tc>
          <w:tcPr>
            <w:tcW w:w="656" w:type="dxa"/>
            <w:vAlign w:val="center"/>
          </w:tcPr>
          <w:p>
            <w:pPr>
              <w:pStyle w:val="305"/>
              <w:spacing w:line="240" w:lineRule="auto"/>
              <w:ind w:firstLine="0" w:firstLineChars="0"/>
              <w:rPr>
                <w:color w:val="auto"/>
                <w:sz w:val="21"/>
                <w:szCs w:val="21"/>
              </w:rPr>
            </w:pPr>
            <w:r>
              <w:rPr>
                <w:color w:val="auto"/>
                <w:sz w:val="21"/>
                <w:szCs w:val="21"/>
              </w:rPr>
              <w:t>2月</w:t>
            </w:r>
          </w:p>
        </w:tc>
        <w:tc>
          <w:tcPr>
            <w:tcW w:w="656" w:type="dxa"/>
            <w:vAlign w:val="center"/>
          </w:tcPr>
          <w:p>
            <w:pPr>
              <w:pStyle w:val="305"/>
              <w:spacing w:line="240" w:lineRule="auto"/>
              <w:ind w:firstLine="0" w:firstLineChars="0"/>
              <w:rPr>
                <w:color w:val="auto"/>
                <w:sz w:val="21"/>
                <w:szCs w:val="21"/>
              </w:rPr>
            </w:pPr>
            <w:r>
              <w:rPr>
                <w:color w:val="auto"/>
                <w:sz w:val="21"/>
                <w:szCs w:val="21"/>
              </w:rPr>
              <w:t>3月</w:t>
            </w:r>
          </w:p>
        </w:tc>
        <w:tc>
          <w:tcPr>
            <w:tcW w:w="656" w:type="dxa"/>
            <w:vAlign w:val="center"/>
          </w:tcPr>
          <w:p>
            <w:pPr>
              <w:pStyle w:val="305"/>
              <w:spacing w:line="240" w:lineRule="auto"/>
              <w:ind w:firstLine="0" w:firstLineChars="0"/>
              <w:rPr>
                <w:color w:val="auto"/>
                <w:sz w:val="21"/>
                <w:szCs w:val="21"/>
              </w:rPr>
            </w:pPr>
            <w:r>
              <w:rPr>
                <w:color w:val="auto"/>
                <w:sz w:val="21"/>
                <w:szCs w:val="21"/>
              </w:rPr>
              <w:t>4月</w:t>
            </w:r>
          </w:p>
        </w:tc>
        <w:tc>
          <w:tcPr>
            <w:tcW w:w="656" w:type="dxa"/>
            <w:vAlign w:val="center"/>
          </w:tcPr>
          <w:p>
            <w:pPr>
              <w:pStyle w:val="305"/>
              <w:spacing w:line="240" w:lineRule="auto"/>
              <w:ind w:firstLine="0" w:firstLineChars="0"/>
              <w:rPr>
                <w:color w:val="auto"/>
                <w:sz w:val="21"/>
                <w:szCs w:val="21"/>
              </w:rPr>
            </w:pPr>
            <w:r>
              <w:rPr>
                <w:color w:val="auto"/>
                <w:sz w:val="21"/>
                <w:szCs w:val="21"/>
              </w:rPr>
              <w:t>5月</w:t>
            </w:r>
          </w:p>
        </w:tc>
        <w:tc>
          <w:tcPr>
            <w:tcW w:w="656" w:type="dxa"/>
            <w:vAlign w:val="center"/>
          </w:tcPr>
          <w:p>
            <w:pPr>
              <w:pStyle w:val="305"/>
              <w:spacing w:line="240" w:lineRule="auto"/>
              <w:ind w:firstLine="0" w:firstLineChars="0"/>
              <w:rPr>
                <w:color w:val="auto"/>
                <w:sz w:val="21"/>
                <w:szCs w:val="21"/>
              </w:rPr>
            </w:pPr>
            <w:r>
              <w:rPr>
                <w:color w:val="auto"/>
                <w:sz w:val="21"/>
                <w:szCs w:val="21"/>
              </w:rPr>
              <w:t>6月</w:t>
            </w:r>
          </w:p>
        </w:tc>
        <w:tc>
          <w:tcPr>
            <w:tcW w:w="656" w:type="dxa"/>
            <w:vAlign w:val="center"/>
          </w:tcPr>
          <w:p>
            <w:pPr>
              <w:pStyle w:val="305"/>
              <w:spacing w:line="240" w:lineRule="auto"/>
              <w:ind w:firstLine="0" w:firstLineChars="0"/>
              <w:rPr>
                <w:color w:val="auto"/>
                <w:sz w:val="21"/>
                <w:szCs w:val="21"/>
              </w:rPr>
            </w:pPr>
            <w:r>
              <w:rPr>
                <w:color w:val="auto"/>
                <w:sz w:val="21"/>
                <w:szCs w:val="21"/>
              </w:rPr>
              <w:t>7月</w:t>
            </w:r>
          </w:p>
        </w:tc>
        <w:tc>
          <w:tcPr>
            <w:tcW w:w="656" w:type="dxa"/>
            <w:vAlign w:val="center"/>
          </w:tcPr>
          <w:p>
            <w:pPr>
              <w:pStyle w:val="305"/>
              <w:spacing w:line="240" w:lineRule="auto"/>
              <w:ind w:firstLine="0" w:firstLineChars="0"/>
              <w:rPr>
                <w:color w:val="auto"/>
                <w:sz w:val="21"/>
                <w:szCs w:val="21"/>
              </w:rPr>
            </w:pPr>
            <w:r>
              <w:rPr>
                <w:color w:val="auto"/>
                <w:sz w:val="21"/>
                <w:szCs w:val="21"/>
              </w:rPr>
              <w:t>8月</w:t>
            </w:r>
          </w:p>
        </w:tc>
        <w:tc>
          <w:tcPr>
            <w:tcW w:w="656" w:type="dxa"/>
            <w:vAlign w:val="center"/>
          </w:tcPr>
          <w:p>
            <w:pPr>
              <w:pStyle w:val="305"/>
              <w:spacing w:line="240" w:lineRule="auto"/>
              <w:ind w:firstLine="0" w:firstLineChars="0"/>
              <w:rPr>
                <w:color w:val="auto"/>
                <w:sz w:val="21"/>
                <w:szCs w:val="21"/>
              </w:rPr>
            </w:pPr>
            <w:r>
              <w:rPr>
                <w:color w:val="auto"/>
                <w:sz w:val="21"/>
                <w:szCs w:val="21"/>
              </w:rPr>
              <w:t>9月</w:t>
            </w:r>
          </w:p>
        </w:tc>
        <w:tc>
          <w:tcPr>
            <w:tcW w:w="656" w:type="dxa"/>
            <w:vAlign w:val="center"/>
          </w:tcPr>
          <w:p>
            <w:pPr>
              <w:pStyle w:val="305"/>
              <w:spacing w:line="240" w:lineRule="auto"/>
              <w:ind w:firstLine="0" w:firstLineChars="0"/>
              <w:rPr>
                <w:color w:val="auto"/>
                <w:sz w:val="21"/>
                <w:szCs w:val="21"/>
              </w:rPr>
            </w:pPr>
            <w:r>
              <w:rPr>
                <w:color w:val="auto"/>
                <w:sz w:val="21"/>
                <w:szCs w:val="21"/>
              </w:rPr>
              <w:t>10月</w:t>
            </w:r>
          </w:p>
        </w:tc>
        <w:tc>
          <w:tcPr>
            <w:tcW w:w="656" w:type="dxa"/>
            <w:vAlign w:val="center"/>
          </w:tcPr>
          <w:p>
            <w:pPr>
              <w:pStyle w:val="305"/>
              <w:spacing w:line="240" w:lineRule="auto"/>
              <w:ind w:firstLine="0" w:firstLineChars="0"/>
              <w:rPr>
                <w:color w:val="auto"/>
                <w:sz w:val="21"/>
                <w:szCs w:val="21"/>
              </w:rPr>
            </w:pPr>
            <w:r>
              <w:rPr>
                <w:color w:val="auto"/>
                <w:sz w:val="21"/>
                <w:szCs w:val="21"/>
              </w:rPr>
              <w:t>11月</w:t>
            </w:r>
          </w:p>
        </w:tc>
        <w:tc>
          <w:tcPr>
            <w:tcW w:w="819" w:type="dxa"/>
            <w:vAlign w:val="center"/>
          </w:tcPr>
          <w:p>
            <w:pPr>
              <w:pStyle w:val="305"/>
              <w:spacing w:line="240" w:lineRule="auto"/>
              <w:ind w:firstLine="0" w:firstLineChars="0"/>
              <w:rPr>
                <w:color w:val="auto"/>
                <w:sz w:val="21"/>
                <w:szCs w:val="21"/>
              </w:rPr>
            </w:pPr>
            <w:r>
              <w:rPr>
                <w:color w:val="auto"/>
                <w:sz w:val="21"/>
                <w:szCs w:val="21"/>
              </w:rPr>
              <w:t>12月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670" w:type="dxa"/>
            <w:vAlign w:val="center"/>
          </w:tcPr>
          <w:p>
            <w:pPr>
              <w:pStyle w:val="305"/>
              <w:spacing w:line="240" w:lineRule="auto"/>
              <w:ind w:firstLine="0" w:firstLineChars="0"/>
              <w:rPr>
                <w:color w:val="auto"/>
                <w:sz w:val="21"/>
                <w:szCs w:val="21"/>
              </w:rPr>
            </w:pPr>
            <w:r>
              <w:rPr>
                <w:color w:val="auto"/>
                <w:sz w:val="21"/>
                <w:szCs w:val="21"/>
              </w:rPr>
              <w:t>气温</w:t>
            </w:r>
          </w:p>
        </w:tc>
        <w:tc>
          <w:tcPr>
            <w:tcW w:w="656" w:type="dxa"/>
            <w:vAlign w:val="center"/>
          </w:tcPr>
          <w:p>
            <w:pPr>
              <w:pStyle w:val="305"/>
              <w:spacing w:line="240" w:lineRule="auto"/>
              <w:ind w:firstLine="0" w:firstLineChars="0"/>
              <w:rPr>
                <w:color w:val="auto"/>
                <w:sz w:val="21"/>
                <w:szCs w:val="21"/>
              </w:rPr>
            </w:pPr>
            <w:r>
              <w:rPr>
                <w:color w:val="auto"/>
                <w:sz w:val="21"/>
                <w:szCs w:val="21"/>
              </w:rPr>
              <w:t>-18.4</w:t>
            </w:r>
          </w:p>
        </w:tc>
        <w:tc>
          <w:tcPr>
            <w:tcW w:w="656" w:type="dxa"/>
            <w:vAlign w:val="center"/>
          </w:tcPr>
          <w:p>
            <w:pPr>
              <w:pStyle w:val="305"/>
              <w:spacing w:line="240" w:lineRule="auto"/>
              <w:ind w:firstLine="0" w:firstLineChars="0"/>
              <w:rPr>
                <w:color w:val="auto"/>
                <w:sz w:val="21"/>
                <w:szCs w:val="21"/>
              </w:rPr>
            </w:pPr>
            <w:r>
              <w:rPr>
                <w:color w:val="auto"/>
                <w:sz w:val="21"/>
                <w:szCs w:val="21"/>
              </w:rPr>
              <w:t>-13.6</w:t>
            </w:r>
          </w:p>
        </w:tc>
        <w:tc>
          <w:tcPr>
            <w:tcW w:w="656" w:type="dxa"/>
            <w:vAlign w:val="center"/>
          </w:tcPr>
          <w:p>
            <w:pPr>
              <w:pStyle w:val="305"/>
              <w:spacing w:line="240" w:lineRule="auto"/>
              <w:ind w:firstLine="0" w:firstLineChars="0"/>
              <w:rPr>
                <w:color w:val="auto"/>
                <w:sz w:val="21"/>
                <w:szCs w:val="21"/>
              </w:rPr>
            </w:pPr>
            <w:r>
              <w:rPr>
                <w:color w:val="auto"/>
                <w:sz w:val="21"/>
                <w:szCs w:val="21"/>
              </w:rPr>
              <w:t>-3.4</w:t>
            </w:r>
          </w:p>
        </w:tc>
        <w:tc>
          <w:tcPr>
            <w:tcW w:w="656" w:type="dxa"/>
            <w:vAlign w:val="center"/>
          </w:tcPr>
          <w:p>
            <w:pPr>
              <w:pStyle w:val="305"/>
              <w:spacing w:line="240" w:lineRule="auto"/>
              <w:ind w:firstLine="0" w:firstLineChars="0"/>
              <w:rPr>
                <w:color w:val="auto"/>
                <w:sz w:val="21"/>
                <w:szCs w:val="21"/>
              </w:rPr>
            </w:pPr>
            <w:r>
              <w:rPr>
                <w:color w:val="auto"/>
                <w:sz w:val="21"/>
                <w:szCs w:val="21"/>
              </w:rPr>
              <w:t>7.1</w:t>
            </w:r>
          </w:p>
        </w:tc>
        <w:tc>
          <w:tcPr>
            <w:tcW w:w="656" w:type="dxa"/>
            <w:vAlign w:val="center"/>
          </w:tcPr>
          <w:p>
            <w:pPr>
              <w:pStyle w:val="305"/>
              <w:spacing w:line="240" w:lineRule="auto"/>
              <w:ind w:firstLine="0" w:firstLineChars="0"/>
              <w:rPr>
                <w:color w:val="auto"/>
                <w:sz w:val="21"/>
                <w:szCs w:val="21"/>
              </w:rPr>
            </w:pPr>
            <w:r>
              <w:rPr>
                <w:color w:val="auto"/>
                <w:sz w:val="21"/>
                <w:szCs w:val="21"/>
              </w:rPr>
              <w:t>14.8</w:t>
            </w:r>
          </w:p>
        </w:tc>
        <w:tc>
          <w:tcPr>
            <w:tcW w:w="656" w:type="dxa"/>
            <w:vAlign w:val="center"/>
          </w:tcPr>
          <w:p>
            <w:pPr>
              <w:pStyle w:val="305"/>
              <w:spacing w:line="240" w:lineRule="auto"/>
              <w:ind w:firstLine="0" w:firstLineChars="0"/>
              <w:rPr>
                <w:color w:val="auto"/>
                <w:sz w:val="21"/>
                <w:szCs w:val="21"/>
              </w:rPr>
            </w:pPr>
            <w:r>
              <w:rPr>
                <w:color w:val="auto"/>
                <w:sz w:val="21"/>
                <w:szCs w:val="21"/>
              </w:rPr>
              <w:t>20.4</w:t>
            </w:r>
          </w:p>
        </w:tc>
        <w:tc>
          <w:tcPr>
            <w:tcW w:w="656" w:type="dxa"/>
            <w:vAlign w:val="center"/>
          </w:tcPr>
          <w:p>
            <w:pPr>
              <w:pStyle w:val="305"/>
              <w:spacing w:line="240" w:lineRule="auto"/>
              <w:ind w:firstLine="0" w:firstLineChars="0"/>
              <w:rPr>
                <w:color w:val="auto"/>
                <w:sz w:val="21"/>
                <w:szCs w:val="21"/>
              </w:rPr>
            </w:pPr>
            <w:r>
              <w:rPr>
                <w:color w:val="auto"/>
                <w:sz w:val="21"/>
                <w:szCs w:val="21"/>
              </w:rPr>
              <w:t>23.0</w:t>
            </w:r>
          </w:p>
        </w:tc>
        <w:tc>
          <w:tcPr>
            <w:tcW w:w="656" w:type="dxa"/>
            <w:vAlign w:val="center"/>
          </w:tcPr>
          <w:p>
            <w:pPr>
              <w:pStyle w:val="305"/>
              <w:spacing w:line="240" w:lineRule="auto"/>
              <w:ind w:firstLine="0" w:firstLineChars="0"/>
              <w:rPr>
                <w:color w:val="auto"/>
                <w:sz w:val="21"/>
                <w:szCs w:val="21"/>
              </w:rPr>
            </w:pPr>
            <w:r>
              <w:rPr>
                <w:color w:val="auto"/>
                <w:sz w:val="21"/>
                <w:szCs w:val="21"/>
              </w:rPr>
              <w:t>21.1</w:t>
            </w:r>
          </w:p>
        </w:tc>
        <w:tc>
          <w:tcPr>
            <w:tcW w:w="656" w:type="dxa"/>
            <w:vAlign w:val="center"/>
          </w:tcPr>
          <w:p>
            <w:pPr>
              <w:pStyle w:val="305"/>
              <w:spacing w:line="240" w:lineRule="auto"/>
              <w:ind w:firstLine="0" w:firstLineChars="0"/>
              <w:rPr>
                <w:color w:val="auto"/>
                <w:sz w:val="21"/>
                <w:szCs w:val="21"/>
              </w:rPr>
            </w:pPr>
            <w:r>
              <w:rPr>
                <w:color w:val="auto"/>
                <w:sz w:val="21"/>
                <w:szCs w:val="21"/>
              </w:rPr>
              <w:t>14.5</w:t>
            </w:r>
          </w:p>
        </w:tc>
        <w:tc>
          <w:tcPr>
            <w:tcW w:w="656" w:type="dxa"/>
            <w:vAlign w:val="center"/>
          </w:tcPr>
          <w:p>
            <w:pPr>
              <w:pStyle w:val="305"/>
              <w:spacing w:line="240" w:lineRule="auto"/>
              <w:ind w:firstLine="0" w:firstLineChars="0"/>
              <w:rPr>
                <w:color w:val="auto"/>
                <w:sz w:val="21"/>
                <w:szCs w:val="21"/>
              </w:rPr>
            </w:pPr>
            <w:r>
              <w:rPr>
                <w:color w:val="auto"/>
                <w:sz w:val="21"/>
                <w:szCs w:val="21"/>
              </w:rPr>
              <w:t>5.6</w:t>
            </w:r>
          </w:p>
        </w:tc>
        <w:tc>
          <w:tcPr>
            <w:tcW w:w="656" w:type="dxa"/>
            <w:vAlign w:val="center"/>
          </w:tcPr>
          <w:p>
            <w:pPr>
              <w:pStyle w:val="305"/>
              <w:spacing w:line="240" w:lineRule="auto"/>
              <w:ind w:firstLine="0" w:firstLineChars="0"/>
              <w:rPr>
                <w:color w:val="auto"/>
                <w:sz w:val="21"/>
                <w:szCs w:val="21"/>
              </w:rPr>
            </w:pPr>
            <w:r>
              <w:rPr>
                <w:color w:val="auto"/>
                <w:sz w:val="21"/>
                <w:szCs w:val="21"/>
              </w:rPr>
              <w:t>-5.3</w:t>
            </w:r>
          </w:p>
        </w:tc>
        <w:tc>
          <w:tcPr>
            <w:tcW w:w="819" w:type="dxa"/>
            <w:vAlign w:val="center"/>
          </w:tcPr>
          <w:p>
            <w:pPr>
              <w:pStyle w:val="305"/>
              <w:spacing w:line="240" w:lineRule="auto"/>
              <w:ind w:firstLine="0" w:firstLineChars="0"/>
              <w:rPr>
                <w:color w:val="auto"/>
                <w:sz w:val="21"/>
                <w:szCs w:val="21"/>
              </w:rPr>
            </w:pPr>
            <w:r>
              <w:rPr>
                <w:color w:val="auto"/>
                <w:sz w:val="21"/>
                <w:szCs w:val="21"/>
              </w:rPr>
              <w:t>-14.8</w:t>
            </w:r>
          </w:p>
        </w:tc>
      </w:tr>
    </w:tbl>
    <w:p>
      <w:pPr>
        <w:pStyle w:val="152"/>
        <w:rPr>
          <w:color w:val="auto"/>
          <w:sz w:val="28"/>
          <w:szCs w:val="28"/>
        </w:rPr>
      </w:pPr>
      <w:r>
        <w:rPr>
          <w:color w:val="auto"/>
        </w:rPr>
        <w:drawing>
          <wp:inline distT="0" distB="0" distL="0" distR="0">
            <wp:extent cx="5098415" cy="1699260"/>
            <wp:effectExtent l="19050" t="19050" r="26035" b="15240"/>
            <wp:docPr id="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6"/>
                    <pic:cNvPicPr>
                      <a:picLocks noChangeAspect="1" noChangeArrowheads="1"/>
                    </pic:cNvPicPr>
                  </pic:nvPicPr>
                  <pic:blipFill>
                    <a:blip r:embed="rId42" cstate="print"/>
                    <a:srcRect t="13132"/>
                    <a:stretch>
                      <a:fillRect/>
                    </a:stretch>
                  </pic:blipFill>
                  <pic:spPr>
                    <a:xfrm>
                      <a:off x="0" y="0"/>
                      <a:ext cx="5098415" cy="1699260"/>
                    </a:xfrm>
                    <a:prstGeom prst="rect">
                      <a:avLst/>
                    </a:prstGeom>
                    <a:noFill/>
                    <a:ln w="9525">
                      <a:solidFill>
                        <a:schemeClr val="tx1"/>
                      </a:solidFill>
                      <a:miter lim="800000"/>
                      <a:headEnd/>
                      <a:tailEnd/>
                    </a:ln>
                    <a:effectLst/>
                  </pic:spPr>
                </pic:pic>
              </a:graphicData>
            </a:graphic>
          </wp:inline>
        </w:drawing>
      </w:r>
    </w:p>
    <w:p>
      <w:pPr>
        <w:pStyle w:val="152"/>
        <w:rPr>
          <w:color w:val="auto"/>
        </w:rPr>
      </w:pPr>
      <w:r>
        <w:rPr>
          <w:color w:val="auto"/>
        </w:rPr>
        <w:t>图4-1-4哈尔滨年平均温度的月变化曲线</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4.1.5水文</w:t>
      </w:r>
      <w:bookmarkEnd w:id="104"/>
      <w:r>
        <w:rPr>
          <w:rFonts w:ascii="Times New Roman" w:hAnsi="Times New Roman" w:cs="Times New Roman"/>
          <w:b/>
          <w:color w:val="auto"/>
          <w:sz w:val="28"/>
          <w:szCs w:val="28"/>
        </w:rPr>
        <w:t>地质情况</w:t>
      </w:r>
    </w:p>
    <w:p>
      <w:pPr>
        <w:spacing w:line="360" w:lineRule="auto"/>
        <w:outlineLvl w:val="3"/>
        <w:rPr>
          <w:b/>
          <w:color w:val="auto"/>
          <w:sz w:val="24"/>
        </w:rPr>
      </w:pPr>
      <w:bookmarkStart w:id="105" w:name="_Toc241292980"/>
      <w:r>
        <w:rPr>
          <w:b/>
          <w:color w:val="auto"/>
          <w:sz w:val="24"/>
        </w:rPr>
        <w:t>4.1.5.1</w:t>
      </w:r>
      <w:r>
        <w:rPr>
          <w:rFonts w:hint="eastAsia"/>
          <w:b/>
          <w:color w:val="auto"/>
          <w:sz w:val="24"/>
        </w:rPr>
        <w:t>水文</w:t>
      </w:r>
    </w:p>
    <w:p>
      <w:pPr>
        <w:spacing w:line="360" w:lineRule="auto"/>
        <w:ind w:firstLine="480" w:firstLineChars="200"/>
        <w:contextualSpacing/>
        <w:rPr>
          <w:rFonts w:hint="eastAsia"/>
          <w:bCs/>
          <w:snapToGrid w:val="0"/>
          <w:color w:val="auto"/>
          <w:sz w:val="24"/>
          <w:szCs w:val="21"/>
        </w:rPr>
      </w:pPr>
      <w:r>
        <w:rPr>
          <w:rFonts w:hint="eastAsia"/>
          <w:bCs/>
          <w:snapToGrid w:val="0"/>
          <w:color w:val="auto"/>
          <w:sz w:val="24"/>
          <w:szCs w:val="21"/>
        </w:rPr>
        <w:t>尚志市境内有蚂蜒河、牤牛河、阿什河三大水系，河流120余条，集水面积9232平方公里。蚂蜒河水系最大，集水面积6832平方公里，占总集水面积74%；牤牛河水系565平方公里，阿什河水系1835平方公里，分别占总积水面积的6%和20%。地表水总量24.63亿立方米，人均占有4056立方米，是全省平均量的2.3倍。</w:t>
      </w:r>
    </w:p>
    <w:p>
      <w:pPr>
        <w:spacing w:line="360" w:lineRule="auto"/>
        <w:outlineLvl w:val="3"/>
        <w:rPr>
          <w:b/>
          <w:color w:val="auto"/>
          <w:sz w:val="24"/>
        </w:rPr>
      </w:pPr>
      <w:r>
        <w:rPr>
          <w:b/>
          <w:color w:val="auto"/>
          <w:sz w:val="24"/>
        </w:rPr>
        <w:t>4.1.5.2水文特征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eastAsia"/>
          <w:bCs/>
          <w:snapToGrid w:val="0"/>
          <w:color w:val="auto"/>
          <w:sz w:val="24"/>
          <w:szCs w:val="21"/>
        </w:rPr>
      </w:pPr>
      <w:r>
        <w:rPr>
          <w:rFonts w:hint="eastAsia"/>
          <w:bCs/>
          <w:snapToGrid w:val="0"/>
          <w:color w:val="auto"/>
          <w:sz w:val="24"/>
          <w:szCs w:val="21"/>
        </w:rPr>
        <w:t>尚志市位于蚂蚁河中游冲洪积平原上，西部为丘陵，南部为波状台地，东部蚂蚁河自南向北流经全区。发育于山区的大亮子河及小亮珠河在本区西北部汇合成亮珠河，自西向东流入蚂蚁河。区内地形起伏不平</w:t>
      </w:r>
      <w:r>
        <w:rPr>
          <w:rFonts w:hint="eastAsia"/>
          <w:bCs/>
          <w:snapToGrid w:val="0"/>
          <w:color w:val="auto"/>
          <w:sz w:val="24"/>
          <w:szCs w:val="21"/>
          <w:lang w:eastAsia="zh-CN"/>
        </w:rPr>
        <w:t>，</w:t>
      </w:r>
      <w:r>
        <w:rPr>
          <w:rFonts w:hint="eastAsia"/>
          <w:bCs/>
          <w:snapToGrid w:val="0"/>
          <w:color w:val="auto"/>
          <w:sz w:val="24"/>
          <w:szCs w:val="21"/>
        </w:rPr>
        <w:t>地形总趋势为南高北低，西高东低。区内堆积有较厚的第四纪松散砂砾石层。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eastAsia"/>
          <w:bCs/>
          <w:snapToGrid w:val="0"/>
          <w:color w:val="auto"/>
          <w:sz w:val="24"/>
          <w:szCs w:val="21"/>
        </w:rPr>
      </w:pPr>
      <w:r>
        <w:rPr>
          <w:rFonts w:hint="eastAsia"/>
          <w:bCs/>
          <w:snapToGrid w:val="0"/>
          <w:color w:val="auto"/>
          <w:sz w:val="24"/>
          <w:szCs w:val="21"/>
        </w:rPr>
        <w:t>地下水总的分布规律是从丘陵到河谷区，由埋藏条件复杂、分布不均、水量贫乏的基岩裂隙水，变为埋藏条件简单、分布稳定、富水性较强的砂砾石孔</w:t>
      </w:r>
      <w:r>
        <w:rPr>
          <w:rFonts w:hint="eastAsia"/>
          <w:bCs/>
          <w:snapToGrid w:val="0"/>
          <w:color w:val="auto"/>
          <w:sz w:val="24"/>
          <w:szCs w:val="21"/>
          <w:lang w:val="en-US" w:eastAsia="zh-CN"/>
        </w:rPr>
        <w:t>隙</w:t>
      </w:r>
      <w:r>
        <w:rPr>
          <w:rFonts w:hint="eastAsia"/>
          <w:bCs/>
          <w:snapToGrid w:val="0"/>
          <w:color w:val="auto"/>
          <w:sz w:val="24"/>
          <w:szCs w:val="21"/>
        </w:rPr>
        <w:t>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eastAsia"/>
          <w:bCs/>
          <w:snapToGrid w:val="0"/>
          <w:color w:val="auto"/>
          <w:sz w:val="24"/>
          <w:szCs w:val="21"/>
        </w:rPr>
      </w:pPr>
      <w:r>
        <w:rPr>
          <w:rFonts w:hint="eastAsia"/>
          <w:bCs/>
          <w:snapToGrid w:val="0"/>
          <w:color w:val="auto"/>
          <w:sz w:val="24"/>
          <w:szCs w:val="21"/>
        </w:rPr>
        <w:t>地下水类型依据赋存条件、含水层岩性、水力特征等可分为第四系松散岩类孔隙水、碎屑岩类裂隙孔隙水。第四系松散岩类孔隙水又分为第四系砂砾石孔隙潜水、第四系砂砾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eastAsia"/>
          <w:bCs/>
          <w:snapToGrid w:val="0"/>
          <w:color w:val="auto"/>
          <w:sz w:val="24"/>
          <w:szCs w:val="21"/>
        </w:rPr>
      </w:pPr>
      <w:r>
        <w:rPr>
          <w:rFonts w:hint="eastAsia"/>
          <w:bCs/>
          <w:snapToGrid w:val="0"/>
          <w:color w:val="auto"/>
          <w:sz w:val="24"/>
          <w:szCs w:val="21"/>
        </w:rPr>
        <w:t>石孔隙微承压水、第四系粉质粘土微孔隙裂隙水。第四系砂砾石孔隙潜水主要分布于蚂蚁河及其支流高、低漫滩和一级阶地中，含水层由全新统现代河床冲洪积层及温泉河组、上更新统顾乡屯组的砂砾石、含粘土砂砾石以及其下部的中更新统下荒山组的含粘土砂砾石组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eastAsia"/>
          <w:bCs/>
          <w:snapToGrid w:val="0"/>
          <w:color w:val="auto"/>
          <w:sz w:val="24"/>
          <w:szCs w:val="21"/>
        </w:rPr>
      </w:pPr>
      <w:r>
        <w:rPr>
          <w:rFonts w:hint="eastAsia"/>
          <w:bCs/>
          <w:snapToGrid w:val="0"/>
          <w:color w:val="auto"/>
          <w:sz w:val="24"/>
          <w:szCs w:val="21"/>
        </w:rPr>
        <w:t>第四系砂砾石孔隙微承压水分布于本区西部及南部的波状台地中，含水层主要由中更新统下荒山组砂砾石、含粘土砂砾石组成，局部夹有粉质粘土透镜体，上覆较厚的粘土和粉质粘土。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eastAsia"/>
          <w:bCs/>
          <w:snapToGrid w:val="0"/>
          <w:color w:val="auto"/>
          <w:sz w:val="24"/>
          <w:szCs w:val="21"/>
        </w:rPr>
      </w:pPr>
      <w:r>
        <w:rPr>
          <w:rFonts w:hint="eastAsia"/>
          <w:bCs/>
          <w:snapToGrid w:val="0"/>
          <w:color w:val="auto"/>
          <w:sz w:val="24"/>
          <w:szCs w:val="21"/>
        </w:rPr>
        <w:t>第四系粉质粘土微孔隙裂隙水分布于山前台地中以及波状台地区上部，含水层岩性为粉质粘土和粘土。碎屑岩类裂隙孔隙水分布于第四系之下，地下水类型为弱承压水，含水层由弱胶结的砂岩、砂砾岩及风化裂隙组成，岩石胶结程度较好，局部胶结较弱，孔隙不发育。</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eastAsia"/>
          <w:bCs/>
          <w:snapToGrid w:val="0"/>
          <w:color w:val="auto"/>
          <w:sz w:val="24"/>
          <w:szCs w:val="21"/>
        </w:rPr>
      </w:pPr>
      <w:r>
        <w:rPr>
          <w:rFonts w:hint="eastAsia"/>
          <w:bCs/>
          <w:snapToGrid w:val="0"/>
          <w:color w:val="auto"/>
          <w:sz w:val="24"/>
          <w:szCs w:val="21"/>
        </w:rPr>
        <w:t>根据尚志市气象、水文、地形、岩性特点，在阶地、漫滩区，由于地势较平坦，上覆粘土层薄，局部含水层出露</w:t>
      </w:r>
      <w:r>
        <w:rPr>
          <w:rFonts w:hint="eastAsia"/>
          <w:bCs/>
          <w:snapToGrid w:val="0"/>
          <w:color w:val="auto"/>
          <w:sz w:val="24"/>
          <w:szCs w:val="21"/>
          <w:lang w:eastAsia="zh-CN"/>
        </w:rPr>
        <w:t>，</w:t>
      </w:r>
      <w:r>
        <w:rPr>
          <w:rFonts w:hint="eastAsia"/>
          <w:bCs/>
          <w:snapToGrid w:val="0"/>
          <w:color w:val="auto"/>
          <w:sz w:val="24"/>
          <w:szCs w:val="21"/>
        </w:rPr>
        <w:t>易于接受大气降水的补给，潜水与大气降水关系极为密切</w:t>
      </w:r>
      <w:r>
        <w:rPr>
          <w:rFonts w:hint="eastAsia"/>
          <w:bCs/>
          <w:snapToGrid w:val="0"/>
          <w:color w:val="auto"/>
          <w:sz w:val="24"/>
          <w:szCs w:val="21"/>
          <w:lang w:eastAsia="zh-CN"/>
        </w:rPr>
        <w:t>，</w:t>
      </w:r>
      <w:r>
        <w:rPr>
          <w:rFonts w:hint="eastAsia"/>
          <w:bCs/>
          <w:snapToGrid w:val="0"/>
          <w:color w:val="auto"/>
          <w:sz w:val="24"/>
          <w:szCs w:val="21"/>
        </w:rPr>
        <w:t>故大气降水为其主要补给来源。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eastAsia"/>
          <w:bCs/>
          <w:snapToGrid w:val="0"/>
          <w:color w:val="auto"/>
          <w:sz w:val="24"/>
          <w:szCs w:val="21"/>
        </w:rPr>
      </w:pPr>
      <w:r>
        <w:rPr>
          <w:rFonts w:hint="eastAsia"/>
          <w:bCs/>
          <w:snapToGrid w:val="0"/>
          <w:color w:val="auto"/>
          <w:sz w:val="24"/>
          <w:szCs w:val="21"/>
        </w:rPr>
        <w:t>山前台地区地下水主要补给来源为大气降水。波状台地砂砾石含水层中的孔隙微承压水，主要补给来源为大气降水的入渗及区外的侧向迳流补给。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eastAsia"/>
          <w:bCs/>
          <w:snapToGrid w:val="0"/>
          <w:color w:val="auto"/>
          <w:sz w:val="24"/>
          <w:szCs w:val="21"/>
        </w:rPr>
      </w:pPr>
      <w:r>
        <w:rPr>
          <w:rFonts w:hint="eastAsia"/>
          <w:bCs/>
          <w:snapToGrid w:val="0"/>
          <w:color w:val="auto"/>
          <w:sz w:val="24"/>
          <w:szCs w:val="21"/>
        </w:rPr>
        <w:t>丘陵区的基岩裂隙水主要接受大气降水补给，第三系孔隙裂隙水主要补给来源为第四系孔隙水越流及侧向迳流补给。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eastAsia" w:eastAsia="宋体"/>
          <w:bCs/>
          <w:snapToGrid w:val="0"/>
          <w:color w:val="auto"/>
          <w:sz w:val="24"/>
          <w:szCs w:val="21"/>
          <w:lang w:val="en-US" w:eastAsia="zh-CN"/>
        </w:rPr>
      </w:pPr>
      <w:r>
        <w:rPr>
          <w:rFonts w:hint="eastAsia"/>
          <w:bCs/>
          <w:snapToGrid w:val="0"/>
          <w:color w:val="auto"/>
          <w:sz w:val="24"/>
          <w:szCs w:val="21"/>
        </w:rPr>
        <w:t>地下水水化学成分，由于受地下水的形成、运移以及地形地貌、地层岩性、气候水文等自然环境的影响，有着较为明显的水平分带性变化。阴离子中HC0</w:t>
      </w:r>
      <w:r>
        <w:rPr>
          <w:rFonts w:hint="eastAsia"/>
          <w:bCs/>
          <w:snapToGrid w:val="0"/>
          <w:color w:val="auto"/>
          <w:sz w:val="24"/>
          <w:szCs w:val="21"/>
          <w:vertAlign w:val="subscript"/>
        </w:rPr>
        <w:t>3</w:t>
      </w:r>
      <w:r>
        <w:rPr>
          <w:rFonts w:hint="eastAsia"/>
          <w:bCs/>
          <w:snapToGrid w:val="0"/>
          <w:color w:val="auto"/>
          <w:sz w:val="24"/>
          <w:szCs w:val="21"/>
          <w:vertAlign w:val="superscript"/>
        </w:rPr>
        <w:t>-</w:t>
      </w:r>
      <w:r>
        <w:rPr>
          <w:rFonts w:hint="eastAsia"/>
          <w:bCs/>
          <w:snapToGrid w:val="0"/>
          <w:color w:val="auto"/>
          <w:sz w:val="24"/>
          <w:szCs w:val="21"/>
        </w:rPr>
        <w:t>较为稳定，含量高，阳离子则以Ca</w:t>
      </w:r>
      <w:r>
        <w:rPr>
          <w:rFonts w:hint="eastAsia"/>
          <w:bCs/>
          <w:snapToGrid w:val="0"/>
          <w:color w:val="auto"/>
          <w:sz w:val="24"/>
          <w:szCs w:val="21"/>
          <w:vertAlign w:val="superscript"/>
        </w:rPr>
        <w:t>2+</w:t>
      </w:r>
      <w:r>
        <w:rPr>
          <w:rFonts w:hint="eastAsia"/>
          <w:bCs/>
          <w:snapToGrid w:val="0"/>
          <w:color w:val="auto"/>
          <w:sz w:val="24"/>
          <w:szCs w:val="21"/>
        </w:rPr>
        <w:t>为主，地下水水化学类型以HC0</w:t>
      </w:r>
      <w:r>
        <w:rPr>
          <w:rFonts w:hint="eastAsia"/>
          <w:bCs/>
          <w:snapToGrid w:val="0"/>
          <w:color w:val="auto"/>
          <w:sz w:val="24"/>
          <w:szCs w:val="21"/>
          <w:vertAlign w:val="subscript"/>
        </w:rPr>
        <w:t>3</w:t>
      </w:r>
      <w:r>
        <w:rPr>
          <w:rFonts w:hint="eastAsia"/>
          <w:bCs/>
          <w:snapToGrid w:val="0"/>
          <w:color w:val="auto"/>
          <w:sz w:val="24"/>
          <w:szCs w:val="21"/>
        </w:rPr>
        <w:t>-Ca型水</w:t>
      </w:r>
      <w:r>
        <w:rPr>
          <w:rFonts w:hint="eastAsia"/>
          <w:bCs/>
          <w:snapToGrid w:val="0"/>
          <w:color w:val="auto"/>
          <w:sz w:val="24"/>
          <w:szCs w:val="21"/>
          <w:lang w:val="en-US" w:eastAsia="zh-CN"/>
        </w:rPr>
        <w:t>为主。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eastAsia"/>
          <w:bCs/>
          <w:snapToGrid w:val="0"/>
          <w:color w:val="auto"/>
          <w:sz w:val="24"/>
          <w:szCs w:val="21"/>
        </w:rPr>
      </w:pPr>
      <w:r>
        <w:rPr>
          <w:rFonts w:hint="eastAsia"/>
          <w:bCs/>
          <w:snapToGrid w:val="0"/>
          <w:color w:val="auto"/>
          <w:sz w:val="24"/>
          <w:szCs w:val="21"/>
        </w:rPr>
        <w:t>漫滩区呈条带状沿蚂蚁河及其支流两岸分布，地下水为砂砾石孔隙潜水，埋深1.5-3.0m，上覆粘性土厚1-3m，含水层厚9.0-20.4m，岩性为中砂、砂砾石及含粘土砂砾石。渗透系数10-25m/d，单井涌水量1000-2200m</w:t>
      </w:r>
      <w:r>
        <w:rPr>
          <w:rFonts w:hint="eastAsia"/>
          <w:bCs/>
          <w:snapToGrid w:val="0"/>
          <w:color w:val="auto"/>
          <w:sz w:val="24"/>
          <w:szCs w:val="21"/>
          <w:vertAlign w:val="superscript"/>
        </w:rPr>
        <w:t>3</w:t>
      </w:r>
      <w:r>
        <w:rPr>
          <w:rFonts w:hint="eastAsia"/>
          <w:bCs/>
          <w:snapToGrid w:val="0"/>
          <w:color w:val="auto"/>
          <w:sz w:val="24"/>
          <w:szCs w:val="21"/>
        </w:rPr>
        <w:t>/d。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eastAsia"/>
          <w:bCs/>
          <w:snapToGrid w:val="0"/>
          <w:color w:val="auto"/>
          <w:sz w:val="24"/>
          <w:szCs w:val="21"/>
        </w:rPr>
      </w:pPr>
      <w:r>
        <w:rPr>
          <w:rFonts w:hint="eastAsia"/>
          <w:bCs/>
          <w:snapToGrid w:val="0"/>
          <w:color w:val="auto"/>
          <w:sz w:val="24"/>
          <w:szCs w:val="21"/>
        </w:rPr>
        <w:t>阶地区主要分布于中部，南部呈零星分布，地下水为砂砾石孔隙潜水-微承压水，埋深1-5m，上覆粘性土厚2-5m，含水层厚9-22m，岩性为砂砾石及含粘土砂砾石。渗透系数5-16m/d，单井涌水量500-1000m</w:t>
      </w:r>
      <w:r>
        <w:rPr>
          <w:rFonts w:hint="eastAsia"/>
          <w:bCs/>
          <w:snapToGrid w:val="0"/>
          <w:color w:val="auto"/>
          <w:sz w:val="24"/>
          <w:szCs w:val="21"/>
          <w:vertAlign w:val="superscript"/>
        </w:rPr>
        <w:t>3</w:t>
      </w:r>
      <w:r>
        <w:rPr>
          <w:rFonts w:hint="eastAsia"/>
          <w:bCs/>
          <w:snapToGrid w:val="0"/>
          <w:color w:val="auto"/>
          <w:sz w:val="24"/>
          <w:szCs w:val="21"/>
        </w:rPr>
        <w:t>/d</w:t>
      </w:r>
      <w:r>
        <w:rPr>
          <w:rFonts w:hint="eastAsia"/>
          <w:bCs/>
          <w:snapToGrid w:val="0"/>
          <w:color w:val="auto"/>
          <w:sz w:val="24"/>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eastAsia"/>
          <w:bCs/>
          <w:snapToGrid w:val="0"/>
          <w:color w:val="auto"/>
          <w:sz w:val="24"/>
          <w:szCs w:val="21"/>
        </w:rPr>
      </w:pPr>
      <w:r>
        <w:rPr>
          <w:rFonts w:hint="eastAsia"/>
          <w:bCs/>
          <w:snapToGrid w:val="0"/>
          <w:color w:val="auto"/>
          <w:sz w:val="24"/>
          <w:szCs w:val="21"/>
        </w:rPr>
        <w:t>波状台地区分布于本区西部、南部，地下水为砂砾石孔隙微承压水，埋深5-16m，上覆粘性土厚5-16m</w:t>
      </w:r>
      <w:r>
        <w:rPr>
          <w:rFonts w:hint="eastAsia"/>
          <w:bCs/>
          <w:snapToGrid w:val="0"/>
          <w:color w:val="auto"/>
          <w:sz w:val="24"/>
          <w:szCs w:val="21"/>
          <w:lang w:eastAsia="zh-CN"/>
        </w:rPr>
        <w:t>，</w:t>
      </w:r>
      <w:r>
        <w:rPr>
          <w:rFonts w:hint="eastAsia"/>
          <w:bCs/>
          <w:snapToGrid w:val="0"/>
          <w:color w:val="auto"/>
          <w:sz w:val="24"/>
          <w:szCs w:val="21"/>
        </w:rPr>
        <w:t>含水层厚5-16m</w:t>
      </w:r>
      <w:r>
        <w:rPr>
          <w:rFonts w:hint="eastAsia"/>
          <w:bCs/>
          <w:snapToGrid w:val="0"/>
          <w:color w:val="auto"/>
          <w:sz w:val="24"/>
          <w:szCs w:val="21"/>
          <w:lang w:eastAsia="zh-CN"/>
        </w:rPr>
        <w:t>，</w:t>
      </w:r>
      <w:r>
        <w:rPr>
          <w:rFonts w:hint="eastAsia"/>
          <w:bCs/>
          <w:snapToGrid w:val="0"/>
          <w:color w:val="auto"/>
          <w:sz w:val="24"/>
          <w:szCs w:val="21"/>
        </w:rPr>
        <w:t>岩性为砂砾石及含粘土砂砾石。渗透系数6-25m/d</w:t>
      </w:r>
      <w:r>
        <w:rPr>
          <w:rFonts w:hint="eastAsia"/>
          <w:bCs/>
          <w:snapToGrid w:val="0"/>
          <w:color w:val="auto"/>
          <w:sz w:val="24"/>
          <w:szCs w:val="21"/>
          <w:lang w:eastAsia="zh-CN"/>
        </w:rPr>
        <w:t>，</w:t>
      </w:r>
      <w:r>
        <w:rPr>
          <w:rFonts w:hint="eastAsia"/>
          <w:bCs/>
          <w:snapToGrid w:val="0"/>
          <w:color w:val="auto"/>
          <w:sz w:val="24"/>
          <w:szCs w:val="21"/>
        </w:rPr>
        <w:t>单井涌水量多小于500m</w:t>
      </w:r>
      <w:r>
        <w:rPr>
          <w:rFonts w:hint="eastAsia"/>
          <w:bCs/>
          <w:snapToGrid w:val="0"/>
          <w:color w:val="auto"/>
          <w:sz w:val="24"/>
          <w:szCs w:val="21"/>
          <w:vertAlign w:val="superscript"/>
        </w:rPr>
        <w:t>3</w:t>
      </w:r>
      <w:r>
        <w:rPr>
          <w:rFonts w:hint="eastAsia"/>
          <w:bCs/>
          <w:snapToGrid w:val="0"/>
          <w:color w:val="auto"/>
          <w:sz w:val="24"/>
          <w:szCs w:val="21"/>
        </w:rPr>
        <w:t>/d</w:t>
      </w:r>
      <w:r>
        <w:rPr>
          <w:rFonts w:hint="eastAsia"/>
          <w:bCs/>
          <w:snapToGrid w:val="0"/>
          <w:color w:val="auto"/>
          <w:sz w:val="24"/>
          <w:szCs w:val="21"/>
          <w:lang w:eastAsia="zh-CN"/>
        </w:rPr>
        <w:t>。</w:t>
      </w:r>
    </w:p>
    <w:p>
      <w:pPr>
        <w:spacing w:line="360" w:lineRule="auto"/>
        <w:ind w:firstLine="480" w:firstLineChars="200"/>
        <w:contextualSpacing/>
        <w:rPr>
          <w:rFonts w:hint="eastAsia"/>
          <w:bCs/>
          <w:snapToGrid w:val="0"/>
          <w:color w:val="FF0000"/>
          <w:sz w:val="24"/>
          <w:szCs w:val="21"/>
        </w:rPr>
      </w:pPr>
    </w:p>
    <w:p>
      <w:pPr>
        <w:spacing w:line="360" w:lineRule="auto"/>
        <w:contextualSpacing/>
        <w:rPr>
          <w:bCs/>
          <w:snapToGrid w:val="0"/>
          <w:color w:val="FF0000"/>
          <w:sz w:val="24"/>
          <w:szCs w:val="21"/>
        </w:rPr>
      </w:pPr>
    </w:p>
    <w:p>
      <w:pPr>
        <w:spacing w:line="360" w:lineRule="auto"/>
        <w:ind w:firstLine="480" w:firstLineChars="200"/>
        <w:contextualSpacing/>
        <w:rPr>
          <w:bCs/>
          <w:snapToGrid w:val="0"/>
          <w:color w:val="FF0000"/>
          <w:sz w:val="24"/>
          <w:szCs w:val="21"/>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pacing w:line="360" w:lineRule="auto"/>
        <w:contextualSpacing/>
        <w:jc w:val="center"/>
        <w:rPr>
          <w:color w:val="FF0000"/>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1"/>
        </w:rPr>
        <w:pict>
          <v:shape id="_x0000_s71689" o:spid="_x0000_s71689" o:spt="12" type="#_x0000_t12" style="position:absolute;left:0pt;margin-left:607.75pt;margin-top:342.65pt;height:10.9pt;width:11.6pt;z-index:251675648;mso-width-relative:page;mso-height-relative:page;" fillcolor="#FF0000" filled="t" stroked="t" coordsize="21600,21600">
            <v:path/>
            <v:fill on="t" color2="#FFFFFF" focussize="0,0"/>
            <v:stroke weight="1pt" color="#000000"/>
            <v:imagedata o:title=""/>
            <o:lock v:ext="edit" aspectratio="f"/>
          </v:shape>
        </w:pict>
      </w:r>
      <w:r>
        <w:rPr>
          <w:color w:val="FF0000"/>
        </w:rPr>
        <w:pict>
          <v:shape id="_x0000_s3868" o:spid="_x0000_s3868" o:spt="32" type="#_x0000_t32" style="position:absolute;left:0pt;margin-left:601.5pt;margin-top:372.05pt;height:0pt;width:21.05pt;z-index:251666432;mso-width-relative:page;mso-height-relative:page;" o:connectortype="straight" filled="f" stroked="t" coordsize="21600,21600">
            <v:path arrowok="t"/>
            <v:fill on="f" focussize="0,0"/>
            <v:stroke color="#00B0F0" endarrow="block"/>
            <v:imagedata o:title=""/>
            <o:lock v:ext="edit"/>
          </v:shape>
        </w:pict>
      </w:r>
      <w:r>
        <w:rPr>
          <w:color w:val="FF0000"/>
        </w:rPr>
        <w:pict>
          <v:shape id="_x0000_s3867" o:spid="_x0000_s3867" o:spt="202" type="#_x0000_t202" style="position:absolute;left:0pt;margin-left:595.65pt;margin-top:318.2pt;height:70.4pt;width:97.9pt;z-index:251665408;mso-width-relative:page;mso-height-relative:page;" fillcolor="#FFFFFF" filled="t" stroked="t" coordsize="21600,21600">
            <v:path/>
            <v:fill on="t" color2="#FFFFFF" focussize="0,0"/>
            <v:stroke color="#000000" joinstyle="miter"/>
            <v:imagedata o:title=""/>
            <o:lock v:ext="edit" aspectratio="f"/>
            <v:textbox>
              <w:txbxContent>
                <w:p>
                  <w:pPr>
                    <w:ind w:firstLine="514" w:firstLineChars="245"/>
                  </w:pPr>
                  <w:r>
                    <w:rPr>
                      <w:rFonts w:hint="eastAsia"/>
                    </w:rPr>
                    <w:t>图例</w:t>
                  </w:r>
                </w:p>
                <w:p>
                  <w:pPr>
                    <w:pStyle w:val="716"/>
                    <w:keepNext w:val="0"/>
                    <w:keepLines w:val="0"/>
                    <w:pageBreakBefore w:val="0"/>
                    <w:widowControl w:val="0"/>
                    <w:numPr>
                      <w:ilvl w:val="0"/>
                      <w:numId w:val="9"/>
                    </w:numPr>
                    <w:kinsoku/>
                    <w:wordWrap/>
                    <w:overflowPunct/>
                    <w:topLinePunct w:val="0"/>
                    <w:bidi w:val="0"/>
                    <w:adjustRightInd/>
                    <w:snapToGrid/>
                    <w:spacing w:line="360" w:lineRule="auto"/>
                    <w:ind w:left="0" w:leftChars="0" w:firstLine="0" w:firstLineChars="0"/>
                    <w:jc w:val="center"/>
                    <w:textAlignment w:val="auto"/>
                  </w:pPr>
                  <w:r>
                    <w:rPr>
                      <w:rFonts w:hint="eastAsia"/>
                    </w:rPr>
                    <w:t>项目位置</w:t>
                  </w:r>
                </w:p>
                <w:p>
                  <w:pPr>
                    <w:keepNext w:val="0"/>
                    <w:keepLines w:val="0"/>
                    <w:pageBreakBefore w:val="0"/>
                    <w:widowControl w:val="0"/>
                    <w:kinsoku/>
                    <w:wordWrap/>
                    <w:overflowPunct/>
                    <w:topLinePunct w:val="0"/>
                    <w:bidi w:val="0"/>
                    <w:adjustRightInd/>
                    <w:snapToGrid/>
                    <w:spacing w:line="360" w:lineRule="auto"/>
                    <w:ind w:left="0" w:leftChars="0" w:firstLine="0" w:firstLineChars="0"/>
                    <w:jc w:val="center"/>
                    <w:textAlignment w:val="auto"/>
                  </w:pPr>
                  <w:r>
                    <w:rPr>
                      <w:rFonts w:hint="eastAsia"/>
                    </w:rPr>
                    <w:t>水流方向</w:t>
                  </w:r>
                </w:p>
                <w:p>
                  <w:pPr>
                    <w:pStyle w:val="716"/>
                    <w:ind w:firstLine="0" w:firstLineChars="0"/>
                    <w:rPr>
                      <w:spacing w:val="-6"/>
                    </w:rPr>
                  </w:pPr>
                </w:p>
              </w:txbxContent>
            </v:textbox>
          </v:shape>
        </w:pict>
      </w:r>
      <w:r>
        <w:rPr>
          <w:color w:val="FF0000"/>
        </w:rPr>
        <w:pict>
          <v:rect id="_x0000_s3870" o:spid="_x0000_s3870" o:spt="1" style="position:absolute;left:0pt;margin-left:252.95pt;margin-top:22.4pt;height:24.45pt;width:67.95pt;z-index:251668480;mso-width-relative:page;mso-height-relative:page;" fillcolor="#FFFFFF" filled="f" stroked="f" coordsize="21600,21600">
            <v:path/>
            <v:fill on="f" focussize="0,0"/>
            <v:stroke on="f"/>
            <v:imagedata o:title=""/>
            <o:lock v:ext="edit"/>
            <v:textbox>
              <w:txbxContent>
                <w:p>
                  <w:pPr>
                    <w:jc w:val="center"/>
                    <w:rPr>
                      <w:color w:val="FF0000"/>
                    </w:rPr>
                  </w:pPr>
                  <w:r>
                    <w:rPr>
                      <w:rFonts w:hint="eastAsia"/>
                      <w:color w:val="FF0000"/>
                    </w:rPr>
                    <w:t>本项目</w:t>
                  </w:r>
                </w:p>
              </w:txbxContent>
            </v:textbox>
          </v:rect>
        </w:pict>
      </w:r>
      <w:r>
        <w:rPr>
          <w:color w:val="FF0000"/>
        </w:rPr>
        <w:pict>
          <v:shape id="_x0000_s3869" o:spid="_x0000_s3869" o:spt="12" type="#_x0000_t12" style="position:absolute;left:0pt;margin-left:272.55pt;margin-top:44.75pt;height:14.25pt;width:13.6pt;z-index:251667456;mso-width-relative:page;mso-height-relative:page;" fillcolor="#FF0000" filled="t" coordsize="21600,21600">
            <v:path/>
            <v:fill on="t" focussize="0,0"/>
            <v:stroke joinstyle="miter"/>
            <v:imagedata o:title=""/>
            <o:lock v:ext="edit"/>
          </v:shape>
        </w:pict>
      </w:r>
      <w:r>
        <w:rPr>
          <w:color w:val="FF0000"/>
        </w:rPr>
        <w:drawing>
          <wp:anchor distT="0" distB="0" distL="114300" distR="114300" simplePos="0" relativeHeight="251664384" behindDoc="0" locked="0" layoutInCell="1" allowOverlap="1">
            <wp:simplePos x="0" y="0"/>
            <wp:positionH relativeFrom="column">
              <wp:posOffset>8121650</wp:posOffset>
            </wp:positionH>
            <wp:positionV relativeFrom="paragraph">
              <wp:posOffset>32385</wp:posOffset>
            </wp:positionV>
            <wp:extent cx="726440" cy="675005"/>
            <wp:effectExtent l="19050" t="0" r="0" b="0"/>
            <wp:wrapNone/>
            <wp:docPr id="4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
                    <pic:cNvPicPr>
                      <a:picLocks noChangeAspect="1" noChangeArrowheads="1"/>
                    </pic:cNvPicPr>
                  </pic:nvPicPr>
                  <pic:blipFill>
                    <a:blip r:embed="rId43"/>
                    <a:srcRect/>
                    <a:stretch>
                      <a:fillRect/>
                    </a:stretch>
                  </pic:blipFill>
                  <pic:spPr>
                    <a:xfrm>
                      <a:off x="0" y="0"/>
                      <a:ext cx="726675" cy="674703"/>
                    </a:xfrm>
                    <a:prstGeom prst="rect">
                      <a:avLst/>
                    </a:prstGeom>
                    <a:noFill/>
                    <a:ln w="9525">
                      <a:noFill/>
                      <a:miter lim="800000"/>
                      <a:headEnd/>
                      <a:tailEnd/>
                    </a:ln>
                  </pic:spPr>
                </pic:pic>
              </a:graphicData>
            </a:graphic>
          </wp:anchor>
        </w:drawing>
      </w:r>
      <w:r>
        <w:drawing>
          <wp:inline distT="0" distB="0" distL="114300" distR="114300">
            <wp:extent cx="8822055" cy="4951095"/>
            <wp:effectExtent l="0" t="0" r="17145" b="1905"/>
            <wp:docPr id="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pic:cNvPicPr>
                      <a:picLocks noChangeAspect="1"/>
                    </pic:cNvPicPr>
                  </pic:nvPicPr>
                  <pic:blipFill>
                    <a:blip r:embed="rId44"/>
                    <a:stretch>
                      <a:fillRect/>
                    </a:stretch>
                  </pic:blipFill>
                  <pic:spPr>
                    <a:xfrm>
                      <a:off x="0" y="0"/>
                      <a:ext cx="8822055" cy="4951095"/>
                    </a:xfrm>
                    <a:prstGeom prst="rect">
                      <a:avLst/>
                    </a:prstGeom>
                    <a:noFill/>
                    <a:ln>
                      <a:noFill/>
                    </a:ln>
                  </pic:spPr>
                </pic:pic>
              </a:graphicData>
            </a:graphic>
          </wp:inline>
        </w:drawing>
      </w:r>
      <w:r>
        <w:rPr>
          <w:b/>
          <w:color w:val="auto"/>
          <w:sz w:val="24"/>
        </w:rPr>
        <w:t>图4-1-</w:t>
      </w:r>
      <w:r>
        <w:rPr>
          <w:rFonts w:hint="eastAsia"/>
          <w:b/>
          <w:color w:val="auto"/>
          <w:sz w:val="24"/>
        </w:rPr>
        <w:t>5水文地质图</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4.1.6土壤</w:t>
      </w:r>
      <w:bookmarkEnd w:id="105"/>
    </w:p>
    <w:p>
      <w:pPr>
        <w:pStyle w:val="718"/>
        <w:ind w:firstLine="480"/>
        <w:rPr>
          <w:rFonts w:ascii="Times New Roman" w:hAnsi="Times New Roman" w:eastAsia="宋体" w:cs="Times New Roman"/>
          <w:color w:val="auto"/>
        </w:rPr>
      </w:pPr>
      <w:r>
        <w:rPr>
          <w:rFonts w:ascii="Times New Roman" w:hAnsi="Times New Roman" w:eastAsia="宋体" w:cs="Times New Roman"/>
          <w:color w:val="auto"/>
        </w:rPr>
        <w:t>由于受地形、气候、植物等自然因素及人为活动的影响，全市土壤类型较多，共有9个土类、21个亚类、25个土种。黑土，是郊区及县（市）的主要土壤，也是分布最广、数量最多的土壤类型。黑土在全市分为2个亚类（黑土和草甸黑土）、3个土属（粘质黑土、砂质黑土、草甸黑土），共7个土种。黑土土壤养分含量比较丰富，适于各种农作物生长。黑钙土，是全市主要耕作土壤，主要分布在中部平川地和岗平地上，在全市分为3个亚类：黑钙土、淋溶黑钙土、草甸黑钙土，共8个土种。黑钙土养分含量仅次于黑土，适于作物栽培。草甸土也是全市主要耕作土壤，多数分布在沿江河低洼淋溶地带和松花江台地漫滩地带。草甸土在全市分为6个亚类：草甸土、碱化草甸土、泛滥地草甸土、盐化草甸土、潜育草甸土、</w:t>
      </w:r>
      <w:r>
        <w:rPr>
          <w:color w:val="auto"/>
        </w:rPr>
        <w:fldChar w:fldCharType="begin"/>
      </w:r>
      <w:r>
        <w:rPr>
          <w:color w:val="auto"/>
        </w:rPr>
        <w:instrText xml:space="preserve"> HYPERLINK "http://baike.soso.com/v784546.htm?ch=ch.bk.innerlink" \t "_blank" </w:instrText>
      </w:r>
      <w:r>
        <w:rPr>
          <w:color w:val="auto"/>
        </w:rPr>
        <w:fldChar w:fldCharType="separate"/>
      </w:r>
      <w:r>
        <w:rPr>
          <w:rFonts w:ascii="Times New Roman" w:hAnsi="Times New Roman" w:eastAsia="宋体" w:cs="Times New Roman"/>
          <w:color w:val="auto"/>
        </w:rPr>
        <w:t>硫酸盐</w:t>
      </w:r>
      <w:r>
        <w:rPr>
          <w:rFonts w:ascii="Times New Roman" w:hAnsi="Times New Roman" w:eastAsia="宋体" w:cs="Times New Roman"/>
          <w:color w:val="auto"/>
        </w:rPr>
        <w:fldChar w:fldCharType="end"/>
      </w:r>
      <w:r>
        <w:rPr>
          <w:rFonts w:ascii="Times New Roman" w:hAnsi="Times New Roman" w:eastAsia="宋体" w:cs="Times New Roman"/>
          <w:color w:val="auto"/>
        </w:rPr>
        <w:t>草甸土，共10个土种。草甸土大部分宜耕性较差，宜发展草场和栽植</w:t>
      </w:r>
      <w:r>
        <w:rPr>
          <w:color w:val="auto"/>
        </w:rPr>
        <w:fldChar w:fldCharType="begin"/>
      </w:r>
      <w:r>
        <w:rPr>
          <w:color w:val="auto"/>
        </w:rPr>
        <w:instrText xml:space="preserve"> HYPERLINK "http://baike.soso.com/v7685627.htm?ch=ch.bk.innerlink" \t "_blank" </w:instrText>
      </w:r>
      <w:r>
        <w:rPr>
          <w:color w:val="auto"/>
        </w:rPr>
        <w:fldChar w:fldCharType="separate"/>
      </w:r>
      <w:r>
        <w:rPr>
          <w:rFonts w:ascii="Times New Roman" w:hAnsi="Times New Roman" w:eastAsia="宋体" w:cs="Times New Roman"/>
          <w:color w:val="auto"/>
        </w:rPr>
        <w:t>薪炭林</w:t>
      </w:r>
      <w:r>
        <w:rPr>
          <w:rFonts w:ascii="Times New Roman" w:hAnsi="Times New Roman" w:eastAsia="宋体" w:cs="Times New Roman"/>
          <w:color w:val="auto"/>
        </w:rPr>
        <w:fldChar w:fldCharType="end"/>
      </w:r>
      <w:r>
        <w:rPr>
          <w:rFonts w:ascii="Times New Roman" w:hAnsi="Times New Roman" w:eastAsia="宋体" w:cs="Times New Roman"/>
          <w:color w:val="auto"/>
        </w:rPr>
        <w:t>。砂土及</w:t>
      </w:r>
      <w:r>
        <w:rPr>
          <w:color w:val="auto"/>
        </w:rPr>
        <w:fldChar w:fldCharType="begin"/>
      </w:r>
      <w:r>
        <w:rPr>
          <w:color w:val="auto"/>
        </w:rPr>
        <w:instrText xml:space="preserve"> HYPERLINK "http://baike.soso.com/v72439.htm?ch=ch.bk.innerlink" \t "_blank" </w:instrText>
      </w:r>
      <w:r>
        <w:rPr>
          <w:color w:val="auto"/>
        </w:rPr>
        <w:fldChar w:fldCharType="separate"/>
      </w:r>
      <w:r>
        <w:rPr>
          <w:rFonts w:ascii="Times New Roman" w:hAnsi="Times New Roman" w:eastAsia="宋体" w:cs="Times New Roman"/>
          <w:color w:val="auto"/>
        </w:rPr>
        <w:t>沼泽土</w:t>
      </w:r>
      <w:r>
        <w:rPr>
          <w:rFonts w:ascii="Times New Roman" w:hAnsi="Times New Roman" w:eastAsia="宋体" w:cs="Times New Roman"/>
          <w:color w:val="auto"/>
        </w:rPr>
        <w:fldChar w:fldCharType="end"/>
      </w:r>
      <w:r>
        <w:rPr>
          <w:rFonts w:ascii="Times New Roman" w:hAnsi="Times New Roman" w:eastAsia="宋体" w:cs="Times New Roman"/>
          <w:color w:val="auto"/>
        </w:rPr>
        <w:t>，主要分布于江河两岸河滩和低洼地块，适于发展渔业、牧业。</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4.1.7森林、植被</w:t>
      </w:r>
    </w:p>
    <w:p>
      <w:pPr>
        <w:pStyle w:val="718"/>
        <w:ind w:firstLine="480"/>
        <w:rPr>
          <w:rFonts w:ascii="Times New Roman" w:hAnsi="Times New Roman" w:eastAsia="宋体" w:cs="Times New Roman"/>
          <w:color w:val="auto"/>
        </w:rPr>
      </w:pPr>
      <w:r>
        <w:rPr>
          <w:rFonts w:ascii="Times New Roman" w:hAnsi="Times New Roman" w:eastAsia="宋体" w:cs="Times New Roman"/>
          <w:color w:val="auto"/>
        </w:rPr>
        <w:t>哈尔滨全市植被以地带性植被红松林、针阔叶混交林、天然次生林、人工林、草原和农田植被为主。其中面积最大的是森林植被，森林覆盖率达42.39% ，辖区内野生植物种类丰富，据不完全统计，有植物950余种。以松花江为界，江北植被属小兴安岭植被。江南植被属长白山系张广才岭植被亚区。</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4.1.8地震烈度</w:t>
      </w:r>
    </w:p>
    <w:p>
      <w:pPr>
        <w:pStyle w:val="718"/>
        <w:ind w:firstLine="480"/>
        <w:rPr>
          <w:rFonts w:ascii="Times New Roman" w:hAnsi="Times New Roman" w:eastAsia="宋体" w:cs="Times New Roman"/>
          <w:color w:val="auto"/>
        </w:rPr>
      </w:pPr>
      <w:r>
        <w:rPr>
          <w:rFonts w:ascii="Times New Roman" w:hAnsi="Times New Roman" w:eastAsia="宋体" w:cs="Times New Roman"/>
          <w:color w:val="auto"/>
        </w:rPr>
        <w:t>哈尔滨市地震烈度小于</w:t>
      </w:r>
      <w:r>
        <w:rPr>
          <w:rFonts w:ascii="Times New Roman" w:hAnsi="Times New Roman" w:eastAsia="宋体" w:cs="Times New Roman"/>
          <w:color w:val="auto"/>
        </w:rPr>
        <w:fldChar w:fldCharType="begin"/>
      </w:r>
      <w:r>
        <w:rPr>
          <w:rFonts w:ascii="Times New Roman" w:hAnsi="Times New Roman" w:eastAsia="宋体" w:cs="Times New Roman"/>
          <w:color w:val="auto"/>
        </w:rPr>
        <w:instrText xml:space="preserve"> = 4 \* ROMAN </w:instrText>
      </w:r>
      <w:r>
        <w:rPr>
          <w:rFonts w:ascii="Times New Roman" w:hAnsi="Times New Roman" w:eastAsia="宋体" w:cs="Times New Roman"/>
          <w:color w:val="auto"/>
        </w:rPr>
        <w:fldChar w:fldCharType="separate"/>
      </w:r>
      <w:r>
        <w:rPr>
          <w:rFonts w:ascii="Times New Roman" w:hAnsi="Times New Roman" w:eastAsia="宋体" w:cs="Times New Roman"/>
          <w:color w:val="auto"/>
        </w:rPr>
        <w:t>IV</w:t>
      </w:r>
      <w:r>
        <w:rPr>
          <w:rFonts w:ascii="Times New Roman" w:hAnsi="Times New Roman" w:eastAsia="宋体" w:cs="Times New Roman"/>
          <w:color w:val="auto"/>
        </w:rPr>
        <w:fldChar w:fldCharType="end"/>
      </w:r>
      <w:r>
        <w:rPr>
          <w:rFonts w:ascii="Times New Roman" w:hAnsi="Times New Roman" w:eastAsia="宋体" w:cs="Times New Roman"/>
          <w:color w:val="auto"/>
        </w:rPr>
        <w:t>度，可不考虑地震影响。</w:t>
      </w:r>
    </w:p>
    <w:p>
      <w:pPr>
        <w:spacing w:line="360" w:lineRule="auto"/>
        <w:contextualSpacing/>
        <w:jc w:val="left"/>
        <w:outlineLvl w:val="1"/>
        <w:rPr>
          <w:b/>
          <w:bCs/>
          <w:color w:val="auto"/>
          <w:kern w:val="44"/>
          <w:sz w:val="30"/>
          <w:szCs w:val="30"/>
        </w:rPr>
      </w:pPr>
      <w:bookmarkStart w:id="106" w:name="_Toc20413"/>
      <w:r>
        <w:rPr>
          <w:b/>
          <w:bCs/>
          <w:color w:val="auto"/>
          <w:kern w:val="44"/>
          <w:sz w:val="30"/>
          <w:szCs w:val="30"/>
        </w:rPr>
        <w:t>4.2环境质量现状调查</w:t>
      </w:r>
      <w:bookmarkEnd w:id="106"/>
    </w:p>
    <w:p>
      <w:pPr>
        <w:pStyle w:val="5"/>
        <w:spacing w:before="0" w:after="0" w:line="360" w:lineRule="auto"/>
        <w:ind w:firstLine="0" w:firstLineChars="0"/>
        <w:contextualSpacing/>
        <w:rPr>
          <w:rFonts w:ascii="Times New Roman" w:hAnsi="Times New Roman" w:cs="Times New Roman"/>
          <w:b/>
          <w:color w:val="auto"/>
          <w:sz w:val="28"/>
          <w:szCs w:val="28"/>
        </w:rPr>
      </w:pPr>
      <w:r>
        <w:rPr>
          <w:rFonts w:ascii="Times New Roman" w:hAnsi="Times New Roman" w:cs="Times New Roman"/>
          <w:b/>
          <w:color w:val="auto"/>
          <w:sz w:val="28"/>
          <w:szCs w:val="28"/>
        </w:rPr>
        <w:t>4.2.1环境空气质量现状评价</w:t>
      </w:r>
    </w:p>
    <w:p>
      <w:pPr>
        <w:spacing w:line="360" w:lineRule="auto"/>
        <w:outlineLvl w:val="3"/>
        <w:rPr>
          <w:b/>
          <w:color w:val="auto"/>
          <w:sz w:val="24"/>
        </w:rPr>
      </w:pPr>
      <w:r>
        <w:rPr>
          <w:b/>
          <w:color w:val="auto"/>
          <w:sz w:val="24"/>
        </w:rPr>
        <w:t>4.2.1.1区域基本污染物环境质量达标情况</w:t>
      </w:r>
    </w:p>
    <w:p>
      <w:pPr>
        <w:spacing w:line="360" w:lineRule="auto"/>
        <w:ind w:firstLine="480" w:firstLineChars="200"/>
        <w:rPr>
          <w:color w:val="auto"/>
          <w:sz w:val="24"/>
        </w:rPr>
      </w:pPr>
      <w:r>
        <w:rPr>
          <w:color w:val="auto"/>
          <w:sz w:val="24"/>
        </w:rPr>
        <w:t>根据</w:t>
      </w:r>
      <w:r>
        <w:rPr>
          <w:rFonts w:hint="eastAsia"/>
          <w:color w:val="auto"/>
          <w:sz w:val="24"/>
          <w:lang w:eastAsia="zh-CN"/>
        </w:rPr>
        <w:t>《哈尔滨市生态环境质量报告书（2022年）》（黑龙江省哈尔滨生态环境监测中心，2023年6月）</w:t>
      </w:r>
      <w:r>
        <w:rPr>
          <w:color w:val="auto"/>
          <w:sz w:val="24"/>
        </w:rPr>
        <w:t>，</w:t>
      </w:r>
      <w:r>
        <w:rPr>
          <w:rFonts w:hint="default" w:ascii="Times New Roman" w:hAnsi="Times New Roman" w:eastAsia="宋体" w:cs="Times New Roman"/>
          <w:color w:val="auto"/>
          <w:kern w:val="0"/>
          <w:sz w:val="24"/>
          <w:szCs w:val="24"/>
          <w:highlight w:val="none"/>
          <w:lang w:val="en-US" w:eastAsia="zh-CN"/>
        </w:rPr>
        <w:t>2022年哈尔滨市环境空气质量有效监测天数365天，达标310天，达标率84.9%。其中优167天，良143天。超标55天，其中轻度污染31天，中度污染14天，重度污染9天，严重污染1天。超标天数中首要污染物47天为细颗粒物，3天为臭氧，5天为可吸入颗粒物。年度综合指数3.80。</w:t>
      </w:r>
      <w:r>
        <w:rPr>
          <w:color w:val="auto"/>
          <w:sz w:val="24"/>
        </w:rPr>
        <w:t>除细颗粒物总体评价未达到二级标准，其他五项污染物均达到二级标准。本项目所在区域为不达标区。超标原因：供暖期污染物排放量大，叠加不利气象条件易出现污染天气；春季秸秆焚烧与沙尘区域性传输是造成春季污染的主要原因。</w:t>
      </w:r>
    </w:p>
    <w:p>
      <w:pPr>
        <w:keepNext w:val="0"/>
        <w:keepLines w:val="0"/>
        <w:pageBreakBefore w:val="0"/>
        <w:widowControl w:val="0"/>
        <w:tabs>
          <w:tab w:val="center" w:pos="4153"/>
          <w:tab w:val="right" w:pos="8306"/>
        </w:tabs>
        <w:kinsoku/>
        <w:wordWrap/>
        <w:overflowPunct/>
        <w:topLinePunct w:val="0"/>
        <w:autoSpaceDE/>
        <w:autoSpaceDN/>
        <w:bidi w:val="0"/>
        <w:adjustRightInd/>
        <w:snapToGrid/>
        <w:spacing w:line="240" w:lineRule="auto"/>
        <w:jc w:val="center"/>
        <w:textAlignment w:val="auto"/>
        <w:rPr>
          <w:b/>
          <w:color w:val="auto"/>
          <w:kern w:val="0"/>
          <w:sz w:val="24"/>
        </w:rPr>
      </w:pPr>
      <w:r>
        <w:rPr>
          <w:b/>
          <w:color w:val="auto"/>
          <w:kern w:val="0"/>
          <w:sz w:val="24"/>
        </w:rPr>
        <w:t>表4</w:t>
      </w:r>
      <w:r>
        <w:rPr>
          <w:rFonts w:hint="eastAsia"/>
          <w:b/>
          <w:color w:val="auto"/>
          <w:kern w:val="0"/>
          <w:sz w:val="24"/>
        </w:rPr>
        <w:t>-</w:t>
      </w:r>
      <w:r>
        <w:rPr>
          <w:b/>
          <w:color w:val="auto"/>
          <w:kern w:val="0"/>
          <w:sz w:val="24"/>
        </w:rPr>
        <w:t>2-1 区域空气质量现状评价表</w:t>
      </w:r>
    </w:p>
    <w:tbl>
      <w:tblPr>
        <w:tblStyle w:val="4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77"/>
        <w:gridCol w:w="1037"/>
        <w:gridCol w:w="1004"/>
        <w:gridCol w:w="972"/>
        <w:gridCol w:w="798"/>
        <w:gridCol w:w="1115"/>
        <w:gridCol w:w="12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9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指标</w:t>
            </w:r>
          </w:p>
        </w:tc>
        <w:tc>
          <w:tcPr>
            <w:tcW w:w="61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p>
        </w:tc>
        <w:tc>
          <w:tcPr>
            <w:tcW w:w="59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p>
        </w:tc>
        <w:tc>
          <w:tcPr>
            <w:tcW w:w="57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p>
        </w:tc>
        <w:tc>
          <w:tcPr>
            <w:tcW w:w="47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63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CO</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per95</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p>
        </w:tc>
        <w:tc>
          <w:tcPr>
            <w:tcW w:w="71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O</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lang w:val="en-US" w:eastAsia="zh-CN"/>
              </w:rPr>
              <w:t>（per90）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9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国家二级标准（日）</w:t>
            </w:r>
          </w:p>
        </w:tc>
        <w:tc>
          <w:tcPr>
            <w:tcW w:w="61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75</w:t>
            </w:r>
          </w:p>
        </w:tc>
        <w:tc>
          <w:tcPr>
            <w:tcW w:w="59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150</w:t>
            </w:r>
          </w:p>
        </w:tc>
        <w:tc>
          <w:tcPr>
            <w:tcW w:w="57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80</w:t>
            </w:r>
          </w:p>
        </w:tc>
        <w:tc>
          <w:tcPr>
            <w:tcW w:w="47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150</w:t>
            </w:r>
          </w:p>
        </w:tc>
        <w:tc>
          <w:tcPr>
            <w:tcW w:w="63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71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9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国家二级标准（年）</w:t>
            </w:r>
          </w:p>
        </w:tc>
        <w:tc>
          <w:tcPr>
            <w:tcW w:w="61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w:t>
            </w:r>
          </w:p>
        </w:tc>
        <w:tc>
          <w:tcPr>
            <w:tcW w:w="59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70</w:t>
            </w:r>
          </w:p>
        </w:tc>
        <w:tc>
          <w:tcPr>
            <w:tcW w:w="57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w:t>
            </w:r>
          </w:p>
        </w:tc>
        <w:tc>
          <w:tcPr>
            <w:tcW w:w="47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c>
          <w:tcPr>
            <w:tcW w:w="63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1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9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日均值范围</w:t>
            </w:r>
          </w:p>
        </w:tc>
        <w:tc>
          <w:tcPr>
            <w:tcW w:w="61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3-251</w:t>
            </w:r>
          </w:p>
        </w:tc>
        <w:tc>
          <w:tcPr>
            <w:tcW w:w="59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10-280</w:t>
            </w:r>
          </w:p>
        </w:tc>
        <w:tc>
          <w:tcPr>
            <w:tcW w:w="57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8-90</w:t>
            </w:r>
          </w:p>
        </w:tc>
        <w:tc>
          <w:tcPr>
            <w:tcW w:w="47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6-50</w:t>
            </w:r>
          </w:p>
        </w:tc>
        <w:tc>
          <w:tcPr>
            <w:tcW w:w="63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0.3-2.0</w:t>
            </w:r>
          </w:p>
        </w:tc>
        <w:tc>
          <w:tcPr>
            <w:tcW w:w="71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24-202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9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日均值达标率（%）</w:t>
            </w:r>
          </w:p>
        </w:tc>
        <w:tc>
          <w:tcPr>
            <w:tcW w:w="61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87.0</w:t>
            </w:r>
          </w:p>
        </w:tc>
        <w:tc>
          <w:tcPr>
            <w:tcW w:w="59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95.3</w:t>
            </w:r>
          </w:p>
        </w:tc>
        <w:tc>
          <w:tcPr>
            <w:tcW w:w="57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99.7</w:t>
            </w:r>
          </w:p>
        </w:tc>
        <w:tc>
          <w:tcPr>
            <w:tcW w:w="47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100</w:t>
            </w:r>
          </w:p>
        </w:tc>
        <w:tc>
          <w:tcPr>
            <w:tcW w:w="63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100</w:t>
            </w:r>
          </w:p>
        </w:tc>
        <w:tc>
          <w:tcPr>
            <w:tcW w:w="71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98.6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9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年均值</w:t>
            </w:r>
          </w:p>
        </w:tc>
        <w:tc>
          <w:tcPr>
            <w:tcW w:w="61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37</w:t>
            </w:r>
          </w:p>
        </w:tc>
        <w:tc>
          <w:tcPr>
            <w:tcW w:w="59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57</w:t>
            </w:r>
          </w:p>
        </w:tc>
        <w:tc>
          <w:tcPr>
            <w:tcW w:w="57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w:t>
            </w:r>
          </w:p>
        </w:tc>
        <w:tc>
          <w:tcPr>
            <w:tcW w:w="47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14</w:t>
            </w:r>
          </w:p>
        </w:tc>
        <w:tc>
          <w:tcPr>
            <w:tcW w:w="63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1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9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日均值第X百分位数</w:t>
            </w:r>
          </w:p>
        </w:tc>
        <w:tc>
          <w:tcPr>
            <w:tcW w:w="61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128</w:t>
            </w:r>
          </w:p>
        </w:tc>
        <w:tc>
          <w:tcPr>
            <w:tcW w:w="59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147</w:t>
            </w:r>
          </w:p>
        </w:tc>
        <w:tc>
          <w:tcPr>
            <w:tcW w:w="57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55</w:t>
            </w:r>
          </w:p>
        </w:tc>
        <w:tc>
          <w:tcPr>
            <w:tcW w:w="47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38</w:t>
            </w:r>
          </w:p>
        </w:tc>
        <w:tc>
          <w:tcPr>
            <w:tcW w:w="63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w:t>
            </w:r>
          </w:p>
        </w:tc>
        <w:tc>
          <w:tcPr>
            <w:tcW w:w="71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9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污染物年评价</w:t>
            </w:r>
          </w:p>
        </w:tc>
        <w:tc>
          <w:tcPr>
            <w:tcW w:w="61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超标</w:t>
            </w:r>
          </w:p>
        </w:tc>
        <w:tc>
          <w:tcPr>
            <w:tcW w:w="59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c>
          <w:tcPr>
            <w:tcW w:w="57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c>
          <w:tcPr>
            <w:tcW w:w="47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c>
          <w:tcPr>
            <w:tcW w:w="63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c>
          <w:tcPr>
            <w:tcW w:w="71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bl>
    <w:p>
      <w:pPr>
        <w:spacing w:line="360" w:lineRule="auto"/>
        <w:outlineLvl w:val="3"/>
        <w:rPr>
          <w:b/>
          <w:color w:val="auto"/>
          <w:sz w:val="24"/>
        </w:rPr>
      </w:pPr>
      <w:r>
        <w:rPr>
          <w:b/>
          <w:color w:val="auto"/>
          <w:sz w:val="24"/>
        </w:rPr>
        <w:t>4.2.1.2其他污染物环境质量达标情况</w:t>
      </w:r>
    </w:p>
    <w:p>
      <w:pPr>
        <w:widowControl/>
        <w:spacing w:line="360" w:lineRule="auto"/>
        <w:ind w:firstLine="480" w:firstLineChars="200"/>
        <w:contextualSpacing/>
        <w:rPr>
          <w:color w:val="auto"/>
          <w:kern w:val="0"/>
          <w:sz w:val="24"/>
        </w:rPr>
      </w:pPr>
      <w:r>
        <w:rPr>
          <w:rFonts w:hint="eastAsia"/>
          <w:color w:val="auto"/>
          <w:sz w:val="24"/>
          <w:szCs w:val="22"/>
          <w:lang w:eastAsia="zh-CN"/>
        </w:rPr>
        <w:t>黑龙江克巽检测技术有限公司</w:t>
      </w:r>
      <w:r>
        <w:rPr>
          <w:color w:val="auto"/>
          <w:sz w:val="24"/>
          <w:szCs w:val="22"/>
        </w:rPr>
        <w:t>于202</w:t>
      </w:r>
      <w:r>
        <w:rPr>
          <w:rFonts w:hint="eastAsia"/>
          <w:color w:val="auto"/>
          <w:sz w:val="24"/>
          <w:szCs w:val="22"/>
        </w:rPr>
        <w:t>3</w:t>
      </w:r>
      <w:r>
        <w:rPr>
          <w:color w:val="auto"/>
          <w:sz w:val="24"/>
          <w:szCs w:val="22"/>
        </w:rPr>
        <w:t>年</w:t>
      </w:r>
      <w:r>
        <w:rPr>
          <w:rFonts w:hint="eastAsia"/>
          <w:color w:val="auto"/>
          <w:sz w:val="24"/>
          <w:szCs w:val="22"/>
          <w:lang w:val="en-US" w:eastAsia="zh-CN"/>
        </w:rPr>
        <w:t>08</w:t>
      </w:r>
      <w:r>
        <w:rPr>
          <w:color w:val="auto"/>
          <w:sz w:val="24"/>
          <w:szCs w:val="22"/>
        </w:rPr>
        <w:t>月</w:t>
      </w:r>
      <w:r>
        <w:rPr>
          <w:rFonts w:hint="eastAsia"/>
          <w:color w:val="auto"/>
          <w:sz w:val="24"/>
          <w:szCs w:val="22"/>
          <w:lang w:val="en-US" w:eastAsia="zh-CN"/>
        </w:rPr>
        <w:t>29</w:t>
      </w:r>
      <w:r>
        <w:rPr>
          <w:color w:val="auto"/>
          <w:sz w:val="24"/>
          <w:szCs w:val="22"/>
        </w:rPr>
        <w:t>日~</w:t>
      </w:r>
      <w:r>
        <w:rPr>
          <w:rFonts w:hint="eastAsia"/>
          <w:color w:val="auto"/>
          <w:sz w:val="24"/>
          <w:szCs w:val="22"/>
          <w:lang w:val="en-US" w:eastAsia="zh-CN"/>
        </w:rPr>
        <w:t>09月04</w:t>
      </w:r>
      <w:r>
        <w:rPr>
          <w:color w:val="auto"/>
          <w:sz w:val="24"/>
          <w:szCs w:val="22"/>
        </w:rPr>
        <w:t>日对本项目厂址</w:t>
      </w:r>
      <w:r>
        <w:rPr>
          <w:rFonts w:hint="eastAsia"/>
          <w:color w:val="auto"/>
          <w:sz w:val="24"/>
          <w:szCs w:val="22"/>
          <w:lang w:val="en-US" w:eastAsia="zh-CN"/>
        </w:rPr>
        <w:t>及厂址</w:t>
      </w:r>
      <w:r>
        <w:rPr>
          <w:color w:val="auto"/>
          <w:sz w:val="24"/>
          <w:szCs w:val="22"/>
        </w:rPr>
        <w:t>下风向处的NH</w:t>
      </w:r>
      <w:r>
        <w:rPr>
          <w:color w:val="auto"/>
          <w:sz w:val="24"/>
          <w:szCs w:val="22"/>
          <w:vertAlign w:val="subscript"/>
        </w:rPr>
        <w:t>3</w:t>
      </w:r>
      <w:r>
        <w:rPr>
          <w:color w:val="auto"/>
          <w:sz w:val="24"/>
          <w:szCs w:val="22"/>
        </w:rPr>
        <w:t>、H</w:t>
      </w:r>
      <w:r>
        <w:rPr>
          <w:color w:val="auto"/>
          <w:sz w:val="24"/>
          <w:szCs w:val="22"/>
          <w:vertAlign w:val="subscript"/>
        </w:rPr>
        <w:t>2</w:t>
      </w:r>
      <w:r>
        <w:rPr>
          <w:color w:val="auto"/>
          <w:sz w:val="24"/>
          <w:szCs w:val="22"/>
        </w:rPr>
        <w:t>S</w:t>
      </w:r>
      <w:r>
        <w:rPr>
          <w:rFonts w:hint="eastAsia"/>
          <w:color w:val="auto"/>
          <w:sz w:val="24"/>
          <w:szCs w:val="22"/>
          <w:lang w:eastAsia="zh-CN"/>
        </w:rPr>
        <w:t>、</w:t>
      </w:r>
      <w:r>
        <w:rPr>
          <w:rFonts w:hint="eastAsia"/>
          <w:color w:val="auto"/>
          <w:sz w:val="24"/>
          <w:szCs w:val="22"/>
          <w:lang w:val="en-US" w:eastAsia="zh-CN"/>
        </w:rPr>
        <w:t>TSP三</w:t>
      </w:r>
      <w:r>
        <w:rPr>
          <w:color w:val="auto"/>
          <w:sz w:val="24"/>
          <w:szCs w:val="22"/>
        </w:rPr>
        <w:t>项其他污染物进行现状监测。</w:t>
      </w:r>
      <w:r>
        <w:rPr>
          <w:color w:val="auto"/>
          <w:sz w:val="24"/>
        </w:rPr>
        <w:t>监测点位信息见表4-2-2及图4-2-1，监测结果见表4-2-3。</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b/>
          <w:color w:val="auto"/>
          <w:kern w:val="0"/>
          <w:sz w:val="24"/>
        </w:rPr>
      </w:pPr>
      <w:r>
        <w:rPr>
          <w:b/>
          <w:color w:val="auto"/>
          <w:kern w:val="0"/>
          <w:sz w:val="24"/>
        </w:rPr>
        <w:t>表4-2-2 其他污染物补充监测点基本信息</w:t>
      </w:r>
    </w:p>
    <w:tbl>
      <w:tblPr>
        <w:tblStyle w:val="4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010"/>
        <w:gridCol w:w="1424"/>
        <w:gridCol w:w="1320"/>
        <w:gridCol w:w="1141"/>
        <w:gridCol w:w="1760"/>
        <w:gridCol w:w="791"/>
        <w:gridCol w:w="107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92" w:type="pct"/>
            <w:vMerge w:val="restart"/>
            <w:tcBorders>
              <w:top w:val="single" w:color="000000" w:sz="12" w:space="0"/>
              <w:left w:val="nil"/>
              <w:bottom w:val="single" w:color="000000" w:sz="4" w:space="0"/>
              <w:right w:val="single" w:color="000000" w:sz="4" w:space="0"/>
            </w:tcBorders>
            <w:vAlign w:val="center"/>
          </w:tcPr>
          <w:p>
            <w:pPr>
              <w:spacing w:line="0" w:lineRule="atLeast"/>
              <w:contextualSpacing/>
              <w:jc w:val="center"/>
              <w:rPr>
                <w:color w:val="auto"/>
                <w:szCs w:val="21"/>
              </w:rPr>
            </w:pPr>
            <w:r>
              <w:rPr>
                <w:color w:val="auto"/>
                <w:szCs w:val="21"/>
              </w:rPr>
              <w:t>监测点名称</w:t>
            </w:r>
          </w:p>
        </w:tc>
        <w:tc>
          <w:tcPr>
            <w:tcW w:w="1609" w:type="pct"/>
            <w:gridSpan w:val="2"/>
            <w:tcBorders>
              <w:top w:val="single" w:color="000000" w:sz="12" w:space="0"/>
              <w:left w:val="single" w:color="000000" w:sz="4" w:space="0"/>
              <w:bottom w:val="single" w:color="auto" w:sz="4" w:space="0"/>
              <w:right w:val="single" w:color="000000" w:sz="4" w:space="0"/>
            </w:tcBorders>
            <w:vAlign w:val="center"/>
          </w:tcPr>
          <w:p>
            <w:pPr>
              <w:spacing w:line="0" w:lineRule="atLeast"/>
              <w:contextualSpacing/>
              <w:jc w:val="center"/>
              <w:rPr>
                <w:color w:val="auto"/>
                <w:kern w:val="0"/>
                <w:szCs w:val="21"/>
              </w:rPr>
            </w:pPr>
            <w:r>
              <w:rPr>
                <w:color w:val="auto"/>
                <w:kern w:val="0"/>
                <w:szCs w:val="21"/>
              </w:rPr>
              <w:t>监测点坐标/°</w:t>
            </w:r>
          </w:p>
        </w:tc>
        <w:tc>
          <w:tcPr>
            <w:tcW w:w="669" w:type="pct"/>
            <w:vMerge w:val="restart"/>
            <w:tcBorders>
              <w:top w:val="single" w:color="000000" w:sz="12" w:space="0"/>
              <w:left w:val="single" w:color="000000" w:sz="4" w:space="0"/>
              <w:bottom w:val="single" w:color="000000" w:sz="4" w:space="0"/>
              <w:right w:val="single" w:color="000000" w:sz="4" w:space="0"/>
            </w:tcBorders>
            <w:vAlign w:val="center"/>
          </w:tcPr>
          <w:p>
            <w:pPr>
              <w:spacing w:line="0" w:lineRule="atLeast"/>
              <w:contextualSpacing/>
              <w:jc w:val="center"/>
              <w:rPr>
                <w:color w:val="auto"/>
                <w:kern w:val="0"/>
                <w:szCs w:val="21"/>
              </w:rPr>
            </w:pPr>
            <w:r>
              <w:rPr>
                <w:color w:val="auto"/>
                <w:kern w:val="0"/>
                <w:szCs w:val="21"/>
              </w:rPr>
              <w:t>监测因子</w:t>
            </w:r>
          </w:p>
        </w:tc>
        <w:tc>
          <w:tcPr>
            <w:tcW w:w="1032" w:type="pct"/>
            <w:vMerge w:val="restart"/>
            <w:tcBorders>
              <w:top w:val="single" w:color="000000" w:sz="12" w:space="0"/>
              <w:left w:val="single" w:color="000000" w:sz="4" w:space="0"/>
              <w:bottom w:val="single" w:color="000000" w:sz="4" w:space="0"/>
              <w:right w:val="single" w:color="000000" w:sz="4" w:space="0"/>
            </w:tcBorders>
            <w:vAlign w:val="center"/>
          </w:tcPr>
          <w:p>
            <w:pPr>
              <w:spacing w:line="0" w:lineRule="atLeast"/>
              <w:contextualSpacing/>
              <w:jc w:val="center"/>
              <w:rPr>
                <w:color w:val="auto"/>
                <w:szCs w:val="21"/>
              </w:rPr>
            </w:pPr>
            <w:r>
              <w:rPr>
                <w:color w:val="auto"/>
                <w:szCs w:val="21"/>
              </w:rPr>
              <w:t>监测时段</w:t>
            </w:r>
          </w:p>
        </w:tc>
        <w:tc>
          <w:tcPr>
            <w:tcW w:w="464" w:type="pct"/>
            <w:vMerge w:val="restart"/>
            <w:tcBorders>
              <w:top w:val="single" w:color="000000" w:sz="12" w:space="0"/>
              <w:left w:val="single" w:color="000000" w:sz="4" w:space="0"/>
              <w:bottom w:val="single" w:color="000000" w:sz="4" w:space="0"/>
              <w:right w:val="single" w:color="000000" w:sz="4" w:space="0"/>
            </w:tcBorders>
            <w:vAlign w:val="center"/>
          </w:tcPr>
          <w:p>
            <w:pPr>
              <w:spacing w:line="0" w:lineRule="atLeast"/>
              <w:contextualSpacing/>
              <w:jc w:val="center"/>
              <w:rPr>
                <w:color w:val="auto"/>
                <w:szCs w:val="21"/>
              </w:rPr>
            </w:pPr>
            <w:r>
              <w:rPr>
                <w:color w:val="auto"/>
                <w:szCs w:val="21"/>
              </w:rPr>
              <w:t>相对厂址方位</w:t>
            </w:r>
          </w:p>
        </w:tc>
        <w:tc>
          <w:tcPr>
            <w:tcW w:w="631" w:type="pct"/>
            <w:vMerge w:val="restart"/>
            <w:tcBorders>
              <w:top w:val="single" w:color="000000" w:sz="12" w:space="0"/>
              <w:left w:val="single" w:color="000000" w:sz="4" w:space="0"/>
              <w:bottom w:val="single" w:color="000000" w:sz="4" w:space="0"/>
              <w:right w:val="nil"/>
            </w:tcBorders>
            <w:vAlign w:val="center"/>
          </w:tcPr>
          <w:p>
            <w:pPr>
              <w:spacing w:line="0" w:lineRule="atLeast"/>
              <w:contextualSpacing/>
              <w:jc w:val="center"/>
              <w:rPr>
                <w:color w:val="auto"/>
                <w:szCs w:val="21"/>
              </w:rPr>
            </w:pPr>
            <w:r>
              <w:rPr>
                <w:color w:val="auto"/>
                <w:szCs w:val="21"/>
              </w:rPr>
              <w:t>相对厂界距离/m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0" w:hRule="atLeast"/>
        </w:trPr>
        <w:tc>
          <w:tcPr>
            <w:tcW w:w="592" w:type="pct"/>
            <w:vMerge w:val="continue"/>
            <w:tcBorders>
              <w:top w:val="single" w:color="000000" w:sz="12" w:space="0"/>
              <w:left w:val="nil"/>
              <w:bottom w:val="single" w:color="000000" w:sz="4" w:space="0"/>
              <w:right w:val="single" w:color="000000" w:sz="4" w:space="0"/>
            </w:tcBorders>
            <w:vAlign w:val="center"/>
          </w:tcPr>
          <w:p>
            <w:pPr>
              <w:widowControl/>
              <w:spacing w:line="0" w:lineRule="atLeast"/>
              <w:contextualSpacing/>
              <w:jc w:val="left"/>
              <w:rPr>
                <w:color w:val="auto"/>
                <w:szCs w:val="21"/>
              </w:rPr>
            </w:pPr>
          </w:p>
        </w:tc>
        <w:tc>
          <w:tcPr>
            <w:tcW w:w="835" w:type="pct"/>
            <w:tcBorders>
              <w:top w:val="single" w:color="auto" w:sz="4" w:space="0"/>
              <w:left w:val="single" w:color="000000" w:sz="4" w:space="0"/>
              <w:bottom w:val="single" w:color="000000" w:sz="4" w:space="0"/>
              <w:right w:val="single" w:color="auto" w:sz="4" w:space="0"/>
            </w:tcBorders>
            <w:vAlign w:val="center"/>
          </w:tcPr>
          <w:p>
            <w:pPr>
              <w:spacing w:line="0" w:lineRule="atLeast"/>
              <w:contextualSpacing/>
              <w:jc w:val="center"/>
              <w:rPr>
                <w:color w:val="auto"/>
                <w:kern w:val="0"/>
                <w:szCs w:val="21"/>
              </w:rPr>
            </w:pPr>
            <w:r>
              <w:rPr>
                <w:color w:val="auto"/>
                <w:kern w:val="0"/>
                <w:szCs w:val="21"/>
              </w:rPr>
              <w:t>经度</w:t>
            </w:r>
          </w:p>
        </w:tc>
        <w:tc>
          <w:tcPr>
            <w:tcW w:w="774" w:type="pct"/>
            <w:tcBorders>
              <w:top w:val="single" w:color="auto" w:sz="4" w:space="0"/>
              <w:left w:val="single" w:color="auto" w:sz="4" w:space="0"/>
              <w:bottom w:val="single" w:color="000000" w:sz="4" w:space="0"/>
              <w:right w:val="single" w:color="000000" w:sz="4" w:space="0"/>
            </w:tcBorders>
            <w:vAlign w:val="center"/>
          </w:tcPr>
          <w:p>
            <w:pPr>
              <w:spacing w:line="0" w:lineRule="atLeast"/>
              <w:contextualSpacing/>
              <w:jc w:val="center"/>
              <w:rPr>
                <w:color w:val="auto"/>
                <w:kern w:val="0"/>
                <w:szCs w:val="21"/>
              </w:rPr>
            </w:pPr>
            <w:r>
              <w:rPr>
                <w:color w:val="auto"/>
                <w:kern w:val="0"/>
                <w:szCs w:val="21"/>
              </w:rPr>
              <w:t>纬度</w:t>
            </w:r>
          </w:p>
        </w:tc>
        <w:tc>
          <w:tcPr>
            <w:tcW w:w="669" w:type="pct"/>
            <w:vMerge w:val="continue"/>
            <w:tcBorders>
              <w:top w:val="single" w:color="000000" w:sz="12" w:space="0"/>
              <w:left w:val="single" w:color="000000" w:sz="4" w:space="0"/>
              <w:bottom w:val="single" w:color="000000" w:sz="4" w:space="0"/>
              <w:right w:val="single" w:color="000000" w:sz="4" w:space="0"/>
            </w:tcBorders>
            <w:vAlign w:val="center"/>
          </w:tcPr>
          <w:p>
            <w:pPr>
              <w:widowControl/>
              <w:spacing w:line="0" w:lineRule="atLeast"/>
              <w:contextualSpacing/>
              <w:jc w:val="left"/>
              <w:rPr>
                <w:color w:val="auto"/>
                <w:kern w:val="0"/>
                <w:szCs w:val="21"/>
              </w:rPr>
            </w:pPr>
          </w:p>
        </w:tc>
        <w:tc>
          <w:tcPr>
            <w:tcW w:w="1032" w:type="pct"/>
            <w:vMerge w:val="continue"/>
            <w:tcBorders>
              <w:top w:val="single" w:color="000000" w:sz="12" w:space="0"/>
              <w:left w:val="single" w:color="000000" w:sz="4" w:space="0"/>
              <w:bottom w:val="single" w:color="000000" w:sz="4" w:space="0"/>
              <w:right w:val="single" w:color="000000" w:sz="4" w:space="0"/>
            </w:tcBorders>
            <w:vAlign w:val="center"/>
          </w:tcPr>
          <w:p>
            <w:pPr>
              <w:widowControl/>
              <w:spacing w:line="0" w:lineRule="atLeast"/>
              <w:contextualSpacing/>
              <w:jc w:val="left"/>
              <w:rPr>
                <w:color w:val="auto"/>
                <w:szCs w:val="21"/>
              </w:rPr>
            </w:pPr>
          </w:p>
        </w:tc>
        <w:tc>
          <w:tcPr>
            <w:tcW w:w="464" w:type="pct"/>
            <w:vMerge w:val="continue"/>
            <w:tcBorders>
              <w:top w:val="single" w:color="000000" w:sz="12" w:space="0"/>
              <w:left w:val="single" w:color="000000" w:sz="4" w:space="0"/>
              <w:bottom w:val="single" w:color="000000" w:sz="4" w:space="0"/>
              <w:right w:val="single" w:color="000000" w:sz="4" w:space="0"/>
            </w:tcBorders>
            <w:vAlign w:val="center"/>
          </w:tcPr>
          <w:p>
            <w:pPr>
              <w:widowControl/>
              <w:spacing w:line="0" w:lineRule="atLeast"/>
              <w:contextualSpacing/>
              <w:jc w:val="left"/>
              <w:rPr>
                <w:color w:val="auto"/>
                <w:szCs w:val="21"/>
              </w:rPr>
            </w:pPr>
          </w:p>
        </w:tc>
        <w:tc>
          <w:tcPr>
            <w:tcW w:w="0" w:type="auto"/>
            <w:vMerge w:val="continue"/>
            <w:tcBorders>
              <w:top w:val="single" w:color="000000" w:sz="12" w:space="0"/>
              <w:left w:val="single" w:color="000000" w:sz="4" w:space="0"/>
              <w:bottom w:val="single" w:color="000000" w:sz="4" w:space="0"/>
              <w:right w:val="nil"/>
            </w:tcBorders>
            <w:vAlign w:val="center"/>
          </w:tcPr>
          <w:p>
            <w:pPr>
              <w:widowControl/>
              <w:spacing w:line="0" w:lineRule="atLeast"/>
              <w:contextualSpacing/>
              <w:jc w:val="left"/>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2" w:type="pct"/>
            <w:tcBorders>
              <w:top w:val="single" w:color="000000" w:sz="4" w:space="0"/>
              <w:left w:val="nil"/>
              <w:bottom w:val="single" w:color="000000" w:sz="4" w:space="0"/>
              <w:right w:val="single" w:color="000000" w:sz="4" w:space="0"/>
            </w:tcBorders>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厂址1</w:t>
            </w:r>
          </w:p>
        </w:tc>
        <w:tc>
          <w:tcPr>
            <w:tcW w:w="835" w:type="pct"/>
            <w:tcBorders>
              <w:top w:val="single" w:color="000000" w:sz="4" w:space="0"/>
              <w:left w:val="single" w:color="000000" w:sz="4" w:space="0"/>
              <w:bottom w:val="single" w:color="000000" w:sz="4" w:space="0"/>
              <w:right w:val="single" w:color="auto" w:sz="4" w:space="0"/>
            </w:tcBorders>
            <w:vAlign w:val="center"/>
          </w:tcPr>
          <w:p>
            <w:pPr>
              <w:spacing w:line="0" w:lineRule="atLeast"/>
              <w:contextualSpacing/>
              <w:jc w:val="center"/>
              <w:rPr>
                <w:color w:val="auto"/>
                <w:kern w:val="0"/>
                <w:szCs w:val="21"/>
              </w:rPr>
            </w:pPr>
            <w:r>
              <w:rPr>
                <w:color w:val="auto"/>
                <w:kern w:val="0"/>
                <w:szCs w:val="21"/>
              </w:rPr>
              <w:t>127.81030655</w:t>
            </w:r>
          </w:p>
        </w:tc>
        <w:tc>
          <w:tcPr>
            <w:tcW w:w="774" w:type="pct"/>
            <w:tcBorders>
              <w:top w:val="single" w:color="000000" w:sz="4" w:space="0"/>
              <w:left w:val="single" w:color="auto" w:sz="4" w:space="0"/>
              <w:bottom w:val="single" w:color="000000" w:sz="4" w:space="0"/>
              <w:right w:val="single" w:color="000000" w:sz="4" w:space="0"/>
            </w:tcBorders>
            <w:vAlign w:val="center"/>
          </w:tcPr>
          <w:p>
            <w:pPr>
              <w:spacing w:line="0" w:lineRule="atLeast"/>
              <w:contextualSpacing/>
              <w:jc w:val="center"/>
              <w:rPr>
                <w:color w:val="auto"/>
                <w:kern w:val="0"/>
                <w:szCs w:val="21"/>
              </w:rPr>
            </w:pPr>
            <w:r>
              <w:rPr>
                <w:color w:val="auto"/>
                <w:kern w:val="0"/>
                <w:szCs w:val="21"/>
              </w:rPr>
              <w:t>45.30501783</w:t>
            </w:r>
          </w:p>
        </w:tc>
        <w:tc>
          <w:tcPr>
            <w:tcW w:w="669" w:type="pct"/>
            <w:vMerge w:val="restart"/>
            <w:tcBorders>
              <w:top w:val="single" w:color="000000" w:sz="4" w:space="0"/>
              <w:left w:val="single" w:color="000000" w:sz="4" w:space="0"/>
              <w:right w:val="single" w:color="000000" w:sz="4" w:space="0"/>
            </w:tcBorders>
            <w:vAlign w:val="center"/>
          </w:tcPr>
          <w:p>
            <w:pPr>
              <w:spacing w:line="0" w:lineRule="atLeast"/>
              <w:contextualSpacing/>
              <w:jc w:val="center"/>
              <w:rPr>
                <w:rFonts w:hint="default" w:eastAsia="宋体"/>
                <w:color w:val="auto"/>
                <w:szCs w:val="21"/>
                <w:lang w:val="en-US" w:eastAsia="zh-CN"/>
              </w:rPr>
            </w:pPr>
            <w:r>
              <w:rPr>
                <w:color w:val="auto"/>
                <w:kern w:val="0"/>
                <w:szCs w:val="21"/>
              </w:rPr>
              <w:t>NH</w:t>
            </w:r>
            <w:r>
              <w:rPr>
                <w:color w:val="auto"/>
                <w:kern w:val="0"/>
                <w:szCs w:val="21"/>
                <w:vertAlign w:val="subscript"/>
              </w:rPr>
              <w:t>3</w:t>
            </w:r>
            <w:r>
              <w:rPr>
                <w:color w:val="auto"/>
                <w:kern w:val="0"/>
                <w:szCs w:val="21"/>
              </w:rPr>
              <w:t>、H</w:t>
            </w:r>
            <w:r>
              <w:rPr>
                <w:color w:val="auto"/>
                <w:kern w:val="0"/>
                <w:szCs w:val="21"/>
                <w:vertAlign w:val="subscript"/>
              </w:rPr>
              <w:t>2</w:t>
            </w:r>
            <w:r>
              <w:rPr>
                <w:color w:val="auto"/>
                <w:kern w:val="0"/>
                <w:szCs w:val="21"/>
              </w:rPr>
              <w:t>S</w:t>
            </w:r>
            <w:r>
              <w:rPr>
                <w:rFonts w:hint="eastAsia"/>
                <w:color w:val="auto"/>
                <w:kern w:val="0"/>
                <w:szCs w:val="21"/>
                <w:lang w:eastAsia="zh-CN"/>
              </w:rPr>
              <w:t>、</w:t>
            </w:r>
            <w:r>
              <w:rPr>
                <w:rFonts w:hint="eastAsia"/>
                <w:color w:val="auto"/>
                <w:kern w:val="0"/>
                <w:szCs w:val="21"/>
                <w:lang w:val="en-US" w:eastAsia="zh-CN"/>
              </w:rPr>
              <w:t>TSP</w:t>
            </w:r>
          </w:p>
        </w:tc>
        <w:tc>
          <w:tcPr>
            <w:tcW w:w="1032" w:type="pct"/>
            <w:vMerge w:val="restart"/>
            <w:tcBorders>
              <w:top w:val="single" w:color="000000" w:sz="4" w:space="0"/>
              <w:left w:val="single" w:color="000000" w:sz="4" w:space="0"/>
              <w:right w:val="single" w:color="000000" w:sz="4" w:space="0"/>
            </w:tcBorders>
            <w:vAlign w:val="center"/>
          </w:tcPr>
          <w:p>
            <w:pPr>
              <w:spacing w:line="0" w:lineRule="atLeast"/>
              <w:contextualSpacing/>
              <w:jc w:val="center"/>
              <w:rPr>
                <w:color w:val="auto"/>
                <w:szCs w:val="21"/>
              </w:rPr>
            </w:pPr>
            <w:r>
              <w:rPr>
                <w:color w:val="auto"/>
                <w:szCs w:val="21"/>
              </w:rPr>
              <w:t>202</w:t>
            </w:r>
            <w:r>
              <w:rPr>
                <w:rFonts w:hint="eastAsia"/>
                <w:color w:val="auto"/>
                <w:szCs w:val="21"/>
              </w:rPr>
              <w:t>3</w:t>
            </w:r>
            <w:r>
              <w:rPr>
                <w:color w:val="auto"/>
                <w:szCs w:val="21"/>
              </w:rPr>
              <w:t>年</w:t>
            </w:r>
            <w:r>
              <w:rPr>
                <w:rFonts w:hint="eastAsia"/>
                <w:color w:val="auto"/>
                <w:szCs w:val="21"/>
                <w:lang w:val="en-US" w:eastAsia="zh-CN"/>
              </w:rPr>
              <w:t>08</w:t>
            </w:r>
            <w:r>
              <w:rPr>
                <w:color w:val="auto"/>
                <w:szCs w:val="21"/>
              </w:rPr>
              <w:t>月</w:t>
            </w:r>
            <w:r>
              <w:rPr>
                <w:rFonts w:hint="eastAsia"/>
                <w:color w:val="auto"/>
                <w:szCs w:val="21"/>
                <w:lang w:val="en-US" w:eastAsia="zh-CN"/>
              </w:rPr>
              <w:t>29</w:t>
            </w:r>
            <w:r>
              <w:rPr>
                <w:color w:val="auto"/>
                <w:szCs w:val="21"/>
              </w:rPr>
              <w:t>日~</w:t>
            </w:r>
            <w:r>
              <w:rPr>
                <w:rFonts w:hint="eastAsia"/>
                <w:color w:val="auto"/>
                <w:szCs w:val="21"/>
                <w:lang w:val="en-US" w:eastAsia="zh-CN"/>
              </w:rPr>
              <w:t>09月04</w:t>
            </w:r>
            <w:r>
              <w:rPr>
                <w:color w:val="auto"/>
                <w:szCs w:val="21"/>
              </w:rPr>
              <w:t>日</w:t>
            </w:r>
          </w:p>
        </w:tc>
        <w:tc>
          <w:tcPr>
            <w:tcW w:w="464" w:type="pct"/>
            <w:tcBorders>
              <w:top w:val="single" w:color="000000" w:sz="4" w:space="0"/>
              <w:left w:val="single" w:color="000000" w:sz="4" w:space="0"/>
              <w:bottom w:val="single" w:color="000000" w:sz="4" w:space="0"/>
              <w:right w:val="single" w:color="000000" w:sz="4" w:space="0"/>
            </w:tcBorders>
            <w:vAlign w:val="center"/>
          </w:tcPr>
          <w:p>
            <w:pPr>
              <w:spacing w:line="0" w:lineRule="atLeast"/>
              <w:contextualSpacing/>
              <w:jc w:val="center"/>
              <w:rPr>
                <w:rFonts w:hint="eastAsia" w:eastAsia="宋体"/>
                <w:color w:val="auto"/>
                <w:szCs w:val="21"/>
                <w:lang w:val="en-US" w:eastAsia="zh-CN"/>
              </w:rPr>
            </w:pPr>
            <w:r>
              <w:rPr>
                <w:rFonts w:hint="eastAsia"/>
                <w:color w:val="auto"/>
                <w:szCs w:val="21"/>
                <w:lang w:val="en-US" w:eastAsia="zh-CN"/>
              </w:rPr>
              <w:t>/</w:t>
            </w:r>
          </w:p>
        </w:tc>
        <w:tc>
          <w:tcPr>
            <w:tcW w:w="631" w:type="pct"/>
            <w:tcBorders>
              <w:top w:val="single" w:color="000000" w:sz="4" w:space="0"/>
              <w:left w:val="single" w:color="000000" w:sz="4" w:space="0"/>
              <w:bottom w:val="single" w:color="000000" w:sz="4" w:space="0"/>
              <w:right w:val="nil"/>
            </w:tcBorders>
            <w:vAlign w:val="center"/>
          </w:tcPr>
          <w:p>
            <w:pPr>
              <w:spacing w:line="0" w:lineRule="atLeast"/>
              <w:contextualSpacing/>
              <w:jc w:val="center"/>
              <w:rPr>
                <w:rFonts w:hint="eastAsia" w:eastAsia="宋体"/>
                <w:color w:val="auto"/>
                <w:szCs w:val="21"/>
                <w:lang w:val="en-US" w:eastAsia="zh-CN"/>
              </w:rPr>
            </w:pPr>
            <w:r>
              <w:rPr>
                <w:rFonts w:hint="eastAsia"/>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2" w:type="pct"/>
            <w:tcBorders>
              <w:top w:val="single" w:color="000000" w:sz="4" w:space="0"/>
              <w:left w:val="nil"/>
              <w:bottom w:val="single" w:color="000000" w:sz="12" w:space="0"/>
              <w:right w:val="single" w:color="000000" w:sz="4" w:space="0"/>
            </w:tcBorders>
            <w:vAlign w:val="center"/>
          </w:tcPr>
          <w:p>
            <w:pPr>
              <w:spacing w:line="0" w:lineRule="atLeast"/>
              <w:contextualSpacing/>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eastAsia="zh-CN"/>
              </w:rPr>
              <w:t>厂址下风向</w:t>
            </w:r>
            <w:r>
              <w:rPr>
                <w:rFonts w:hint="eastAsia"/>
                <w:color w:val="auto"/>
                <w:szCs w:val="21"/>
                <w:lang w:val="en-US" w:eastAsia="zh-CN"/>
              </w:rPr>
              <w:t>2</w:t>
            </w:r>
          </w:p>
        </w:tc>
        <w:tc>
          <w:tcPr>
            <w:tcW w:w="835" w:type="pct"/>
            <w:tcBorders>
              <w:top w:val="single" w:color="000000" w:sz="4" w:space="0"/>
              <w:left w:val="single" w:color="000000" w:sz="4" w:space="0"/>
              <w:bottom w:val="single" w:color="000000" w:sz="12" w:space="0"/>
              <w:right w:val="single" w:color="auto" w:sz="4" w:space="0"/>
            </w:tcBorders>
            <w:vAlign w:val="center"/>
          </w:tcPr>
          <w:p>
            <w:pPr>
              <w:spacing w:line="0" w:lineRule="atLeast"/>
              <w:contextualSpacing/>
              <w:jc w:val="center"/>
              <w:rPr>
                <w:rFonts w:ascii="Times New Roman" w:hAnsi="Times New Roman" w:eastAsia="宋体" w:cs="Times New Roman"/>
                <w:color w:val="auto"/>
                <w:kern w:val="0"/>
                <w:sz w:val="21"/>
                <w:szCs w:val="21"/>
                <w:lang w:val="en-US" w:eastAsia="zh-CN" w:bidi="ar-SA"/>
              </w:rPr>
            </w:pPr>
            <w:r>
              <w:rPr>
                <w:rFonts w:ascii="Times New Roman" w:hAnsi="Times New Roman" w:eastAsia="宋体" w:cs="Times New Roman"/>
                <w:color w:val="auto"/>
                <w:kern w:val="0"/>
                <w:sz w:val="21"/>
                <w:szCs w:val="21"/>
                <w:lang w:val="en-US" w:eastAsia="zh-CN" w:bidi="ar-SA"/>
              </w:rPr>
              <w:t>127.81764507</w:t>
            </w:r>
          </w:p>
        </w:tc>
        <w:tc>
          <w:tcPr>
            <w:tcW w:w="774" w:type="pct"/>
            <w:tcBorders>
              <w:top w:val="single" w:color="000000" w:sz="4" w:space="0"/>
              <w:left w:val="single" w:color="auto" w:sz="4" w:space="0"/>
              <w:bottom w:val="single" w:color="000000" w:sz="12" w:space="0"/>
              <w:right w:val="single" w:color="000000" w:sz="4" w:space="0"/>
            </w:tcBorders>
            <w:vAlign w:val="center"/>
          </w:tcPr>
          <w:p>
            <w:pPr>
              <w:spacing w:line="0" w:lineRule="atLeast"/>
              <w:contextualSpacing/>
              <w:jc w:val="center"/>
              <w:rPr>
                <w:rFonts w:ascii="Times New Roman" w:hAnsi="Times New Roman" w:eastAsia="宋体" w:cs="Times New Roman"/>
                <w:color w:val="auto"/>
                <w:kern w:val="0"/>
                <w:sz w:val="21"/>
                <w:szCs w:val="21"/>
                <w:lang w:val="en-US" w:eastAsia="zh-CN" w:bidi="ar-SA"/>
              </w:rPr>
            </w:pPr>
            <w:r>
              <w:rPr>
                <w:rFonts w:ascii="Times New Roman" w:hAnsi="Times New Roman" w:eastAsia="宋体" w:cs="Times New Roman"/>
                <w:color w:val="auto"/>
                <w:kern w:val="0"/>
                <w:sz w:val="21"/>
                <w:szCs w:val="21"/>
                <w:lang w:val="en-US" w:eastAsia="zh-CN" w:bidi="ar-SA"/>
              </w:rPr>
              <w:t>45.30531966</w:t>
            </w:r>
          </w:p>
        </w:tc>
        <w:tc>
          <w:tcPr>
            <w:tcW w:w="669" w:type="pct"/>
            <w:vMerge w:val="continue"/>
            <w:tcBorders>
              <w:left w:val="single" w:color="000000" w:sz="4" w:space="0"/>
              <w:bottom w:val="single" w:color="000000" w:sz="12" w:space="0"/>
              <w:right w:val="single" w:color="000000" w:sz="4" w:space="0"/>
            </w:tcBorders>
            <w:vAlign w:val="center"/>
          </w:tcPr>
          <w:p>
            <w:pPr>
              <w:spacing w:line="0" w:lineRule="atLeast"/>
              <w:contextualSpacing/>
              <w:jc w:val="center"/>
              <w:rPr>
                <w:color w:val="auto"/>
                <w:kern w:val="0"/>
                <w:szCs w:val="21"/>
              </w:rPr>
            </w:pPr>
          </w:p>
        </w:tc>
        <w:tc>
          <w:tcPr>
            <w:tcW w:w="1032" w:type="pct"/>
            <w:vMerge w:val="continue"/>
            <w:tcBorders>
              <w:left w:val="single" w:color="000000" w:sz="4" w:space="0"/>
              <w:bottom w:val="single" w:color="000000" w:sz="12" w:space="0"/>
              <w:right w:val="single" w:color="000000" w:sz="4" w:space="0"/>
            </w:tcBorders>
            <w:vAlign w:val="center"/>
          </w:tcPr>
          <w:p>
            <w:pPr>
              <w:spacing w:line="0" w:lineRule="atLeast"/>
              <w:contextualSpacing/>
              <w:jc w:val="center"/>
              <w:rPr>
                <w:color w:val="auto"/>
                <w:szCs w:val="21"/>
              </w:rPr>
            </w:pPr>
          </w:p>
        </w:tc>
        <w:tc>
          <w:tcPr>
            <w:tcW w:w="464" w:type="pct"/>
            <w:tcBorders>
              <w:top w:val="single" w:color="000000" w:sz="4" w:space="0"/>
              <w:left w:val="single" w:color="000000" w:sz="4" w:space="0"/>
              <w:bottom w:val="single" w:color="000000" w:sz="12" w:space="0"/>
              <w:right w:val="single" w:color="000000" w:sz="4" w:space="0"/>
            </w:tcBorders>
            <w:vAlign w:val="center"/>
          </w:tcPr>
          <w:p>
            <w:pPr>
              <w:spacing w:line="0" w:lineRule="atLeast"/>
              <w:contextualSpacing/>
              <w:jc w:val="center"/>
              <w:rPr>
                <w:rFonts w:hint="eastAsia"/>
                <w:color w:val="auto"/>
                <w:szCs w:val="21"/>
              </w:rPr>
            </w:pPr>
            <w:r>
              <w:rPr>
                <w:rFonts w:hint="eastAsia"/>
                <w:color w:val="auto"/>
                <w:szCs w:val="21"/>
              </w:rPr>
              <w:t>E</w:t>
            </w:r>
          </w:p>
        </w:tc>
        <w:tc>
          <w:tcPr>
            <w:tcW w:w="631" w:type="pct"/>
            <w:tcBorders>
              <w:top w:val="single" w:color="000000" w:sz="4" w:space="0"/>
              <w:left w:val="single" w:color="000000" w:sz="4" w:space="0"/>
              <w:bottom w:val="single" w:color="000000" w:sz="12" w:space="0"/>
              <w:right w:val="nil"/>
            </w:tcBorders>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330</w:t>
            </w:r>
          </w:p>
        </w:tc>
      </w:tr>
    </w:tbl>
    <w:p>
      <w:pPr>
        <w:adjustRightInd w:val="0"/>
        <w:snapToGrid w:val="0"/>
        <w:jc w:val="center"/>
        <w:rPr>
          <w:b/>
          <w:color w:val="FF0000"/>
          <w:sz w:val="24"/>
        </w:rPr>
      </w:pPr>
      <w:r>
        <w:drawing>
          <wp:inline distT="0" distB="0" distL="114300" distR="114300">
            <wp:extent cx="5120005" cy="3295015"/>
            <wp:effectExtent l="0" t="0" r="4445" b="635"/>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45"/>
                    <a:stretch>
                      <a:fillRect/>
                    </a:stretch>
                  </pic:blipFill>
                  <pic:spPr>
                    <a:xfrm>
                      <a:off x="0" y="0"/>
                      <a:ext cx="5120005" cy="32950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contextualSpacing/>
        <w:jc w:val="center"/>
        <w:textAlignment w:val="auto"/>
        <w:rPr>
          <w:b/>
          <w:color w:val="auto"/>
          <w:sz w:val="24"/>
        </w:rPr>
      </w:pPr>
      <w:r>
        <w:rPr>
          <w:b/>
          <w:color w:val="auto"/>
          <w:sz w:val="24"/>
        </w:rPr>
        <w:t>图4-2-1 环境空气补充监测点位</w:t>
      </w:r>
    </w:p>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b/>
          <w:color w:val="auto"/>
          <w:kern w:val="0"/>
          <w:sz w:val="24"/>
        </w:rPr>
      </w:pPr>
      <w:r>
        <w:rPr>
          <w:b/>
          <w:color w:val="auto"/>
          <w:kern w:val="0"/>
          <w:sz w:val="24"/>
        </w:rPr>
        <w:t>表4-2-3 其他污染物环境质量现状（监测结果）表</w:t>
      </w:r>
    </w:p>
    <w:tbl>
      <w:tblPr>
        <w:tblStyle w:val="46"/>
        <w:tblW w:w="5103"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25"/>
        <w:gridCol w:w="1425"/>
        <w:gridCol w:w="1324"/>
        <w:gridCol w:w="658"/>
        <w:gridCol w:w="832"/>
        <w:gridCol w:w="924"/>
        <w:gridCol w:w="1152"/>
        <w:gridCol w:w="679"/>
        <w:gridCol w:w="451"/>
        <w:gridCol w:w="42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34" w:hRule="atLeast"/>
          <w:jc w:val="center"/>
        </w:trPr>
        <w:tc>
          <w:tcPr>
            <w:tcW w:w="474" w:type="pct"/>
            <w:vMerge w:val="restart"/>
            <w:tcBorders>
              <w:top w:val="single" w:color="000000" w:sz="12" w:space="0"/>
              <w:left w:val="nil"/>
              <w:bottom w:val="single" w:color="000000" w:sz="4" w:space="0"/>
              <w:right w:val="single" w:color="000000" w:sz="4" w:space="0"/>
            </w:tcBorders>
            <w:vAlign w:val="center"/>
          </w:tcPr>
          <w:p>
            <w:pPr>
              <w:spacing w:line="0" w:lineRule="atLeast"/>
              <w:jc w:val="center"/>
              <w:rPr>
                <w:color w:val="auto"/>
                <w:kern w:val="0"/>
                <w:szCs w:val="21"/>
              </w:rPr>
            </w:pPr>
            <w:r>
              <w:rPr>
                <w:color w:val="auto"/>
                <w:kern w:val="0"/>
                <w:szCs w:val="21"/>
              </w:rPr>
              <w:t>监测点位</w:t>
            </w:r>
          </w:p>
        </w:tc>
        <w:tc>
          <w:tcPr>
            <w:tcW w:w="1580" w:type="pct"/>
            <w:gridSpan w:val="2"/>
            <w:tcBorders>
              <w:top w:val="single" w:color="000000" w:sz="12" w:space="0"/>
              <w:left w:val="single" w:color="000000" w:sz="4" w:space="0"/>
              <w:bottom w:val="single" w:color="auto" w:sz="4" w:space="0"/>
              <w:right w:val="single" w:color="000000" w:sz="4" w:space="0"/>
            </w:tcBorders>
            <w:vAlign w:val="center"/>
          </w:tcPr>
          <w:p>
            <w:pPr>
              <w:spacing w:line="0" w:lineRule="atLeast"/>
              <w:jc w:val="center"/>
              <w:rPr>
                <w:color w:val="auto"/>
                <w:kern w:val="0"/>
                <w:szCs w:val="21"/>
              </w:rPr>
            </w:pPr>
            <w:r>
              <w:rPr>
                <w:color w:val="auto"/>
                <w:kern w:val="0"/>
                <w:szCs w:val="21"/>
              </w:rPr>
              <w:t>监测点坐标/°</w:t>
            </w:r>
          </w:p>
        </w:tc>
        <w:tc>
          <w:tcPr>
            <w:tcW w:w="378" w:type="pct"/>
            <w:vMerge w:val="restart"/>
            <w:tcBorders>
              <w:top w:val="single" w:color="000000" w:sz="12" w:space="0"/>
              <w:left w:val="single" w:color="000000" w:sz="4" w:space="0"/>
              <w:bottom w:val="single" w:color="000000" w:sz="4" w:space="0"/>
              <w:right w:val="single" w:color="000000" w:sz="4" w:space="0"/>
            </w:tcBorders>
            <w:vAlign w:val="center"/>
          </w:tcPr>
          <w:p>
            <w:pPr>
              <w:spacing w:line="0" w:lineRule="atLeast"/>
              <w:jc w:val="center"/>
              <w:rPr>
                <w:color w:val="auto"/>
                <w:kern w:val="0"/>
                <w:szCs w:val="21"/>
              </w:rPr>
            </w:pPr>
            <w:r>
              <w:rPr>
                <w:color w:val="auto"/>
                <w:kern w:val="0"/>
                <w:szCs w:val="21"/>
              </w:rPr>
              <w:t>污染物</w:t>
            </w:r>
          </w:p>
        </w:tc>
        <w:tc>
          <w:tcPr>
            <w:tcW w:w="478" w:type="pct"/>
            <w:vMerge w:val="restart"/>
            <w:tcBorders>
              <w:top w:val="single" w:color="000000" w:sz="12" w:space="0"/>
              <w:left w:val="single" w:color="000000" w:sz="4" w:space="0"/>
              <w:bottom w:val="single" w:color="000000" w:sz="4" w:space="0"/>
              <w:right w:val="single" w:color="000000" w:sz="4" w:space="0"/>
            </w:tcBorders>
            <w:vAlign w:val="center"/>
          </w:tcPr>
          <w:p>
            <w:pPr>
              <w:spacing w:line="0" w:lineRule="atLeast"/>
              <w:jc w:val="center"/>
              <w:rPr>
                <w:color w:val="auto"/>
                <w:kern w:val="0"/>
                <w:szCs w:val="21"/>
              </w:rPr>
            </w:pPr>
            <w:r>
              <w:rPr>
                <w:color w:val="auto"/>
                <w:kern w:val="0"/>
                <w:szCs w:val="21"/>
              </w:rPr>
              <w:t>平均时间</w:t>
            </w:r>
          </w:p>
        </w:tc>
        <w:tc>
          <w:tcPr>
            <w:tcW w:w="531" w:type="pct"/>
            <w:vMerge w:val="restart"/>
            <w:tcBorders>
              <w:top w:val="single" w:color="000000" w:sz="12" w:space="0"/>
              <w:left w:val="single" w:color="000000" w:sz="4" w:space="0"/>
              <w:bottom w:val="single" w:color="000000" w:sz="4" w:space="0"/>
              <w:right w:val="single" w:color="000000" w:sz="4" w:space="0"/>
            </w:tcBorders>
            <w:vAlign w:val="center"/>
          </w:tcPr>
          <w:p>
            <w:pPr>
              <w:spacing w:line="0" w:lineRule="atLeast"/>
              <w:jc w:val="center"/>
              <w:rPr>
                <w:color w:val="auto"/>
                <w:kern w:val="0"/>
                <w:szCs w:val="21"/>
              </w:rPr>
            </w:pPr>
            <w:r>
              <w:rPr>
                <w:color w:val="auto"/>
                <w:kern w:val="0"/>
                <w:szCs w:val="21"/>
              </w:rPr>
              <w:t>评价标准/(μg/m</w:t>
            </w:r>
            <w:r>
              <w:rPr>
                <w:color w:val="auto"/>
                <w:kern w:val="0"/>
                <w:szCs w:val="21"/>
                <w:vertAlign w:val="superscript"/>
              </w:rPr>
              <w:t>3</w:t>
            </w:r>
            <w:r>
              <w:rPr>
                <w:color w:val="auto"/>
                <w:kern w:val="0"/>
                <w:szCs w:val="21"/>
              </w:rPr>
              <w:t>)</w:t>
            </w:r>
          </w:p>
        </w:tc>
        <w:tc>
          <w:tcPr>
            <w:tcW w:w="662" w:type="pct"/>
            <w:vMerge w:val="restart"/>
            <w:tcBorders>
              <w:top w:val="single" w:color="000000" w:sz="12" w:space="0"/>
              <w:left w:val="single" w:color="000000" w:sz="4" w:space="0"/>
              <w:bottom w:val="single" w:color="000000" w:sz="4" w:space="0"/>
              <w:right w:val="single" w:color="000000" w:sz="4" w:space="0"/>
            </w:tcBorders>
            <w:vAlign w:val="center"/>
          </w:tcPr>
          <w:p>
            <w:pPr>
              <w:spacing w:line="0" w:lineRule="atLeast"/>
              <w:jc w:val="center"/>
              <w:rPr>
                <w:color w:val="auto"/>
                <w:kern w:val="0"/>
                <w:szCs w:val="21"/>
              </w:rPr>
            </w:pPr>
            <w:r>
              <w:rPr>
                <w:color w:val="auto"/>
                <w:kern w:val="0"/>
                <w:szCs w:val="21"/>
              </w:rPr>
              <w:t>监测浓度范围/(μg/m</w:t>
            </w:r>
            <w:r>
              <w:rPr>
                <w:color w:val="auto"/>
                <w:kern w:val="0"/>
                <w:szCs w:val="21"/>
                <w:vertAlign w:val="superscript"/>
              </w:rPr>
              <w:t>3</w:t>
            </w:r>
            <w:r>
              <w:rPr>
                <w:color w:val="auto"/>
                <w:kern w:val="0"/>
                <w:szCs w:val="21"/>
              </w:rPr>
              <w:t>)</w:t>
            </w:r>
          </w:p>
        </w:tc>
        <w:tc>
          <w:tcPr>
            <w:tcW w:w="390" w:type="pct"/>
            <w:vMerge w:val="restart"/>
            <w:tcBorders>
              <w:top w:val="single" w:color="000000" w:sz="12" w:space="0"/>
              <w:left w:val="single" w:color="000000" w:sz="4" w:space="0"/>
              <w:bottom w:val="single" w:color="000000" w:sz="4" w:space="0"/>
              <w:right w:val="single" w:color="000000" w:sz="4" w:space="0"/>
            </w:tcBorders>
            <w:vAlign w:val="center"/>
          </w:tcPr>
          <w:p>
            <w:pPr>
              <w:spacing w:line="0" w:lineRule="atLeast"/>
              <w:jc w:val="center"/>
              <w:rPr>
                <w:color w:val="auto"/>
                <w:kern w:val="0"/>
                <w:szCs w:val="21"/>
              </w:rPr>
            </w:pPr>
            <w:r>
              <w:rPr>
                <w:color w:val="auto"/>
                <w:kern w:val="0"/>
                <w:szCs w:val="21"/>
              </w:rPr>
              <w:t>最大浓度占标率/%</w:t>
            </w:r>
          </w:p>
        </w:tc>
        <w:tc>
          <w:tcPr>
            <w:tcW w:w="259" w:type="pct"/>
            <w:vMerge w:val="restart"/>
            <w:tcBorders>
              <w:top w:val="single" w:color="000000" w:sz="12" w:space="0"/>
              <w:left w:val="single" w:color="000000" w:sz="4" w:space="0"/>
              <w:bottom w:val="single" w:color="000000" w:sz="4" w:space="0"/>
              <w:right w:val="single" w:color="000000" w:sz="4" w:space="0"/>
            </w:tcBorders>
            <w:vAlign w:val="center"/>
          </w:tcPr>
          <w:p>
            <w:pPr>
              <w:spacing w:line="0" w:lineRule="atLeast"/>
              <w:jc w:val="center"/>
              <w:rPr>
                <w:color w:val="auto"/>
                <w:kern w:val="0"/>
                <w:szCs w:val="21"/>
              </w:rPr>
            </w:pPr>
            <w:r>
              <w:rPr>
                <w:color w:val="auto"/>
                <w:kern w:val="0"/>
                <w:szCs w:val="21"/>
              </w:rPr>
              <w:t>超标率/%</w:t>
            </w:r>
          </w:p>
        </w:tc>
        <w:tc>
          <w:tcPr>
            <w:tcW w:w="246" w:type="pct"/>
            <w:vMerge w:val="restart"/>
            <w:tcBorders>
              <w:top w:val="single" w:color="000000" w:sz="12" w:space="0"/>
              <w:left w:val="single" w:color="000000" w:sz="4" w:space="0"/>
              <w:bottom w:val="single" w:color="000000" w:sz="4" w:space="0"/>
              <w:right w:val="nil"/>
            </w:tcBorders>
            <w:vAlign w:val="center"/>
          </w:tcPr>
          <w:p>
            <w:pPr>
              <w:spacing w:line="0" w:lineRule="atLeast"/>
              <w:jc w:val="center"/>
              <w:rPr>
                <w:color w:val="auto"/>
                <w:kern w:val="0"/>
                <w:szCs w:val="21"/>
              </w:rPr>
            </w:pPr>
            <w:r>
              <w:rPr>
                <w:color w:val="auto"/>
                <w:kern w:val="0"/>
                <w:szCs w:val="21"/>
              </w:rPr>
              <w:t>达标情况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 w:hRule="atLeast"/>
          <w:jc w:val="center"/>
        </w:trPr>
        <w:tc>
          <w:tcPr>
            <w:tcW w:w="474" w:type="pct"/>
            <w:vMerge w:val="continue"/>
            <w:tcBorders>
              <w:top w:val="single" w:color="000000" w:sz="12" w:space="0"/>
              <w:left w:val="nil"/>
              <w:bottom w:val="single" w:color="000000" w:sz="4" w:space="0"/>
              <w:right w:val="single" w:color="000000" w:sz="4" w:space="0"/>
            </w:tcBorders>
            <w:vAlign w:val="center"/>
          </w:tcPr>
          <w:p>
            <w:pPr>
              <w:widowControl/>
              <w:spacing w:line="0" w:lineRule="atLeast"/>
              <w:jc w:val="left"/>
              <w:rPr>
                <w:color w:val="auto"/>
                <w:kern w:val="0"/>
                <w:szCs w:val="21"/>
              </w:rPr>
            </w:pPr>
          </w:p>
        </w:tc>
        <w:tc>
          <w:tcPr>
            <w:tcW w:w="819" w:type="pct"/>
            <w:tcBorders>
              <w:top w:val="single" w:color="auto" w:sz="4" w:space="0"/>
              <w:left w:val="single" w:color="000000" w:sz="4" w:space="0"/>
              <w:bottom w:val="single" w:color="000000" w:sz="4" w:space="0"/>
              <w:right w:val="single" w:color="auto" w:sz="4" w:space="0"/>
            </w:tcBorders>
            <w:vAlign w:val="center"/>
          </w:tcPr>
          <w:p>
            <w:pPr>
              <w:adjustRightInd w:val="0"/>
              <w:snapToGrid w:val="0"/>
              <w:spacing w:line="0" w:lineRule="atLeast"/>
              <w:jc w:val="center"/>
              <w:rPr>
                <w:color w:val="auto"/>
                <w:kern w:val="0"/>
                <w:szCs w:val="21"/>
              </w:rPr>
            </w:pPr>
            <w:r>
              <w:rPr>
                <w:color w:val="auto"/>
                <w:kern w:val="0"/>
                <w:szCs w:val="21"/>
              </w:rPr>
              <w:t>经度</w:t>
            </w:r>
          </w:p>
        </w:tc>
        <w:tc>
          <w:tcPr>
            <w:tcW w:w="761" w:type="pct"/>
            <w:tcBorders>
              <w:top w:val="single" w:color="auto" w:sz="4" w:space="0"/>
              <w:left w:val="single" w:color="auto" w:sz="4" w:space="0"/>
              <w:bottom w:val="single" w:color="000000" w:sz="4" w:space="0"/>
              <w:right w:val="single" w:color="000000" w:sz="4" w:space="0"/>
            </w:tcBorders>
            <w:vAlign w:val="center"/>
          </w:tcPr>
          <w:p>
            <w:pPr>
              <w:adjustRightInd w:val="0"/>
              <w:snapToGrid w:val="0"/>
              <w:spacing w:line="0" w:lineRule="atLeast"/>
              <w:jc w:val="center"/>
              <w:rPr>
                <w:color w:val="auto"/>
                <w:kern w:val="0"/>
                <w:szCs w:val="21"/>
              </w:rPr>
            </w:pPr>
            <w:r>
              <w:rPr>
                <w:color w:val="auto"/>
                <w:kern w:val="0"/>
                <w:szCs w:val="21"/>
              </w:rPr>
              <w:t>纬度</w:t>
            </w:r>
          </w:p>
        </w:tc>
        <w:tc>
          <w:tcPr>
            <w:tcW w:w="378" w:type="pct"/>
            <w:vMerge w:val="continue"/>
            <w:tcBorders>
              <w:top w:val="single" w:color="000000" w:sz="12" w:space="0"/>
              <w:left w:val="single" w:color="000000" w:sz="4" w:space="0"/>
              <w:bottom w:val="single" w:color="000000" w:sz="4" w:space="0"/>
              <w:right w:val="single" w:color="000000" w:sz="4" w:space="0"/>
            </w:tcBorders>
            <w:vAlign w:val="center"/>
          </w:tcPr>
          <w:p>
            <w:pPr>
              <w:widowControl/>
              <w:spacing w:line="0" w:lineRule="atLeast"/>
              <w:jc w:val="left"/>
              <w:rPr>
                <w:color w:val="FF0000"/>
                <w:kern w:val="0"/>
                <w:szCs w:val="21"/>
              </w:rPr>
            </w:pPr>
          </w:p>
        </w:tc>
        <w:tc>
          <w:tcPr>
            <w:tcW w:w="478" w:type="pct"/>
            <w:vMerge w:val="continue"/>
            <w:tcBorders>
              <w:top w:val="single" w:color="000000" w:sz="12" w:space="0"/>
              <w:left w:val="single" w:color="000000" w:sz="4" w:space="0"/>
              <w:bottom w:val="single" w:color="000000" w:sz="4" w:space="0"/>
              <w:right w:val="single" w:color="000000" w:sz="4" w:space="0"/>
            </w:tcBorders>
            <w:vAlign w:val="center"/>
          </w:tcPr>
          <w:p>
            <w:pPr>
              <w:widowControl/>
              <w:spacing w:line="0" w:lineRule="atLeast"/>
              <w:jc w:val="left"/>
              <w:rPr>
                <w:color w:val="FF0000"/>
                <w:kern w:val="0"/>
                <w:szCs w:val="21"/>
              </w:rPr>
            </w:pPr>
          </w:p>
        </w:tc>
        <w:tc>
          <w:tcPr>
            <w:tcW w:w="0" w:type="auto"/>
            <w:vMerge w:val="continue"/>
            <w:tcBorders>
              <w:top w:val="single" w:color="000000" w:sz="12" w:space="0"/>
              <w:left w:val="single" w:color="000000" w:sz="4" w:space="0"/>
              <w:bottom w:val="single" w:color="000000" w:sz="4" w:space="0"/>
              <w:right w:val="single" w:color="000000" w:sz="4" w:space="0"/>
            </w:tcBorders>
            <w:vAlign w:val="center"/>
          </w:tcPr>
          <w:p>
            <w:pPr>
              <w:widowControl/>
              <w:spacing w:line="0" w:lineRule="atLeast"/>
              <w:jc w:val="left"/>
              <w:rPr>
                <w:color w:val="FF0000"/>
                <w:kern w:val="0"/>
                <w:szCs w:val="21"/>
              </w:rPr>
            </w:pPr>
          </w:p>
        </w:tc>
        <w:tc>
          <w:tcPr>
            <w:tcW w:w="662" w:type="pct"/>
            <w:vMerge w:val="continue"/>
            <w:tcBorders>
              <w:top w:val="single" w:color="000000" w:sz="12" w:space="0"/>
              <w:left w:val="single" w:color="000000" w:sz="4" w:space="0"/>
              <w:bottom w:val="single" w:color="000000" w:sz="4" w:space="0"/>
              <w:right w:val="single" w:color="000000" w:sz="4" w:space="0"/>
            </w:tcBorders>
            <w:vAlign w:val="center"/>
          </w:tcPr>
          <w:p>
            <w:pPr>
              <w:widowControl/>
              <w:spacing w:line="0" w:lineRule="atLeast"/>
              <w:jc w:val="left"/>
              <w:rPr>
                <w:color w:val="FF0000"/>
                <w:kern w:val="0"/>
                <w:szCs w:val="21"/>
              </w:rPr>
            </w:pPr>
          </w:p>
        </w:tc>
        <w:tc>
          <w:tcPr>
            <w:tcW w:w="390" w:type="pct"/>
            <w:vMerge w:val="continue"/>
            <w:tcBorders>
              <w:top w:val="single" w:color="000000" w:sz="12" w:space="0"/>
              <w:left w:val="single" w:color="000000" w:sz="4" w:space="0"/>
              <w:bottom w:val="single" w:color="000000" w:sz="4" w:space="0"/>
              <w:right w:val="single" w:color="000000" w:sz="4" w:space="0"/>
            </w:tcBorders>
            <w:vAlign w:val="center"/>
          </w:tcPr>
          <w:p>
            <w:pPr>
              <w:widowControl/>
              <w:spacing w:line="0" w:lineRule="atLeast"/>
              <w:jc w:val="left"/>
              <w:rPr>
                <w:color w:val="FF0000"/>
                <w:kern w:val="0"/>
                <w:szCs w:val="21"/>
              </w:rPr>
            </w:pPr>
          </w:p>
        </w:tc>
        <w:tc>
          <w:tcPr>
            <w:tcW w:w="259" w:type="pct"/>
            <w:vMerge w:val="continue"/>
            <w:tcBorders>
              <w:top w:val="single" w:color="000000" w:sz="12" w:space="0"/>
              <w:left w:val="single" w:color="000000" w:sz="4" w:space="0"/>
              <w:bottom w:val="single" w:color="000000" w:sz="4" w:space="0"/>
              <w:right w:val="single" w:color="000000" w:sz="4" w:space="0"/>
            </w:tcBorders>
            <w:vAlign w:val="center"/>
          </w:tcPr>
          <w:p>
            <w:pPr>
              <w:widowControl/>
              <w:spacing w:line="0" w:lineRule="atLeast"/>
              <w:jc w:val="left"/>
              <w:rPr>
                <w:color w:val="FF0000"/>
                <w:kern w:val="0"/>
                <w:szCs w:val="21"/>
              </w:rPr>
            </w:pPr>
          </w:p>
        </w:tc>
        <w:tc>
          <w:tcPr>
            <w:tcW w:w="246" w:type="pct"/>
            <w:vMerge w:val="continue"/>
            <w:tcBorders>
              <w:top w:val="single" w:color="000000" w:sz="12" w:space="0"/>
              <w:left w:val="single" w:color="000000" w:sz="4" w:space="0"/>
              <w:bottom w:val="single" w:color="000000" w:sz="4" w:space="0"/>
              <w:right w:val="nil"/>
            </w:tcBorders>
            <w:vAlign w:val="center"/>
          </w:tcPr>
          <w:p>
            <w:pPr>
              <w:widowControl/>
              <w:spacing w:line="0" w:lineRule="atLeast"/>
              <w:jc w:val="left"/>
              <w:rPr>
                <w:color w:val="FF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7" w:hRule="atLeast"/>
          <w:jc w:val="center"/>
        </w:trPr>
        <w:tc>
          <w:tcPr>
            <w:tcW w:w="474" w:type="pct"/>
            <w:vMerge w:val="restart"/>
            <w:tcBorders>
              <w:top w:val="single" w:color="000000" w:sz="4" w:space="0"/>
              <w:left w:val="nil"/>
              <w:right w:val="single" w:color="000000" w:sz="4" w:space="0"/>
            </w:tcBorders>
            <w:vAlign w:val="center"/>
          </w:tcPr>
          <w:p>
            <w:pPr>
              <w:spacing w:line="0" w:lineRule="atLeast"/>
              <w:jc w:val="center"/>
              <w:rPr>
                <w:rFonts w:hint="default" w:eastAsia="宋体"/>
                <w:color w:val="auto"/>
                <w:szCs w:val="21"/>
                <w:lang w:val="en-US" w:eastAsia="zh-CN"/>
              </w:rPr>
            </w:pPr>
            <w:r>
              <w:rPr>
                <w:rFonts w:hint="eastAsia"/>
                <w:color w:val="auto"/>
                <w:szCs w:val="21"/>
                <w:lang w:val="en-US" w:eastAsia="zh-CN"/>
              </w:rPr>
              <w:t>厂址1</w:t>
            </w:r>
          </w:p>
        </w:tc>
        <w:tc>
          <w:tcPr>
            <w:tcW w:w="819" w:type="pct"/>
            <w:vMerge w:val="restart"/>
            <w:tcBorders>
              <w:top w:val="single" w:color="000000" w:sz="4" w:space="0"/>
              <w:left w:val="single" w:color="000000" w:sz="4" w:space="0"/>
              <w:right w:val="single" w:color="auto" w:sz="4" w:space="0"/>
            </w:tcBorders>
            <w:vAlign w:val="center"/>
          </w:tcPr>
          <w:p>
            <w:pPr>
              <w:spacing w:line="0" w:lineRule="atLeast"/>
              <w:contextualSpacing/>
              <w:jc w:val="center"/>
              <w:rPr>
                <w:color w:val="auto"/>
                <w:kern w:val="0"/>
                <w:szCs w:val="21"/>
              </w:rPr>
            </w:pPr>
            <w:r>
              <w:rPr>
                <w:color w:val="auto"/>
                <w:kern w:val="0"/>
                <w:szCs w:val="21"/>
              </w:rPr>
              <w:t>127.81030655</w:t>
            </w:r>
          </w:p>
        </w:tc>
        <w:tc>
          <w:tcPr>
            <w:tcW w:w="761" w:type="pct"/>
            <w:vMerge w:val="restart"/>
            <w:tcBorders>
              <w:top w:val="single" w:color="000000" w:sz="4" w:space="0"/>
              <w:left w:val="single" w:color="auto" w:sz="4" w:space="0"/>
              <w:right w:val="single" w:color="000000" w:sz="4" w:space="0"/>
            </w:tcBorders>
            <w:vAlign w:val="center"/>
          </w:tcPr>
          <w:p>
            <w:pPr>
              <w:spacing w:line="0" w:lineRule="atLeast"/>
              <w:contextualSpacing/>
              <w:jc w:val="center"/>
              <w:rPr>
                <w:color w:val="auto"/>
                <w:kern w:val="0"/>
                <w:szCs w:val="21"/>
              </w:rPr>
            </w:pPr>
            <w:r>
              <w:rPr>
                <w:color w:val="auto"/>
                <w:kern w:val="0"/>
                <w:szCs w:val="21"/>
              </w:rPr>
              <w:t>45.30501783</w:t>
            </w:r>
          </w:p>
        </w:tc>
        <w:tc>
          <w:tcPr>
            <w:tcW w:w="378" w:type="pct"/>
            <w:tcBorders>
              <w:top w:val="single" w:color="000000" w:sz="4" w:space="0"/>
              <w:left w:val="single" w:color="000000" w:sz="4" w:space="0"/>
              <w:bottom w:val="single" w:color="000000" w:sz="4" w:space="0"/>
              <w:right w:val="single" w:color="000000" w:sz="4" w:space="0"/>
            </w:tcBorders>
            <w:vAlign w:val="center"/>
          </w:tcPr>
          <w:p>
            <w:pPr>
              <w:widowControl/>
              <w:spacing w:line="0" w:lineRule="atLeast"/>
              <w:jc w:val="center"/>
              <w:rPr>
                <w:color w:val="auto"/>
                <w:kern w:val="0"/>
                <w:szCs w:val="21"/>
              </w:rPr>
            </w:pPr>
            <w:r>
              <w:rPr>
                <w:color w:val="auto"/>
                <w:kern w:val="0"/>
                <w:szCs w:val="21"/>
              </w:rPr>
              <w:t>NH</w:t>
            </w:r>
            <w:r>
              <w:rPr>
                <w:color w:val="auto"/>
                <w:kern w:val="0"/>
                <w:szCs w:val="21"/>
                <w:vertAlign w:val="subscript"/>
              </w:rPr>
              <w:t>3</w:t>
            </w:r>
          </w:p>
        </w:tc>
        <w:tc>
          <w:tcPr>
            <w:tcW w:w="478" w:type="pct"/>
            <w:vMerge w:val="restart"/>
            <w:tcBorders>
              <w:top w:val="single" w:color="000000" w:sz="4" w:space="0"/>
              <w:left w:val="single" w:color="000000" w:sz="4" w:space="0"/>
              <w:right w:val="single" w:color="000000" w:sz="4" w:space="0"/>
            </w:tcBorders>
            <w:vAlign w:val="center"/>
          </w:tcPr>
          <w:p>
            <w:pPr>
              <w:spacing w:line="0" w:lineRule="atLeast"/>
              <w:jc w:val="center"/>
              <w:rPr>
                <w:color w:val="auto"/>
                <w:kern w:val="0"/>
                <w:szCs w:val="21"/>
              </w:rPr>
            </w:pPr>
            <w:r>
              <w:rPr>
                <w:color w:val="auto"/>
                <w:kern w:val="0"/>
                <w:szCs w:val="21"/>
              </w:rPr>
              <w:t>1小时均值</w:t>
            </w:r>
          </w:p>
        </w:tc>
        <w:tc>
          <w:tcPr>
            <w:tcW w:w="531" w:type="pct"/>
            <w:tcBorders>
              <w:top w:val="single" w:color="000000" w:sz="4" w:space="0"/>
              <w:left w:val="single" w:color="000000" w:sz="4" w:space="0"/>
              <w:right w:val="single" w:color="000000" w:sz="4" w:space="0"/>
            </w:tcBorders>
            <w:vAlign w:val="center"/>
          </w:tcPr>
          <w:p>
            <w:pPr>
              <w:spacing w:line="0" w:lineRule="atLeast"/>
              <w:jc w:val="center"/>
              <w:rPr>
                <w:color w:val="auto"/>
                <w:kern w:val="0"/>
                <w:szCs w:val="21"/>
              </w:rPr>
            </w:pPr>
            <w:r>
              <w:rPr>
                <w:color w:val="auto"/>
                <w:kern w:val="0"/>
                <w:szCs w:val="21"/>
              </w:rPr>
              <w:t>200</w:t>
            </w:r>
          </w:p>
        </w:tc>
        <w:tc>
          <w:tcPr>
            <w:tcW w:w="662" w:type="pct"/>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eastAsia"/>
                <w:color w:val="FF0000"/>
                <w:kern w:val="0"/>
                <w:szCs w:val="21"/>
              </w:rPr>
            </w:pPr>
            <w:r>
              <w:rPr>
                <w:rFonts w:hint="eastAsia" w:ascii="Times New Roman" w:hAnsi="Times New Roman"/>
                <w:szCs w:val="21"/>
              </w:rPr>
              <w:t>0.01L</w:t>
            </w:r>
          </w:p>
        </w:tc>
        <w:tc>
          <w:tcPr>
            <w:tcW w:w="390" w:type="pct"/>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eastAsia" w:eastAsia="宋体"/>
                <w:color w:val="auto"/>
                <w:kern w:val="0"/>
                <w:szCs w:val="21"/>
                <w:lang w:val="en-US" w:eastAsia="zh-CN"/>
              </w:rPr>
            </w:pPr>
            <w:r>
              <w:rPr>
                <w:rFonts w:hint="eastAsia"/>
                <w:color w:val="auto"/>
                <w:kern w:val="0"/>
                <w:szCs w:val="21"/>
                <w:lang w:val="en-US" w:eastAsia="zh-CN"/>
              </w:rPr>
              <w:t>/</w:t>
            </w:r>
          </w:p>
        </w:tc>
        <w:tc>
          <w:tcPr>
            <w:tcW w:w="259" w:type="pct"/>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eastAsia" w:eastAsia="宋体"/>
                <w:color w:val="auto"/>
                <w:kern w:val="0"/>
                <w:szCs w:val="21"/>
                <w:lang w:val="en-US" w:eastAsia="zh-CN"/>
              </w:rPr>
            </w:pPr>
            <w:r>
              <w:rPr>
                <w:rFonts w:hint="eastAsia"/>
                <w:color w:val="auto"/>
                <w:kern w:val="0"/>
                <w:szCs w:val="21"/>
                <w:lang w:val="en-US" w:eastAsia="zh-CN"/>
              </w:rPr>
              <w:t>/</w:t>
            </w:r>
          </w:p>
        </w:tc>
        <w:tc>
          <w:tcPr>
            <w:tcW w:w="246" w:type="pct"/>
            <w:vMerge w:val="restart"/>
            <w:tcBorders>
              <w:top w:val="single" w:color="000000" w:sz="4" w:space="0"/>
              <w:left w:val="single" w:color="000000" w:sz="4" w:space="0"/>
              <w:right w:val="nil"/>
            </w:tcBorders>
            <w:vAlign w:val="center"/>
          </w:tcPr>
          <w:p>
            <w:pPr>
              <w:spacing w:line="0" w:lineRule="atLeast"/>
              <w:jc w:val="center"/>
              <w:rPr>
                <w:color w:val="auto"/>
                <w:kern w:val="0"/>
                <w:szCs w:val="21"/>
              </w:rPr>
            </w:pPr>
            <w:r>
              <w:rPr>
                <w:color w:val="auto"/>
                <w:kern w:val="0"/>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7" w:hRule="atLeast"/>
          <w:jc w:val="center"/>
        </w:trPr>
        <w:tc>
          <w:tcPr>
            <w:tcW w:w="474" w:type="pct"/>
            <w:vMerge w:val="continue"/>
            <w:tcBorders>
              <w:left w:val="nil"/>
              <w:right w:val="single" w:color="000000" w:sz="4" w:space="0"/>
            </w:tcBorders>
            <w:vAlign w:val="center"/>
          </w:tcPr>
          <w:p>
            <w:pPr>
              <w:spacing w:line="0" w:lineRule="atLeast"/>
              <w:jc w:val="center"/>
              <w:rPr>
                <w:color w:val="auto"/>
                <w:szCs w:val="21"/>
              </w:rPr>
            </w:pPr>
          </w:p>
        </w:tc>
        <w:tc>
          <w:tcPr>
            <w:tcW w:w="819" w:type="pct"/>
            <w:vMerge w:val="continue"/>
            <w:tcBorders>
              <w:left w:val="single" w:color="000000" w:sz="4" w:space="0"/>
              <w:right w:val="single" w:color="auto" w:sz="4" w:space="0"/>
            </w:tcBorders>
            <w:vAlign w:val="center"/>
          </w:tcPr>
          <w:p>
            <w:pPr>
              <w:spacing w:line="0" w:lineRule="atLeast"/>
              <w:contextualSpacing/>
              <w:jc w:val="center"/>
              <w:rPr>
                <w:color w:val="auto"/>
                <w:kern w:val="0"/>
                <w:szCs w:val="21"/>
              </w:rPr>
            </w:pPr>
          </w:p>
        </w:tc>
        <w:tc>
          <w:tcPr>
            <w:tcW w:w="761" w:type="pct"/>
            <w:vMerge w:val="continue"/>
            <w:tcBorders>
              <w:left w:val="single" w:color="auto" w:sz="4" w:space="0"/>
              <w:right w:val="single" w:color="000000" w:sz="4" w:space="0"/>
            </w:tcBorders>
            <w:vAlign w:val="center"/>
          </w:tcPr>
          <w:p>
            <w:pPr>
              <w:spacing w:line="0" w:lineRule="atLeast"/>
              <w:contextualSpacing/>
              <w:jc w:val="center"/>
              <w:rPr>
                <w:color w:val="auto"/>
                <w:kern w:val="0"/>
                <w:szCs w:val="21"/>
              </w:rPr>
            </w:pPr>
          </w:p>
        </w:tc>
        <w:tc>
          <w:tcPr>
            <w:tcW w:w="378" w:type="pct"/>
            <w:tcBorders>
              <w:top w:val="single" w:color="000000" w:sz="4" w:space="0"/>
              <w:left w:val="single" w:color="000000" w:sz="4" w:space="0"/>
              <w:bottom w:val="single" w:color="000000" w:sz="4" w:space="0"/>
              <w:right w:val="single" w:color="000000" w:sz="4" w:space="0"/>
            </w:tcBorders>
            <w:vAlign w:val="center"/>
          </w:tcPr>
          <w:p>
            <w:pPr>
              <w:widowControl/>
              <w:spacing w:line="0" w:lineRule="atLeast"/>
              <w:jc w:val="center"/>
              <w:rPr>
                <w:color w:val="auto"/>
                <w:kern w:val="0"/>
                <w:szCs w:val="21"/>
              </w:rPr>
            </w:pPr>
            <w:r>
              <w:rPr>
                <w:color w:val="auto"/>
                <w:kern w:val="0"/>
                <w:szCs w:val="21"/>
              </w:rPr>
              <w:t>H</w:t>
            </w:r>
            <w:r>
              <w:rPr>
                <w:color w:val="auto"/>
                <w:kern w:val="0"/>
                <w:szCs w:val="21"/>
                <w:vertAlign w:val="subscript"/>
              </w:rPr>
              <w:t>2</w:t>
            </w:r>
            <w:r>
              <w:rPr>
                <w:color w:val="auto"/>
                <w:kern w:val="0"/>
                <w:szCs w:val="21"/>
              </w:rPr>
              <w:t>S</w:t>
            </w:r>
          </w:p>
        </w:tc>
        <w:tc>
          <w:tcPr>
            <w:tcW w:w="478" w:type="pct"/>
            <w:vMerge w:val="continue"/>
            <w:tcBorders>
              <w:left w:val="single" w:color="000000" w:sz="4" w:space="0"/>
              <w:right w:val="single" w:color="000000" w:sz="4" w:space="0"/>
            </w:tcBorders>
            <w:vAlign w:val="center"/>
          </w:tcPr>
          <w:p>
            <w:pPr>
              <w:spacing w:line="0" w:lineRule="atLeast"/>
              <w:jc w:val="center"/>
              <w:rPr>
                <w:color w:val="auto"/>
                <w:kern w:val="0"/>
                <w:szCs w:val="21"/>
              </w:rPr>
            </w:pPr>
          </w:p>
        </w:tc>
        <w:tc>
          <w:tcPr>
            <w:tcW w:w="531" w:type="pct"/>
            <w:tcBorders>
              <w:top w:val="single" w:color="000000" w:sz="4" w:space="0"/>
              <w:left w:val="single" w:color="000000" w:sz="4" w:space="0"/>
              <w:right w:val="single" w:color="000000" w:sz="4" w:space="0"/>
            </w:tcBorders>
            <w:vAlign w:val="center"/>
          </w:tcPr>
          <w:p>
            <w:pPr>
              <w:spacing w:line="0" w:lineRule="atLeast"/>
              <w:jc w:val="center"/>
              <w:rPr>
                <w:color w:val="auto"/>
                <w:kern w:val="0"/>
                <w:szCs w:val="21"/>
              </w:rPr>
            </w:pPr>
            <w:r>
              <w:rPr>
                <w:color w:val="auto"/>
                <w:kern w:val="0"/>
                <w:szCs w:val="21"/>
              </w:rPr>
              <w:t>10</w:t>
            </w:r>
          </w:p>
        </w:tc>
        <w:tc>
          <w:tcPr>
            <w:tcW w:w="662" w:type="pct"/>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eastAsia"/>
                <w:color w:val="FF0000"/>
                <w:kern w:val="0"/>
                <w:szCs w:val="21"/>
              </w:rPr>
            </w:pPr>
            <w:r>
              <w:rPr>
                <w:rFonts w:hint="eastAsia" w:ascii="Times New Roman" w:hAnsi="Times New Roman"/>
                <w:szCs w:val="21"/>
              </w:rPr>
              <w:t>0.001L</w:t>
            </w:r>
          </w:p>
        </w:tc>
        <w:tc>
          <w:tcPr>
            <w:tcW w:w="390" w:type="pct"/>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eastAsia="宋体"/>
                <w:color w:val="auto"/>
                <w:kern w:val="0"/>
                <w:szCs w:val="21"/>
                <w:lang w:val="en-US" w:eastAsia="zh-CN"/>
              </w:rPr>
            </w:pPr>
            <w:r>
              <w:rPr>
                <w:rFonts w:hint="eastAsia"/>
                <w:color w:val="auto"/>
                <w:kern w:val="0"/>
                <w:szCs w:val="21"/>
                <w:lang w:val="en-US" w:eastAsia="zh-CN"/>
              </w:rPr>
              <w:t>/</w:t>
            </w:r>
          </w:p>
        </w:tc>
        <w:tc>
          <w:tcPr>
            <w:tcW w:w="259" w:type="pct"/>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eastAsia" w:eastAsia="宋体"/>
                <w:color w:val="auto"/>
                <w:kern w:val="0"/>
                <w:szCs w:val="21"/>
                <w:lang w:val="en-US" w:eastAsia="zh-CN"/>
              </w:rPr>
            </w:pPr>
            <w:r>
              <w:rPr>
                <w:rFonts w:hint="eastAsia"/>
                <w:color w:val="auto"/>
                <w:kern w:val="0"/>
                <w:szCs w:val="21"/>
                <w:lang w:val="en-US" w:eastAsia="zh-CN"/>
              </w:rPr>
              <w:t>/</w:t>
            </w:r>
          </w:p>
        </w:tc>
        <w:tc>
          <w:tcPr>
            <w:tcW w:w="246" w:type="pct"/>
            <w:vMerge w:val="continue"/>
            <w:tcBorders>
              <w:left w:val="single" w:color="000000" w:sz="4" w:space="0"/>
              <w:right w:val="nil"/>
            </w:tcBorders>
            <w:vAlign w:val="center"/>
          </w:tcPr>
          <w:p>
            <w:pPr>
              <w:spacing w:line="0" w:lineRule="atLeast"/>
              <w:jc w:val="center"/>
              <w:rPr>
                <w:color w:val="FF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87" w:hRule="atLeast"/>
          <w:jc w:val="center"/>
        </w:trPr>
        <w:tc>
          <w:tcPr>
            <w:tcW w:w="474" w:type="pct"/>
            <w:vMerge w:val="continue"/>
            <w:tcBorders>
              <w:left w:val="nil"/>
              <w:right w:val="single" w:color="000000" w:sz="4" w:space="0"/>
            </w:tcBorders>
            <w:vAlign w:val="center"/>
          </w:tcPr>
          <w:p>
            <w:pPr>
              <w:spacing w:line="0" w:lineRule="atLeast"/>
              <w:jc w:val="center"/>
              <w:rPr>
                <w:color w:val="auto"/>
                <w:szCs w:val="21"/>
              </w:rPr>
            </w:pPr>
          </w:p>
        </w:tc>
        <w:tc>
          <w:tcPr>
            <w:tcW w:w="819" w:type="pct"/>
            <w:vMerge w:val="continue"/>
            <w:tcBorders>
              <w:left w:val="single" w:color="000000" w:sz="4" w:space="0"/>
              <w:right w:val="single" w:color="auto" w:sz="4" w:space="0"/>
            </w:tcBorders>
            <w:vAlign w:val="center"/>
          </w:tcPr>
          <w:p>
            <w:pPr>
              <w:spacing w:line="0" w:lineRule="atLeast"/>
              <w:contextualSpacing/>
              <w:jc w:val="center"/>
              <w:rPr>
                <w:color w:val="auto"/>
                <w:kern w:val="0"/>
                <w:szCs w:val="21"/>
              </w:rPr>
            </w:pPr>
          </w:p>
        </w:tc>
        <w:tc>
          <w:tcPr>
            <w:tcW w:w="761" w:type="pct"/>
            <w:vMerge w:val="continue"/>
            <w:tcBorders>
              <w:left w:val="single" w:color="auto" w:sz="4" w:space="0"/>
              <w:right w:val="single" w:color="000000" w:sz="4" w:space="0"/>
            </w:tcBorders>
            <w:vAlign w:val="center"/>
          </w:tcPr>
          <w:p>
            <w:pPr>
              <w:spacing w:line="0" w:lineRule="atLeast"/>
              <w:contextualSpacing/>
              <w:jc w:val="center"/>
              <w:rPr>
                <w:color w:val="auto"/>
                <w:kern w:val="0"/>
                <w:szCs w:val="21"/>
              </w:rPr>
            </w:pPr>
          </w:p>
        </w:tc>
        <w:tc>
          <w:tcPr>
            <w:tcW w:w="378" w:type="pct"/>
            <w:tcBorders>
              <w:top w:val="single" w:color="000000" w:sz="4" w:space="0"/>
              <w:left w:val="single" w:color="000000" w:sz="4" w:space="0"/>
              <w:bottom w:val="single" w:color="000000" w:sz="4" w:space="0"/>
              <w:right w:val="single" w:color="000000" w:sz="4" w:space="0"/>
            </w:tcBorders>
            <w:vAlign w:val="center"/>
          </w:tcPr>
          <w:p>
            <w:pPr>
              <w:widowControl/>
              <w:spacing w:line="0" w:lineRule="atLeast"/>
              <w:jc w:val="center"/>
              <w:rPr>
                <w:color w:val="auto"/>
                <w:kern w:val="0"/>
                <w:szCs w:val="21"/>
              </w:rPr>
            </w:pPr>
            <w:r>
              <w:rPr>
                <w:rFonts w:hint="eastAsia"/>
                <w:color w:val="auto"/>
                <w:kern w:val="0"/>
                <w:szCs w:val="21"/>
                <w:lang w:val="en-US" w:eastAsia="zh-CN"/>
              </w:rPr>
              <w:t>TSP</w:t>
            </w:r>
          </w:p>
        </w:tc>
        <w:tc>
          <w:tcPr>
            <w:tcW w:w="478" w:type="pct"/>
            <w:tcBorders>
              <w:top w:val="single" w:color="000000" w:sz="4" w:space="0"/>
              <w:left w:val="single" w:color="000000" w:sz="4" w:space="0"/>
              <w:right w:val="single" w:color="000000" w:sz="4" w:space="0"/>
            </w:tcBorders>
            <w:vAlign w:val="center"/>
          </w:tcPr>
          <w:p>
            <w:pPr>
              <w:spacing w:line="0" w:lineRule="atLeast"/>
              <w:jc w:val="center"/>
              <w:rPr>
                <w:color w:val="auto"/>
                <w:kern w:val="0"/>
                <w:szCs w:val="21"/>
              </w:rPr>
            </w:pPr>
            <w:r>
              <w:rPr>
                <w:rFonts w:hint="eastAsia"/>
                <w:color w:val="auto"/>
                <w:kern w:val="0"/>
                <w:szCs w:val="21"/>
                <w:lang w:val="en-US" w:eastAsia="zh-CN"/>
              </w:rPr>
              <w:t>24小时</w:t>
            </w:r>
            <w:r>
              <w:rPr>
                <w:color w:val="auto"/>
                <w:kern w:val="0"/>
                <w:szCs w:val="21"/>
              </w:rPr>
              <w:t>均值</w:t>
            </w:r>
          </w:p>
        </w:tc>
        <w:tc>
          <w:tcPr>
            <w:tcW w:w="531" w:type="pct"/>
            <w:tcBorders>
              <w:top w:val="single" w:color="000000" w:sz="4" w:space="0"/>
              <w:left w:val="single" w:color="000000" w:sz="4" w:space="0"/>
              <w:right w:val="single" w:color="000000" w:sz="4" w:space="0"/>
            </w:tcBorders>
            <w:vAlign w:val="center"/>
          </w:tcPr>
          <w:p>
            <w:pPr>
              <w:spacing w:line="0" w:lineRule="atLeast"/>
              <w:jc w:val="center"/>
              <w:rPr>
                <w:color w:val="auto"/>
                <w:kern w:val="0"/>
                <w:szCs w:val="21"/>
              </w:rPr>
            </w:pPr>
            <w:r>
              <w:rPr>
                <w:rFonts w:hint="default" w:ascii="Times New Roman" w:hAnsi="Times New Roman" w:cs="Times New Roman"/>
                <w:b w:val="0"/>
                <w:bCs w:val="0"/>
                <w:smallCaps w:val="0"/>
                <w:snapToGrid w:val="0"/>
                <w:color w:val="auto"/>
                <w:kern w:val="2"/>
                <w:sz w:val="21"/>
                <w:szCs w:val="21"/>
                <w:lang w:val="en-US" w:eastAsia="zh-CN" w:bidi="ar-SA"/>
              </w:rPr>
              <w:t>300</w:t>
            </w:r>
          </w:p>
        </w:tc>
        <w:tc>
          <w:tcPr>
            <w:tcW w:w="662" w:type="pct"/>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eastAsia="宋体"/>
                <w:color w:val="auto"/>
                <w:kern w:val="0"/>
                <w:szCs w:val="21"/>
                <w:lang w:val="en-US" w:eastAsia="zh-CN"/>
              </w:rPr>
            </w:pPr>
            <w:r>
              <w:rPr>
                <w:rFonts w:hint="eastAsia"/>
                <w:color w:val="auto"/>
                <w:kern w:val="0"/>
                <w:szCs w:val="21"/>
                <w:lang w:val="en-US" w:eastAsia="zh-CN"/>
              </w:rPr>
              <w:t>134-177</w:t>
            </w:r>
          </w:p>
        </w:tc>
        <w:tc>
          <w:tcPr>
            <w:tcW w:w="390" w:type="pct"/>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eastAsia="宋体"/>
                <w:color w:val="auto"/>
                <w:kern w:val="0"/>
                <w:szCs w:val="21"/>
                <w:lang w:val="en-US" w:eastAsia="zh-CN"/>
              </w:rPr>
            </w:pPr>
            <w:r>
              <w:rPr>
                <w:rFonts w:hint="eastAsia"/>
                <w:color w:val="auto"/>
                <w:kern w:val="0"/>
                <w:szCs w:val="21"/>
                <w:lang w:val="en-US" w:eastAsia="zh-CN"/>
              </w:rPr>
              <w:t>59</w:t>
            </w:r>
          </w:p>
        </w:tc>
        <w:tc>
          <w:tcPr>
            <w:tcW w:w="259" w:type="pct"/>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eastAsia" w:eastAsia="宋体"/>
                <w:color w:val="auto"/>
                <w:kern w:val="0"/>
                <w:szCs w:val="21"/>
                <w:lang w:val="en-US" w:eastAsia="zh-CN"/>
              </w:rPr>
            </w:pPr>
            <w:r>
              <w:rPr>
                <w:rFonts w:hint="eastAsia"/>
                <w:color w:val="auto"/>
                <w:kern w:val="0"/>
                <w:szCs w:val="21"/>
                <w:lang w:val="en-US" w:eastAsia="zh-CN"/>
              </w:rPr>
              <w:t>/</w:t>
            </w:r>
          </w:p>
        </w:tc>
        <w:tc>
          <w:tcPr>
            <w:tcW w:w="246" w:type="pct"/>
            <w:vMerge w:val="continue"/>
            <w:tcBorders>
              <w:left w:val="single" w:color="000000" w:sz="4" w:space="0"/>
              <w:right w:val="nil"/>
            </w:tcBorders>
            <w:vAlign w:val="center"/>
          </w:tcPr>
          <w:p>
            <w:pPr>
              <w:spacing w:line="0" w:lineRule="atLeast"/>
              <w:jc w:val="center"/>
              <w:rPr>
                <w:color w:val="FF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7" w:hRule="atLeast"/>
          <w:jc w:val="center"/>
        </w:trPr>
        <w:tc>
          <w:tcPr>
            <w:tcW w:w="474" w:type="pct"/>
            <w:vMerge w:val="restart"/>
            <w:tcBorders>
              <w:top w:val="single" w:color="000000" w:sz="4" w:space="0"/>
              <w:left w:val="nil"/>
              <w:right w:val="single" w:color="000000" w:sz="4" w:space="0"/>
            </w:tcBorders>
            <w:vAlign w:val="center"/>
          </w:tcPr>
          <w:p>
            <w:pPr>
              <w:spacing w:line="0" w:lineRule="atLeast"/>
              <w:jc w:val="center"/>
              <w:rPr>
                <w:rFonts w:hint="eastAsia" w:eastAsia="宋体"/>
                <w:color w:val="auto"/>
                <w:szCs w:val="21"/>
                <w:lang w:val="en-US" w:eastAsia="zh-CN"/>
              </w:rPr>
            </w:pPr>
            <w:r>
              <w:rPr>
                <w:rFonts w:hint="eastAsia"/>
                <w:color w:val="auto"/>
                <w:szCs w:val="21"/>
                <w:lang w:eastAsia="zh-CN"/>
              </w:rPr>
              <w:t>厂址下风向</w:t>
            </w:r>
            <w:r>
              <w:rPr>
                <w:rFonts w:hint="eastAsia"/>
                <w:color w:val="auto"/>
                <w:szCs w:val="21"/>
                <w:lang w:val="en-US" w:eastAsia="zh-CN"/>
              </w:rPr>
              <w:t>2</w:t>
            </w:r>
          </w:p>
        </w:tc>
        <w:tc>
          <w:tcPr>
            <w:tcW w:w="819" w:type="pct"/>
            <w:vMerge w:val="restart"/>
            <w:tcBorders>
              <w:top w:val="single" w:color="000000" w:sz="4" w:space="0"/>
              <w:left w:val="single" w:color="000000" w:sz="4" w:space="0"/>
              <w:right w:val="single" w:color="auto" w:sz="4" w:space="0"/>
            </w:tcBorders>
            <w:vAlign w:val="center"/>
          </w:tcPr>
          <w:p>
            <w:pPr>
              <w:spacing w:line="0" w:lineRule="atLeast"/>
              <w:contextualSpacing/>
              <w:jc w:val="center"/>
              <w:rPr>
                <w:color w:val="auto"/>
                <w:kern w:val="0"/>
                <w:szCs w:val="21"/>
              </w:rPr>
            </w:pPr>
            <w:r>
              <w:rPr>
                <w:rFonts w:ascii="Times New Roman" w:hAnsi="Times New Roman" w:eastAsia="宋体" w:cs="Times New Roman"/>
                <w:color w:val="auto"/>
                <w:kern w:val="0"/>
                <w:sz w:val="21"/>
                <w:szCs w:val="21"/>
                <w:lang w:val="en-US" w:eastAsia="zh-CN" w:bidi="ar-SA"/>
              </w:rPr>
              <w:t>127.81764507</w:t>
            </w:r>
          </w:p>
        </w:tc>
        <w:tc>
          <w:tcPr>
            <w:tcW w:w="761" w:type="pct"/>
            <w:vMerge w:val="restart"/>
            <w:tcBorders>
              <w:top w:val="single" w:color="000000" w:sz="4" w:space="0"/>
              <w:left w:val="single" w:color="auto" w:sz="4" w:space="0"/>
              <w:right w:val="single" w:color="000000" w:sz="4" w:space="0"/>
            </w:tcBorders>
            <w:vAlign w:val="center"/>
          </w:tcPr>
          <w:p>
            <w:pPr>
              <w:spacing w:line="0" w:lineRule="atLeast"/>
              <w:contextualSpacing/>
              <w:jc w:val="center"/>
              <w:rPr>
                <w:color w:val="auto"/>
                <w:kern w:val="0"/>
                <w:szCs w:val="21"/>
              </w:rPr>
            </w:pPr>
            <w:r>
              <w:rPr>
                <w:rFonts w:ascii="Times New Roman" w:hAnsi="Times New Roman" w:eastAsia="宋体" w:cs="Times New Roman"/>
                <w:color w:val="auto"/>
                <w:kern w:val="0"/>
                <w:sz w:val="21"/>
                <w:szCs w:val="21"/>
                <w:lang w:val="en-US" w:eastAsia="zh-CN" w:bidi="ar-SA"/>
              </w:rPr>
              <w:t>45.30531966</w:t>
            </w:r>
          </w:p>
        </w:tc>
        <w:tc>
          <w:tcPr>
            <w:tcW w:w="378" w:type="pct"/>
            <w:tcBorders>
              <w:top w:val="single" w:color="000000" w:sz="4" w:space="0"/>
              <w:left w:val="single" w:color="000000" w:sz="4" w:space="0"/>
              <w:bottom w:val="single" w:color="000000" w:sz="4" w:space="0"/>
              <w:right w:val="single" w:color="000000" w:sz="4" w:space="0"/>
            </w:tcBorders>
            <w:vAlign w:val="center"/>
          </w:tcPr>
          <w:p>
            <w:pPr>
              <w:widowControl/>
              <w:spacing w:line="0" w:lineRule="atLeast"/>
              <w:jc w:val="center"/>
              <w:rPr>
                <w:color w:val="auto"/>
                <w:kern w:val="0"/>
                <w:szCs w:val="21"/>
              </w:rPr>
            </w:pPr>
            <w:r>
              <w:rPr>
                <w:color w:val="auto"/>
                <w:kern w:val="0"/>
                <w:szCs w:val="21"/>
              </w:rPr>
              <w:t>NH</w:t>
            </w:r>
            <w:r>
              <w:rPr>
                <w:color w:val="auto"/>
                <w:kern w:val="0"/>
                <w:szCs w:val="21"/>
                <w:vertAlign w:val="subscript"/>
              </w:rPr>
              <w:t>3</w:t>
            </w:r>
          </w:p>
        </w:tc>
        <w:tc>
          <w:tcPr>
            <w:tcW w:w="478" w:type="pct"/>
            <w:vMerge w:val="restart"/>
            <w:tcBorders>
              <w:top w:val="single" w:color="000000" w:sz="4" w:space="0"/>
              <w:left w:val="single" w:color="000000" w:sz="4" w:space="0"/>
              <w:right w:val="single" w:color="000000" w:sz="4" w:space="0"/>
            </w:tcBorders>
            <w:vAlign w:val="center"/>
          </w:tcPr>
          <w:p>
            <w:pPr>
              <w:spacing w:line="0" w:lineRule="atLeast"/>
              <w:jc w:val="center"/>
              <w:rPr>
                <w:color w:val="auto"/>
                <w:kern w:val="0"/>
                <w:szCs w:val="21"/>
              </w:rPr>
            </w:pPr>
            <w:r>
              <w:rPr>
                <w:color w:val="auto"/>
                <w:kern w:val="0"/>
                <w:szCs w:val="21"/>
              </w:rPr>
              <w:t>1小时均值</w:t>
            </w:r>
          </w:p>
        </w:tc>
        <w:tc>
          <w:tcPr>
            <w:tcW w:w="531" w:type="pct"/>
            <w:tcBorders>
              <w:top w:val="single" w:color="000000" w:sz="4" w:space="0"/>
              <w:left w:val="single" w:color="000000" w:sz="4" w:space="0"/>
              <w:right w:val="single" w:color="000000" w:sz="4" w:space="0"/>
            </w:tcBorders>
            <w:vAlign w:val="center"/>
          </w:tcPr>
          <w:p>
            <w:pPr>
              <w:spacing w:line="0" w:lineRule="atLeast"/>
              <w:jc w:val="center"/>
              <w:rPr>
                <w:color w:val="auto"/>
                <w:kern w:val="0"/>
                <w:szCs w:val="21"/>
              </w:rPr>
            </w:pPr>
            <w:r>
              <w:rPr>
                <w:color w:val="auto"/>
                <w:kern w:val="0"/>
                <w:szCs w:val="21"/>
              </w:rPr>
              <w:t>200</w:t>
            </w:r>
          </w:p>
        </w:tc>
        <w:tc>
          <w:tcPr>
            <w:tcW w:w="1152"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color w:val="auto"/>
                <w:kern w:val="0"/>
                <w:szCs w:val="21"/>
              </w:rPr>
            </w:pPr>
            <w:r>
              <w:rPr>
                <w:rFonts w:hint="eastAsia" w:ascii="Times New Roman" w:hAnsi="Times New Roman"/>
                <w:color w:val="auto"/>
                <w:szCs w:val="21"/>
              </w:rPr>
              <w:t>0.01L</w:t>
            </w:r>
          </w:p>
        </w:tc>
        <w:tc>
          <w:tcPr>
            <w:tcW w:w="679"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color w:val="auto"/>
                <w:kern w:val="0"/>
                <w:szCs w:val="21"/>
              </w:rPr>
            </w:pPr>
            <w:r>
              <w:rPr>
                <w:rFonts w:hint="eastAsia"/>
                <w:color w:val="auto"/>
                <w:kern w:val="0"/>
                <w:szCs w:val="21"/>
                <w:lang w:val="en-US" w:eastAsia="zh-CN"/>
              </w:rPr>
              <w:t>/</w:t>
            </w:r>
          </w:p>
        </w:tc>
        <w:tc>
          <w:tcPr>
            <w:tcW w:w="451"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color w:val="auto"/>
                <w:kern w:val="0"/>
                <w:szCs w:val="21"/>
              </w:rPr>
            </w:pPr>
            <w:r>
              <w:rPr>
                <w:rFonts w:hint="eastAsia"/>
                <w:color w:val="auto"/>
                <w:kern w:val="0"/>
                <w:szCs w:val="21"/>
                <w:lang w:val="en-US" w:eastAsia="zh-CN"/>
              </w:rPr>
              <w:t>/</w:t>
            </w:r>
          </w:p>
        </w:tc>
        <w:tc>
          <w:tcPr>
            <w:tcW w:w="246" w:type="pct"/>
            <w:vMerge w:val="restart"/>
            <w:tcBorders>
              <w:top w:val="single" w:color="000000" w:sz="4" w:space="0"/>
              <w:left w:val="single" w:color="000000" w:sz="4" w:space="0"/>
              <w:right w:val="nil"/>
            </w:tcBorders>
            <w:vAlign w:val="center"/>
          </w:tcPr>
          <w:p>
            <w:pPr>
              <w:spacing w:line="0" w:lineRule="atLeast"/>
              <w:jc w:val="center"/>
              <w:rPr>
                <w:color w:val="auto"/>
                <w:kern w:val="0"/>
                <w:szCs w:val="21"/>
              </w:rPr>
            </w:pPr>
            <w:r>
              <w:rPr>
                <w:color w:val="auto"/>
                <w:kern w:val="0"/>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7" w:hRule="atLeast"/>
          <w:jc w:val="center"/>
        </w:trPr>
        <w:tc>
          <w:tcPr>
            <w:tcW w:w="474" w:type="pct"/>
            <w:vMerge w:val="continue"/>
            <w:tcBorders>
              <w:left w:val="nil"/>
              <w:right w:val="single" w:color="000000" w:sz="4" w:space="0"/>
            </w:tcBorders>
            <w:vAlign w:val="center"/>
          </w:tcPr>
          <w:p>
            <w:pPr>
              <w:spacing w:line="0" w:lineRule="atLeast"/>
              <w:jc w:val="center"/>
              <w:rPr>
                <w:color w:val="FF0000"/>
                <w:szCs w:val="21"/>
              </w:rPr>
            </w:pPr>
          </w:p>
        </w:tc>
        <w:tc>
          <w:tcPr>
            <w:tcW w:w="819" w:type="pct"/>
            <w:vMerge w:val="continue"/>
            <w:tcBorders>
              <w:left w:val="single" w:color="000000" w:sz="4" w:space="0"/>
              <w:right w:val="single" w:color="auto" w:sz="4" w:space="0"/>
            </w:tcBorders>
            <w:vAlign w:val="center"/>
          </w:tcPr>
          <w:p>
            <w:pPr>
              <w:spacing w:line="0" w:lineRule="atLeast"/>
              <w:contextualSpacing/>
              <w:jc w:val="center"/>
              <w:rPr>
                <w:color w:val="FF0000"/>
                <w:kern w:val="0"/>
                <w:szCs w:val="21"/>
              </w:rPr>
            </w:pPr>
          </w:p>
        </w:tc>
        <w:tc>
          <w:tcPr>
            <w:tcW w:w="761" w:type="pct"/>
            <w:vMerge w:val="continue"/>
            <w:tcBorders>
              <w:left w:val="single" w:color="auto" w:sz="4" w:space="0"/>
              <w:right w:val="single" w:color="000000" w:sz="4" w:space="0"/>
            </w:tcBorders>
            <w:vAlign w:val="center"/>
          </w:tcPr>
          <w:p>
            <w:pPr>
              <w:spacing w:line="0" w:lineRule="atLeast"/>
              <w:contextualSpacing/>
              <w:jc w:val="center"/>
              <w:rPr>
                <w:color w:val="FF0000"/>
                <w:kern w:val="0"/>
                <w:szCs w:val="21"/>
              </w:rPr>
            </w:pPr>
          </w:p>
        </w:tc>
        <w:tc>
          <w:tcPr>
            <w:tcW w:w="378" w:type="pct"/>
            <w:tcBorders>
              <w:top w:val="single" w:color="000000" w:sz="4" w:space="0"/>
              <w:left w:val="single" w:color="000000" w:sz="4" w:space="0"/>
              <w:bottom w:val="single" w:color="000000" w:sz="4" w:space="0"/>
              <w:right w:val="single" w:color="000000" w:sz="4" w:space="0"/>
            </w:tcBorders>
            <w:vAlign w:val="center"/>
          </w:tcPr>
          <w:p>
            <w:pPr>
              <w:widowControl/>
              <w:spacing w:line="0" w:lineRule="atLeast"/>
              <w:jc w:val="center"/>
              <w:rPr>
                <w:color w:val="auto"/>
                <w:kern w:val="0"/>
                <w:szCs w:val="21"/>
              </w:rPr>
            </w:pPr>
            <w:r>
              <w:rPr>
                <w:color w:val="auto"/>
                <w:kern w:val="0"/>
                <w:szCs w:val="21"/>
              </w:rPr>
              <w:t>H</w:t>
            </w:r>
            <w:r>
              <w:rPr>
                <w:color w:val="auto"/>
                <w:kern w:val="0"/>
                <w:szCs w:val="21"/>
                <w:vertAlign w:val="subscript"/>
              </w:rPr>
              <w:t>2</w:t>
            </w:r>
            <w:r>
              <w:rPr>
                <w:color w:val="auto"/>
                <w:kern w:val="0"/>
                <w:szCs w:val="21"/>
              </w:rPr>
              <w:t>S</w:t>
            </w:r>
          </w:p>
        </w:tc>
        <w:tc>
          <w:tcPr>
            <w:tcW w:w="478" w:type="pct"/>
            <w:vMerge w:val="continue"/>
            <w:tcBorders>
              <w:left w:val="single" w:color="000000" w:sz="4" w:space="0"/>
              <w:bottom w:val="single" w:color="auto" w:sz="4" w:space="0"/>
              <w:right w:val="single" w:color="000000" w:sz="4" w:space="0"/>
            </w:tcBorders>
            <w:vAlign w:val="center"/>
          </w:tcPr>
          <w:p>
            <w:pPr>
              <w:spacing w:line="0" w:lineRule="atLeast"/>
              <w:jc w:val="center"/>
              <w:rPr>
                <w:color w:val="auto"/>
                <w:kern w:val="0"/>
                <w:szCs w:val="21"/>
              </w:rPr>
            </w:pPr>
          </w:p>
        </w:tc>
        <w:tc>
          <w:tcPr>
            <w:tcW w:w="531" w:type="pct"/>
            <w:tcBorders>
              <w:top w:val="single" w:color="000000" w:sz="4" w:space="0"/>
              <w:left w:val="single" w:color="000000" w:sz="4" w:space="0"/>
              <w:right w:val="single" w:color="000000" w:sz="4" w:space="0"/>
            </w:tcBorders>
            <w:vAlign w:val="center"/>
          </w:tcPr>
          <w:p>
            <w:pPr>
              <w:spacing w:line="0" w:lineRule="atLeast"/>
              <w:jc w:val="center"/>
              <w:rPr>
                <w:rFonts w:ascii="Times New Roman" w:hAnsi="Times New Roman" w:eastAsia="宋体" w:cs="Times New Roman"/>
                <w:color w:val="auto"/>
                <w:kern w:val="0"/>
                <w:sz w:val="21"/>
                <w:szCs w:val="21"/>
                <w:lang w:val="en-US" w:eastAsia="zh-CN" w:bidi="ar-SA"/>
              </w:rPr>
            </w:pPr>
            <w:r>
              <w:rPr>
                <w:color w:val="auto"/>
                <w:kern w:val="0"/>
                <w:szCs w:val="21"/>
              </w:rPr>
              <w:t>10</w:t>
            </w:r>
          </w:p>
        </w:tc>
        <w:tc>
          <w:tcPr>
            <w:tcW w:w="1152"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olor w:val="auto"/>
                <w:szCs w:val="21"/>
              </w:rPr>
              <w:t>0.001L</w:t>
            </w:r>
          </w:p>
        </w:tc>
        <w:tc>
          <w:tcPr>
            <w:tcW w:w="679"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w:t>
            </w:r>
          </w:p>
        </w:tc>
        <w:tc>
          <w:tcPr>
            <w:tcW w:w="451"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w:t>
            </w:r>
          </w:p>
        </w:tc>
        <w:tc>
          <w:tcPr>
            <w:tcW w:w="246" w:type="pct"/>
            <w:vMerge w:val="continue"/>
            <w:tcBorders>
              <w:left w:val="single" w:color="000000" w:sz="4" w:space="0"/>
              <w:right w:val="nil"/>
            </w:tcBorders>
            <w:vAlign w:val="center"/>
          </w:tcPr>
          <w:p>
            <w:pPr>
              <w:spacing w:line="0" w:lineRule="atLeast"/>
              <w:jc w:val="center"/>
              <w:rPr>
                <w:color w:val="auto"/>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7" w:hRule="atLeast"/>
          <w:jc w:val="center"/>
        </w:trPr>
        <w:tc>
          <w:tcPr>
            <w:tcW w:w="474" w:type="pct"/>
            <w:vMerge w:val="continue"/>
            <w:tcBorders>
              <w:top w:val="single" w:color="000000" w:sz="4" w:space="0"/>
              <w:left w:val="nil"/>
              <w:bottom w:val="single" w:color="000000" w:sz="12" w:space="0"/>
              <w:right w:val="single" w:color="000000" w:sz="4" w:space="0"/>
            </w:tcBorders>
            <w:vAlign w:val="center"/>
          </w:tcPr>
          <w:p>
            <w:pPr>
              <w:spacing w:line="0" w:lineRule="atLeast"/>
              <w:jc w:val="center"/>
              <w:rPr>
                <w:color w:val="FF0000"/>
                <w:szCs w:val="21"/>
              </w:rPr>
            </w:pPr>
          </w:p>
        </w:tc>
        <w:tc>
          <w:tcPr>
            <w:tcW w:w="819" w:type="pct"/>
            <w:vMerge w:val="continue"/>
            <w:tcBorders>
              <w:top w:val="single" w:color="000000" w:sz="4" w:space="0"/>
              <w:left w:val="single" w:color="000000" w:sz="4" w:space="0"/>
              <w:bottom w:val="single" w:color="000000" w:sz="12" w:space="0"/>
              <w:right w:val="single" w:color="auto" w:sz="4" w:space="0"/>
            </w:tcBorders>
            <w:vAlign w:val="center"/>
          </w:tcPr>
          <w:p>
            <w:pPr>
              <w:adjustRightInd w:val="0"/>
              <w:snapToGrid w:val="0"/>
              <w:spacing w:line="0" w:lineRule="atLeast"/>
              <w:jc w:val="center"/>
              <w:rPr>
                <w:color w:val="FF0000"/>
                <w:kern w:val="0"/>
                <w:szCs w:val="21"/>
              </w:rPr>
            </w:pPr>
          </w:p>
        </w:tc>
        <w:tc>
          <w:tcPr>
            <w:tcW w:w="761" w:type="pct"/>
            <w:vMerge w:val="continue"/>
            <w:tcBorders>
              <w:top w:val="single" w:color="000000" w:sz="4" w:space="0"/>
              <w:left w:val="single" w:color="auto" w:sz="4" w:space="0"/>
              <w:bottom w:val="single" w:color="000000" w:sz="12" w:space="0"/>
              <w:right w:val="single" w:color="000000" w:sz="4" w:space="0"/>
            </w:tcBorders>
            <w:vAlign w:val="center"/>
          </w:tcPr>
          <w:p>
            <w:pPr>
              <w:adjustRightInd w:val="0"/>
              <w:snapToGrid w:val="0"/>
              <w:spacing w:line="0" w:lineRule="atLeast"/>
              <w:jc w:val="center"/>
              <w:rPr>
                <w:color w:val="FF0000"/>
                <w:kern w:val="0"/>
                <w:szCs w:val="21"/>
              </w:rPr>
            </w:pPr>
          </w:p>
        </w:tc>
        <w:tc>
          <w:tcPr>
            <w:tcW w:w="378" w:type="pct"/>
            <w:tcBorders>
              <w:top w:val="single" w:color="000000" w:sz="4" w:space="0"/>
              <w:left w:val="single" w:color="000000" w:sz="4" w:space="0"/>
              <w:bottom w:val="single" w:color="auto" w:sz="12" w:space="0"/>
              <w:right w:val="single" w:color="000000" w:sz="4" w:space="0"/>
            </w:tcBorders>
            <w:vAlign w:val="center"/>
          </w:tcPr>
          <w:p>
            <w:pPr>
              <w:widowControl/>
              <w:spacing w:line="0" w:lineRule="atLeast"/>
              <w:jc w:val="center"/>
              <w:rPr>
                <w:rFonts w:hint="eastAsia" w:eastAsia="宋体"/>
                <w:color w:val="auto"/>
                <w:kern w:val="0"/>
                <w:szCs w:val="21"/>
                <w:lang w:val="en-US" w:eastAsia="zh-CN"/>
              </w:rPr>
            </w:pPr>
            <w:r>
              <w:rPr>
                <w:rFonts w:hint="eastAsia"/>
                <w:color w:val="auto"/>
                <w:kern w:val="0"/>
                <w:szCs w:val="21"/>
                <w:lang w:val="en-US" w:eastAsia="zh-CN"/>
              </w:rPr>
              <w:t>TSP</w:t>
            </w:r>
          </w:p>
        </w:tc>
        <w:tc>
          <w:tcPr>
            <w:tcW w:w="478" w:type="pct"/>
            <w:tcBorders>
              <w:top w:val="single" w:color="auto" w:sz="4" w:space="0"/>
              <w:left w:val="single" w:color="000000" w:sz="4" w:space="0"/>
              <w:bottom w:val="single" w:color="auto" w:sz="12" w:space="0"/>
              <w:right w:val="single" w:color="000000" w:sz="4" w:space="0"/>
            </w:tcBorders>
            <w:vAlign w:val="center"/>
          </w:tcPr>
          <w:p>
            <w:pPr>
              <w:spacing w:line="0" w:lineRule="atLeast"/>
              <w:jc w:val="center"/>
              <w:rPr>
                <w:rFonts w:hint="default" w:eastAsia="宋体"/>
                <w:color w:val="auto"/>
                <w:kern w:val="0"/>
                <w:szCs w:val="21"/>
                <w:lang w:val="en-US" w:eastAsia="zh-CN"/>
              </w:rPr>
            </w:pPr>
            <w:r>
              <w:rPr>
                <w:rFonts w:hint="eastAsia"/>
                <w:color w:val="auto"/>
                <w:kern w:val="0"/>
                <w:szCs w:val="21"/>
                <w:lang w:val="en-US" w:eastAsia="zh-CN"/>
              </w:rPr>
              <w:t>24小时</w:t>
            </w:r>
            <w:r>
              <w:rPr>
                <w:color w:val="auto"/>
                <w:kern w:val="0"/>
                <w:szCs w:val="21"/>
              </w:rPr>
              <w:t>均值</w:t>
            </w:r>
          </w:p>
        </w:tc>
        <w:tc>
          <w:tcPr>
            <w:tcW w:w="531" w:type="pct"/>
            <w:tcBorders>
              <w:top w:val="single" w:color="000000" w:sz="4" w:space="0"/>
              <w:left w:val="single" w:color="000000" w:sz="4" w:space="0"/>
              <w:bottom w:val="single" w:color="000000" w:sz="12" w:space="0"/>
              <w:right w:val="single" w:color="000000" w:sz="4" w:space="0"/>
            </w:tcBorders>
            <w:vAlign w:val="center"/>
          </w:tcPr>
          <w:p>
            <w:pPr>
              <w:spacing w:line="0" w:lineRule="atLeast"/>
              <w:jc w:val="center"/>
              <w:rPr>
                <w:color w:val="auto"/>
                <w:kern w:val="0"/>
                <w:szCs w:val="21"/>
              </w:rPr>
            </w:pPr>
            <w:r>
              <w:rPr>
                <w:rFonts w:hint="default" w:ascii="Times New Roman" w:hAnsi="Times New Roman" w:cs="Times New Roman"/>
                <w:b w:val="0"/>
                <w:bCs w:val="0"/>
                <w:smallCaps w:val="0"/>
                <w:snapToGrid w:val="0"/>
                <w:color w:val="auto"/>
                <w:kern w:val="2"/>
                <w:sz w:val="21"/>
                <w:szCs w:val="21"/>
                <w:lang w:val="en-US" w:eastAsia="zh-CN" w:bidi="ar-SA"/>
              </w:rPr>
              <w:t>300</w:t>
            </w:r>
          </w:p>
        </w:tc>
        <w:tc>
          <w:tcPr>
            <w:tcW w:w="662" w:type="pct"/>
            <w:tcBorders>
              <w:top w:val="single" w:color="000000" w:sz="4" w:space="0"/>
              <w:left w:val="single" w:color="000000" w:sz="4" w:space="0"/>
              <w:bottom w:val="single" w:color="000000" w:sz="12" w:space="0"/>
              <w:right w:val="single" w:color="000000" w:sz="4" w:space="0"/>
            </w:tcBorders>
            <w:vAlign w:val="center"/>
          </w:tcPr>
          <w:p>
            <w:pPr>
              <w:spacing w:line="0" w:lineRule="atLeast"/>
              <w:jc w:val="center"/>
              <w:rPr>
                <w:rFonts w:hint="default" w:eastAsia="宋体"/>
                <w:color w:val="auto"/>
                <w:kern w:val="0"/>
                <w:szCs w:val="21"/>
                <w:lang w:val="en-US" w:eastAsia="zh-CN"/>
              </w:rPr>
            </w:pPr>
            <w:r>
              <w:rPr>
                <w:rFonts w:hint="eastAsia"/>
                <w:color w:val="auto"/>
                <w:kern w:val="0"/>
                <w:szCs w:val="21"/>
                <w:lang w:val="en-US" w:eastAsia="zh-CN"/>
              </w:rPr>
              <w:t>149-181</w:t>
            </w:r>
          </w:p>
        </w:tc>
        <w:tc>
          <w:tcPr>
            <w:tcW w:w="390" w:type="pct"/>
            <w:tcBorders>
              <w:top w:val="single" w:color="000000" w:sz="4" w:space="0"/>
              <w:left w:val="single" w:color="000000" w:sz="4" w:space="0"/>
              <w:bottom w:val="single" w:color="000000" w:sz="12" w:space="0"/>
              <w:right w:val="single" w:color="000000" w:sz="4" w:space="0"/>
            </w:tcBorders>
            <w:vAlign w:val="center"/>
          </w:tcPr>
          <w:p>
            <w:pPr>
              <w:spacing w:line="0" w:lineRule="atLeast"/>
              <w:jc w:val="center"/>
              <w:rPr>
                <w:rFonts w:hint="default" w:eastAsia="宋体"/>
                <w:color w:val="auto"/>
                <w:kern w:val="0"/>
                <w:szCs w:val="21"/>
                <w:lang w:val="en-US" w:eastAsia="zh-CN"/>
              </w:rPr>
            </w:pPr>
            <w:r>
              <w:rPr>
                <w:rFonts w:hint="eastAsia"/>
                <w:color w:val="auto"/>
                <w:kern w:val="0"/>
                <w:szCs w:val="21"/>
                <w:lang w:val="en-US" w:eastAsia="zh-CN"/>
              </w:rPr>
              <w:t>60.3</w:t>
            </w:r>
          </w:p>
        </w:tc>
        <w:tc>
          <w:tcPr>
            <w:tcW w:w="259" w:type="pct"/>
            <w:tcBorders>
              <w:top w:val="single" w:color="000000" w:sz="4" w:space="0"/>
              <w:left w:val="single" w:color="000000" w:sz="4" w:space="0"/>
              <w:bottom w:val="single" w:color="000000" w:sz="12" w:space="0"/>
              <w:right w:val="single" w:color="000000" w:sz="4" w:space="0"/>
            </w:tcBorders>
            <w:vAlign w:val="center"/>
          </w:tcPr>
          <w:p>
            <w:pPr>
              <w:spacing w:line="0" w:lineRule="atLeast"/>
              <w:jc w:val="center"/>
              <w:rPr>
                <w:rFonts w:hint="default" w:eastAsia="宋体"/>
                <w:color w:val="auto"/>
                <w:kern w:val="0"/>
                <w:szCs w:val="21"/>
                <w:lang w:val="en-US" w:eastAsia="zh-CN"/>
              </w:rPr>
            </w:pPr>
            <w:r>
              <w:rPr>
                <w:rFonts w:hint="eastAsia"/>
                <w:color w:val="auto"/>
                <w:kern w:val="0"/>
                <w:szCs w:val="21"/>
                <w:lang w:val="en-US" w:eastAsia="zh-CN"/>
              </w:rPr>
              <w:t>/</w:t>
            </w:r>
          </w:p>
        </w:tc>
        <w:tc>
          <w:tcPr>
            <w:tcW w:w="246" w:type="pct"/>
            <w:vMerge w:val="continue"/>
            <w:tcBorders>
              <w:top w:val="single" w:color="000000" w:sz="4" w:space="0"/>
              <w:left w:val="single" w:color="000000" w:sz="4" w:space="0"/>
              <w:bottom w:val="single" w:color="000000" w:sz="12" w:space="0"/>
              <w:right w:val="nil"/>
            </w:tcBorders>
            <w:vAlign w:val="center"/>
          </w:tcPr>
          <w:p>
            <w:pPr>
              <w:spacing w:line="0" w:lineRule="atLeast"/>
              <w:jc w:val="center"/>
              <w:rPr>
                <w:color w:val="auto"/>
                <w:kern w:val="0"/>
                <w:szCs w:val="21"/>
              </w:rPr>
            </w:pPr>
          </w:p>
        </w:tc>
      </w:tr>
    </w:tbl>
    <w:p>
      <w:pPr>
        <w:pStyle w:val="74"/>
        <w:adjustRightInd/>
        <w:snapToGrid/>
        <w:jc w:val="both"/>
        <w:rPr>
          <w:rFonts w:ascii="Times New Roman" w:hAnsi="Times New Roman" w:eastAsia="宋体" w:cs="Times New Roman"/>
          <w:color w:val="auto"/>
        </w:rPr>
      </w:pPr>
      <w:r>
        <w:rPr>
          <w:rFonts w:ascii="Times New Roman" w:hAnsi="Times New Roman" w:eastAsia="宋体" w:cs="Times New Roman"/>
          <w:color w:val="auto"/>
        </w:rPr>
        <w:t>通过监测结果表明，</w:t>
      </w:r>
      <w:r>
        <w:rPr>
          <w:rFonts w:hint="default" w:ascii="Times New Roman" w:hAnsi="Times New Roman" w:eastAsia="宋体" w:cs="Times New Roman"/>
          <w:color w:val="auto"/>
          <w:sz w:val="24"/>
          <w:szCs w:val="24"/>
          <w:lang w:eastAsia="zh-CN"/>
        </w:rPr>
        <w:t>总悬浮颗粒物（</w:t>
      </w:r>
      <w:r>
        <w:rPr>
          <w:rFonts w:hint="default" w:ascii="Times New Roman" w:hAnsi="Times New Roman" w:eastAsia="宋体" w:cs="Times New Roman"/>
          <w:color w:val="auto"/>
          <w:sz w:val="24"/>
          <w:szCs w:val="24"/>
          <w:lang w:val="en-US" w:eastAsia="zh-CN"/>
        </w:rPr>
        <w:t>TSP</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满足《环境空气质量标准》（GB3095-2012）中二级标准，</w:t>
      </w:r>
      <w:r>
        <w:rPr>
          <w:rFonts w:ascii="Times New Roman" w:hAnsi="Times New Roman" w:eastAsia="宋体" w:cs="Times New Roman"/>
          <w:color w:val="auto"/>
        </w:rPr>
        <w:t>监测点NH</w:t>
      </w:r>
      <w:r>
        <w:rPr>
          <w:rFonts w:ascii="Times New Roman" w:hAnsi="Times New Roman" w:eastAsia="宋体" w:cs="Times New Roman"/>
          <w:color w:val="auto"/>
          <w:vertAlign w:val="subscript"/>
        </w:rPr>
        <w:t>3</w:t>
      </w:r>
      <w:r>
        <w:rPr>
          <w:rFonts w:hint="eastAsia" w:ascii="Times New Roman" w:hAnsi="Times New Roman" w:eastAsia="宋体" w:cs="Times New Roman"/>
          <w:color w:val="auto"/>
          <w:vertAlign w:val="baseline"/>
          <w:lang w:eastAsia="zh-CN"/>
        </w:rPr>
        <w:t>、</w:t>
      </w:r>
      <w:r>
        <w:rPr>
          <w:rFonts w:ascii="Times New Roman" w:hAnsi="Times New Roman" w:eastAsia="宋体" w:cs="Times New Roman"/>
          <w:color w:val="auto"/>
        </w:rPr>
        <w:t>H</w:t>
      </w:r>
      <w:r>
        <w:rPr>
          <w:rFonts w:ascii="Times New Roman" w:hAnsi="Times New Roman" w:eastAsia="宋体" w:cs="Times New Roman"/>
          <w:color w:val="auto"/>
          <w:vertAlign w:val="subscript"/>
        </w:rPr>
        <w:t>2</w:t>
      </w:r>
      <w:r>
        <w:rPr>
          <w:rFonts w:ascii="Times New Roman" w:hAnsi="Times New Roman" w:eastAsia="宋体" w:cs="Times New Roman"/>
          <w:color w:val="auto"/>
        </w:rPr>
        <w:t>S未检出，满足《环境影响评价技术导则大气环境》（HJ 2.2-2018）附录D标准。</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4.2.2地表水现状评价</w:t>
      </w:r>
    </w:p>
    <w:p>
      <w:pPr>
        <w:spacing w:line="360" w:lineRule="auto"/>
        <w:ind w:firstLine="480" w:firstLineChars="200"/>
        <w:rPr>
          <w:rFonts w:hint="eastAsia"/>
          <w:bCs/>
          <w:color w:val="auto"/>
          <w:sz w:val="24"/>
          <w:lang w:eastAsia="zh-CN"/>
        </w:rPr>
      </w:pPr>
      <w:r>
        <w:rPr>
          <w:bCs/>
          <w:color w:val="auto"/>
          <w:sz w:val="24"/>
        </w:rPr>
        <w:t>根据</w:t>
      </w:r>
      <w:r>
        <w:rPr>
          <w:rFonts w:hint="eastAsia"/>
          <w:bCs/>
          <w:color w:val="auto"/>
          <w:sz w:val="24"/>
          <w:lang w:eastAsia="zh-CN"/>
        </w:rPr>
        <w:t>《哈尔滨市生态环境质量报告书（2022年）》（黑龙江省哈尔滨生态环境监测中心，2023年6月），202</w:t>
      </w:r>
      <w:r>
        <w:rPr>
          <w:rFonts w:hint="eastAsia"/>
          <w:bCs/>
          <w:color w:val="auto"/>
          <w:sz w:val="24"/>
          <w:lang w:val="en-US" w:eastAsia="zh-CN"/>
        </w:rPr>
        <w:t>2</w:t>
      </w:r>
      <w:r>
        <w:rPr>
          <w:rFonts w:hint="eastAsia"/>
          <w:bCs/>
          <w:color w:val="auto"/>
          <w:sz w:val="24"/>
          <w:lang w:eastAsia="zh-CN"/>
        </w:rPr>
        <w:t>年松花江哈尔滨江段12条主要一级支流总体状况为良，水质总体好转。</w:t>
      </w:r>
    </w:p>
    <w:p>
      <w:pPr>
        <w:spacing w:line="360" w:lineRule="auto"/>
        <w:ind w:firstLine="480" w:firstLineChars="200"/>
        <w:rPr>
          <w:rFonts w:hint="default" w:ascii="Times New Roman" w:hAnsi="Times New Roman" w:cs="Times New Roman"/>
          <w:bCs/>
          <w:color w:val="auto"/>
          <w:sz w:val="24"/>
          <w:lang w:eastAsia="zh-CN"/>
        </w:rPr>
      </w:pPr>
      <w:r>
        <w:rPr>
          <w:rFonts w:hint="default" w:ascii="Times New Roman" w:hAnsi="Times New Roman" w:cs="Times New Roman"/>
          <w:bCs/>
          <w:color w:val="auto"/>
          <w:sz w:val="24"/>
          <w:lang w:eastAsia="zh-CN"/>
        </w:rPr>
        <w:t>岔林河口内、白杨木河水质符合Ⅱ；蚂蚁河口内、巴兰河口内、木兰达河口内、阿什河口内、牡丹江口内、呼兰河口内、倭肯河口内、拉林河口内水质符合Ⅲ类；蜚克图河水质符合IV类标准；少陵河桥水质符合Ⅴ类。其中少陵河桥水质属于重度污染，蜚克图河水质属于轻度污染。202</w:t>
      </w:r>
      <w:r>
        <w:rPr>
          <w:rFonts w:hint="default" w:ascii="Times New Roman" w:hAnsi="Times New Roman" w:cs="Times New Roman"/>
          <w:bCs/>
          <w:color w:val="auto"/>
          <w:sz w:val="24"/>
          <w:lang w:val="en-US" w:eastAsia="zh-CN"/>
        </w:rPr>
        <w:t>2</w:t>
      </w:r>
      <w:r>
        <w:rPr>
          <w:rFonts w:hint="default" w:ascii="Times New Roman" w:hAnsi="Times New Roman" w:cs="Times New Roman"/>
          <w:bCs/>
          <w:color w:val="auto"/>
          <w:sz w:val="24"/>
          <w:lang w:eastAsia="zh-CN"/>
        </w:rPr>
        <w:t>年松花江哈尔滨段12条主要一级支流口内断面各项指标浓度差异较大。各断面溶解氧均好于Ⅰ类标准，高锰酸盐指数指标少陵河桥达到IV类标准，其它断面达到Ⅲ类标准；氨氮指标巨源镇达到IV类标准，少陵河桥达到V类标准，其它断面达到Ⅲ类标准；总磷指标阿什河口内、巨源镇和少陵河桥达到IV类标准，其它断面达到Ⅲ类标准；化学需氧量指标少陵河桥达到IV类标准，其它断面达到Ⅲ类标准；生化需氧量指标均达到Ⅲ类标准。</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bCs/>
          <w:color w:val="auto"/>
          <w:sz w:val="24"/>
          <w:lang w:eastAsia="zh-CN"/>
        </w:rPr>
        <w:t>本项目所在区域水体为蚂蚁河，蚂蚁河口内监测断面水质达到《地表水环境质量标准》（GB3838-2002）Ⅲ类标准，达到考核目标Ⅲ类水质要求。</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4.2.3地下水质量现状评价</w:t>
      </w:r>
    </w:p>
    <w:p>
      <w:pPr>
        <w:spacing w:line="360" w:lineRule="auto"/>
        <w:outlineLvl w:val="3"/>
        <w:rPr>
          <w:b/>
          <w:color w:val="auto"/>
          <w:sz w:val="24"/>
        </w:rPr>
      </w:pPr>
      <w:r>
        <w:rPr>
          <w:b/>
          <w:color w:val="auto"/>
          <w:sz w:val="24"/>
        </w:rPr>
        <w:t>4.2.3.1地下水环境现状监测</w:t>
      </w:r>
    </w:p>
    <w:p>
      <w:pPr>
        <w:autoSpaceDE w:val="0"/>
        <w:autoSpaceDN w:val="0"/>
        <w:spacing w:line="360" w:lineRule="auto"/>
        <w:ind w:firstLine="480" w:firstLineChars="200"/>
        <w:rPr>
          <w:color w:val="auto"/>
          <w:sz w:val="24"/>
        </w:rPr>
      </w:pPr>
      <w:r>
        <w:rPr>
          <w:color w:val="auto"/>
          <w:sz w:val="24"/>
        </w:rPr>
        <w:t>（1）数据来源</w:t>
      </w:r>
    </w:p>
    <w:p>
      <w:pPr>
        <w:autoSpaceDE w:val="0"/>
        <w:autoSpaceDN w:val="0"/>
        <w:spacing w:line="360" w:lineRule="auto"/>
        <w:ind w:firstLine="480" w:firstLineChars="200"/>
        <w:rPr>
          <w:color w:val="auto"/>
          <w:sz w:val="24"/>
        </w:rPr>
      </w:pPr>
      <w:r>
        <w:rPr>
          <w:color w:val="auto"/>
          <w:sz w:val="24"/>
        </w:rPr>
        <w:t>监测数据源于</w:t>
      </w:r>
      <w:r>
        <w:rPr>
          <w:rFonts w:hint="eastAsia"/>
          <w:color w:val="auto"/>
          <w:sz w:val="24"/>
          <w:lang w:eastAsia="zh-CN"/>
        </w:rPr>
        <w:t>黑龙江克巽检测技术有限公司</w:t>
      </w:r>
      <w:r>
        <w:rPr>
          <w:color w:val="auto"/>
          <w:sz w:val="24"/>
        </w:rPr>
        <w:t>，详细情况见附件。</w:t>
      </w:r>
    </w:p>
    <w:p>
      <w:pPr>
        <w:spacing w:line="360" w:lineRule="auto"/>
        <w:ind w:firstLine="480" w:firstLineChars="200"/>
        <w:rPr>
          <w:color w:val="auto"/>
          <w:sz w:val="24"/>
        </w:rPr>
      </w:pPr>
      <w:r>
        <w:rPr>
          <w:color w:val="auto"/>
          <w:sz w:val="24"/>
        </w:rPr>
        <w:t>（2）监测点位</w:t>
      </w:r>
    </w:p>
    <w:p>
      <w:pPr>
        <w:spacing w:line="360" w:lineRule="auto"/>
        <w:ind w:firstLine="480" w:firstLineChars="200"/>
        <w:rPr>
          <w:color w:val="auto"/>
          <w:sz w:val="24"/>
        </w:rPr>
      </w:pPr>
      <w:r>
        <w:rPr>
          <w:color w:val="auto"/>
          <w:sz w:val="24"/>
        </w:rPr>
        <w:t>本项目地下水现状监测点位布置具体见表4-2-</w:t>
      </w:r>
      <w:r>
        <w:rPr>
          <w:rFonts w:hint="eastAsia"/>
          <w:color w:val="auto"/>
          <w:sz w:val="24"/>
        </w:rPr>
        <w:t>4</w:t>
      </w:r>
      <w:r>
        <w:rPr>
          <w:color w:val="auto"/>
          <w:sz w:val="24"/>
        </w:rPr>
        <w:t>和图4-2-</w:t>
      </w:r>
      <w:r>
        <w:rPr>
          <w:rFonts w:hint="eastAsia"/>
          <w:color w:val="auto"/>
          <w:sz w:val="24"/>
          <w:lang w:val="en-US" w:eastAsia="zh-CN"/>
        </w:rPr>
        <w:t>2</w:t>
      </w:r>
      <w:r>
        <w:rPr>
          <w:color w:val="auto"/>
          <w:sz w:val="24"/>
        </w:rPr>
        <w:t>。</w:t>
      </w:r>
    </w:p>
    <w:p>
      <w:pPr>
        <w:jc w:val="center"/>
        <w:rPr>
          <w:rFonts w:hint="eastAsia" w:eastAsia="宋体"/>
          <w:b/>
          <w:color w:val="auto"/>
          <w:kern w:val="0"/>
          <w:sz w:val="24"/>
          <w:lang w:eastAsia="zh-CN"/>
        </w:rPr>
      </w:pPr>
      <w:r>
        <w:rPr>
          <w:b/>
          <w:color w:val="auto"/>
          <w:kern w:val="0"/>
          <w:sz w:val="24"/>
        </w:rPr>
        <w:t>表4-2-</w:t>
      </w:r>
      <w:r>
        <w:rPr>
          <w:rFonts w:hint="eastAsia"/>
          <w:b/>
          <w:color w:val="auto"/>
          <w:kern w:val="0"/>
          <w:sz w:val="24"/>
        </w:rPr>
        <w:t>4</w:t>
      </w:r>
      <w:r>
        <w:rPr>
          <w:b/>
          <w:color w:val="auto"/>
          <w:kern w:val="0"/>
          <w:sz w:val="24"/>
        </w:rPr>
        <w:t>地下水现状监测点位表</w:t>
      </w:r>
    </w:p>
    <w:tbl>
      <w:tblPr>
        <w:tblStyle w:val="46"/>
        <w:tblW w:w="8389"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920"/>
        <w:gridCol w:w="2081"/>
        <w:gridCol w:w="2042"/>
        <w:gridCol w:w="234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6" w:hRule="atLeast"/>
          <w:jc w:val="center"/>
        </w:trPr>
        <w:tc>
          <w:tcPr>
            <w:tcW w:w="1920" w:type="dxa"/>
            <w:tcBorders>
              <w:top w:val="single" w:color="auto" w:sz="12" w:space="0"/>
              <w:left w:val="nil"/>
              <w:bottom w:val="single" w:color="auto" w:sz="6" w:space="0"/>
              <w:right w:val="single" w:color="auto" w:sz="6" w:space="0"/>
            </w:tcBorders>
            <w:vAlign w:val="center"/>
          </w:tcPr>
          <w:p>
            <w:pPr>
              <w:spacing w:line="0" w:lineRule="atLeast"/>
              <w:jc w:val="center"/>
              <w:rPr>
                <w:color w:val="auto"/>
                <w:szCs w:val="21"/>
              </w:rPr>
            </w:pPr>
            <w:r>
              <w:rPr>
                <w:color w:val="auto"/>
                <w:szCs w:val="21"/>
              </w:rPr>
              <w:t>点位</w:t>
            </w:r>
          </w:p>
        </w:tc>
        <w:tc>
          <w:tcPr>
            <w:tcW w:w="2081" w:type="dxa"/>
            <w:tcBorders>
              <w:top w:val="single" w:color="auto" w:sz="12" w:space="0"/>
              <w:left w:val="single" w:color="auto" w:sz="6" w:space="0"/>
              <w:bottom w:val="single" w:color="auto" w:sz="6" w:space="0"/>
              <w:right w:val="single" w:color="auto" w:sz="6" w:space="0"/>
            </w:tcBorders>
            <w:vAlign w:val="center"/>
          </w:tcPr>
          <w:p>
            <w:pPr>
              <w:spacing w:line="0" w:lineRule="atLeast"/>
              <w:jc w:val="center"/>
              <w:rPr>
                <w:color w:val="auto"/>
                <w:szCs w:val="21"/>
              </w:rPr>
            </w:pPr>
            <w:r>
              <w:rPr>
                <w:color w:val="auto"/>
                <w:szCs w:val="21"/>
              </w:rPr>
              <w:t>监测项目</w:t>
            </w:r>
          </w:p>
        </w:tc>
        <w:tc>
          <w:tcPr>
            <w:tcW w:w="2042" w:type="dxa"/>
            <w:tcBorders>
              <w:top w:val="single" w:color="auto" w:sz="12" w:space="0"/>
              <w:left w:val="single" w:color="auto" w:sz="6" w:space="0"/>
              <w:bottom w:val="single" w:color="auto" w:sz="6" w:space="0"/>
              <w:right w:val="single" w:color="auto" w:sz="6" w:space="0"/>
            </w:tcBorders>
            <w:vAlign w:val="center"/>
          </w:tcPr>
          <w:p>
            <w:pPr>
              <w:spacing w:line="0" w:lineRule="atLeast"/>
              <w:jc w:val="center"/>
              <w:rPr>
                <w:color w:val="auto"/>
                <w:szCs w:val="21"/>
              </w:rPr>
            </w:pPr>
            <w:r>
              <w:rPr>
                <w:color w:val="auto"/>
                <w:szCs w:val="21"/>
              </w:rPr>
              <w:t>位置</w:t>
            </w:r>
          </w:p>
        </w:tc>
        <w:tc>
          <w:tcPr>
            <w:tcW w:w="2346" w:type="dxa"/>
            <w:tcBorders>
              <w:top w:val="single" w:color="auto" w:sz="12" w:space="0"/>
              <w:left w:val="single" w:color="auto" w:sz="6" w:space="0"/>
              <w:bottom w:val="single" w:color="auto" w:sz="6" w:space="0"/>
              <w:right w:val="nil"/>
            </w:tcBorders>
            <w:vAlign w:val="center"/>
          </w:tcPr>
          <w:p>
            <w:pPr>
              <w:spacing w:line="0" w:lineRule="atLeast"/>
              <w:jc w:val="center"/>
              <w:rPr>
                <w:color w:val="auto"/>
                <w:szCs w:val="21"/>
              </w:rPr>
            </w:pPr>
            <w:r>
              <w:rPr>
                <w:color w:val="auto"/>
                <w:szCs w:val="21"/>
              </w:rPr>
              <w:t>距厂界的直线距离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 w:hRule="atLeast"/>
          <w:jc w:val="center"/>
        </w:trPr>
        <w:tc>
          <w:tcPr>
            <w:tcW w:w="1920" w:type="dxa"/>
            <w:tcBorders>
              <w:top w:val="single" w:color="auto" w:sz="6" w:space="0"/>
              <w:left w:val="nil"/>
              <w:bottom w:val="single" w:color="auto" w:sz="6" w:space="0"/>
              <w:right w:val="single" w:color="auto" w:sz="6" w:space="0"/>
            </w:tcBorders>
            <w:vAlign w:val="center"/>
          </w:tcPr>
          <w:p>
            <w:pPr>
              <w:spacing w:line="0" w:lineRule="atLeast"/>
              <w:jc w:val="center"/>
              <w:rPr>
                <w:rFonts w:hint="eastAsia" w:eastAsia="宋体"/>
                <w:color w:val="auto"/>
                <w:szCs w:val="21"/>
                <w:lang w:val="en-US" w:eastAsia="zh-CN"/>
              </w:rPr>
            </w:pPr>
            <w:r>
              <w:rPr>
                <w:color w:val="auto"/>
                <w:szCs w:val="21"/>
              </w:rPr>
              <w:t>1</w:t>
            </w:r>
            <w:r>
              <w:rPr>
                <w:rFonts w:hint="eastAsia"/>
                <w:color w:val="auto"/>
                <w:szCs w:val="21"/>
                <w:lang w:val="en-US" w:eastAsia="zh-CN"/>
              </w:rPr>
              <w:t>#</w:t>
            </w:r>
          </w:p>
        </w:tc>
        <w:tc>
          <w:tcPr>
            <w:tcW w:w="2081" w:type="dxa"/>
            <w:vMerge w:val="restart"/>
            <w:tcBorders>
              <w:top w:val="single" w:color="auto" w:sz="6" w:space="0"/>
              <w:left w:val="single" w:color="auto" w:sz="6" w:space="0"/>
              <w:bottom w:val="single" w:color="auto" w:sz="6" w:space="0"/>
              <w:right w:val="single" w:color="auto" w:sz="6" w:space="0"/>
            </w:tcBorders>
            <w:vAlign w:val="center"/>
          </w:tcPr>
          <w:p>
            <w:pPr>
              <w:spacing w:line="0" w:lineRule="atLeast"/>
              <w:jc w:val="center"/>
              <w:rPr>
                <w:color w:val="auto"/>
                <w:szCs w:val="21"/>
              </w:rPr>
            </w:pPr>
            <w:r>
              <w:rPr>
                <w:color w:val="auto"/>
                <w:szCs w:val="21"/>
              </w:rPr>
              <w:t>水质</w:t>
            </w:r>
          </w:p>
          <w:p>
            <w:pPr>
              <w:spacing w:line="0" w:lineRule="atLeast"/>
              <w:jc w:val="center"/>
              <w:rPr>
                <w:color w:val="auto"/>
                <w:szCs w:val="21"/>
              </w:rPr>
            </w:pPr>
            <w:r>
              <w:rPr>
                <w:color w:val="auto"/>
                <w:szCs w:val="21"/>
              </w:rPr>
              <w:t>水位</w:t>
            </w:r>
          </w:p>
        </w:tc>
        <w:tc>
          <w:tcPr>
            <w:tcW w:w="2042" w:type="dxa"/>
            <w:tcBorders>
              <w:top w:val="single" w:color="auto" w:sz="6" w:space="0"/>
              <w:left w:val="single" w:color="auto" w:sz="6" w:space="0"/>
              <w:bottom w:val="single" w:color="auto" w:sz="6" w:space="0"/>
              <w:right w:val="single" w:color="auto" w:sz="6" w:space="0"/>
            </w:tcBorders>
            <w:vAlign w:val="center"/>
          </w:tcPr>
          <w:p>
            <w:pPr>
              <w:spacing w:line="0" w:lineRule="atLeast"/>
              <w:jc w:val="center"/>
              <w:rPr>
                <w:color w:val="auto"/>
                <w:szCs w:val="21"/>
              </w:rPr>
            </w:pPr>
            <w:r>
              <w:rPr>
                <w:color w:val="auto"/>
                <w:szCs w:val="21"/>
              </w:rPr>
              <w:t>场地上游</w:t>
            </w:r>
          </w:p>
        </w:tc>
        <w:tc>
          <w:tcPr>
            <w:tcW w:w="2346" w:type="dxa"/>
            <w:tcBorders>
              <w:top w:val="single" w:color="auto" w:sz="6" w:space="0"/>
              <w:left w:val="single" w:color="auto" w:sz="6" w:space="0"/>
              <w:bottom w:val="single" w:color="auto" w:sz="6" w:space="0"/>
              <w:right w:val="nil"/>
            </w:tcBorders>
            <w:vAlign w:val="center"/>
          </w:tcPr>
          <w:p>
            <w:pPr>
              <w:spacing w:line="0" w:lineRule="atLeast"/>
              <w:jc w:val="center"/>
              <w:rPr>
                <w:color w:val="auto"/>
                <w:szCs w:val="21"/>
              </w:rPr>
            </w:pPr>
            <w:r>
              <w:rPr>
                <w:rFonts w:hint="eastAsia"/>
                <w:color w:val="auto"/>
                <w:szCs w:val="21"/>
                <w:lang w:val="en-US" w:eastAsia="zh-CN"/>
              </w:rPr>
              <w:t>1255</w:t>
            </w:r>
            <w:r>
              <w:rPr>
                <w:color w:val="auto"/>
                <w:szCs w:val="21"/>
              </w:rPr>
              <w:t>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 w:hRule="atLeast"/>
          <w:jc w:val="center"/>
        </w:trPr>
        <w:tc>
          <w:tcPr>
            <w:tcW w:w="1920" w:type="dxa"/>
            <w:tcBorders>
              <w:top w:val="single" w:color="auto" w:sz="6" w:space="0"/>
              <w:left w:val="nil"/>
              <w:bottom w:val="single" w:color="auto" w:sz="6" w:space="0"/>
              <w:right w:val="single" w:color="auto" w:sz="6" w:space="0"/>
            </w:tcBorders>
            <w:vAlign w:val="center"/>
          </w:tcPr>
          <w:p>
            <w:pPr>
              <w:spacing w:line="0" w:lineRule="atLeast"/>
              <w:jc w:val="center"/>
              <w:rPr>
                <w:color w:val="auto"/>
                <w:szCs w:val="21"/>
              </w:rPr>
            </w:pPr>
            <w:r>
              <w:rPr>
                <w:color w:val="auto"/>
                <w:szCs w:val="21"/>
              </w:rPr>
              <w:t>2</w:t>
            </w:r>
            <w:r>
              <w:rPr>
                <w:rFonts w:hint="eastAsia"/>
                <w:color w:val="auto"/>
                <w:szCs w:val="21"/>
                <w:lang w:val="en-US" w:eastAsia="zh-CN"/>
              </w:rPr>
              <w:t>#</w:t>
            </w:r>
          </w:p>
        </w:tc>
        <w:tc>
          <w:tcPr>
            <w:tcW w:w="2081"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0" w:lineRule="atLeast"/>
              <w:jc w:val="center"/>
              <w:rPr>
                <w:color w:val="auto"/>
                <w:szCs w:val="21"/>
              </w:rPr>
            </w:pPr>
          </w:p>
        </w:tc>
        <w:tc>
          <w:tcPr>
            <w:tcW w:w="2042" w:type="dxa"/>
            <w:tcBorders>
              <w:top w:val="single" w:color="auto" w:sz="6" w:space="0"/>
              <w:left w:val="single" w:color="auto" w:sz="6" w:space="0"/>
              <w:bottom w:val="single" w:color="auto" w:sz="6" w:space="0"/>
              <w:right w:val="single" w:color="auto" w:sz="6" w:space="0"/>
            </w:tcBorders>
            <w:vAlign w:val="center"/>
          </w:tcPr>
          <w:p>
            <w:pPr>
              <w:spacing w:line="0" w:lineRule="atLeast"/>
              <w:jc w:val="center"/>
              <w:rPr>
                <w:color w:val="auto"/>
                <w:szCs w:val="21"/>
              </w:rPr>
            </w:pPr>
            <w:r>
              <w:rPr>
                <w:color w:val="auto"/>
                <w:szCs w:val="21"/>
              </w:rPr>
              <w:t>项目场地</w:t>
            </w:r>
          </w:p>
        </w:tc>
        <w:tc>
          <w:tcPr>
            <w:tcW w:w="2346" w:type="dxa"/>
            <w:tcBorders>
              <w:top w:val="single" w:color="auto" w:sz="6" w:space="0"/>
              <w:left w:val="single" w:color="auto" w:sz="6" w:space="0"/>
              <w:bottom w:val="single" w:color="auto" w:sz="6" w:space="0"/>
              <w:right w:val="nil"/>
            </w:tcBorders>
            <w:vAlign w:val="center"/>
          </w:tcPr>
          <w:p>
            <w:pPr>
              <w:spacing w:line="0" w:lineRule="atLeast"/>
              <w:jc w:val="center"/>
              <w:rPr>
                <w:color w:val="auto"/>
                <w:szCs w:val="21"/>
              </w:rPr>
            </w:pP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6" w:hRule="atLeast"/>
          <w:jc w:val="center"/>
        </w:trPr>
        <w:tc>
          <w:tcPr>
            <w:tcW w:w="1920" w:type="dxa"/>
            <w:tcBorders>
              <w:top w:val="single" w:color="auto" w:sz="6" w:space="0"/>
              <w:left w:val="nil"/>
              <w:bottom w:val="single" w:color="auto" w:sz="6" w:space="0"/>
              <w:right w:val="single" w:color="auto" w:sz="6" w:space="0"/>
            </w:tcBorders>
            <w:vAlign w:val="center"/>
          </w:tcPr>
          <w:p>
            <w:pPr>
              <w:spacing w:line="0" w:lineRule="atLeast"/>
              <w:jc w:val="center"/>
              <w:rPr>
                <w:color w:val="auto"/>
                <w:szCs w:val="21"/>
              </w:rPr>
            </w:pPr>
            <w:r>
              <w:rPr>
                <w:color w:val="auto"/>
                <w:szCs w:val="21"/>
              </w:rPr>
              <w:t>3</w:t>
            </w:r>
            <w:r>
              <w:rPr>
                <w:rFonts w:hint="eastAsia"/>
                <w:color w:val="auto"/>
                <w:szCs w:val="21"/>
                <w:lang w:val="en-US" w:eastAsia="zh-CN"/>
              </w:rPr>
              <w:t>#</w:t>
            </w:r>
          </w:p>
        </w:tc>
        <w:tc>
          <w:tcPr>
            <w:tcW w:w="2081"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0" w:lineRule="atLeast"/>
              <w:jc w:val="center"/>
              <w:rPr>
                <w:color w:val="auto"/>
                <w:szCs w:val="21"/>
              </w:rPr>
            </w:pPr>
          </w:p>
        </w:tc>
        <w:tc>
          <w:tcPr>
            <w:tcW w:w="2042" w:type="dxa"/>
            <w:tcBorders>
              <w:top w:val="single" w:color="auto" w:sz="6" w:space="0"/>
              <w:left w:val="single" w:color="auto" w:sz="6" w:space="0"/>
              <w:bottom w:val="single" w:color="auto" w:sz="6" w:space="0"/>
              <w:right w:val="single" w:color="auto" w:sz="6" w:space="0"/>
            </w:tcBorders>
            <w:vAlign w:val="center"/>
          </w:tcPr>
          <w:p>
            <w:pPr>
              <w:spacing w:line="0" w:lineRule="atLeast"/>
              <w:jc w:val="center"/>
              <w:rPr>
                <w:color w:val="auto"/>
                <w:szCs w:val="21"/>
              </w:rPr>
            </w:pPr>
            <w:r>
              <w:rPr>
                <w:color w:val="auto"/>
                <w:szCs w:val="21"/>
              </w:rPr>
              <w:t>场地下游</w:t>
            </w:r>
          </w:p>
        </w:tc>
        <w:tc>
          <w:tcPr>
            <w:tcW w:w="2346" w:type="dxa"/>
            <w:tcBorders>
              <w:top w:val="single" w:color="auto" w:sz="6" w:space="0"/>
              <w:left w:val="single" w:color="auto" w:sz="6" w:space="0"/>
              <w:bottom w:val="single" w:color="auto" w:sz="6" w:space="0"/>
              <w:right w:val="nil"/>
            </w:tcBorders>
            <w:vAlign w:val="center"/>
          </w:tcPr>
          <w:p>
            <w:pPr>
              <w:spacing w:line="0" w:lineRule="atLeast"/>
              <w:jc w:val="center"/>
              <w:rPr>
                <w:color w:val="auto"/>
                <w:szCs w:val="21"/>
              </w:rPr>
            </w:pPr>
            <w:r>
              <w:rPr>
                <w:rFonts w:hint="eastAsia"/>
                <w:color w:val="auto"/>
                <w:szCs w:val="21"/>
                <w:lang w:val="en-US" w:eastAsia="zh-CN"/>
              </w:rPr>
              <w:t>470</w:t>
            </w:r>
            <w:r>
              <w:rPr>
                <w:color w:val="auto"/>
                <w:szCs w:val="21"/>
              </w:rPr>
              <w:t>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6" w:hRule="atLeast"/>
          <w:jc w:val="center"/>
        </w:trPr>
        <w:tc>
          <w:tcPr>
            <w:tcW w:w="1920" w:type="dxa"/>
            <w:tcBorders>
              <w:top w:val="single" w:color="auto" w:sz="6" w:space="0"/>
              <w:left w:val="nil"/>
              <w:bottom w:val="single" w:color="auto" w:sz="6" w:space="0"/>
              <w:right w:val="single" w:color="auto" w:sz="6" w:space="0"/>
            </w:tcBorders>
            <w:vAlign w:val="center"/>
          </w:tcPr>
          <w:p>
            <w:pPr>
              <w:spacing w:line="0" w:lineRule="atLeast"/>
              <w:jc w:val="center"/>
              <w:rPr>
                <w:color w:val="auto"/>
                <w:szCs w:val="21"/>
              </w:rPr>
            </w:pPr>
            <w:r>
              <w:rPr>
                <w:color w:val="auto"/>
                <w:szCs w:val="21"/>
              </w:rPr>
              <w:t>4</w:t>
            </w:r>
            <w:r>
              <w:rPr>
                <w:rFonts w:hint="eastAsia"/>
                <w:color w:val="auto"/>
                <w:szCs w:val="21"/>
                <w:lang w:val="en-US" w:eastAsia="zh-CN"/>
              </w:rPr>
              <w:t>#</w:t>
            </w:r>
          </w:p>
        </w:tc>
        <w:tc>
          <w:tcPr>
            <w:tcW w:w="2081" w:type="dxa"/>
            <w:vMerge w:val="restart"/>
            <w:tcBorders>
              <w:top w:val="single" w:color="auto" w:sz="6" w:space="0"/>
              <w:left w:val="single" w:color="auto" w:sz="6" w:space="0"/>
              <w:bottom w:val="single" w:color="auto" w:sz="12" w:space="0"/>
              <w:right w:val="single" w:color="auto" w:sz="6" w:space="0"/>
            </w:tcBorders>
            <w:vAlign w:val="center"/>
          </w:tcPr>
          <w:p>
            <w:pPr>
              <w:spacing w:line="0" w:lineRule="atLeast"/>
              <w:jc w:val="center"/>
              <w:rPr>
                <w:color w:val="auto"/>
                <w:szCs w:val="21"/>
              </w:rPr>
            </w:pPr>
            <w:r>
              <w:rPr>
                <w:color w:val="auto"/>
                <w:szCs w:val="21"/>
              </w:rPr>
              <w:t>水位</w:t>
            </w:r>
          </w:p>
        </w:tc>
        <w:tc>
          <w:tcPr>
            <w:tcW w:w="2042" w:type="dxa"/>
            <w:tcBorders>
              <w:top w:val="single" w:color="auto" w:sz="6" w:space="0"/>
              <w:left w:val="single" w:color="auto" w:sz="6" w:space="0"/>
              <w:bottom w:val="single" w:color="auto" w:sz="6" w:space="0"/>
              <w:right w:val="single" w:color="auto" w:sz="6" w:space="0"/>
            </w:tcBorders>
            <w:vAlign w:val="center"/>
          </w:tcPr>
          <w:p>
            <w:pPr>
              <w:spacing w:line="0" w:lineRule="atLeast"/>
              <w:jc w:val="center"/>
              <w:rPr>
                <w:color w:val="auto"/>
                <w:szCs w:val="21"/>
              </w:rPr>
            </w:pPr>
            <w:r>
              <w:rPr>
                <w:color w:val="auto"/>
                <w:szCs w:val="21"/>
              </w:rPr>
              <w:t>场地</w:t>
            </w:r>
            <w:r>
              <w:rPr>
                <w:rFonts w:hint="eastAsia"/>
                <w:color w:val="auto"/>
                <w:szCs w:val="21"/>
                <w:lang w:val="en-US" w:eastAsia="zh-CN"/>
              </w:rPr>
              <w:t>北</w:t>
            </w:r>
            <w:r>
              <w:rPr>
                <w:rFonts w:hint="eastAsia"/>
                <w:color w:val="auto"/>
                <w:szCs w:val="21"/>
              </w:rPr>
              <w:t>游</w:t>
            </w:r>
          </w:p>
        </w:tc>
        <w:tc>
          <w:tcPr>
            <w:tcW w:w="2346" w:type="dxa"/>
            <w:tcBorders>
              <w:top w:val="single" w:color="auto" w:sz="6" w:space="0"/>
              <w:left w:val="single" w:color="auto" w:sz="6" w:space="0"/>
              <w:bottom w:val="single" w:color="auto" w:sz="6" w:space="0"/>
              <w:right w:val="nil"/>
            </w:tcBorders>
            <w:vAlign w:val="center"/>
          </w:tcPr>
          <w:p>
            <w:pPr>
              <w:spacing w:line="0" w:lineRule="atLeast"/>
              <w:jc w:val="center"/>
              <w:rPr>
                <w:color w:val="auto"/>
                <w:szCs w:val="21"/>
              </w:rPr>
            </w:pPr>
            <w:r>
              <w:rPr>
                <w:rFonts w:hint="eastAsia"/>
                <w:color w:val="auto"/>
                <w:szCs w:val="21"/>
                <w:lang w:val="en-US" w:eastAsia="zh-CN"/>
              </w:rPr>
              <w:t>240</w:t>
            </w:r>
            <w:r>
              <w:rPr>
                <w:color w:val="auto"/>
                <w:szCs w:val="21"/>
              </w:rPr>
              <w:t>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1" w:hRule="atLeast"/>
          <w:jc w:val="center"/>
        </w:trPr>
        <w:tc>
          <w:tcPr>
            <w:tcW w:w="1920" w:type="dxa"/>
            <w:tcBorders>
              <w:top w:val="single" w:color="auto" w:sz="6" w:space="0"/>
              <w:left w:val="nil"/>
              <w:bottom w:val="single" w:color="auto" w:sz="6" w:space="0"/>
              <w:right w:val="single" w:color="auto" w:sz="6" w:space="0"/>
            </w:tcBorders>
            <w:vAlign w:val="center"/>
          </w:tcPr>
          <w:p>
            <w:pPr>
              <w:spacing w:line="0" w:lineRule="atLeast"/>
              <w:jc w:val="center"/>
              <w:rPr>
                <w:color w:val="auto"/>
                <w:szCs w:val="21"/>
              </w:rPr>
            </w:pPr>
            <w:r>
              <w:rPr>
                <w:color w:val="auto"/>
                <w:szCs w:val="21"/>
              </w:rPr>
              <w:t>5</w:t>
            </w:r>
            <w:r>
              <w:rPr>
                <w:rFonts w:hint="eastAsia"/>
                <w:color w:val="auto"/>
                <w:szCs w:val="21"/>
                <w:lang w:val="en-US" w:eastAsia="zh-CN"/>
              </w:rPr>
              <w:t>#</w:t>
            </w:r>
          </w:p>
        </w:tc>
        <w:tc>
          <w:tcPr>
            <w:tcW w:w="2081" w:type="dxa"/>
            <w:vMerge w:val="continue"/>
            <w:tcBorders>
              <w:top w:val="single" w:color="auto" w:sz="6" w:space="0"/>
              <w:left w:val="single" w:color="auto" w:sz="6" w:space="0"/>
              <w:bottom w:val="single" w:color="auto" w:sz="12" w:space="0"/>
              <w:right w:val="single" w:color="auto" w:sz="6" w:space="0"/>
            </w:tcBorders>
            <w:vAlign w:val="center"/>
          </w:tcPr>
          <w:p>
            <w:pPr>
              <w:widowControl/>
              <w:spacing w:line="0" w:lineRule="atLeast"/>
              <w:jc w:val="center"/>
              <w:rPr>
                <w:color w:val="auto"/>
                <w:szCs w:val="21"/>
              </w:rPr>
            </w:pPr>
          </w:p>
        </w:tc>
        <w:tc>
          <w:tcPr>
            <w:tcW w:w="2042" w:type="dxa"/>
            <w:tcBorders>
              <w:top w:val="single" w:color="auto" w:sz="6" w:space="0"/>
              <w:left w:val="single" w:color="auto" w:sz="6" w:space="0"/>
              <w:bottom w:val="single" w:color="auto" w:sz="6" w:space="0"/>
              <w:right w:val="single" w:color="auto" w:sz="6" w:space="0"/>
            </w:tcBorders>
            <w:vAlign w:val="center"/>
          </w:tcPr>
          <w:p>
            <w:pPr>
              <w:spacing w:line="0" w:lineRule="atLeast"/>
              <w:jc w:val="center"/>
              <w:rPr>
                <w:color w:val="auto"/>
                <w:szCs w:val="21"/>
              </w:rPr>
            </w:pPr>
            <w:r>
              <w:rPr>
                <w:color w:val="auto"/>
                <w:szCs w:val="21"/>
              </w:rPr>
              <w:t>场地</w:t>
            </w:r>
            <w:r>
              <w:rPr>
                <w:rFonts w:hint="eastAsia"/>
                <w:color w:val="auto"/>
                <w:szCs w:val="21"/>
                <w:lang w:val="en-US" w:eastAsia="zh-CN"/>
              </w:rPr>
              <w:t>上</w:t>
            </w:r>
            <w:r>
              <w:rPr>
                <w:rFonts w:hint="eastAsia"/>
                <w:color w:val="auto"/>
                <w:szCs w:val="21"/>
              </w:rPr>
              <w:t>侧</w:t>
            </w:r>
          </w:p>
        </w:tc>
        <w:tc>
          <w:tcPr>
            <w:tcW w:w="2346" w:type="dxa"/>
            <w:tcBorders>
              <w:top w:val="single" w:color="auto" w:sz="6" w:space="0"/>
              <w:left w:val="single" w:color="auto" w:sz="6" w:space="0"/>
              <w:bottom w:val="single" w:color="auto" w:sz="6" w:space="0"/>
              <w:right w:val="nil"/>
            </w:tcBorders>
            <w:vAlign w:val="center"/>
          </w:tcPr>
          <w:p>
            <w:pPr>
              <w:spacing w:line="0" w:lineRule="atLeast"/>
              <w:jc w:val="center"/>
              <w:rPr>
                <w:color w:val="auto"/>
                <w:szCs w:val="21"/>
              </w:rPr>
            </w:pPr>
            <w:r>
              <w:rPr>
                <w:rFonts w:hint="eastAsia"/>
                <w:color w:val="auto"/>
                <w:szCs w:val="21"/>
                <w:lang w:val="en-US" w:eastAsia="zh-CN"/>
              </w:rPr>
              <w:t>1040</w:t>
            </w:r>
            <w:r>
              <w:rPr>
                <w:color w:val="auto"/>
                <w:szCs w:val="21"/>
              </w:rPr>
              <w:t>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6" w:hRule="atLeast"/>
          <w:jc w:val="center"/>
        </w:trPr>
        <w:tc>
          <w:tcPr>
            <w:tcW w:w="1920" w:type="dxa"/>
            <w:tcBorders>
              <w:top w:val="single" w:color="auto" w:sz="6" w:space="0"/>
              <w:left w:val="nil"/>
              <w:bottom w:val="single" w:color="auto" w:sz="12" w:space="0"/>
              <w:right w:val="single" w:color="auto" w:sz="6" w:space="0"/>
            </w:tcBorders>
            <w:vAlign w:val="center"/>
          </w:tcPr>
          <w:p>
            <w:pPr>
              <w:spacing w:line="0" w:lineRule="atLeast"/>
              <w:jc w:val="center"/>
              <w:rPr>
                <w:color w:val="auto"/>
                <w:szCs w:val="21"/>
              </w:rPr>
            </w:pPr>
            <w:r>
              <w:rPr>
                <w:color w:val="auto"/>
                <w:szCs w:val="21"/>
              </w:rPr>
              <w:t>6</w:t>
            </w:r>
            <w:r>
              <w:rPr>
                <w:rFonts w:hint="eastAsia"/>
                <w:color w:val="auto"/>
                <w:szCs w:val="21"/>
                <w:lang w:val="en-US" w:eastAsia="zh-CN"/>
              </w:rPr>
              <w:t>#</w:t>
            </w:r>
          </w:p>
        </w:tc>
        <w:tc>
          <w:tcPr>
            <w:tcW w:w="2081" w:type="dxa"/>
            <w:vMerge w:val="continue"/>
            <w:tcBorders>
              <w:top w:val="single" w:color="auto" w:sz="6" w:space="0"/>
              <w:left w:val="single" w:color="auto" w:sz="6" w:space="0"/>
              <w:bottom w:val="single" w:color="auto" w:sz="12" w:space="0"/>
              <w:right w:val="single" w:color="auto" w:sz="6" w:space="0"/>
            </w:tcBorders>
            <w:vAlign w:val="center"/>
          </w:tcPr>
          <w:p>
            <w:pPr>
              <w:widowControl/>
              <w:spacing w:line="0" w:lineRule="atLeast"/>
              <w:jc w:val="center"/>
              <w:rPr>
                <w:color w:val="auto"/>
                <w:szCs w:val="21"/>
              </w:rPr>
            </w:pPr>
          </w:p>
        </w:tc>
        <w:tc>
          <w:tcPr>
            <w:tcW w:w="2042" w:type="dxa"/>
            <w:tcBorders>
              <w:top w:val="single" w:color="auto" w:sz="6" w:space="0"/>
              <w:left w:val="single" w:color="auto" w:sz="6" w:space="0"/>
              <w:bottom w:val="single" w:color="auto" w:sz="12" w:space="0"/>
              <w:right w:val="single" w:color="auto" w:sz="6" w:space="0"/>
            </w:tcBorders>
            <w:vAlign w:val="center"/>
          </w:tcPr>
          <w:p>
            <w:pPr>
              <w:spacing w:line="0" w:lineRule="atLeast"/>
              <w:jc w:val="center"/>
              <w:rPr>
                <w:rFonts w:hint="default"/>
                <w:color w:val="auto"/>
                <w:szCs w:val="21"/>
                <w:lang w:val="en-US"/>
              </w:rPr>
            </w:pPr>
            <w:r>
              <w:rPr>
                <w:color w:val="auto"/>
                <w:szCs w:val="21"/>
              </w:rPr>
              <w:t>场地</w:t>
            </w:r>
            <w:r>
              <w:rPr>
                <w:rFonts w:hint="eastAsia"/>
                <w:color w:val="auto"/>
                <w:szCs w:val="21"/>
                <w:lang w:val="en-US" w:eastAsia="zh-CN"/>
              </w:rPr>
              <w:t>东南侧</w:t>
            </w:r>
          </w:p>
        </w:tc>
        <w:tc>
          <w:tcPr>
            <w:tcW w:w="2346" w:type="dxa"/>
            <w:tcBorders>
              <w:top w:val="single" w:color="auto" w:sz="6" w:space="0"/>
              <w:left w:val="single" w:color="auto" w:sz="6" w:space="0"/>
              <w:bottom w:val="single" w:color="auto" w:sz="12" w:space="0"/>
              <w:right w:val="nil"/>
            </w:tcBorders>
            <w:vAlign w:val="center"/>
          </w:tcPr>
          <w:p>
            <w:pPr>
              <w:spacing w:line="0" w:lineRule="atLeast"/>
              <w:jc w:val="center"/>
              <w:rPr>
                <w:color w:val="auto"/>
                <w:szCs w:val="21"/>
              </w:rPr>
            </w:pPr>
            <w:r>
              <w:rPr>
                <w:rFonts w:hint="eastAsia"/>
                <w:color w:val="auto"/>
                <w:szCs w:val="21"/>
                <w:lang w:val="en-US" w:eastAsia="zh-CN"/>
              </w:rPr>
              <w:t>590</w:t>
            </w:r>
            <w:r>
              <w:rPr>
                <w:color w:val="auto"/>
                <w:szCs w:val="21"/>
              </w:rPr>
              <w:t>m</w:t>
            </w:r>
          </w:p>
        </w:tc>
      </w:tr>
    </w:tbl>
    <w:p>
      <w:pPr>
        <w:spacing w:line="360" w:lineRule="auto"/>
        <w:jc w:val="center"/>
        <w:rPr>
          <w:color w:val="FF0000"/>
        </w:rPr>
      </w:pPr>
      <w:r>
        <w:drawing>
          <wp:inline distT="0" distB="0" distL="114300" distR="114300">
            <wp:extent cx="5273675" cy="3639185"/>
            <wp:effectExtent l="0" t="0" r="3175" b="18415"/>
            <wp:docPr id="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8"/>
                    <pic:cNvPicPr>
                      <a:picLocks noChangeAspect="1"/>
                    </pic:cNvPicPr>
                  </pic:nvPicPr>
                  <pic:blipFill>
                    <a:blip r:embed="rId46"/>
                    <a:stretch>
                      <a:fillRect/>
                    </a:stretch>
                  </pic:blipFill>
                  <pic:spPr>
                    <a:xfrm>
                      <a:off x="0" y="0"/>
                      <a:ext cx="5273675" cy="3639185"/>
                    </a:xfrm>
                    <a:prstGeom prst="rect">
                      <a:avLst/>
                    </a:prstGeom>
                    <a:noFill/>
                    <a:ln>
                      <a:noFill/>
                    </a:ln>
                  </pic:spPr>
                </pic:pic>
              </a:graphicData>
            </a:graphic>
          </wp:inline>
        </w:drawing>
      </w:r>
    </w:p>
    <w:p>
      <w:pPr>
        <w:pStyle w:val="152"/>
        <w:keepNext w:val="0"/>
        <w:keepLines w:val="0"/>
        <w:pageBreakBefore w:val="0"/>
        <w:widowControl w:val="0"/>
        <w:kinsoku/>
        <w:wordWrap/>
        <w:overflowPunct/>
        <w:topLinePunct w:val="0"/>
        <w:autoSpaceDE/>
        <w:autoSpaceDN/>
        <w:bidi w:val="0"/>
        <w:adjustRightInd/>
        <w:snapToGrid/>
        <w:textAlignment w:val="auto"/>
        <w:rPr>
          <w:color w:val="auto"/>
        </w:rPr>
      </w:pPr>
      <w:r>
        <w:rPr>
          <w:color w:val="auto"/>
        </w:rPr>
        <w:t>图4-2-</w:t>
      </w:r>
      <w:r>
        <w:rPr>
          <w:rFonts w:hint="eastAsia"/>
          <w:color w:val="auto"/>
          <w:lang w:val="en-US" w:eastAsia="zh-CN"/>
        </w:rPr>
        <w:t>2</w:t>
      </w:r>
      <w:r>
        <w:rPr>
          <w:color w:val="auto"/>
        </w:rPr>
        <w:t>地下水监测点位</w:t>
      </w:r>
    </w:p>
    <w:p>
      <w:pPr>
        <w:spacing w:line="360" w:lineRule="auto"/>
        <w:ind w:firstLine="480" w:firstLineChars="200"/>
        <w:rPr>
          <w:color w:val="auto"/>
          <w:sz w:val="24"/>
        </w:rPr>
      </w:pPr>
      <w:r>
        <w:rPr>
          <w:color w:val="auto"/>
          <w:sz w:val="24"/>
        </w:rPr>
        <w:t>（3）监测因子</w:t>
      </w:r>
    </w:p>
    <w:p>
      <w:pPr>
        <w:spacing w:line="360" w:lineRule="auto"/>
        <w:ind w:firstLine="480" w:firstLineChars="200"/>
        <w:rPr>
          <w:color w:val="auto"/>
          <w:sz w:val="24"/>
        </w:rPr>
      </w:pPr>
      <w:r>
        <w:rPr>
          <w:color w:val="auto"/>
          <w:sz w:val="24"/>
        </w:rPr>
        <w:t>基本因子：pH、总硬度、溶解性总固体、硫酸盐、氯化物、挥发性酚类、</w:t>
      </w:r>
      <w:r>
        <w:rPr>
          <w:rFonts w:hint="eastAsia"/>
          <w:color w:val="auto"/>
          <w:sz w:val="24"/>
        </w:rPr>
        <w:t>耗氧量</w:t>
      </w:r>
      <w:r>
        <w:rPr>
          <w:color w:val="auto"/>
          <w:sz w:val="24"/>
        </w:rPr>
        <w:t>、硝酸盐、亚硝酸盐、氨氮、六价铬、氰化物、总大肠菌群、细菌总数、铁、锰、砷、汞、铅、氟、镉共2</w:t>
      </w:r>
      <w:r>
        <w:rPr>
          <w:rFonts w:hint="eastAsia"/>
          <w:color w:val="auto"/>
          <w:sz w:val="24"/>
        </w:rPr>
        <w:t>1</w:t>
      </w:r>
      <w:r>
        <w:rPr>
          <w:color w:val="auto"/>
          <w:sz w:val="24"/>
        </w:rPr>
        <w:t>项基本水质因子和K</w:t>
      </w:r>
      <w:r>
        <w:rPr>
          <w:color w:val="auto"/>
          <w:sz w:val="24"/>
          <w:vertAlign w:val="superscript"/>
        </w:rPr>
        <w:t>+</w:t>
      </w:r>
      <w:r>
        <w:rPr>
          <w:color w:val="auto"/>
          <w:sz w:val="24"/>
        </w:rPr>
        <w:t>、Na</w:t>
      </w:r>
      <w:r>
        <w:rPr>
          <w:color w:val="auto"/>
          <w:sz w:val="24"/>
          <w:vertAlign w:val="superscript"/>
        </w:rPr>
        <w:t>+</w:t>
      </w:r>
      <w:r>
        <w:rPr>
          <w:color w:val="auto"/>
          <w:sz w:val="24"/>
        </w:rPr>
        <w:t>、Ca</w:t>
      </w:r>
      <w:r>
        <w:rPr>
          <w:color w:val="auto"/>
          <w:sz w:val="24"/>
          <w:vertAlign w:val="superscript"/>
        </w:rPr>
        <w:t>+</w:t>
      </w:r>
      <w:r>
        <w:rPr>
          <w:color w:val="auto"/>
          <w:sz w:val="24"/>
        </w:rPr>
        <w:t>、Mg</w:t>
      </w:r>
      <w:r>
        <w:rPr>
          <w:color w:val="auto"/>
          <w:sz w:val="24"/>
          <w:vertAlign w:val="superscript"/>
        </w:rPr>
        <w:t>2+</w:t>
      </w:r>
      <w:r>
        <w:rPr>
          <w:color w:val="auto"/>
          <w:sz w:val="24"/>
        </w:rPr>
        <w:t>、CO</w:t>
      </w:r>
      <w:r>
        <w:rPr>
          <w:color w:val="auto"/>
          <w:sz w:val="24"/>
          <w:vertAlign w:val="subscript"/>
        </w:rPr>
        <w:t>3</w:t>
      </w:r>
      <w:r>
        <w:rPr>
          <w:color w:val="auto"/>
          <w:sz w:val="24"/>
          <w:vertAlign w:val="superscript"/>
        </w:rPr>
        <w:t>2-</w:t>
      </w:r>
      <w:r>
        <w:rPr>
          <w:color w:val="auto"/>
          <w:sz w:val="24"/>
        </w:rPr>
        <w:t>、HCO</w:t>
      </w:r>
      <w:r>
        <w:rPr>
          <w:color w:val="auto"/>
          <w:sz w:val="24"/>
          <w:vertAlign w:val="subscript"/>
        </w:rPr>
        <w:t>3</w:t>
      </w:r>
      <w:r>
        <w:rPr>
          <w:color w:val="auto"/>
          <w:sz w:val="24"/>
          <w:vertAlign w:val="superscript"/>
        </w:rPr>
        <w:t>-</w:t>
      </w:r>
      <w:r>
        <w:rPr>
          <w:color w:val="auto"/>
          <w:sz w:val="24"/>
        </w:rPr>
        <w:t>、Cl</w:t>
      </w:r>
      <w:r>
        <w:rPr>
          <w:color w:val="auto"/>
          <w:sz w:val="24"/>
          <w:vertAlign w:val="superscript"/>
        </w:rPr>
        <w:t>-</w:t>
      </w:r>
      <w:r>
        <w:rPr>
          <w:color w:val="auto"/>
          <w:sz w:val="24"/>
        </w:rPr>
        <w:t>、SO</w:t>
      </w:r>
      <w:r>
        <w:rPr>
          <w:color w:val="auto"/>
          <w:sz w:val="24"/>
          <w:vertAlign w:val="subscript"/>
        </w:rPr>
        <w:t>4</w:t>
      </w:r>
      <w:r>
        <w:rPr>
          <w:color w:val="auto"/>
          <w:sz w:val="24"/>
          <w:vertAlign w:val="superscript"/>
        </w:rPr>
        <w:t>2-</w:t>
      </w:r>
      <w:r>
        <w:rPr>
          <w:color w:val="auto"/>
          <w:sz w:val="24"/>
        </w:rPr>
        <w:t>共8项离子。</w:t>
      </w:r>
    </w:p>
    <w:p>
      <w:pPr>
        <w:pStyle w:val="26"/>
        <w:rPr>
          <w:color w:val="auto"/>
        </w:rPr>
      </w:pPr>
      <w:r>
        <w:rPr>
          <w:color w:val="auto"/>
        </w:rPr>
        <w:t>（4）采样时间及频率</w:t>
      </w:r>
    </w:p>
    <w:p>
      <w:pPr>
        <w:pStyle w:val="26"/>
        <w:rPr>
          <w:color w:val="auto"/>
        </w:rPr>
      </w:pPr>
      <w:r>
        <w:rPr>
          <w:color w:val="auto"/>
        </w:rPr>
        <w:t>监测时间为202</w:t>
      </w:r>
      <w:r>
        <w:rPr>
          <w:rFonts w:hint="eastAsia"/>
          <w:color w:val="auto"/>
        </w:rPr>
        <w:t>3</w:t>
      </w:r>
      <w:r>
        <w:rPr>
          <w:color w:val="auto"/>
        </w:rPr>
        <w:t>年</w:t>
      </w:r>
      <w:r>
        <w:rPr>
          <w:rFonts w:hint="eastAsia"/>
          <w:color w:val="auto"/>
          <w:lang w:val="en-US" w:eastAsia="zh-CN"/>
        </w:rPr>
        <w:t>08</w:t>
      </w:r>
      <w:r>
        <w:rPr>
          <w:color w:val="auto"/>
        </w:rPr>
        <w:t>月</w:t>
      </w:r>
      <w:r>
        <w:rPr>
          <w:rFonts w:hint="eastAsia"/>
          <w:color w:val="auto"/>
          <w:lang w:val="en-US" w:eastAsia="zh-CN"/>
        </w:rPr>
        <w:t>31</w:t>
      </w:r>
      <w:r>
        <w:rPr>
          <w:color w:val="auto"/>
        </w:rPr>
        <w:t>日，1天1次。</w:t>
      </w:r>
    </w:p>
    <w:p>
      <w:pPr>
        <w:spacing w:line="360" w:lineRule="auto"/>
        <w:ind w:firstLine="480" w:firstLineChars="200"/>
        <w:rPr>
          <w:color w:val="auto"/>
          <w:sz w:val="24"/>
        </w:rPr>
      </w:pPr>
      <w:r>
        <w:rPr>
          <w:color w:val="auto"/>
          <w:sz w:val="24"/>
        </w:rPr>
        <w:t>（5）分析方法</w:t>
      </w:r>
    </w:p>
    <w:p>
      <w:pPr>
        <w:pStyle w:val="7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ascii="Times New Roman" w:hAnsi="Times New Roman" w:cs="Times New Roman"/>
          <w:color w:val="auto"/>
          <w:sz w:val="24"/>
          <w:szCs w:val="24"/>
        </w:rPr>
      </w:pPr>
      <w:r>
        <w:rPr>
          <w:rFonts w:ascii="Times New Roman" w:hAnsi="Times New Roman" w:cs="Times New Roman"/>
          <w:color w:val="auto"/>
          <w:sz w:val="24"/>
          <w:szCs w:val="24"/>
        </w:rPr>
        <w:t>表4-2-</w:t>
      </w:r>
      <w:r>
        <w:rPr>
          <w:rFonts w:hint="eastAsia" w:ascii="Times New Roman" w:hAnsi="Times New Roman" w:cs="Times New Roman"/>
          <w:color w:val="auto"/>
          <w:sz w:val="24"/>
          <w:szCs w:val="24"/>
        </w:rPr>
        <w:t>5</w:t>
      </w:r>
      <w:r>
        <w:rPr>
          <w:rFonts w:ascii="Times New Roman" w:hAnsi="Times New Roman" w:cs="Times New Roman"/>
          <w:color w:val="auto"/>
          <w:sz w:val="24"/>
          <w:szCs w:val="24"/>
        </w:rPr>
        <w:t>监测分析方法一览表</w:t>
      </w:r>
    </w:p>
    <w:tbl>
      <w:tblPr>
        <w:tblStyle w:val="46"/>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17"/>
        <w:gridCol w:w="1314"/>
        <w:gridCol w:w="3606"/>
        <w:gridCol w:w="29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42" w:type="pct"/>
            <w:gridSpan w:val="2"/>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b/>
                <w:bCs/>
                <w:sz w:val="21"/>
                <w:szCs w:val="21"/>
              </w:rPr>
            </w:pPr>
            <w:r>
              <w:rPr>
                <w:rFonts w:ascii="Times New Roman" w:hAnsi="Times New Roman"/>
                <w:b/>
                <w:bCs/>
                <w:sz w:val="21"/>
                <w:szCs w:val="21"/>
              </w:rPr>
              <w:t>检测项目</w:t>
            </w:r>
          </w:p>
        </w:tc>
        <w:tc>
          <w:tcPr>
            <w:tcW w:w="217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b/>
                <w:bCs/>
                <w:sz w:val="21"/>
                <w:szCs w:val="21"/>
              </w:rPr>
            </w:pPr>
            <w:r>
              <w:rPr>
                <w:rFonts w:ascii="Times New Roman" w:hAnsi="Times New Roman"/>
                <w:b/>
                <w:bCs/>
                <w:sz w:val="21"/>
                <w:szCs w:val="21"/>
              </w:rPr>
              <w:t>检测方法名称及标准号</w:t>
            </w:r>
          </w:p>
        </w:tc>
        <w:tc>
          <w:tcPr>
            <w:tcW w:w="1786"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b/>
                <w:bCs/>
                <w:sz w:val="21"/>
                <w:szCs w:val="21"/>
              </w:rPr>
            </w:pPr>
            <w:r>
              <w:rPr>
                <w:rFonts w:ascii="Times New Roman" w:hAnsi="Times New Roman"/>
                <w:b/>
                <w:bCs/>
                <w:sz w:val="21"/>
                <w:szCs w:val="21"/>
              </w:rPr>
              <w:t>仪器名称/仪器型号/仪器编号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1</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K</w:t>
            </w:r>
            <w:r>
              <w:rPr>
                <w:rFonts w:ascii="Times New Roman" w:hAnsi="Times New Roman"/>
                <w:sz w:val="21"/>
                <w:szCs w:val="21"/>
                <w:vertAlign w:val="superscript"/>
              </w:rPr>
              <w:t>+</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水质 可溶性阳离子（Li</w:t>
            </w:r>
            <w:r>
              <w:rPr>
                <w:rFonts w:ascii="Times New Roman" w:hAnsi="Times New Roman"/>
                <w:sz w:val="21"/>
                <w:szCs w:val="21"/>
                <w:vertAlign w:val="superscript"/>
              </w:rPr>
              <w:t>+</w:t>
            </w:r>
            <w:r>
              <w:rPr>
                <w:rFonts w:ascii="Times New Roman" w:hAnsi="Times New Roman"/>
                <w:sz w:val="21"/>
                <w:szCs w:val="21"/>
              </w:rPr>
              <w:t>、Na</w:t>
            </w:r>
            <w:r>
              <w:rPr>
                <w:rFonts w:ascii="Times New Roman" w:hAnsi="Times New Roman"/>
                <w:sz w:val="21"/>
                <w:szCs w:val="21"/>
                <w:vertAlign w:val="superscript"/>
              </w:rPr>
              <w:t>+</w:t>
            </w:r>
            <w:r>
              <w:rPr>
                <w:rFonts w:ascii="Times New Roman" w:hAnsi="Times New Roman"/>
                <w:sz w:val="21"/>
                <w:szCs w:val="21"/>
              </w:rPr>
              <w:t>、NH</w:t>
            </w:r>
            <w:r>
              <w:rPr>
                <w:rFonts w:ascii="Times New Roman" w:hAnsi="Times New Roman"/>
                <w:sz w:val="21"/>
                <w:szCs w:val="21"/>
                <w:vertAlign w:val="subscript"/>
              </w:rPr>
              <w:t>4</w:t>
            </w:r>
            <w:r>
              <w:rPr>
                <w:rFonts w:ascii="Times New Roman" w:hAnsi="Times New Roman"/>
                <w:sz w:val="21"/>
                <w:szCs w:val="21"/>
                <w:vertAlign w:val="superscript"/>
              </w:rPr>
              <w:t>+</w:t>
            </w:r>
            <w:r>
              <w:rPr>
                <w:rFonts w:ascii="Times New Roman" w:hAnsi="Times New Roman"/>
                <w:sz w:val="21"/>
                <w:szCs w:val="21"/>
              </w:rPr>
              <w:t>、K</w:t>
            </w:r>
            <w:r>
              <w:rPr>
                <w:rFonts w:ascii="Times New Roman" w:hAnsi="Times New Roman"/>
                <w:sz w:val="21"/>
                <w:szCs w:val="21"/>
                <w:vertAlign w:val="superscript"/>
              </w:rPr>
              <w:t>+</w:t>
            </w:r>
            <w:r>
              <w:rPr>
                <w:rFonts w:ascii="Times New Roman" w:hAnsi="Times New Roman"/>
                <w:sz w:val="21"/>
                <w:szCs w:val="21"/>
              </w:rPr>
              <w:t>、Ca</w:t>
            </w:r>
            <w:r>
              <w:rPr>
                <w:rFonts w:ascii="Times New Roman" w:hAnsi="Times New Roman"/>
                <w:sz w:val="21"/>
                <w:szCs w:val="21"/>
                <w:vertAlign w:val="superscript"/>
              </w:rPr>
              <w:t>2+</w:t>
            </w:r>
            <w:r>
              <w:rPr>
                <w:rFonts w:ascii="Times New Roman" w:hAnsi="Times New Roman"/>
                <w:sz w:val="21"/>
                <w:szCs w:val="21"/>
              </w:rPr>
              <w:t>、Mg</w:t>
            </w:r>
            <w:r>
              <w:rPr>
                <w:rFonts w:ascii="Times New Roman" w:hAnsi="Times New Roman"/>
                <w:sz w:val="21"/>
                <w:szCs w:val="21"/>
                <w:vertAlign w:val="superscript"/>
              </w:rPr>
              <w:t>2+</w:t>
            </w:r>
            <w:r>
              <w:rPr>
                <w:rFonts w:ascii="Times New Roman" w:hAnsi="Times New Roman"/>
                <w:sz w:val="21"/>
                <w:szCs w:val="21"/>
              </w:rPr>
              <w:t>）的测定 离子色谱法HJ812-2016</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离子色谱仪</w:t>
            </w:r>
            <w:r>
              <w:rPr>
                <w:rFonts w:hint="eastAsia" w:ascii="Times New Roman" w:hAnsi="Times New Roman"/>
                <w:sz w:val="21"/>
                <w:szCs w:val="21"/>
              </w:rPr>
              <w:t>/ICS-900/KXYQ-005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2</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Na</w:t>
            </w:r>
            <w:r>
              <w:rPr>
                <w:rFonts w:ascii="Times New Roman" w:hAnsi="Times New Roman"/>
                <w:sz w:val="21"/>
                <w:szCs w:val="21"/>
                <w:vertAlign w:val="superscript"/>
              </w:rPr>
              <w:t>+</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水质 可溶性阳离子（Li</w:t>
            </w:r>
            <w:r>
              <w:rPr>
                <w:rFonts w:ascii="Times New Roman" w:hAnsi="Times New Roman"/>
                <w:sz w:val="21"/>
                <w:szCs w:val="21"/>
                <w:vertAlign w:val="superscript"/>
              </w:rPr>
              <w:t>+</w:t>
            </w:r>
            <w:r>
              <w:rPr>
                <w:rFonts w:ascii="Times New Roman" w:hAnsi="Times New Roman"/>
                <w:sz w:val="21"/>
                <w:szCs w:val="21"/>
              </w:rPr>
              <w:t>、Na</w:t>
            </w:r>
            <w:r>
              <w:rPr>
                <w:rFonts w:ascii="Times New Roman" w:hAnsi="Times New Roman"/>
                <w:sz w:val="21"/>
                <w:szCs w:val="21"/>
                <w:vertAlign w:val="superscript"/>
              </w:rPr>
              <w:t>+</w:t>
            </w:r>
            <w:r>
              <w:rPr>
                <w:rFonts w:ascii="Times New Roman" w:hAnsi="Times New Roman"/>
                <w:sz w:val="21"/>
                <w:szCs w:val="21"/>
              </w:rPr>
              <w:t>、NH</w:t>
            </w:r>
            <w:r>
              <w:rPr>
                <w:rFonts w:ascii="Times New Roman" w:hAnsi="Times New Roman"/>
                <w:sz w:val="21"/>
                <w:szCs w:val="21"/>
                <w:vertAlign w:val="subscript"/>
              </w:rPr>
              <w:t>4</w:t>
            </w:r>
            <w:r>
              <w:rPr>
                <w:rFonts w:ascii="Times New Roman" w:hAnsi="Times New Roman"/>
                <w:sz w:val="21"/>
                <w:szCs w:val="21"/>
                <w:vertAlign w:val="superscript"/>
              </w:rPr>
              <w:t>+</w:t>
            </w:r>
            <w:r>
              <w:rPr>
                <w:rFonts w:ascii="Times New Roman" w:hAnsi="Times New Roman"/>
                <w:sz w:val="21"/>
                <w:szCs w:val="21"/>
              </w:rPr>
              <w:t>、K</w:t>
            </w:r>
            <w:r>
              <w:rPr>
                <w:rFonts w:ascii="Times New Roman" w:hAnsi="Times New Roman"/>
                <w:sz w:val="21"/>
                <w:szCs w:val="21"/>
                <w:vertAlign w:val="superscript"/>
              </w:rPr>
              <w:t>+</w:t>
            </w:r>
            <w:r>
              <w:rPr>
                <w:rFonts w:ascii="Times New Roman" w:hAnsi="Times New Roman"/>
                <w:sz w:val="21"/>
                <w:szCs w:val="21"/>
              </w:rPr>
              <w:t>、Ca</w:t>
            </w:r>
            <w:r>
              <w:rPr>
                <w:rFonts w:ascii="Times New Roman" w:hAnsi="Times New Roman"/>
                <w:sz w:val="21"/>
                <w:szCs w:val="21"/>
                <w:vertAlign w:val="superscript"/>
              </w:rPr>
              <w:t>2+</w:t>
            </w:r>
            <w:r>
              <w:rPr>
                <w:rFonts w:ascii="Times New Roman" w:hAnsi="Times New Roman"/>
                <w:sz w:val="21"/>
                <w:szCs w:val="21"/>
              </w:rPr>
              <w:t>、Mg</w:t>
            </w:r>
            <w:r>
              <w:rPr>
                <w:rFonts w:ascii="Times New Roman" w:hAnsi="Times New Roman"/>
                <w:sz w:val="21"/>
                <w:szCs w:val="21"/>
                <w:vertAlign w:val="superscript"/>
              </w:rPr>
              <w:t>2+</w:t>
            </w:r>
            <w:r>
              <w:rPr>
                <w:rFonts w:ascii="Times New Roman" w:hAnsi="Times New Roman"/>
                <w:sz w:val="21"/>
                <w:szCs w:val="21"/>
              </w:rPr>
              <w:t>）的测定 离子色谱法HJ812-2016</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离子色谱仪</w:t>
            </w:r>
            <w:r>
              <w:rPr>
                <w:rFonts w:hint="eastAsia" w:ascii="Times New Roman" w:hAnsi="Times New Roman"/>
                <w:sz w:val="21"/>
                <w:szCs w:val="21"/>
              </w:rPr>
              <w:t>/ICS-900/KXYQ-005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3</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Ca</w:t>
            </w:r>
            <w:r>
              <w:rPr>
                <w:rFonts w:ascii="Times New Roman" w:hAnsi="Times New Roman"/>
                <w:sz w:val="21"/>
                <w:szCs w:val="21"/>
                <w:vertAlign w:val="superscript"/>
              </w:rPr>
              <w:t>2+</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水质 可溶性阳离子（Li</w:t>
            </w:r>
            <w:r>
              <w:rPr>
                <w:rFonts w:ascii="Times New Roman" w:hAnsi="Times New Roman"/>
                <w:sz w:val="21"/>
                <w:szCs w:val="21"/>
                <w:vertAlign w:val="superscript"/>
              </w:rPr>
              <w:t>+</w:t>
            </w:r>
            <w:r>
              <w:rPr>
                <w:rFonts w:ascii="Times New Roman" w:hAnsi="Times New Roman"/>
                <w:sz w:val="21"/>
                <w:szCs w:val="21"/>
              </w:rPr>
              <w:t>、Na</w:t>
            </w:r>
            <w:r>
              <w:rPr>
                <w:rFonts w:ascii="Times New Roman" w:hAnsi="Times New Roman"/>
                <w:sz w:val="21"/>
                <w:szCs w:val="21"/>
                <w:vertAlign w:val="superscript"/>
              </w:rPr>
              <w:t>+</w:t>
            </w:r>
            <w:r>
              <w:rPr>
                <w:rFonts w:ascii="Times New Roman" w:hAnsi="Times New Roman"/>
                <w:sz w:val="21"/>
                <w:szCs w:val="21"/>
              </w:rPr>
              <w:t>、NH</w:t>
            </w:r>
            <w:r>
              <w:rPr>
                <w:rFonts w:ascii="Times New Roman" w:hAnsi="Times New Roman"/>
                <w:sz w:val="21"/>
                <w:szCs w:val="21"/>
                <w:vertAlign w:val="subscript"/>
              </w:rPr>
              <w:t>4</w:t>
            </w:r>
            <w:r>
              <w:rPr>
                <w:rFonts w:ascii="Times New Roman" w:hAnsi="Times New Roman"/>
                <w:sz w:val="21"/>
                <w:szCs w:val="21"/>
                <w:vertAlign w:val="superscript"/>
              </w:rPr>
              <w:t>+</w:t>
            </w:r>
            <w:r>
              <w:rPr>
                <w:rFonts w:ascii="Times New Roman" w:hAnsi="Times New Roman"/>
                <w:sz w:val="21"/>
                <w:szCs w:val="21"/>
              </w:rPr>
              <w:t>、K</w:t>
            </w:r>
            <w:r>
              <w:rPr>
                <w:rFonts w:ascii="Times New Roman" w:hAnsi="Times New Roman"/>
                <w:sz w:val="21"/>
                <w:szCs w:val="21"/>
                <w:vertAlign w:val="superscript"/>
              </w:rPr>
              <w:t>+</w:t>
            </w:r>
            <w:r>
              <w:rPr>
                <w:rFonts w:ascii="Times New Roman" w:hAnsi="Times New Roman"/>
                <w:sz w:val="21"/>
                <w:szCs w:val="21"/>
              </w:rPr>
              <w:t>、Ca</w:t>
            </w:r>
            <w:r>
              <w:rPr>
                <w:rFonts w:ascii="Times New Roman" w:hAnsi="Times New Roman"/>
                <w:sz w:val="21"/>
                <w:szCs w:val="21"/>
                <w:vertAlign w:val="superscript"/>
              </w:rPr>
              <w:t>2+</w:t>
            </w:r>
            <w:r>
              <w:rPr>
                <w:rFonts w:ascii="Times New Roman" w:hAnsi="Times New Roman"/>
                <w:sz w:val="21"/>
                <w:szCs w:val="21"/>
              </w:rPr>
              <w:t>、Mg</w:t>
            </w:r>
            <w:r>
              <w:rPr>
                <w:rFonts w:ascii="Times New Roman" w:hAnsi="Times New Roman"/>
                <w:sz w:val="21"/>
                <w:szCs w:val="21"/>
                <w:vertAlign w:val="superscript"/>
              </w:rPr>
              <w:t>2+</w:t>
            </w:r>
            <w:r>
              <w:rPr>
                <w:rFonts w:ascii="Times New Roman" w:hAnsi="Times New Roman"/>
                <w:sz w:val="21"/>
                <w:szCs w:val="21"/>
              </w:rPr>
              <w:t>）的测定 离子色谱法HJ812-2016</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离子色谱仪</w:t>
            </w:r>
            <w:r>
              <w:rPr>
                <w:rFonts w:hint="eastAsia" w:ascii="Times New Roman" w:hAnsi="Times New Roman"/>
                <w:sz w:val="21"/>
                <w:szCs w:val="21"/>
              </w:rPr>
              <w:t>/ICS-900/KXYQ-005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4</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Mg</w:t>
            </w:r>
            <w:r>
              <w:rPr>
                <w:rFonts w:ascii="Times New Roman" w:hAnsi="Times New Roman"/>
                <w:sz w:val="21"/>
                <w:szCs w:val="21"/>
                <w:vertAlign w:val="superscript"/>
              </w:rPr>
              <w:t>2+</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水质 可溶性阳离子（Li</w:t>
            </w:r>
            <w:r>
              <w:rPr>
                <w:rFonts w:ascii="Times New Roman" w:hAnsi="Times New Roman"/>
                <w:sz w:val="21"/>
                <w:szCs w:val="21"/>
                <w:vertAlign w:val="superscript"/>
              </w:rPr>
              <w:t>+</w:t>
            </w:r>
            <w:r>
              <w:rPr>
                <w:rFonts w:ascii="Times New Roman" w:hAnsi="Times New Roman"/>
                <w:sz w:val="21"/>
                <w:szCs w:val="21"/>
              </w:rPr>
              <w:t>、Na</w:t>
            </w:r>
            <w:r>
              <w:rPr>
                <w:rFonts w:ascii="Times New Roman" w:hAnsi="Times New Roman"/>
                <w:sz w:val="21"/>
                <w:szCs w:val="21"/>
                <w:vertAlign w:val="superscript"/>
              </w:rPr>
              <w:t>+</w:t>
            </w:r>
            <w:r>
              <w:rPr>
                <w:rFonts w:ascii="Times New Roman" w:hAnsi="Times New Roman"/>
                <w:sz w:val="21"/>
                <w:szCs w:val="21"/>
              </w:rPr>
              <w:t>、NH</w:t>
            </w:r>
            <w:r>
              <w:rPr>
                <w:rFonts w:ascii="Times New Roman" w:hAnsi="Times New Roman"/>
                <w:sz w:val="21"/>
                <w:szCs w:val="21"/>
                <w:vertAlign w:val="subscript"/>
              </w:rPr>
              <w:t>4</w:t>
            </w:r>
            <w:r>
              <w:rPr>
                <w:rFonts w:ascii="Times New Roman" w:hAnsi="Times New Roman"/>
                <w:sz w:val="21"/>
                <w:szCs w:val="21"/>
                <w:vertAlign w:val="superscript"/>
              </w:rPr>
              <w:t>+</w:t>
            </w:r>
            <w:r>
              <w:rPr>
                <w:rFonts w:ascii="Times New Roman" w:hAnsi="Times New Roman"/>
                <w:sz w:val="21"/>
                <w:szCs w:val="21"/>
              </w:rPr>
              <w:t>、K</w:t>
            </w:r>
            <w:r>
              <w:rPr>
                <w:rFonts w:ascii="Times New Roman" w:hAnsi="Times New Roman"/>
                <w:sz w:val="21"/>
                <w:szCs w:val="21"/>
                <w:vertAlign w:val="superscript"/>
              </w:rPr>
              <w:t>+</w:t>
            </w:r>
            <w:r>
              <w:rPr>
                <w:rFonts w:ascii="Times New Roman" w:hAnsi="Times New Roman"/>
                <w:sz w:val="21"/>
                <w:szCs w:val="21"/>
              </w:rPr>
              <w:t>、Ca</w:t>
            </w:r>
            <w:r>
              <w:rPr>
                <w:rFonts w:ascii="Times New Roman" w:hAnsi="Times New Roman"/>
                <w:sz w:val="21"/>
                <w:szCs w:val="21"/>
                <w:vertAlign w:val="superscript"/>
              </w:rPr>
              <w:t>2+</w:t>
            </w:r>
            <w:r>
              <w:rPr>
                <w:rFonts w:ascii="Times New Roman" w:hAnsi="Times New Roman"/>
                <w:sz w:val="21"/>
                <w:szCs w:val="21"/>
              </w:rPr>
              <w:t>、Mg</w:t>
            </w:r>
            <w:r>
              <w:rPr>
                <w:rFonts w:ascii="Times New Roman" w:hAnsi="Times New Roman"/>
                <w:sz w:val="21"/>
                <w:szCs w:val="21"/>
                <w:vertAlign w:val="superscript"/>
              </w:rPr>
              <w:t>2+</w:t>
            </w:r>
            <w:r>
              <w:rPr>
                <w:rFonts w:ascii="Times New Roman" w:hAnsi="Times New Roman"/>
                <w:sz w:val="21"/>
                <w:szCs w:val="21"/>
              </w:rPr>
              <w:t>）的测定 离子色谱法HJ812-2016</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离子色谱仪</w:t>
            </w:r>
            <w:r>
              <w:rPr>
                <w:rFonts w:hint="eastAsia" w:ascii="Times New Roman" w:hAnsi="Times New Roman"/>
                <w:sz w:val="21"/>
                <w:szCs w:val="21"/>
              </w:rPr>
              <w:t>/ICS-900/KXYQ-005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5</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CO</w:t>
            </w:r>
            <w:r>
              <w:rPr>
                <w:rFonts w:ascii="Times New Roman" w:hAnsi="Times New Roman"/>
                <w:sz w:val="21"/>
                <w:szCs w:val="21"/>
                <w:vertAlign w:val="subscript"/>
              </w:rPr>
              <w:t>3</w:t>
            </w:r>
            <w:r>
              <w:rPr>
                <w:rFonts w:ascii="Times New Roman" w:hAnsi="Times New Roman"/>
                <w:sz w:val="21"/>
                <w:szCs w:val="21"/>
                <w:vertAlign w:val="superscript"/>
              </w:rPr>
              <w:t>2-</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工业循环冷却水 总碱及酚酞碱度的测定GB/T 15451-2006</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hint="eastAsia" w:ascii="Times New Roman" w:hAnsi="Times New Roman"/>
                <w:sz w:val="21"/>
                <w:szCs w:val="21"/>
              </w:rPr>
              <w:t>酸式滴定管/50mL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6</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HCO</w:t>
            </w:r>
            <w:r>
              <w:rPr>
                <w:rFonts w:ascii="Times New Roman" w:hAnsi="Times New Roman"/>
                <w:sz w:val="21"/>
                <w:szCs w:val="21"/>
                <w:vertAlign w:val="subscript"/>
              </w:rPr>
              <w:t>3</w:t>
            </w:r>
            <w:r>
              <w:rPr>
                <w:rFonts w:ascii="Times New Roman" w:hAnsi="Times New Roman"/>
                <w:sz w:val="21"/>
                <w:szCs w:val="21"/>
                <w:vertAlign w:val="superscript"/>
              </w:rPr>
              <w:t>-</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工业循环冷却水 总碱及酚酞碱度的测定GB/T 15451-2006</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hint="eastAsia" w:ascii="Times New Roman" w:hAnsi="Times New Roman"/>
                <w:sz w:val="21"/>
                <w:szCs w:val="21"/>
              </w:rPr>
              <w:t>酸式滴定管/50mL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7</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Cl</w:t>
            </w:r>
            <w:r>
              <w:rPr>
                <w:rFonts w:ascii="Times New Roman" w:hAnsi="Times New Roman"/>
                <w:sz w:val="21"/>
                <w:szCs w:val="21"/>
                <w:vertAlign w:val="superscript"/>
              </w:rPr>
              <w:t>-</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hint="eastAsia" w:ascii="Times New Roman" w:hAnsi="Times New Roman"/>
                <w:sz w:val="21"/>
                <w:szCs w:val="21"/>
              </w:rPr>
              <w:t>水质 无机阴离子（F</w:t>
            </w:r>
            <w:r>
              <w:rPr>
                <w:rFonts w:hint="eastAsia" w:ascii="Times New Roman" w:hAnsi="Times New Roman"/>
                <w:sz w:val="21"/>
                <w:szCs w:val="21"/>
                <w:vertAlign w:val="superscript"/>
              </w:rPr>
              <w:t>-</w:t>
            </w:r>
            <w:r>
              <w:rPr>
                <w:rFonts w:hint="eastAsia" w:ascii="Times New Roman" w:hAnsi="Times New Roman"/>
                <w:sz w:val="21"/>
                <w:szCs w:val="21"/>
              </w:rPr>
              <w:t>、Cl</w:t>
            </w:r>
            <w:r>
              <w:rPr>
                <w:rFonts w:hint="eastAsia" w:ascii="Times New Roman" w:hAnsi="Times New Roman"/>
                <w:sz w:val="21"/>
                <w:szCs w:val="21"/>
                <w:vertAlign w:val="superscript"/>
              </w:rPr>
              <w:t>-</w:t>
            </w:r>
            <w:r>
              <w:rPr>
                <w:rFonts w:hint="eastAsia" w:ascii="Times New Roman" w:hAnsi="Times New Roman"/>
                <w:sz w:val="21"/>
                <w:szCs w:val="21"/>
              </w:rPr>
              <w:t>、NO</w:t>
            </w:r>
            <w:r>
              <w:rPr>
                <w:rFonts w:hint="eastAsia" w:ascii="Times New Roman" w:hAnsi="Times New Roman"/>
                <w:sz w:val="21"/>
                <w:szCs w:val="21"/>
                <w:vertAlign w:val="subscript"/>
              </w:rPr>
              <w:t>2</w:t>
            </w:r>
            <w:r>
              <w:rPr>
                <w:rFonts w:hint="eastAsia" w:ascii="Times New Roman" w:hAnsi="Times New Roman"/>
                <w:sz w:val="21"/>
                <w:szCs w:val="21"/>
                <w:vertAlign w:val="superscript"/>
              </w:rPr>
              <w:t>-</w:t>
            </w:r>
            <w:r>
              <w:rPr>
                <w:rFonts w:hint="eastAsia" w:ascii="Times New Roman" w:hAnsi="Times New Roman"/>
                <w:sz w:val="21"/>
                <w:szCs w:val="21"/>
              </w:rPr>
              <w:t>、Br</w:t>
            </w:r>
            <w:r>
              <w:rPr>
                <w:rFonts w:hint="eastAsia" w:ascii="Times New Roman" w:hAnsi="Times New Roman"/>
                <w:sz w:val="21"/>
                <w:szCs w:val="21"/>
                <w:vertAlign w:val="superscript"/>
              </w:rPr>
              <w:t>-</w:t>
            </w:r>
            <w:r>
              <w:rPr>
                <w:rFonts w:hint="eastAsia" w:ascii="Times New Roman" w:hAnsi="Times New Roman"/>
                <w:sz w:val="21"/>
                <w:szCs w:val="21"/>
              </w:rPr>
              <w:t>、NO</w:t>
            </w:r>
            <w:r>
              <w:rPr>
                <w:rFonts w:hint="eastAsia" w:ascii="Times New Roman" w:hAnsi="Times New Roman"/>
                <w:sz w:val="21"/>
                <w:szCs w:val="21"/>
                <w:vertAlign w:val="subscript"/>
              </w:rPr>
              <w:t>3</w:t>
            </w:r>
            <w:r>
              <w:rPr>
                <w:rFonts w:hint="eastAsia" w:ascii="Times New Roman" w:hAnsi="Times New Roman"/>
                <w:sz w:val="21"/>
                <w:szCs w:val="21"/>
                <w:vertAlign w:val="superscript"/>
              </w:rPr>
              <w:t>-</w:t>
            </w:r>
            <w:r>
              <w:rPr>
                <w:rFonts w:hint="eastAsia" w:ascii="Times New Roman" w:hAnsi="Times New Roman"/>
                <w:sz w:val="21"/>
                <w:szCs w:val="21"/>
              </w:rPr>
              <w:t>、PO</w:t>
            </w:r>
            <w:r>
              <w:rPr>
                <w:rFonts w:hint="eastAsia" w:ascii="Times New Roman" w:hAnsi="Times New Roman"/>
                <w:sz w:val="21"/>
                <w:szCs w:val="21"/>
                <w:vertAlign w:val="subscript"/>
              </w:rPr>
              <w:t>4</w:t>
            </w:r>
            <w:r>
              <w:rPr>
                <w:rFonts w:hint="eastAsia" w:ascii="Times New Roman" w:hAnsi="Times New Roman"/>
                <w:sz w:val="21"/>
                <w:szCs w:val="21"/>
                <w:vertAlign w:val="superscript"/>
              </w:rPr>
              <w:t>3-</w:t>
            </w:r>
            <w:r>
              <w:rPr>
                <w:rFonts w:hint="eastAsia" w:ascii="Times New Roman" w:hAnsi="Times New Roman"/>
                <w:sz w:val="21"/>
                <w:szCs w:val="21"/>
              </w:rPr>
              <w:t>、SO</w:t>
            </w:r>
            <w:r>
              <w:rPr>
                <w:rFonts w:hint="eastAsia" w:ascii="Times New Roman" w:hAnsi="Times New Roman"/>
                <w:sz w:val="21"/>
                <w:szCs w:val="21"/>
                <w:vertAlign w:val="subscript"/>
              </w:rPr>
              <w:t>3</w:t>
            </w:r>
            <w:r>
              <w:rPr>
                <w:rFonts w:hint="eastAsia" w:ascii="Times New Roman" w:hAnsi="Times New Roman"/>
                <w:sz w:val="21"/>
                <w:szCs w:val="21"/>
                <w:vertAlign w:val="superscript"/>
              </w:rPr>
              <w:t>2-</w:t>
            </w:r>
            <w:r>
              <w:rPr>
                <w:rFonts w:hint="eastAsia" w:ascii="Times New Roman" w:hAnsi="Times New Roman"/>
                <w:sz w:val="21"/>
                <w:szCs w:val="21"/>
              </w:rPr>
              <w:t>、SO</w:t>
            </w:r>
            <w:r>
              <w:rPr>
                <w:rFonts w:hint="eastAsia" w:ascii="Times New Roman" w:hAnsi="Times New Roman"/>
                <w:sz w:val="21"/>
                <w:szCs w:val="21"/>
                <w:vertAlign w:val="subscript"/>
              </w:rPr>
              <w:t>4</w:t>
            </w:r>
            <w:r>
              <w:rPr>
                <w:rFonts w:hint="eastAsia" w:ascii="Times New Roman" w:hAnsi="Times New Roman"/>
                <w:sz w:val="21"/>
                <w:szCs w:val="21"/>
                <w:vertAlign w:val="superscript"/>
              </w:rPr>
              <w:t>2-</w:t>
            </w:r>
            <w:r>
              <w:rPr>
                <w:rFonts w:hint="eastAsia" w:ascii="Times New Roman" w:hAnsi="Times New Roman"/>
                <w:sz w:val="21"/>
                <w:szCs w:val="21"/>
              </w:rPr>
              <w:t>）的测定离子色谱法HJ84-2016</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离子色谱仪</w:t>
            </w:r>
            <w:r>
              <w:rPr>
                <w:rFonts w:hint="eastAsia" w:ascii="Times New Roman" w:hAnsi="Times New Roman"/>
                <w:sz w:val="21"/>
                <w:szCs w:val="21"/>
              </w:rPr>
              <w:t>/ICS-900/KXYQ-005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eastAsia" w:ascii="Times New Roman" w:hAnsi="Times New Roman"/>
                <w:sz w:val="21"/>
                <w:szCs w:val="21"/>
              </w:rPr>
            </w:pPr>
            <w:r>
              <w:rPr>
                <w:rFonts w:hint="eastAsia" w:ascii="Times New Roman" w:hAnsi="Times New Roman"/>
                <w:sz w:val="21"/>
                <w:szCs w:val="21"/>
              </w:rPr>
              <w:t>8</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SO</w:t>
            </w:r>
            <w:r>
              <w:rPr>
                <w:rFonts w:ascii="Times New Roman" w:hAnsi="Times New Roman"/>
                <w:sz w:val="21"/>
                <w:szCs w:val="21"/>
                <w:vertAlign w:val="subscript"/>
              </w:rPr>
              <w:t>4</w:t>
            </w:r>
            <w:r>
              <w:rPr>
                <w:rFonts w:ascii="Times New Roman" w:hAnsi="Times New Roman"/>
                <w:sz w:val="21"/>
                <w:szCs w:val="21"/>
                <w:vertAlign w:val="superscript"/>
              </w:rPr>
              <w:t>2-</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hint="eastAsia" w:ascii="Times New Roman" w:hAnsi="Times New Roman"/>
                <w:sz w:val="21"/>
                <w:szCs w:val="21"/>
              </w:rPr>
              <w:t>水质 无机阴离子（F</w:t>
            </w:r>
            <w:r>
              <w:rPr>
                <w:rFonts w:hint="eastAsia" w:ascii="Times New Roman" w:hAnsi="Times New Roman"/>
                <w:sz w:val="21"/>
                <w:szCs w:val="21"/>
                <w:vertAlign w:val="superscript"/>
              </w:rPr>
              <w:t>-</w:t>
            </w:r>
            <w:r>
              <w:rPr>
                <w:rFonts w:hint="eastAsia" w:ascii="Times New Roman" w:hAnsi="Times New Roman"/>
                <w:sz w:val="21"/>
                <w:szCs w:val="21"/>
              </w:rPr>
              <w:t>、Cl</w:t>
            </w:r>
            <w:r>
              <w:rPr>
                <w:rFonts w:hint="eastAsia" w:ascii="Times New Roman" w:hAnsi="Times New Roman"/>
                <w:sz w:val="21"/>
                <w:szCs w:val="21"/>
                <w:vertAlign w:val="superscript"/>
              </w:rPr>
              <w:t>-</w:t>
            </w:r>
            <w:r>
              <w:rPr>
                <w:rFonts w:hint="eastAsia" w:ascii="Times New Roman" w:hAnsi="Times New Roman"/>
                <w:sz w:val="21"/>
                <w:szCs w:val="21"/>
              </w:rPr>
              <w:t>、NO</w:t>
            </w:r>
            <w:r>
              <w:rPr>
                <w:rFonts w:hint="eastAsia" w:ascii="Times New Roman" w:hAnsi="Times New Roman"/>
                <w:sz w:val="21"/>
                <w:szCs w:val="21"/>
                <w:vertAlign w:val="subscript"/>
              </w:rPr>
              <w:t>2</w:t>
            </w:r>
            <w:r>
              <w:rPr>
                <w:rFonts w:hint="eastAsia" w:ascii="Times New Roman" w:hAnsi="Times New Roman"/>
                <w:sz w:val="21"/>
                <w:szCs w:val="21"/>
                <w:vertAlign w:val="superscript"/>
              </w:rPr>
              <w:t>-</w:t>
            </w:r>
            <w:r>
              <w:rPr>
                <w:rFonts w:hint="eastAsia" w:ascii="Times New Roman" w:hAnsi="Times New Roman"/>
                <w:sz w:val="21"/>
                <w:szCs w:val="21"/>
              </w:rPr>
              <w:t>、Br</w:t>
            </w:r>
            <w:r>
              <w:rPr>
                <w:rFonts w:hint="eastAsia" w:ascii="Times New Roman" w:hAnsi="Times New Roman"/>
                <w:sz w:val="21"/>
                <w:szCs w:val="21"/>
                <w:vertAlign w:val="superscript"/>
              </w:rPr>
              <w:t>-</w:t>
            </w:r>
            <w:r>
              <w:rPr>
                <w:rFonts w:hint="eastAsia" w:ascii="Times New Roman" w:hAnsi="Times New Roman"/>
                <w:sz w:val="21"/>
                <w:szCs w:val="21"/>
              </w:rPr>
              <w:t>、NO</w:t>
            </w:r>
            <w:r>
              <w:rPr>
                <w:rFonts w:hint="eastAsia" w:ascii="Times New Roman" w:hAnsi="Times New Roman"/>
                <w:sz w:val="21"/>
                <w:szCs w:val="21"/>
                <w:vertAlign w:val="subscript"/>
              </w:rPr>
              <w:t>3</w:t>
            </w:r>
            <w:r>
              <w:rPr>
                <w:rFonts w:hint="eastAsia" w:ascii="Times New Roman" w:hAnsi="Times New Roman"/>
                <w:sz w:val="21"/>
                <w:szCs w:val="21"/>
                <w:vertAlign w:val="superscript"/>
              </w:rPr>
              <w:t>-</w:t>
            </w:r>
            <w:r>
              <w:rPr>
                <w:rFonts w:hint="eastAsia" w:ascii="Times New Roman" w:hAnsi="Times New Roman"/>
                <w:sz w:val="21"/>
                <w:szCs w:val="21"/>
              </w:rPr>
              <w:t>、PO</w:t>
            </w:r>
            <w:r>
              <w:rPr>
                <w:rFonts w:hint="eastAsia" w:ascii="Times New Roman" w:hAnsi="Times New Roman"/>
                <w:sz w:val="21"/>
                <w:szCs w:val="21"/>
                <w:vertAlign w:val="subscript"/>
              </w:rPr>
              <w:t>4</w:t>
            </w:r>
            <w:r>
              <w:rPr>
                <w:rFonts w:hint="eastAsia" w:ascii="Times New Roman" w:hAnsi="Times New Roman"/>
                <w:sz w:val="21"/>
                <w:szCs w:val="21"/>
                <w:vertAlign w:val="superscript"/>
              </w:rPr>
              <w:t>3-</w:t>
            </w:r>
            <w:r>
              <w:rPr>
                <w:rFonts w:hint="eastAsia" w:ascii="Times New Roman" w:hAnsi="Times New Roman"/>
                <w:sz w:val="21"/>
                <w:szCs w:val="21"/>
              </w:rPr>
              <w:t>、SO</w:t>
            </w:r>
            <w:r>
              <w:rPr>
                <w:rFonts w:hint="eastAsia" w:ascii="Times New Roman" w:hAnsi="Times New Roman"/>
                <w:sz w:val="21"/>
                <w:szCs w:val="21"/>
                <w:vertAlign w:val="subscript"/>
              </w:rPr>
              <w:t>3</w:t>
            </w:r>
            <w:r>
              <w:rPr>
                <w:rFonts w:hint="eastAsia" w:ascii="Times New Roman" w:hAnsi="Times New Roman"/>
                <w:sz w:val="21"/>
                <w:szCs w:val="21"/>
                <w:vertAlign w:val="superscript"/>
              </w:rPr>
              <w:t>2-</w:t>
            </w:r>
            <w:r>
              <w:rPr>
                <w:rFonts w:hint="eastAsia" w:ascii="Times New Roman" w:hAnsi="Times New Roman"/>
                <w:sz w:val="21"/>
                <w:szCs w:val="21"/>
              </w:rPr>
              <w:t>、SO</w:t>
            </w:r>
            <w:r>
              <w:rPr>
                <w:rFonts w:hint="eastAsia" w:ascii="Times New Roman" w:hAnsi="Times New Roman"/>
                <w:sz w:val="21"/>
                <w:szCs w:val="21"/>
                <w:vertAlign w:val="subscript"/>
              </w:rPr>
              <w:t>4</w:t>
            </w:r>
            <w:r>
              <w:rPr>
                <w:rFonts w:hint="eastAsia" w:ascii="Times New Roman" w:hAnsi="Times New Roman"/>
                <w:sz w:val="21"/>
                <w:szCs w:val="21"/>
                <w:vertAlign w:val="superscript"/>
              </w:rPr>
              <w:t>2-</w:t>
            </w:r>
            <w:r>
              <w:rPr>
                <w:rFonts w:hint="eastAsia" w:ascii="Times New Roman" w:hAnsi="Times New Roman"/>
                <w:sz w:val="21"/>
                <w:szCs w:val="21"/>
              </w:rPr>
              <w:t>）的测定离子色谱法HJ84-2016</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hint="eastAsia" w:ascii="Times New Roman" w:hAnsi="Times New Roman"/>
                <w:sz w:val="21"/>
                <w:szCs w:val="21"/>
              </w:rPr>
            </w:pPr>
            <w:r>
              <w:rPr>
                <w:rFonts w:ascii="Times New Roman" w:hAnsi="Times New Roman"/>
                <w:sz w:val="21"/>
                <w:szCs w:val="21"/>
              </w:rPr>
              <w:t>离子色谱仪</w:t>
            </w:r>
            <w:r>
              <w:rPr>
                <w:rFonts w:hint="eastAsia" w:ascii="Times New Roman" w:hAnsi="Times New Roman"/>
                <w:sz w:val="21"/>
                <w:szCs w:val="21"/>
              </w:rPr>
              <w:t>/ICS-900/KXYQ-005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9</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pH</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水质 pH值的测定 玻璃电极法HJ1147-2020</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hint="eastAsia" w:ascii="Times New Roman" w:hAnsi="Times New Roman"/>
                <w:sz w:val="21"/>
                <w:szCs w:val="21"/>
              </w:rPr>
              <w:t>便携式酸度计/HI8424/KXYQ-055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10</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氨氮</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水质 氨氮的测定 纳氏试剂分光光度法HJ535-2009</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hint="eastAsia" w:ascii="Times New Roman" w:hAnsi="Times New Roman"/>
                <w:sz w:val="21"/>
                <w:szCs w:val="21"/>
              </w:rPr>
              <w:t>紫外可见分光光度计/UV-1800D/KXYQ-015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11</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硝酸盐</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hint="eastAsia" w:ascii="Times New Roman" w:hAnsi="Times New Roman"/>
                <w:sz w:val="21"/>
                <w:szCs w:val="21"/>
              </w:rPr>
              <w:t>水质 无机阴离子（F</w:t>
            </w:r>
            <w:r>
              <w:rPr>
                <w:rFonts w:hint="eastAsia" w:ascii="Times New Roman" w:hAnsi="Times New Roman"/>
                <w:sz w:val="21"/>
                <w:szCs w:val="21"/>
                <w:vertAlign w:val="superscript"/>
              </w:rPr>
              <w:t>-</w:t>
            </w:r>
            <w:r>
              <w:rPr>
                <w:rFonts w:hint="eastAsia" w:ascii="Times New Roman" w:hAnsi="Times New Roman"/>
                <w:sz w:val="21"/>
                <w:szCs w:val="21"/>
              </w:rPr>
              <w:t>、Cl</w:t>
            </w:r>
            <w:r>
              <w:rPr>
                <w:rFonts w:hint="eastAsia" w:ascii="Times New Roman" w:hAnsi="Times New Roman"/>
                <w:sz w:val="21"/>
                <w:szCs w:val="21"/>
                <w:vertAlign w:val="superscript"/>
              </w:rPr>
              <w:t>-</w:t>
            </w:r>
            <w:r>
              <w:rPr>
                <w:rFonts w:hint="eastAsia" w:ascii="Times New Roman" w:hAnsi="Times New Roman"/>
                <w:sz w:val="21"/>
                <w:szCs w:val="21"/>
              </w:rPr>
              <w:t>、NO</w:t>
            </w:r>
            <w:r>
              <w:rPr>
                <w:rFonts w:hint="eastAsia" w:ascii="Times New Roman" w:hAnsi="Times New Roman"/>
                <w:sz w:val="21"/>
                <w:szCs w:val="21"/>
                <w:vertAlign w:val="subscript"/>
              </w:rPr>
              <w:t>2</w:t>
            </w:r>
            <w:r>
              <w:rPr>
                <w:rFonts w:hint="eastAsia" w:ascii="Times New Roman" w:hAnsi="Times New Roman"/>
                <w:sz w:val="21"/>
                <w:szCs w:val="21"/>
                <w:vertAlign w:val="superscript"/>
              </w:rPr>
              <w:t>-</w:t>
            </w:r>
            <w:r>
              <w:rPr>
                <w:rFonts w:hint="eastAsia" w:ascii="Times New Roman" w:hAnsi="Times New Roman"/>
                <w:sz w:val="21"/>
                <w:szCs w:val="21"/>
              </w:rPr>
              <w:t>、Br</w:t>
            </w:r>
            <w:r>
              <w:rPr>
                <w:rFonts w:hint="eastAsia" w:ascii="Times New Roman" w:hAnsi="Times New Roman"/>
                <w:sz w:val="21"/>
                <w:szCs w:val="21"/>
                <w:vertAlign w:val="superscript"/>
              </w:rPr>
              <w:t>-</w:t>
            </w:r>
            <w:r>
              <w:rPr>
                <w:rFonts w:hint="eastAsia" w:ascii="Times New Roman" w:hAnsi="Times New Roman"/>
                <w:sz w:val="21"/>
                <w:szCs w:val="21"/>
              </w:rPr>
              <w:t>、NO</w:t>
            </w:r>
            <w:r>
              <w:rPr>
                <w:rFonts w:hint="eastAsia" w:ascii="Times New Roman" w:hAnsi="Times New Roman"/>
                <w:sz w:val="21"/>
                <w:szCs w:val="21"/>
                <w:vertAlign w:val="subscript"/>
              </w:rPr>
              <w:t>3</w:t>
            </w:r>
            <w:r>
              <w:rPr>
                <w:rFonts w:hint="eastAsia" w:ascii="Times New Roman" w:hAnsi="Times New Roman"/>
                <w:sz w:val="21"/>
                <w:szCs w:val="21"/>
                <w:vertAlign w:val="superscript"/>
              </w:rPr>
              <w:t>-</w:t>
            </w:r>
            <w:r>
              <w:rPr>
                <w:rFonts w:hint="eastAsia" w:ascii="Times New Roman" w:hAnsi="Times New Roman"/>
                <w:sz w:val="21"/>
                <w:szCs w:val="21"/>
              </w:rPr>
              <w:t>、PO</w:t>
            </w:r>
            <w:r>
              <w:rPr>
                <w:rFonts w:hint="eastAsia" w:ascii="Times New Roman" w:hAnsi="Times New Roman"/>
                <w:sz w:val="21"/>
                <w:szCs w:val="21"/>
                <w:vertAlign w:val="subscript"/>
              </w:rPr>
              <w:t>4</w:t>
            </w:r>
            <w:r>
              <w:rPr>
                <w:rFonts w:hint="eastAsia" w:ascii="Times New Roman" w:hAnsi="Times New Roman"/>
                <w:sz w:val="21"/>
                <w:szCs w:val="21"/>
                <w:vertAlign w:val="superscript"/>
              </w:rPr>
              <w:t>3-</w:t>
            </w:r>
            <w:r>
              <w:rPr>
                <w:rFonts w:hint="eastAsia" w:ascii="Times New Roman" w:hAnsi="Times New Roman"/>
                <w:sz w:val="21"/>
                <w:szCs w:val="21"/>
              </w:rPr>
              <w:t>、SO</w:t>
            </w:r>
            <w:r>
              <w:rPr>
                <w:rFonts w:hint="eastAsia" w:ascii="Times New Roman" w:hAnsi="Times New Roman"/>
                <w:sz w:val="21"/>
                <w:szCs w:val="21"/>
                <w:vertAlign w:val="subscript"/>
              </w:rPr>
              <w:t>3</w:t>
            </w:r>
            <w:r>
              <w:rPr>
                <w:rFonts w:hint="eastAsia" w:ascii="Times New Roman" w:hAnsi="Times New Roman"/>
                <w:sz w:val="21"/>
                <w:szCs w:val="21"/>
                <w:vertAlign w:val="superscript"/>
              </w:rPr>
              <w:t>2-</w:t>
            </w:r>
            <w:r>
              <w:rPr>
                <w:rFonts w:hint="eastAsia" w:ascii="Times New Roman" w:hAnsi="Times New Roman"/>
                <w:sz w:val="21"/>
                <w:szCs w:val="21"/>
              </w:rPr>
              <w:t>、SO</w:t>
            </w:r>
            <w:r>
              <w:rPr>
                <w:rFonts w:hint="eastAsia" w:ascii="Times New Roman" w:hAnsi="Times New Roman"/>
                <w:sz w:val="21"/>
                <w:szCs w:val="21"/>
                <w:vertAlign w:val="subscript"/>
              </w:rPr>
              <w:t>4</w:t>
            </w:r>
            <w:r>
              <w:rPr>
                <w:rFonts w:hint="eastAsia" w:ascii="Times New Roman" w:hAnsi="Times New Roman"/>
                <w:sz w:val="21"/>
                <w:szCs w:val="21"/>
                <w:vertAlign w:val="superscript"/>
              </w:rPr>
              <w:t>2-</w:t>
            </w:r>
            <w:r>
              <w:rPr>
                <w:rFonts w:hint="eastAsia" w:ascii="Times New Roman" w:hAnsi="Times New Roman"/>
                <w:sz w:val="21"/>
                <w:szCs w:val="21"/>
              </w:rPr>
              <w:t>）的测定离子色谱法HJ84-2016</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离子色谱仪</w:t>
            </w:r>
            <w:r>
              <w:rPr>
                <w:rFonts w:hint="eastAsia" w:ascii="Times New Roman" w:hAnsi="Times New Roman"/>
                <w:sz w:val="21"/>
                <w:szCs w:val="21"/>
              </w:rPr>
              <w:t>/ICS-900/KXYQ-005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12</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亚硝酸盐</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hint="eastAsia" w:ascii="Times New Roman" w:hAnsi="Times New Roman"/>
                <w:sz w:val="21"/>
                <w:szCs w:val="21"/>
              </w:rPr>
              <w:t>水质 无机阴离子（F</w:t>
            </w:r>
            <w:r>
              <w:rPr>
                <w:rFonts w:hint="eastAsia" w:ascii="Times New Roman" w:hAnsi="Times New Roman"/>
                <w:sz w:val="21"/>
                <w:szCs w:val="21"/>
                <w:vertAlign w:val="superscript"/>
              </w:rPr>
              <w:t>-</w:t>
            </w:r>
            <w:r>
              <w:rPr>
                <w:rFonts w:hint="eastAsia" w:ascii="Times New Roman" w:hAnsi="Times New Roman"/>
                <w:sz w:val="21"/>
                <w:szCs w:val="21"/>
              </w:rPr>
              <w:t>、Cl</w:t>
            </w:r>
            <w:r>
              <w:rPr>
                <w:rFonts w:hint="eastAsia" w:ascii="Times New Roman" w:hAnsi="Times New Roman"/>
                <w:sz w:val="21"/>
                <w:szCs w:val="21"/>
                <w:vertAlign w:val="superscript"/>
              </w:rPr>
              <w:t>-</w:t>
            </w:r>
            <w:r>
              <w:rPr>
                <w:rFonts w:hint="eastAsia" w:ascii="Times New Roman" w:hAnsi="Times New Roman"/>
                <w:sz w:val="21"/>
                <w:szCs w:val="21"/>
              </w:rPr>
              <w:t>、NO</w:t>
            </w:r>
            <w:r>
              <w:rPr>
                <w:rFonts w:hint="eastAsia" w:ascii="Times New Roman" w:hAnsi="Times New Roman"/>
                <w:sz w:val="21"/>
                <w:szCs w:val="21"/>
                <w:vertAlign w:val="subscript"/>
              </w:rPr>
              <w:t>2</w:t>
            </w:r>
            <w:r>
              <w:rPr>
                <w:rFonts w:hint="eastAsia" w:ascii="Times New Roman" w:hAnsi="Times New Roman"/>
                <w:sz w:val="21"/>
                <w:szCs w:val="21"/>
                <w:vertAlign w:val="superscript"/>
              </w:rPr>
              <w:t>-</w:t>
            </w:r>
            <w:r>
              <w:rPr>
                <w:rFonts w:hint="eastAsia" w:ascii="Times New Roman" w:hAnsi="Times New Roman"/>
                <w:sz w:val="21"/>
                <w:szCs w:val="21"/>
              </w:rPr>
              <w:t>、Br</w:t>
            </w:r>
            <w:r>
              <w:rPr>
                <w:rFonts w:hint="eastAsia" w:ascii="Times New Roman" w:hAnsi="Times New Roman"/>
                <w:sz w:val="21"/>
                <w:szCs w:val="21"/>
                <w:vertAlign w:val="superscript"/>
              </w:rPr>
              <w:t>-</w:t>
            </w:r>
            <w:r>
              <w:rPr>
                <w:rFonts w:hint="eastAsia" w:ascii="Times New Roman" w:hAnsi="Times New Roman"/>
                <w:sz w:val="21"/>
                <w:szCs w:val="21"/>
              </w:rPr>
              <w:t>、NO</w:t>
            </w:r>
            <w:r>
              <w:rPr>
                <w:rFonts w:hint="eastAsia" w:ascii="Times New Roman" w:hAnsi="Times New Roman"/>
                <w:sz w:val="21"/>
                <w:szCs w:val="21"/>
                <w:vertAlign w:val="subscript"/>
              </w:rPr>
              <w:t>3</w:t>
            </w:r>
            <w:r>
              <w:rPr>
                <w:rFonts w:hint="eastAsia" w:ascii="Times New Roman" w:hAnsi="Times New Roman"/>
                <w:sz w:val="21"/>
                <w:szCs w:val="21"/>
                <w:vertAlign w:val="superscript"/>
              </w:rPr>
              <w:t>-</w:t>
            </w:r>
            <w:r>
              <w:rPr>
                <w:rFonts w:hint="eastAsia" w:ascii="Times New Roman" w:hAnsi="Times New Roman"/>
                <w:sz w:val="21"/>
                <w:szCs w:val="21"/>
              </w:rPr>
              <w:t>、PO</w:t>
            </w:r>
            <w:r>
              <w:rPr>
                <w:rFonts w:hint="eastAsia" w:ascii="Times New Roman" w:hAnsi="Times New Roman"/>
                <w:sz w:val="21"/>
                <w:szCs w:val="21"/>
                <w:vertAlign w:val="subscript"/>
              </w:rPr>
              <w:t>4</w:t>
            </w:r>
            <w:r>
              <w:rPr>
                <w:rFonts w:hint="eastAsia" w:ascii="Times New Roman" w:hAnsi="Times New Roman"/>
                <w:sz w:val="21"/>
                <w:szCs w:val="21"/>
                <w:vertAlign w:val="superscript"/>
              </w:rPr>
              <w:t>3-</w:t>
            </w:r>
            <w:r>
              <w:rPr>
                <w:rFonts w:hint="eastAsia" w:ascii="Times New Roman" w:hAnsi="Times New Roman"/>
                <w:sz w:val="21"/>
                <w:szCs w:val="21"/>
              </w:rPr>
              <w:t>、SO</w:t>
            </w:r>
            <w:r>
              <w:rPr>
                <w:rFonts w:hint="eastAsia" w:ascii="Times New Roman" w:hAnsi="Times New Roman"/>
                <w:sz w:val="21"/>
                <w:szCs w:val="21"/>
                <w:vertAlign w:val="subscript"/>
              </w:rPr>
              <w:t>3</w:t>
            </w:r>
            <w:r>
              <w:rPr>
                <w:rFonts w:hint="eastAsia" w:ascii="Times New Roman" w:hAnsi="Times New Roman"/>
                <w:sz w:val="21"/>
                <w:szCs w:val="21"/>
                <w:vertAlign w:val="superscript"/>
              </w:rPr>
              <w:t>2-</w:t>
            </w:r>
            <w:r>
              <w:rPr>
                <w:rFonts w:hint="eastAsia" w:ascii="Times New Roman" w:hAnsi="Times New Roman"/>
                <w:sz w:val="21"/>
                <w:szCs w:val="21"/>
              </w:rPr>
              <w:t>、SO</w:t>
            </w:r>
            <w:r>
              <w:rPr>
                <w:rFonts w:hint="eastAsia" w:ascii="Times New Roman" w:hAnsi="Times New Roman"/>
                <w:sz w:val="21"/>
                <w:szCs w:val="21"/>
                <w:vertAlign w:val="subscript"/>
              </w:rPr>
              <w:t>4</w:t>
            </w:r>
            <w:r>
              <w:rPr>
                <w:rFonts w:hint="eastAsia" w:ascii="Times New Roman" w:hAnsi="Times New Roman"/>
                <w:sz w:val="21"/>
                <w:szCs w:val="21"/>
                <w:vertAlign w:val="superscript"/>
              </w:rPr>
              <w:t>2-</w:t>
            </w:r>
            <w:r>
              <w:rPr>
                <w:rFonts w:hint="eastAsia" w:ascii="Times New Roman" w:hAnsi="Times New Roman"/>
                <w:sz w:val="21"/>
                <w:szCs w:val="21"/>
              </w:rPr>
              <w:t>）的测定离子色谱法HJ84-2016</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离子色谱仪</w:t>
            </w:r>
            <w:r>
              <w:rPr>
                <w:rFonts w:hint="eastAsia" w:ascii="Times New Roman" w:hAnsi="Times New Roman"/>
                <w:sz w:val="21"/>
                <w:szCs w:val="21"/>
              </w:rPr>
              <w:t>/ICS-900/KXYQ-005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13</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氰化物</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生活饮用水标准检验方法 无机非金属指标（4.1异烟酸-吡唑酮分光光度法）GB/T5750.5-2006</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hint="eastAsia" w:ascii="Times New Roman" w:hAnsi="Times New Roman"/>
                <w:sz w:val="21"/>
                <w:szCs w:val="21"/>
              </w:rPr>
              <w:t>紫外可见分光光度计/UV-1800D/KXYQ-015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14</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挥发性酚类</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水质 挥发酚的测定 4-氨基安替比林分光光度法HJ503-2009</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hint="eastAsia" w:ascii="Times New Roman" w:hAnsi="Times New Roman"/>
                <w:sz w:val="21"/>
                <w:szCs w:val="21"/>
              </w:rPr>
              <w:t>紫外可见分光光度计/UV-1800D/KXYQ-015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15</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砷</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水质 汞、砷、硒、铋和锑的测定 原子荧光法HJ694-2014</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非色散原子荧光光度计</w:t>
            </w:r>
            <w:r>
              <w:rPr>
                <w:rFonts w:hint="eastAsia" w:ascii="Times New Roman" w:hAnsi="Times New Roman"/>
                <w:sz w:val="21"/>
                <w:szCs w:val="21"/>
              </w:rPr>
              <w:t>/PF6-2/KXYQ-002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16</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汞</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水质 总汞的测定 冷原子吸收分光光度法HJ597-2011</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微分测汞仪</w:t>
            </w:r>
            <w:r>
              <w:rPr>
                <w:rFonts w:hint="eastAsia" w:ascii="Times New Roman" w:hAnsi="Times New Roman"/>
                <w:sz w:val="21"/>
                <w:szCs w:val="21"/>
              </w:rPr>
              <w:t>/WCG-208/KXYQ-003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17</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铬（六价）</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生活饮用水标准检验方法 金属指标（10.1二苯碳酰二肼分光光度法）GB/T5750.6-2006</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hint="eastAsia" w:ascii="Times New Roman" w:hAnsi="Times New Roman"/>
                <w:sz w:val="21"/>
                <w:szCs w:val="21"/>
              </w:rPr>
              <w:t>紫外可见分光光度计/UV-1800D/KXYQ-015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18</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总硬度</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水质 钙和镁总量的测定EDTA 滴定法GB7477-87</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hint="eastAsia" w:ascii="Times New Roman" w:hAnsi="Times New Roman"/>
                <w:sz w:val="21"/>
                <w:szCs w:val="21"/>
              </w:rPr>
              <w:t>碱式滴定管/50mL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19</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氟</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hint="eastAsia" w:ascii="Times New Roman" w:hAnsi="Times New Roman"/>
                <w:sz w:val="21"/>
                <w:szCs w:val="21"/>
              </w:rPr>
              <w:t>水质 无机阴离子（F</w:t>
            </w:r>
            <w:r>
              <w:rPr>
                <w:rFonts w:hint="eastAsia" w:ascii="Times New Roman" w:hAnsi="Times New Roman"/>
                <w:sz w:val="21"/>
                <w:szCs w:val="21"/>
                <w:vertAlign w:val="superscript"/>
              </w:rPr>
              <w:t>-</w:t>
            </w:r>
            <w:r>
              <w:rPr>
                <w:rFonts w:hint="eastAsia" w:ascii="Times New Roman" w:hAnsi="Times New Roman"/>
                <w:sz w:val="21"/>
                <w:szCs w:val="21"/>
              </w:rPr>
              <w:t>、Cl</w:t>
            </w:r>
            <w:r>
              <w:rPr>
                <w:rFonts w:hint="eastAsia" w:ascii="Times New Roman" w:hAnsi="Times New Roman"/>
                <w:sz w:val="21"/>
                <w:szCs w:val="21"/>
                <w:vertAlign w:val="superscript"/>
              </w:rPr>
              <w:t>-</w:t>
            </w:r>
            <w:r>
              <w:rPr>
                <w:rFonts w:hint="eastAsia" w:ascii="Times New Roman" w:hAnsi="Times New Roman"/>
                <w:sz w:val="21"/>
                <w:szCs w:val="21"/>
              </w:rPr>
              <w:t>、NO</w:t>
            </w:r>
            <w:r>
              <w:rPr>
                <w:rFonts w:hint="eastAsia" w:ascii="Times New Roman" w:hAnsi="Times New Roman"/>
                <w:sz w:val="21"/>
                <w:szCs w:val="21"/>
                <w:vertAlign w:val="subscript"/>
              </w:rPr>
              <w:t>2</w:t>
            </w:r>
            <w:r>
              <w:rPr>
                <w:rFonts w:hint="eastAsia" w:ascii="Times New Roman" w:hAnsi="Times New Roman"/>
                <w:sz w:val="21"/>
                <w:szCs w:val="21"/>
                <w:vertAlign w:val="superscript"/>
              </w:rPr>
              <w:t>-</w:t>
            </w:r>
            <w:r>
              <w:rPr>
                <w:rFonts w:hint="eastAsia" w:ascii="Times New Roman" w:hAnsi="Times New Roman"/>
                <w:sz w:val="21"/>
                <w:szCs w:val="21"/>
              </w:rPr>
              <w:t>、Br</w:t>
            </w:r>
            <w:r>
              <w:rPr>
                <w:rFonts w:hint="eastAsia" w:ascii="Times New Roman" w:hAnsi="Times New Roman"/>
                <w:sz w:val="21"/>
                <w:szCs w:val="21"/>
                <w:vertAlign w:val="superscript"/>
              </w:rPr>
              <w:t>-</w:t>
            </w:r>
            <w:r>
              <w:rPr>
                <w:rFonts w:hint="eastAsia" w:ascii="Times New Roman" w:hAnsi="Times New Roman"/>
                <w:sz w:val="21"/>
                <w:szCs w:val="21"/>
              </w:rPr>
              <w:t>、NO</w:t>
            </w:r>
            <w:r>
              <w:rPr>
                <w:rFonts w:hint="eastAsia" w:ascii="Times New Roman" w:hAnsi="Times New Roman"/>
                <w:sz w:val="21"/>
                <w:szCs w:val="21"/>
                <w:vertAlign w:val="subscript"/>
              </w:rPr>
              <w:t>3</w:t>
            </w:r>
            <w:r>
              <w:rPr>
                <w:rFonts w:hint="eastAsia" w:ascii="Times New Roman" w:hAnsi="Times New Roman"/>
                <w:sz w:val="21"/>
                <w:szCs w:val="21"/>
                <w:vertAlign w:val="superscript"/>
              </w:rPr>
              <w:t>-</w:t>
            </w:r>
            <w:r>
              <w:rPr>
                <w:rFonts w:hint="eastAsia" w:ascii="Times New Roman" w:hAnsi="Times New Roman"/>
                <w:sz w:val="21"/>
                <w:szCs w:val="21"/>
              </w:rPr>
              <w:t>、PO</w:t>
            </w:r>
            <w:r>
              <w:rPr>
                <w:rFonts w:hint="eastAsia" w:ascii="Times New Roman" w:hAnsi="Times New Roman"/>
                <w:sz w:val="21"/>
                <w:szCs w:val="21"/>
                <w:vertAlign w:val="subscript"/>
              </w:rPr>
              <w:t>4</w:t>
            </w:r>
            <w:r>
              <w:rPr>
                <w:rFonts w:hint="eastAsia" w:ascii="Times New Roman" w:hAnsi="Times New Roman"/>
                <w:sz w:val="21"/>
                <w:szCs w:val="21"/>
                <w:vertAlign w:val="superscript"/>
              </w:rPr>
              <w:t>3-</w:t>
            </w:r>
            <w:r>
              <w:rPr>
                <w:rFonts w:hint="eastAsia" w:ascii="Times New Roman" w:hAnsi="Times New Roman"/>
                <w:sz w:val="21"/>
                <w:szCs w:val="21"/>
              </w:rPr>
              <w:t>、SO</w:t>
            </w:r>
            <w:r>
              <w:rPr>
                <w:rFonts w:hint="eastAsia" w:ascii="Times New Roman" w:hAnsi="Times New Roman"/>
                <w:sz w:val="21"/>
                <w:szCs w:val="21"/>
                <w:vertAlign w:val="subscript"/>
              </w:rPr>
              <w:t>3</w:t>
            </w:r>
            <w:r>
              <w:rPr>
                <w:rFonts w:hint="eastAsia" w:ascii="Times New Roman" w:hAnsi="Times New Roman"/>
                <w:sz w:val="21"/>
                <w:szCs w:val="21"/>
                <w:vertAlign w:val="superscript"/>
              </w:rPr>
              <w:t>2-</w:t>
            </w:r>
            <w:r>
              <w:rPr>
                <w:rFonts w:hint="eastAsia" w:ascii="Times New Roman" w:hAnsi="Times New Roman"/>
                <w:sz w:val="21"/>
                <w:szCs w:val="21"/>
              </w:rPr>
              <w:t>、SO</w:t>
            </w:r>
            <w:r>
              <w:rPr>
                <w:rFonts w:hint="eastAsia" w:ascii="Times New Roman" w:hAnsi="Times New Roman"/>
                <w:sz w:val="21"/>
                <w:szCs w:val="21"/>
                <w:vertAlign w:val="subscript"/>
              </w:rPr>
              <w:t>4</w:t>
            </w:r>
            <w:r>
              <w:rPr>
                <w:rFonts w:hint="eastAsia" w:ascii="Times New Roman" w:hAnsi="Times New Roman"/>
                <w:sz w:val="21"/>
                <w:szCs w:val="21"/>
                <w:vertAlign w:val="superscript"/>
              </w:rPr>
              <w:t>2-</w:t>
            </w:r>
            <w:r>
              <w:rPr>
                <w:rFonts w:hint="eastAsia" w:ascii="Times New Roman" w:hAnsi="Times New Roman"/>
                <w:sz w:val="21"/>
                <w:szCs w:val="21"/>
              </w:rPr>
              <w:t>）的测定离子色谱法HJ84-2016</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离子色谱仪</w:t>
            </w:r>
            <w:r>
              <w:rPr>
                <w:rFonts w:hint="eastAsia" w:ascii="Times New Roman" w:hAnsi="Times New Roman"/>
                <w:sz w:val="21"/>
                <w:szCs w:val="21"/>
              </w:rPr>
              <w:t>/ICS-900/KXYQ-005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20</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镉</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生活饮用水标准检验方法 金属指标（9.1无火焰原子吸收分光光度法）GB/T5750.6-2006</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原子吸收分光光度计</w:t>
            </w:r>
            <w:r>
              <w:rPr>
                <w:rFonts w:hint="eastAsia" w:ascii="Times New Roman" w:hAnsi="Times New Roman"/>
                <w:sz w:val="21"/>
                <w:szCs w:val="21"/>
              </w:rPr>
              <w:t>/TAS-990AFG/KXYQ-001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21</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铅</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生活饮用水标准检验方法 金属指标（11.1无火焰原子吸收分光光度法）GB/T5750.6-2006</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原子吸收分光光度计</w:t>
            </w:r>
            <w:r>
              <w:rPr>
                <w:rFonts w:hint="eastAsia" w:ascii="Times New Roman" w:hAnsi="Times New Roman"/>
                <w:sz w:val="21"/>
                <w:szCs w:val="21"/>
              </w:rPr>
              <w:t>/TAS-990AFG/KXYQ-001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22</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铁</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水质 铁、锰的测定 火焰原子吸收分光光度法GB11911-89</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原子吸收分光光度计</w:t>
            </w:r>
            <w:r>
              <w:rPr>
                <w:rFonts w:hint="eastAsia" w:ascii="Times New Roman" w:hAnsi="Times New Roman"/>
                <w:sz w:val="21"/>
                <w:szCs w:val="21"/>
              </w:rPr>
              <w:t>/TAS-990AFG/KXYQ-001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23</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锰</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水质 铁、锰的测定 火焰原子吸收分光光度法GB11911-89</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原子吸收分光光度计</w:t>
            </w:r>
            <w:r>
              <w:rPr>
                <w:rFonts w:hint="eastAsia" w:ascii="Times New Roman" w:hAnsi="Times New Roman"/>
                <w:sz w:val="21"/>
                <w:szCs w:val="21"/>
              </w:rPr>
              <w:t>/TAS-990AFG/KXYQ-001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vMerge w:val="restar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24</w:t>
            </w:r>
          </w:p>
        </w:tc>
        <w:tc>
          <w:tcPr>
            <w:tcW w:w="791" w:type="pct"/>
            <w:vMerge w:val="restar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溶解性总固体</w:t>
            </w:r>
          </w:p>
        </w:tc>
        <w:tc>
          <w:tcPr>
            <w:tcW w:w="2171" w:type="pct"/>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生活饮用水标准检验方法 感官性状和物理指标（8.1称重法）GB/T5750.4-2006</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恒温干燥箱</w:t>
            </w:r>
            <w:r>
              <w:rPr>
                <w:rFonts w:hint="eastAsia" w:ascii="Times New Roman" w:hAnsi="Times New Roman"/>
                <w:sz w:val="21"/>
                <w:szCs w:val="21"/>
              </w:rPr>
              <w:t>/101-3B/KXYQ-003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sz w:val="21"/>
                <w:szCs w:val="21"/>
              </w:rPr>
            </w:pPr>
          </w:p>
        </w:tc>
        <w:tc>
          <w:tcPr>
            <w:tcW w:w="791"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sz w:val="21"/>
                <w:szCs w:val="21"/>
              </w:rPr>
            </w:pPr>
          </w:p>
        </w:tc>
        <w:tc>
          <w:tcPr>
            <w:tcW w:w="2171"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sz w:val="21"/>
                <w:szCs w:val="21"/>
              </w:rPr>
            </w:pP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电子天平</w:t>
            </w:r>
            <w:r>
              <w:rPr>
                <w:rFonts w:hint="eastAsia" w:ascii="Times New Roman" w:hAnsi="Times New Roman"/>
                <w:sz w:val="21"/>
                <w:szCs w:val="21"/>
              </w:rPr>
              <w:t>/AUY220/KXYQ-016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sz w:val="21"/>
                <w:szCs w:val="21"/>
              </w:rPr>
              <w:t>25</w:t>
            </w:r>
          </w:p>
        </w:tc>
        <w:tc>
          <w:tcPr>
            <w:tcW w:w="791" w:type="pct"/>
            <w:tcBorders>
              <w:tl2br w:val="nil"/>
              <w:tr2bl w:val="nil"/>
            </w:tcBorders>
            <w:vAlign w:val="center"/>
          </w:tcPr>
          <w:p>
            <w:pPr>
              <w:keepNext w:val="0"/>
              <w:keepLines w:val="0"/>
              <w:pageBreakBefore w:val="0"/>
              <w:widowControl/>
              <w:kinsoku/>
              <w:wordWrap/>
              <w:overflowPunct/>
              <w:topLinePunct w:val="0"/>
              <w:autoSpaceDE/>
              <w:autoSpaceDN/>
              <w:bidi w:val="0"/>
              <w:snapToGrid/>
              <w:jc w:val="center"/>
              <w:textAlignment w:val="center"/>
              <w:rPr>
                <w:rStyle w:val="731"/>
                <w:rFonts w:hint="default" w:ascii="Times New Roman" w:hAnsi="Times New Roman" w:cs="Times New Roman"/>
                <w:color w:val="auto"/>
                <w:sz w:val="21"/>
                <w:szCs w:val="21"/>
                <w:lang w:bidi="ar"/>
              </w:rPr>
            </w:pPr>
            <w:r>
              <w:rPr>
                <w:rStyle w:val="731"/>
                <w:rFonts w:hint="default" w:ascii="Times New Roman" w:hAnsi="Times New Roman" w:cs="Times New Roman"/>
                <w:color w:val="auto"/>
                <w:sz w:val="21"/>
                <w:szCs w:val="21"/>
                <w:lang w:bidi="ar"/>
              </w:rPr>
              <w:t>耗氧量</w:t>
            </w:r>
          </w:p>
          <w:p>
            <w:pPr>
              <w:keepNext w:val="0"/>
              <w:keepLines w:val="0"/>
              <w:pageBreakBefore w:val="0"/>
              <w:widowControl/>
              <w:kinsoku/>
              <w:wordWrap/>
              <w:overflowPunct/>
              <w:topLinePunct w:val="0"/>
              <w:autoSpaceDE/>
              <w:autoSpaceDN/>
              <w:bidi w:val="0"/>
              <w:snapToGrid/>
              <w:jc w:val="center"/>
              <w:textAlignment w:val="center"/>
              <w:rPr>
                <w:rFonts w:ascii="Times New Roman" w:hAnsi="Times New Roman" w:eastAsia="宋体" w:cs="Times New Roman"/>
                <w:kern w:val="2"/>
                <w:sz w:val="21"/>
                <w:szCs w:val="21"/>
                <w:lang w:val="en-US" w:eastAsia="zh-CN" w:bidi="ar-SA"/>
              </w:rPr>
            </w:pPr>
            <w:r>
              <w:rPr>
                <w:rStyle w:val="731"/>
                <w:rFonts w:hint="default" w:ascii="Times New Roman" w:hAnsi="Times New Roman" w:cs="Times New Roman"/>
                <w:color w:val="auto"/>
                <w:sz w:val="21"/>
                <w:szCs w:val="21"/>
                <w:lang w:bidi="ar"/>
              </w:rPr>
              <w:t>（</w:t>
            </w:r>
            <w:r>
              <w:rPr>
                <w:rFonts w:ascii="Times New Roman" w:hAnsi="Times New Roman"/>
                <w:kern w:val="0"/>
                <w:sz w:val="21"/>
                <w:szCs w:val="21"/>
                <w:lang w:bidi="ar"/>
              </w:rPr>
              <w:t>COD</w:t>
            </w:r>
            <w:r>
              <w:rPr>
                <w:rFonts w:ascii="Times New Roman" w:hAnsi="Times New Roman"/>
                <w:kern w:val="0"/>
                <w:sz w:val="21"/>
                <w:szCs w:val="21"/>
                <w:vertAlign w:val="subscript"/>
                <w:lang w:bidi="ar"/>
              </w:rPr>
              <w:t>Mn</w:t>
            </w:r>
            <w:r>
              <w:rPr>
                <w:rStyle w:val="731"/>
                <w:rFonts w:hint="default" w:ascii="Times New Roman" w:hAnsi="Times New Roman" w:cs="Times New Roman"/>
                <w:color w:val="auto"/>
                <w:sz w:val="21"/>
                <w:szCs w:val="21"/>
                <w:lang w:bidi="ar"/>
              </w:rPr>
              <w:t>法）</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eastAsia="宋体" w:cs="Times New Roman"/>
                <w:kern w:val="2"/>
                <w:sz w:val="21"/>
                <w:szCs w:val="21"/>
                <w:lang w:val="en-US" w:eastAsia="zh-CN" w:bidi="ar-SA"/>
              </w:rPr>
            </w:pPr>
            <w:r>
              <w:rPr>
                <w:rFonts w:ascii="Times New Roman" w:hAnsi="Times New Roman"/>
                <w:sz w:val="21"/>
                <w:szCs w:val="21"/>
              </w:rPr>
              <w:t>水质 高锰酸盐指数的测定GB11892-89</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sz w:val="21"/>
                <w:szCs w:val="21"/>
              </w:rPr>
              <w:t>酸式滴定管/50mL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sz w:val="21"/>
                <w:szCs w:val="21"/>
              </w:rPr>
              <w:t>26</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eastAsia="宋体" w:cs="Times New Roman"/>
                <w:kern w:val="2"/>
                <w:sz w:val="21"/>
                <w:szCs w:val="21"/>
                <w:lang w:val="en-US" w:eastAsia="zh-CN" w:bidi="ar-SA"/>
              </w:rPr>
            </w:pPr>
            <w:r>
              <w:rPr>
                <w:rFonts w:ascii="Times New Roman" w:hAnsi="Times New Roman"/>
                <w:sz w:val="21"/>
                <w:szCs w:val="21"/>
              </w:rPr>
              <w:t>硫酸盐</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eastAsia="宋体" w:cs="Times New Roman"/>
                <w:kern w:val="2"/>
                <w:sz w:val="21"/>
                <w:szCs w:val="21"/>
                <w:lang w:val="en-US" w:eastAsia="zh-CN" w:bidi="ar-SA"/>
              </w:rPr>
            </w:pPr>
            <w:r>
              <w:rPr>
                <w:rFonts w:hint="eastAsia" w:ascii="Times New Roman" w:hAnsi="Times New Roman"/>
                <w:sz w:val="21"/>
                <w:szCs w:val="21"/>
              </w:rPr>
              <w:t>水质 无机阴离子（F</w:t>
            </w:r>
            <w:r>
              <w:rPr>
                <w:rFonts w:hint="eastAsia" w:ascii="Times New Roman" w:hAnsi="Times New Roman"/>
                <w:sz w:val="21"/>
                <w:szCs w:val="21"/>
                <w:vertAlign w:val="superscript"/>
              </w:rPr>
              <w:t>-</w:t>
            </w:r>
            <w:r>
              <w:rPr>
                <w:rFonts w:hint="eastAsia" w:ascii="Times New Roman" w:hAnsi="Times New Roman"/>
                <w:sz w:val="21"/>
                <w:szCs w:val="21"/>
              </w:rPr>
              <w:t>、Cl</w:t>
            </w:r>
            <w:r>
              <w:rPr>
                <w:rFonts w:hint="eastAsia" w:ascii="Times New Roman" w:hAnsi="Times New Roman"/>
                <w:sz w:val="21"/>
                <w:szCs w:val="21"/>
                <w:vertAlign w:val="superscript"/>
              </w:rPr>
              <w:t>-</w:t>
            </w:r>
            <w:r>
              <w:rPr>
                <w:rFonts w:hint="eastAsia" w:ascii="Times New Roman" w:hAnsi="Times New Roman"/>
                <w:sz w:val="21"/>
                <w:szCs w:val="21"/>
              </w:rPr>
              <w:t>、NO</w:t>
            </w:r>
            <w:r>
              <w:rPr>
                <w:rFonts w:hint="eastAsia" w:ascii="Times New Roman" w:hAnsi="Times New Roman"/>
                <w:sz w:val="21"/>
                <w:szCs w:val="21"/>
                <w:vertAlign w:val="subscript"/>
              </w:rPr>
              <w:t>2</w:t>
            </w:r>
            <w:r>
              <w:rPr>
                <w:rFonts w:hint="eastAsia" w:ascii="Times New Roman" w:hAnsi="Times New Roman"/>
                <w:sz w:val="21"/>
                <w:szCs w:val="21"/>
                <w:vertAlign w:val="superscript"/>
              </w:rPr>
              <w:t>-</w:t>
            </w:r>
            <w:r>
              <w:rPr>
                <w:rFonts w:hint="eastAsia" w:ascii="Times New Roman" w:hAnsi="Times New Roman"/>
                <w:sz w:val="21"/>
                <w:szCs w:val="21"/>
              </w:rPr>
              <w:t>、Br</w:t>
            </w:r>
            <w:r>
              <w:rPr>
                <w:rFonts w:hint="eastAsia" w:ascii="Times New Roman" w:hAnsi="Times New Roman"/>
                <w:sz w:val="21"/>
                <w:szCs w:val="21"/>
                <w:vertAlign w:val="superscript"/>
              </w:rPr>
              <w:t>-</w:t>
            </w:r>
            <w:r>
              <w:rPr>
                <w:rFonts w:hint="eastAsia" w:ascii="Times New Roman" w:hAnsi="Times New Roman"/>
                <w:sz w:val="21"/>
                <w:szCs w:val="21"/>
              </w:rPr>
              <w:t>、NO</w:t>
            </w:r>
            <w:r>
              <w:rPr>
                <w:rFonts w:hint="eastAsia" w:ascii="Times New Roman" w:hAnsi="Times New Roman"/>
                <w:sz w:val="21"/>
                <w:szCs w:val="21"/>
                <w:vertAlign w:val="subscript"/>
              </w:rPr>
              <w:t>3</w:t>
            </w:r>
            <w:r>
              <w:rPr>
                <w:rFonts w:hint="eastAsia" w:ascii="Times New Roman" w:hAnsi="Times New Roman"/>
                <w:sz w:val="21"/>
                <w:szCs w:val="21"/>
                <w:vertAlign w:val="superscript"/>
              </w:rPr>
              <w:t>-</w:t>
            </w:r>
            <w:r>
              <w:rPr>
                <w:rFonts w:hint="eastAsia" w:ascii="Times New Roman" w:hAnsi="Times New Roman"/>
                <w:sz w:val="21"/>
                <w:szCs w:val="21"/>
              </w:rPr>
              <w:t>、PO</w:t>
            </w:r>
            <w:r>
              <w:rPr>
                <w:rFonts w:hint="eastAsia" w:ascii="Times New Roman" w:hAnsi="Times New Roman"/>
                <w:sz w:val="21"/>
                <w:szCs w:val="21"/>
                <w:vertAlign w:val="subscript"/>
              </w:rPr>
              <w:t>4</w:t>
            </w:r>
            <w:r>
              <w:rPr>
                <w:rFonts w:hint="eastAsia" w:ascii="Times New Roman" w:hAnsi="Times New Roman"/>
                <w:sz w:val="21"/>
                <w:szCs w:val="21"/>
                <w:vertAlign w:val="superscript"/>
              </w:rPr>
              <w:t>3-</w:t>
            </w:r>
            <w:r>
              <w:rPr>
                <w:rFonts w:hint="eastAsia" w:ascii="Times New Roman" w:hAnsi="Times New Roman"/>
                <w:sz w:val="21"/>
                <w:szCs w:val="21"/>
              </w:rPr>
              <w:t>、SO</w:t>
            </w:r>
            <w:r>
              <w:rPr>
                <w:rFonts w:hint="eastAsia" w:ascii="Times New Roman" w:hAnsi="Times New Roman"/>
                <w:sz w:val="21"/>
                <w:szCs w:val="21"/>
                <w:vertAlign w:val="subscript"/>
              </w:rPr>
              <w:t>3</w:t>
            </w:r>
            <w:r>
              <w:rPr>
                <w:rFonts w:hint="eastAsia" w:ascii="Times New Roman" w:hAnsi="Times New Roman"/>
                <w:sz w:val="21"/>
                <w:szCs w:val="21"/>
                <w:vertAlign w:val="superscript"/>
              </w:rPr>
              <w:t>2-</w:t>
            </w:r>
            <w:r>
              <w:rPr>
                <w:rFonts w:hint="eastAsia" w:ascii="Times New Roman" w:hAnsi="Times New Roman"/>
                <w:sz w:val="21"/>
                <w:szCs w:val="21"/>
              </w:rPr>
              <w:t>、SO</w:t>
            </w:r>
            <w:r>
              <w:rPr>
                <w:rFonts w:hint="eastAsia" w:ascii="Times New Roman" w:hAnsi="Times New Roman"/>
                <w:sz w:val="21"/>
                <w:szCs w:val="21"/>
                <w:vertAlign w:val="subscript"/>
              </w:rPr>
              <w:t>4</w:t>
            </w:r>
            <w:r>
              <w:rPr>
                <w:rFonts w:hint="eastAsia" w:ascii="Times New Roman" w:hAnsi="Times New Roman"/>
                <w:sz w:val="21"/>
                <w:szCs w:val="21"/>
                <w:vertAlign w:val="superscript"/>
              </w:rPr>
              <w:t>2-</w:t>
            </w:r>
            <w:r>
              <w:rPr>
                <w:rFonts w:hint="eastAsia" w:ascii="Times New Roman" w:hAnsi="Times New Roman"/>
                <w:sz w:val="21"/>
                <w:szCs w:val="21"/>
              </w:rPr>
              <w:t>）的测定离子色谱法HJ84-2016</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hint="eastAsia" w:ascii="Times New Roman" w:hAnsi="Times New Roman" w:eastAsia="宋体" w:cs="Times New Roman"/>
                <w:kern w:val="2"/>
                <w:sz w:val="21"/>
                <w:szCs w:val="21"/>
                <w:lang w:val="en-US" w:eastAsia="zh-CN" w:bidi="ar-SA"/>
              </w:rPr>
            </w:pPr>
            <w:r>
              <w:rPr>
                <w:rFonts w:ascii="Times New Roman" w:hAnsi="Times New Roman"/>
                <w:sz w:val="21"/>
                <w:szCs w:val="21"/>
              </w:rPr>
              <w:t>离子色谱仪</w:t>
            </w:r>
            <w:r>
              <w:rPr>
                <w:rFonts w:hint="eastAsia" w:ascii="Times New Roman" w:hAnsi="Times New Roman"/>
                <w:sz w:val="21"/>
                <w:szCs w:val="21"/>
              </w:rPr>
              <w:t>/ICS-900/KXYQ-005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sz w:val="21"/>
                <w:szCs w:val="21"/>
              </w:rPr>
              <w:t>27</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eastAsia="宋体" w:cs="Times New Roman"/>
                <w:kern w:val="2"/>
                <w:sz w:val="21"/>
                <w:szCs w:val="21"/>
                <w:lang w:val="en-US" w:eastAsia="zh-CN" w:bidi="ar-SA"/>
              </w:rPr>
            </w:pPr>
            <w:r>
              <w:rPr>
                <w:rFonts w:ascii="Times New Roman" w:hAnsi="Times New Roman"/>
                <w:sz w:val="21"/>
                <w:szCs w:val="21"/>
              </w:rPr>
              <w:t>氯化物</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eastAsia="宋体" w:cs="Times New Roman"/>
                <w:kern w:val="2"/>
                <w:sz w:val="21"/>
                <w:szCs w:val="21"/>
                <w:lang w:val="en-US" w:eastAsia="zh-CN" w:bidi="ar-SA"/>
              </w:rPr>
            </w:pPr>
            <w:r>
              <w:rPr>
                <w:rFonts w:hint="eastAsia" w:ascii="Times New Roman" w:hAnsi="Times New Roman"/>
                <w:sz w:val="21"/>
                <w:szCs w:val="21"/>
              </w:rPr>
              <w:t>水质 无机阴离子（F</w:t>
            </w:r>
            <w:r>
              <w:rPr>
                <w:rFonts w:hint="eastAsia" w:ascii="Times New Roman" w:hAnsi="Times New Roman"/>
                <w:sz w:val="21"/>
                <w:szCs w:val="21"/>
                <w:vertAlign w:val="superscript"/>
              </w:rPr>
              <w:t>-</w:t>
            </w:r>
            <w:r>
              <w:rPr>
                <w:rFonts w:hint="eastAsia" w:ascii="Times New Roman" w:hAnsi="Times New Roman"/>
                <w:sz w:val="21"/>
                <w:szCs w:val="21"/>
              </w:rPr>
              <w:t>、Cl</w:t>
            </w:r>
            <w:r>
              <w:rPr>
                <w:rFonts w:hint="eastAsia" w:ascii="Times New Roman" w:hAnsi="Times New Roman"/>
                <w:sz w:val="21"/>
                <w:szCs w:val="21"/>
                <w:vertAlign w:val="superscript"/>
              </w:rPr>
              <w:t>-</w:t>
            </w:r>
            <w:r>
              <w:rPr>
                <w:rFonts w:hint="eastAsia" w:ascii="Times New Roman" w:hAnsi="Times New Roman"/>
                <w:sz w:val="21"/>
                <w:szCs w:val="21"/>
              </w:rPr>
              <w:t>、NO</w:t>
            </w:r>
            <w:r>
              <w:rPr>
                <w:rFonts w:hint="eastAsia" w:ascii="Times New Roman" w:hAnsi="Times New Roman"/>
                <w:sz w:val="21"/>
                <w:szCs w:val="21"/>
                <w:vertAlign w:val="subscript"/>
              </w:rPr>
              <w:t>2</w:t>
            </w:r>
            <w:r>
              <w:rPr>
                <w:rFonts w:hint="eastAsia" w:ascii="Times New Roman" w:hAnsi="Times New Roman"/>
                <w:sz w:val="21"/>
                <w:szCs w:val="21"/>
                <w:vertAlign w:val="superscript"/>
              </w:rPr>
              <w:t>-</w:t>
            </w:r>
            <w:r>
              <w:rPr>
                <w:rFonts w:hint="eastAsia" w:ascii="Times New Roman" w:hAnsi="Times New Roman"/>
                <w:sz w:val="21"/>
                <w:szCs w:val="21"/>
              </w:rPr>
              <w:t>、Br</w:t>
            </w:r>
            <w:r>
              <w:rPr>
                <w:rFonts w:hint="eastAsia" w:ascii="Times New Roman" w:hAnsi="Times New Roman"/>
                <w:sz w:val="21"/>
                <w:szCs w:val="21"/>
                <w:vertAlign w:val="superscript"/>
              </w:rPr>
              <w:t>-</w:t>
            </w:r>
            <w:r>
              <w:rPr>
                <w:rFonts w:hint="eastAsia" w:ascii="Times New Roman" w:hAnsi="Times New Roman"/>
                <w:sz w:val="21"/>
                <w:szCs w:val="21"/>
              </w:rPr>
              <w:t>、NO</w:t>
            </w:r>
            <w:r>
              <w:rPr>
                <w:rFonts w:hint="eastAsia" w:ascii="Times New Roman" w:hAnsi="Times New Roman"/>
                <w:sz w:val="21"/>
                <w:szCs w:val="21"/>
                <w:vertAlign w:val="subscript"/>
              </w:rPr>
              <w:t>3</w:t>
            </w:r>
            <w:r>
              <w:rPr>
                <w:rFonts w:hint="eastAsia" w:ascii="Times New Roman" w:hAnsi="Times New Roman"/>
                <w:sz w:val="21"/>
                <w:szCs w:val="21"/>
                <w:vertAlign w:val="superscript"/>
              </w:rPr>
              <w:t>-</w:t>
            </w:r>
            <w:r>
              <w:rPr>
                <w:rFonts w:hint="eastAsia" w:ascii="Times New Roman" w:hAnsi="Times New Roman"/>
                <w:sz w:val="21"/>
                <w:szCs w:val="21"/>
              </w:rPr>
              <w:t>、PO</w:t>
            </w:r>
            <w:r>
              <w:rPr>
                <w:rFonts w:hint="eastAsia" w:ascii="Times New Roman" w:hAnsi="Times New Roman"/>
                <w:sz w:val="21"/>
                <w:szCs w:val="21"/>
                <w:vertAlign w:val="subscript"/>
              </w:rPr>
              <w:t>4</w:t>
            </w:r>
            <w:r>
              <w:rPr>
                <w:rFonts w:hint="eastAsia" w:ascii="Times New Roman" w:hAnsi="Times New Roman"/>
                <w:sz w:val="21"/>
                <w:szCs w:val="21"/>
                <w:vertAlign w:val="superscript"/>
              </w:rPr>
              <w:t>3-</w:t>
            </w:r>
            <w:r>
              <w:rPr>
                <w:rFonts w:hint="eastAsia" w:ascii="Times New Roman" w:hAnsi="Times New Roman"/>
                <w:sz w:val="21"/>
                <w:szCs w:val="21"/>
              </w:rPr>
              <w:t>、SO</w:t>
            </w:r>
            <w:r>
              <w:rPr>
                <w:rFonts w:hint="eastAsia" w:ascii="Times New Roman" w:hAnsi="Times New Roman"/>
                <w:sz w:val="21"/>
                <w:szCs w:val="21"/>
                <w:vertAlign w:val="subscript"/>
              </w:rPr>
              <w:t>3</w:t>
            </w:r>
            <w:r>
              <w:rPr>
                <w:rFonts w:hint="eastAsia" w:ascii="Times New Roman" w:hAnsi="Times New Roman"/>
                <w:sz w:val="21"/>
                <w:szCs w:val="21"/>
                <w:vertAlign w:val="superscript"/>
              </w:rPr>
              <w:t>2-</w:t>
            </w:r>
            <w:r>
              <w:rPr>
                <w:rFonts w:hint="eastAsia" w:ascii="Times New Roman" w:hAnsi="Times New Roman"/>
                <w:sz w:val="21"/>
                <w:szCs w:val="21"/>
              </w:rPr>
              <w:t>、SO</w:t>
            </w:r>
            <w:r>
              <w:rPr>
                <w:rFonts w:hint="eastAsia" w:ascii="Times New Roman" w:hAnsi="Times New Roman"/>
                <w:sz w:val="21"/>
                <w:szCs w:val="21"/>
                <w:vertAlign w:val="subscript"/>
              </w:rPr>
              <w:t>4</w:t>
            </w:r>
            <w:r>
              <w:rPr>
                <w:rFonts w:hint="eastAsia" w:ascii="Times New Roman" w:hAnsi="Times New Roman"/>
                <w:sz w:val="21"/>
                <w:szCs w:val="21"/>
                <w:vertAlign w:val="superscript"/>
              </w:rPr>
              <w:t>2-</w:t>
            </w:r>
            <w:r>
              <w:rPr>
                <w:rFonts w:hint="eastAsia" w:ascii="Times New Roman" w:hAnsi="Times New Roman"/>
                <w:sz w:val="21"/>
                <w:szCs w:val="21"/>
              </w:rPr>
              <w:t>）的测定离子色谱法HJ84-2016</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hint="eastAsia" w:ascii="Times New Roman" w:hAnsi="Times New Roman" w:eastAsia="宋体" w:cs="Times New Roman"/>
                <w:kern w:val="2"/>
                <w:sz w:val="21"/>
                <w:szCs w:val="21"/>
                <w:lang w:val="en-US" w:eastAsia="zh-CN" w:bidi="ar-SA"/>
              </w:rPr>
            </w:pPr>
            <w:r>
              <w:rPr>
                <w:rFonts w:ascii="Times New Roman" w:hAnsi="Times New Roman"/>
                <w:sz w:val="21"/>
                <w:szCs w:val="21"/>
              </w:rPr>
              <w:t>离子色谱仪</w:t>
            </w:r>
            <w:r>
              <w:rPr>
                <w:rFonts w:hint="eastAsia" w:ascii="Times New Roman" w:hAnsi="Times New Roman"/>
                <w:sz w:val="21"/>
                <w:szCs w:val="21"/>
              </w:rPr>
              <w:t>/ICS-900/KXYQ-005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28</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总大肠菌群</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生活饮用水标准检验方法 微生物指标（2.1 多管发酵法）GB/T5750.12-2006</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hint="eastAsia" w:ascii="Times New Roman" w:hAnsi="Times New Roman"/>
                <w:sz w:val="21"/>
                <w:szCs w:val="21"/>
              </w:rPr>
              <w:t>恒温培养箱/303-3B/KXYQ-025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hint="eastAsia" w:ascii="Times New Roman" w:hAnsi="Times New Roman"/>
                <w:sz w:val="21"/>
                <w:szCs w:val="21"/>
              </w:rPr>
              <w:t>29</w:t>
            </w:r>
          </w:p>
        </w:tc>
        <w:tc>
          <w:tcPr>
            <w:tcW w:w="79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ascii="Times New Roman" w:hAnsi="Times New Roman"/>
                <w:sz w:val="21"/>
                <w:szCs w:val="21"/>
              </w:rPr>
            </w:pPr>
            <w:r>
              <w:rPr>
                <w:rFonts w:ascii="Times New Roman" w:hAnsi="Times New Roman"/>
                <w:sz w:val="21"/>
                <w:szCs w:val="21"/>
              </w:rPr>
              <w:t>细菌总数</w:t>
            </w:r>
          </w:p>
        </w:tc>
        <w:tc>
          <w:tcPr>
            <w:tcW w:w="2171"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ascii="Times New Roman" w:hAnsi="Times New Roman"/>
                <w:sz w:val="21"/>
                <w:szCs w:val="21"/>
              </w:rPr>
              <w:t>生活饮用水标准检验方法 微生物指标（1.1平板计数法）GB/T5750.12-2006</w:t>
            </w:r>
          </w:p>
        </w:tc>
        <w:tc>
          <w:tcPr>
            <w:tcW w:w="1786"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ascii="Times New Roman" w:hAnsi="Times New Roman"/>
                <w:sz w:val="21"/>
                <w:szCs w:val="21"/>
              </w:rPr>
            </w:pPr>
            <w:r>
              <w:rPr>
                <w:rFonts w:hint="eastAsia" w:ascii="Times New Roman" w:hAnsi="Times New Roman"/>
                <w:sz w:val="21"/>
                <w:szCs w:val="21"/>
              </w:rPr>
              <w:t>恒温培养箱/303-3B/KXYQ-025</w:t>
            </w:r>
          </w:p>
        </w:tc>
      </w:tr>
    </w:tbl>
    <w:p>
      <w:pPr>
        <w:spacing w:line="360" w:lineRule="auto"/>
        <w:ind w:firstLine="480" w:firstLineChars="200"/>
        <w:rPr>
          <w:color w:val="auto"/>
          <w:sz w:val="24"/>
        </w:rPr>
      </w:pPr>
      <w:r>
        <w:rPr>
          <w:color w:val="auto"/>
          <w:sz w:val="24"/>
        </w:rPr>
        <w:t>（4）监测结果</w:t>
      </w:r>
    </w:p>
    <w:p>
      <w:pPr>
        <w:spacing w:line="360" w:lineRule="auto"/>
        <w:ind w:firstLine="480" w:firstLineChars="200"/>
        <w:rPr>
          <w:color w:val="auto"/>
          <w:sz w:val="24"/>
        </w:rPr>
      </w:pPr>
      <w:r>
        <w:rPr>
          <w:color w:val="auto"/>
          <w:sz w:val="24"/>
        </w:rPr>
        <w:t>监测时间：202</w:t>
      </w:r>
      <w:r>
        <w:rPr>
          <w:rFonts w:hint="eastAsia"/>
          <w:color w:val="auto"/>
          <w:sz w:val="24"/>
        </w:rPr>
        <w:t>3</w:t>
      </w:r>
      <w:r>
        <w:rPr>
          <w:color w:val="auto"/>
          <w:sz w:val="24"/>
        </w:rPr>
        <w:t>年</w:t>
      </w:r>
      <w:r>
        <w:rPr>
          <w:rFonts w:hint="eastAsia"/>
          <w:color w:val="auto"/>
          <w:sz w:val="24"/>
          <w:lang w:val="en-US" w:eastAsia="zh-CN"/>
        </w:rPr>
        <w:t>08</w:t>
      </w:r>
      <w:r>
        <w:rPr>
          <w:color w:val="auto"/>
          <w:sz w:val="24"/>
        </w:rPr>
        <w:t>月</w:t>
      </w:r>
      <w:r>
        <w:rPr>
          <w:rFonts w:hint="eastAsia"/>
          <w:color w:val="auto"/>
          <w:sz w:val="24"/>
          <w:lang w:val="en-US" w:eastAsia="zh-CN"/>
        </w:rPr>
        <w:t>31</w:t>
      </w:r>
      <w:r>
        <w:rPr>
          <w:color w:val="auto"/>
          <w:sz w:val="24"/>
        </w:rPr>
        <w:t>日，监测结果见表4-2-</w:t>
      </w:r>
      <w:r>
        <w:rPr>
          <w:rFonts w:hint="eastAsia"/>
          <w:color w:val="auto"/>
          <w:sz w:val="24"/>
        </w:rPr>
        <w:t>6</w:t>
      </w:r>
      <w:r>
        <w:rPr>
          <w:color w:val="auto"/>
          <w:sz w:val="24"/>
        </w:rPr>
        <w:t>和表4-2-</w:t>
      </w:r>
      <w:r>
        <w:rPr>
          <w:rFonts w:hint="eastAsia"/>
          <w:color w:val="auto"/>
          <w:sz w:val="24"/>
        </w:rPr>
        <w:t>7</w:t>
      </w:r>
      <w:r>
        <w:rPr>
          <w:color w:val="auto"/>
          <w:sz w:val="24"/>
        </w:rPr>
        <w:t>。</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kern w:val="0"/>
          <w:sz w:val="24"/>
        </w:rPr>
      </w:pPr>
      <w:r>
        <w:rPr>
          <w:b/>
          <w:color w:val="auto"/>
          <w:kern w:val="0"/>
          <w:sz w:val="24"/>
        </w:rPr>
        <w:t>表4-2-</w:t>
      </w:r>
      <w:r>
        <w:rPr>
          <w:rFonts w:hint="eastAsia"/>
          <w:b/>
          <w:color w:val="auto"/>
          <w:kern w:val="0"/>
          <w:sz w:val="24"/>
        </w:rPr>
        <w:t>6</w:t>
      </w:r>
      <w:r>
        <w:rPr>
          <w:b/>
          <w:color w:val="auto"/>
          <w:kern w:val="0"/>
          <w:sz w:val="24"/>
        </w:rPr>
        <w:t>地下水质量监测结果</w:t>
      </w:r>
    </w:p>
    <w:tbl>
      <w:tblPr>
        <w:tblStyle w:val="4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12"/>
        <w:gridCol w:w="1965"/>
        <w:gridCol w:w="1965"/>
        <w:gridCol w:w="1982"/>
        <w:gridCol w:w="12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b/>
                <w:bCs/>
                <w:color w:val="auto"/>
                <w:kern w:val="0"/>
                <w:szCs w:val="21"/>
              </w:rPr>
            </w:pPr>
            <w:r>
              <w:rPr>
                <w:rFonts w:hint="eastAsia" w:ascii="Times New Roman" w:hAnsi="Times New Roman"/>
                <w:b/>
                <w:bCs/>
                <w:color w:val="auto"/>
                <w:kern w:val="0"/>
                <w:szCs w:val="21"/>
                <w:lang w:val="en-US" w:eastAsia="zh-CN"/>
              </w:rPr>
              <w:t>采</w:t>
            </w:r>
            <w:r>
              <w:rPr>
                <w:rFonts w:hint="eastAsia" w:ascii="Times New Roman" w:hAnsi="Times New Roman"/>
                <w:b/>
                <w:bCs/>
                <w:color w:val="auto"/>
                <w:kern w:val="0"/>
                <w:szCs w:val="21"/>
              </w:rPr>
              <w:t>样日期</w:t>
            </w:r>
          </w:p>
        </w:tc>
        <w:tc>
          <w:tcPr>
            <w:tcW w:w="3469" w:type="pct"/>
            <w:gridSpan w:val="3"/>
            <w:tcBorders>
              <w:tl2br w:val="nil"/>
              <w:tr2bl w:val="nil"/>
            </w:tcBorders>
            <w:vAlign w:val="center"/>
          </w:tcPr>
          <w:p>
            <w:pPr>
              <w:jc w:val="center"/>
              <w:rPr>
                <w:rFonts w:hint="default" w:ascii="Times New Roman" w:hAnsi="Times New Roman" w:eastAsia="宋体"/>
                <w:b/>
                <w:bCs/>
                <w:color w:val="auto"/>
                <w:szCs w:val="21"/>
                <w:lang w:val="en-US" w:eastAsia="zh-CN"/>
              </w:rPr>
            </w:pPr>
            <w:r>
              <w:rPr>
                <w:rFonts w:ascii="Times New Roman" w:hAnsi="Times New Roman"/>
                <w:b/>
                <w:bCs/>
                <w:color w:val="auto"/>
                <w:szCs w:val="21"/>
              </w:rPr>
              <w:t>20</w:t>
            </w:r>
            <w:r>
              <w:rPr>
                <w:rFonts w:hint="eastAsia" w:ascii="Times New Roman" w:hAnsi="Times New Roman"/>
                <w:b/>
                <w:bCs/>
                <w:color w:val="auto"/>
                <w:szCs w:val="21"/>
              </w:rPr>
              <w:t>2</w:t>
            </w:r>
            <w:r>
              <w:rPr>
                <w:rFonts w:hint="eastAsia" w:ascii="Times New Roman" w:hAnsi="Times New Roman"/>
                <w:b/>
                <w:bCs/>
                <w:color w:val="auto"/>
                <w:szCs w:val="21"/>
                <w:lang w:val="en-US" w:eastAsia="zh-CN"/>
              </w:rPr>
              <w:t>3.08.31</w:t>
            </w:r>
          </w:p>
        </w:tc>
        <w:tc>
          <w:tcPr>
            <w:tcW w:w="759" w:type="pct"/>
            <w:tcBorders>
              <w:tl2br w:val="nil"/>
              <w:tr2bl w:val="nil"/>
            </w:tcBorders>
            <w:vAlign w:val="center"/>
          </w:tcPr>
          <w:p>
            <w:pPr>
              <w:jc w:val="center"/>
              <w:outlineLvl w:val="0"/>
              <w:rPr>
                <w:rFonts w:ascii="Times New Roman" w:hAnsi="Times New Roman"/>
                <w:b/>
                <w:bCs/>
                <w:color w:val="auto"/>
                <w:szCs w:val="21"/>
              </w:rPr>
            </w:pPr>
            <w:bookmarkStart w:id="107" w:name="_Toc16815"/>
            <w:bookmarkStart w:id="108" w:name="_Toc15287"/>
            <w:r>
              <w:rPr>
                <w:rFonts w:hint="eastAsia" w:ascii="Times New Roman" w:hAnsi="Times New Roman"/>
                <w:b/>
                <w:bCs/>
                <w:color w:val="auto"/>
                <w:szCs w:val="21"/>
              </w:rPr>
              <w:t>/</w:t>
            </w:r>
            <w:bookmarkEnd w:id="107"/>
            <w:bookmarkEnd w:id="108"/>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b/>
                <w:bCs/>
                <w:szCs w:val="21"/>
              </w:rPr>
            </w:pPr>
            <w:r>
              <w:rPr>
                <w:rFonts w:ascii="Times New Roman" w:hAnsi="Times New Roman"/>
                <w:b/>
                <w:bCs/>
                <w:kern w:val="0"/>
                <w:szCs w:val="21"/>
              </w:rPr>
              <w:t>检测点位</w:t>
            </w:r>
          </w:p>
        </w:tc>
        <w:tc>
          <w:tcPr>
            <w:tcW w:w="1153" w:type="pct"/>
            <w:tcBorders>
              <w:tl2br w:val="nil"/>
              <w:tr2bl w:val="nil"/>
            </w:tcBorders>
            <w:vAlign w:val="center"/>
          </w:tcPr>
          <w:p>
            <w:pPr>
              <w:jc w:val="center"/>
              <w:rPr>
                <w:rFonts w:ascii="Times New Roman" w:hAnsi="Times New Roman"/>
                <w:b/>
                <w:bCs/>
                <w:szCs w:val="21"/>
              </w:rPr>
            </w:pPr>
            <w:r>
              <w:rPr>
                <w:rFonts w:ascii="Times New Roman" w:hAnsi="Times New Roman"/>
                <w:b/>
                <w:bCs/>
                <w:szCs w:val="21"/>
              </w:rPr>
              <w:t>1#</w:t>
            </w:r>
          </w:p>
        </w:tc>
        <w:tc>
          <w:tcPr>
            <w:tcW w:w="1153" w:type="pct"/>
            <w:tcBorders>
              <w:tl2br w:val="nil"/>
              <w:tr2bl w:val="nil"/>
            </w:tcBorders>
            <w:vAlign w:val="center"/>
          </w:tcPr>
          <w:p>
            <w:pPr>
              <w:jc w:val="center"/>
              <w:rPr>
                <w:rFonts w:ascii="Times New Roman" w:hAnsi="Times New Roman"/>
                <w:b/>
                <w:bCs/>
                <w:szCs w:val="21"/>
              </w:rPr>
            </w:pPr>
            <w:r>
              <w:rPr>
                <w:rFonts w:ascii="Times New Roman" w:hAnsi="Times New Roman"/>
                <w:b/>
                <w:bCs/>
                <w:szCs w:val="21"/>
              </w:rPr>
              <w:t>2#</w:t>
            </w:r>
          </w:p>
        </w:tc>
        <w:tc>
          <w:tcPr>
            <w:tcW w:w="1162" w:type="pct"/>
            <w:tcBorders>
              <w:tl2br w:val="nil"/>
              <w:tr2bl w:val="nil"/>
            </w:tcBorders>
            <w:vAlign w:val="center"/>
          </w:tcPr>
          <w:p>
            <w:pPr>
              <w:jc w:val="center"/>
              <w:rPr>
                <w:rFonts w:ascii="Times New Roman" w:hAnsi="Times New Roman"/>
                <w:b/>
                <w:bCs/>
                <w:szCs w:val="21"/>
              </w:rPr>
            </w:pPr>
            <w:r>
              <w:rPr>
                <w:rFonts w:ascii="Times New Roman" w:hAnsi="Times New Roman"/>
                <w:b/>
                <w:bCs/>
                <w:szCs w:val="21"/>
              </w:rPr>
              <w:t>3#</w:t>
            </w:r>
          </w:p>
        </w:tc>
        <w:tc>
          <w:tcPr>
            <w:tcW w:w="759" w:type="pct"/>
            <w:vMerge w:val="restart"/>
            <w:tcBorders>
              <w:tl2br w:val="nil"/>
              <w:tr2bl w:val="nil"/>
            </w:tcBorders>
            <w:vAlign w:val="center"/>
          </w:tcPr>
          <w:p>
            <w:pPr>
              <w:jc w:val="center"/>
              <w:rPr>
                <w:rFonts w:ascii="Times New Roman" w:hAnsi="Times New Roman"/>
                <w:b/>
                <w:bCs/>
                <w:szCs w:val="21"/>
              </w:rPr>
            </w:pPr>
            <w:r>
              <w:rPr>
                <w:rFonts w:ascii="Times New Roman" w:hAnsi="Times New Roman"/>
                <w:b/>
                <w:bCs/>
                <w:szCs w:val="21"/>
              </w:rPr>
              <w:t>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b/>
                <w:bCs/>
                <w:kern w:val="0"/>
                <w:szCs w:val="21"/>
              </w:rPr>
            </w:pPr>
            <w:r>
              <w:rPr>
                <w:rFonts w:hint="eastAsia" w:ascii="Times New Roman" w:hAnsi="Times New Roman"/>
                <w:b/>
                <w:bCs/>
                <w:kern w:val="0"/>
                <w:szCs w:val="21"/>
              </w:rPr>
              <w:t>检测项目</w:t>
            </w:r>
          </w:p>
        </w:tc>
        <w:tc>
          <w:tcPr>
            <w:tcW w:w="3469" w:type="pct"/>
            <w:gridSpan w:val="3"/>
            <w:tcBorders>
              <w:tl2br w:val="nil"/>
              <w:tr2bl w:val="nil"/>
            </w:tcBorders>
            <w:vAlign w:val="center"/>
          </w:tcPr>
          <w:p>
            <w:pPr>
              <w:jc w:val="center"/>
              <w:rPr>
                <w:rFonts w:ascii="Times New Roman" w:hAnsi="Times New Roman"/>
                <w:b/>
                <w:bCs/>
                <w:szCs w:val="21"/>
              </w:rPr>
            </w:pPr>
            <w:r>
              <w:rPr>
                <w:rFonts w:hint="eastAsia" w:ascii="Times New Roman" w:hAnsi="Times New Roman"/>
                <w:b/>
                <w:bCs/>
                <w:szCs w:val="21"/>
              </w:rPr>
              <w:t>检测结果</w:t>
            </w:r>
          </w:p>
        </w:tc>
        <w:tc>
          <w:tcPr>
            <w:tcW w:w="759" w:type="pct"/>
            <w:vMerge w:val="continue"/>
            <w:tcBorders>
              <w:tl2br w:val="nil"/>
              <w:tr2bl w:val="nil"/>
            </w:tcBorders>
            <w:vAlign w:val="center"/>
          </w:tcPr>
          <w:p>
            <w:pPr>
              <w:jc w:val="center"/>
              <w:rPr>
                <w:rFonts w:ascii="Times New Roman" w:hAnsi="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szCs w:val="21"/>
              </w:rPr>
            </w:pPr>
            <w:r>
              <w:rPr>
                <w:rFonts w:ascii="Times New Roman" w:hAnsi="Times New Roman"/>
                <w:szCs w:val="21"/>
              </w:rPr>
              <w:t>K</w:t>
            </w:r>
            <w:r>
              <w:rPr>
                <w:rFonts w:ascii="Times New Roman" w:hAnsi="Times New Roman"/>
                <w:szCs w:val="21"/>
                <w:vertAlign w:val="superscript"/>
              </w:rPr>
              <w:t>+</w:t>
            </w:r>
          </w:p>
        </w:tc>
        <w:tc>
          <w:tcPr>
            <w:tcW w:w="1153" w:type="pct"/>
            <w:tcBorders>
              <w:tl2br w:val="nil"/>
              <w:tr2bl w:val="nil"/>
            </w:tcBorders>
            <w:vAlign w:val="center"/>
          </w:tcPr>
          <w:p>
            <w:pPr>
              <w:widowControl/>
              <w:jc w:val="center"/>
              <w:textAlignment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1.06</w:t>
            </w:r>
          </w:p>
        </w:tc>
        <w:tc>
          <w:tcPr>
            <w:tcW w:w="1153" w:type="pct"/>
            <w:tcBorders>
              <w:tl2br w:val="nil"/>
              <w:tr2bl w:val="nil"/>
            </w:tcBorders>
            <w:vAlign w:val="center"/>
          </w:tcPr>
          <w:p>
            <w:pPr>
              <w:widowControl/>
              <w:jc w:val="center"/>
              <w:textAlignment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0.95</w:t>
            </w:r>
          </w:p>
        </w:tc>
        <w:tc>
          <w:tcPr>
            <w:tcW w:w="1162" w:type="pct"/>
            <w:tcBorders>
              <w:tl2br w:val="nil"/>
              <w:tr2bl w:val="nil"/>
            </w:tcBorders>
            <w:vAlign w:val="center"/>
          </w:tcPr>
          <w:p>
            <w:pPr>
              <w:widowControl/>
              <w:jc w:val="center"/>
              <w:textAlignment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0.48</w:t>
            </w:r>
          </w:p>
        </w:tc>
        <w:tc>
          <w:tcPr>
            <w:tcW w:w="759" w:type="pct"/>
            <w:tcBorders>
              <w:tl2br w:val="nil"/>
              <w:tr2bl w:val="nil"/>
            </w:tcBorders>
            <w:vAlign w:val="center"/>
          </w:tcPr>
          <w:p>
            <w:pPr>
              <w:jc w:val="center"/>
              <w:outlineLvl w:val="0"/>
              <w:rPr>
                <w:rFonts w:ascii="Times New Roman" w:hAnsi="Times New Roman"/>
                <w:szCs w:val="21"/>
              </w:rPr>
            </w:pPr>
            <w:bookmarkStart w:id="109" w:name="_Toc6202"/>
            <w:bookmarkStart w:id="110" w:name="_Toc5853"/>
            <w:r>
              <w:rPr>
                <w:rFonts w:ascii="Times New Roman" w:hAnsi="Times New Roman"/>
                <w:szCs w:val="21"/>
              </w:rPr>
              <w:t>mg/L</w:t>
            </w:r>
            <w:bookmarkEnd w:id="109"/>
            <w:bookmarkEnd w:id="11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szCs w:val="21"/>
              </w:rPr>
            </w:pPr>
            <w:r>
              <w:rPr>
                <w:rFonts w:ascii="Times New Roman" w:hAnsi="Times New Roman"/>
                <w:szCs w:val="21"/>
              </w:rPr>
              <w:t>Na</w:t>
            </w:r>
            <w:r>
              <w:rPr>
                <w:rFonts w:ascii="Times New Roman" w:hAnsi="Times New Roman"/>
                <w:szCs w:val="21"/>
                <w:vertAlign w:val="superscript"/>
              </w:rPr>
              <w:t>+</w:t>
            </w:r>
          </w:p>
        </w:tc>
        <w:tc>
          <w:tcPr>
            <w:tcW w:w="1153" w:type="pct"/>
            <w:tcBorders>
              <w:tl2br w:val="nil"/>
              <w:tr2bl w:val="nil"/>
            </w:tcBorders>
            <w:vAlign w:val="center"/>
          </w:tcPr>
          <w:p>
            <w:pPr>
              <w:widowControl/>
              <w:jc w:val="center"/>
              <w:textAlignment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20.4</w:t>
            </w:r>
          </w:p>
        </w:tc>
        <w:tc>
          <w:tcPr>
            <w:tcW w:w="1153" w:type="pct"/>
            <w:tcBorders>
              <w:tl2br w:val="nil"/>
              <w:tr2bl w:val="nil"/>
            </w:tcBorders>
            <w:vAlign w:val="center"/>
          </w:tcPr>
          <w:p>
            <w:pPr>
              <w:widowControl/>
              <w:jc w:val="center"/>
              <w:textAlignment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18.7</w:t>
            </w:r>
          </w:p>
        </w:tc>
        <w:tc>
          <w:tcPr>
            <w:tcW w:w="1162" w:type="pct"/>
            <w:tcBorders>
              <w:tl2br w:val="nil"/>
              <w:tr2bl w:val="nil"/>
            </w:tcBorders>
            <w:vAlign w:val="center"/>
          </w:tcPr>
          <w:p>
            <w:pPr>
              <w:widowControl/>
              <w:jc w:val="center"/>
              <w:textAlignment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9.10</w:t>
            </w:r>
          </w:p>
        </w:tc>
        <w:tc>
          <w:tcPr>
            <w:tcW w:w="759" w:type="pct"/>
            <w:tcBorders>
              <w:tl2br w:val="nil"/>
              <w:tr2bl w:val="nil"/>
            </w:tcBorders>
            <w:vAlign w:val="center"/>
          </w:tcPr>
          <w:p>
            <w:pPr>
              <w:jc w:val="center"/>
              <w:outlineLvl w:val="0"/>
              <w:rPr>
                <w:rFonts w:ascii="Times New Roman" w:hAnsi="Times New Roman"/>
                <w:szCs w:val="21"/>
              </w:rPr>
            </w:pPr>
            <w:bookmarkStart w:id="111" w:name="_Toc22284"/>
            <w:bookmarkStart w:id="112" w:name="_Toc12853"/>
            <w:r>
              <w:rPr>
                <w:rFonts w:ascii="Times New Roman" w:hAnsi="Times New Roman"/>
                <w:szCs w:val="21"/>
              </w:rPr>
              <w:t>mg/L</w:t>
            </w:r>
            <w:bookmarkEnd w:id="111"/>
            <w:bookmarkEnd w:id="112"/>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szCs w:val="21"/>
              </w:rPr>
            </w:pPr>
            <w:r>
              <w:rPr>
                <w:rFonts w:ascii="Times New Roman" w:hAnsi="Times New Roman"/>
                <w:szCs w:val="21"/>
              </w:rPr>
              <w:t>Ca</w:t>
            </w:r>
            <w:r>
              <w:rPr>
                <w:rFonts w:ascii="Times New Roman" w:hAnsi="Times New Roman"/>
                <w:szCs w:val="21"/>
                <w:vertAlign w:val="superscript"/>
              </w:rPr>
              <w:t>2+</w:t>
            </w:r>
          </w:p>
        </w:tc>
        <w:tc>
          <w:tcPr>
            <w:tcW w:w="1153" w:type="pct"/>
            <w:tcBorders>
              <w:tl2br w:val="nil"/>
              <w:tr2bl w:val="nil"/>
            </w:tcBorders>
            <w:vAlign w:val="center"/>
          </w:tcPr>
          <w:p>
            <w:pPr>
              <w:widowControl/>
              <w:jc w:val="center"/>
              <w:textAlignment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51.0</w:t>
            </w:r>
          </w:p>
        </w:tc>
        <w:tc>
          <w:tcPr>
            <w:tcW w:w="1153" w:type="pct"/>
            <w:tcBorders>
              <w:tl2br w:val="nil"/>
              <w:tr2bl w:val="nil"/>
            </w:tcBorders>
            <w:vAlign w:val="center"/>
          </w:tcPr>
          <w:p>
            <w:pPr>
              <w:widowControl/>
              <w:jc w:val="center"/>
              <w:textAlignment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25.5</w:t>
            </w:r>
          </w:p>
        </w:tc>
        <w:tc>
          <w:tcPr>
            <w:tcW w:w="1162" w:type="pct"/>
            <w:tcBorders>
              <w:tl2br w:val="nil"/>
              <w:tr2bl w:val="nil"/>
            </w:tcBorders>
            <w:vAlign w:val="center"/>
          </w:tcPr>
          <w:p>
            <w:pPr>
              <w:widowControl/>
              <w:jc w:val="center"/>
              <w:textAlignment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13.8</w:t>
            </w:r>
          </w:p>
        </w:tc>
        <w:tc>
          <w:tcPr>
            <w:tcW w:w="759" w:type="pct"/>
            <w:tcBorders>
              <w:tl2br w:val="nil"/>
              <w:tr2bl w:val="nil"/>
            </w:tcBorders>
            <w:vAlign w:val="center"/>
          </w:tcPr>
          <w:p>
            <w:pPr>
              <w:jc w:val="center"/>
              <w:outlineLvl w:val="0"/>
              <w:rPr>
                <w:rFonts w:ascii="Times New Roman" w:hAnsi="Times New Roman"/>
                <w:szCs w:val="21"/>
              </w:rPr>
            </w:pPr>
            <w:bookmarkStart w:id="113" w:name="_Toc15477"/>
            <w:bookmarkStart w:id="114" w:name="_Toc19385"/>
            <w:r>
              <w:rPr>
                <w:rFonts w:ascii="Times New Roman" w:hAnsi="Times New Roman"/>
                <w:szCs w:val="21"/>
              </w:rPr>
              <w:t>mg/L</w:t>
            </w:r>
            <w:bookmarkEnd w:id="113"/>
            <w:bookmarkEnd w:id="11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szCs w:val="21"/>
              </w:rPr>
            </w:pPr>
            <w:r>
              <w:rPr>
                <w:rFonts w:ascii="Times New Roman" w:hAnsi="Times New Roman"/>
                <w:szCs w:val="21"/>
              </w:rPr>
              <w:t>Mg</w:t>
            </w:r>
            <w:r>
              <w:rPr>
                <w:rFonts w:ascii="Times New Roman" w:hAnsi="Times New Roman"/>
                <w:szCs w:val="21"/>
                <w:vertAlign w:val="superscript"/>
              </w:rPr>
              <w:t>2+</w:t>
            </w:r>
          </w:p>
        </w:tc>
        <w:tc>
          <w:tcPr>
            <w:tcW w:w="1153" w:type="pct"/>
            <w:tcBorders>
              <w:tl2br w:val="nil"/>
              <w:tr2bl w:val="nil"/>
            </w:tcBorders>
            <w:vAlign w:val="center"/>
          </w:tcPr>
          <w:p>
            <w:pPr>
              <w:widowControl/>
              <w:jc w:val="center"/>
              <w:textAlignment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12.0</w:t>
            </w:r>
          </w:p>
        </w:tc>
        <w:tc>
          <w:tcPr>
            <w:tcW w:w="1153" w:type="pct"/>
            <w:tcBorders>
              <w:tl2br w:val="nil"/>
              <w:tr2bl w:val="nil"/>
            </w:tcBorders>
            <w:vAlign w:val="center"/>
          </w:tcPr>
          <w:p>
            <w:pPr>
              <w:widowControl/>
              <w:jc w:val="center"/>
              <w:textAlignment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5.36</w:t>
            </w:r>
          </w:p>
        </w:tc>
        <w:tc>
          <w:tcPr>
            <w:tcW w:w="1162" w:type="pct"/>
            <w:tcBorders>
              <w:tl2br w:val="nil"/>
              <w:tr2bl w:val="nil"/>
            </w:tcBorders>
            <w:vAlign w:val="center"/>
          </w:tcPr>
          <w:p>
            <w:pPr>
              <w:widowControl/>
              <w:jc w:val="center"/>
              <w:textAlignment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2.96</w:t>
            </w:r>
          </w:p>
        </w:tc>
        <w:tc>
          <w:tcPr>
            <w:tcW w:w="759" w:type="pct"/>
            <w:tcBorders>
              <w:tl2br w:val="nil"/>
              <w:tr2bl w:val="nil"/>
            </w:tcBorders>
            <w:vAlign w:val="center"/>
          </w:tcPr>
          <w:p>
            <w:pPr>
              <w:jc w:val="center"/>
              <w:outlineLvl w:val="0"/>
              <w:rPr>
                <w:rFonts w:ascii="Times New Roman" w:hAnsi="Times New Roman"/>
                <w:szCs w:val="21"/>
              </w:rPr>
            </w:pPr>
            <w:bookmarkStart w:id="115" w:name="_Toc18423"/>
            <w:bookmarkStart w:id="116" w:name="_Toc2508"/>
            <w:r>
              <w:rPr>
                <w:rFonts w:ascii="Times New Roman" w:hAnsi="Times New Roman"/>
                <w:szCs w:val="21"/>
              </w:rPr>
              <w:t>mg/L</w:t>
            </w:r>
            <w:bookmarkEnd w:id="115"/>
            <w:bookmarkEnd w:id="116"/>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szCs w:val="21"/>
              </w:rPr>
            </w:pPr>
            <w:r>
              <w:rPr>
                <w:rFonts w:ascii="Times New Roman" w:hAnsi="Times New Roman"/>
                <w:szCs w:val="21"/>
              </w:rPr>
              <w:t>CO</w:t>
            </w:r>
            <w:r>
              <w:rPr>
                <w:rFonts w:ascii="Times New Roman" w:hAnsi="Times New Roman"/>
                <w:szCs w:val="21"/>
                <w:vertAlign w:val="subscript"/>
              </w:rPr>
              <w:t>3</w:t>
            </w:r>
            <w:r>
              <w:rPr>
                <w:rFonts w:ascii="Times New Roman" w:hAnsi="Times New Roman"/>
                <w:szCs w:val="21"/>
                <w:vertAlign w:val="superscript"/>
              </w:rPr>
              <w:t>2-</w:t>
            </w:r>
          </w:p>
        </w:tc>
        <w:tc>
          <w:tcPr>
            <w:tcW w:w="1153" w:type="pct"/>
            <w:tcBorders>
              <w:tl2br w:val="nil"/>
              <w:tr2bl w:val="nil"/>
            </w:tcBorders>
            <w:vAlign w:val="center"/>
          </w:tcPr>
          <w:p>
            <w:pPr>
              <w:widowControl/>
              <w:jc w:val="center"/>
              <w:textAlignment w:val="center"/>
              <w:rPr>
                <w:rFonts w:ascii="Times New Roman" w:hAnsi="Times New Roman"/>
                <w:szCs w:val="21"/>
                <w:highlight w:val="none"/>
              </w:rPr>
            </w:pPr>
            <w:r>
              <w:rPr>
                <w:rFonts w:ascii="Times New Roman" w:hAnsi="Times New Roman"/>
                <w:szCs w:val="21"/>
                <w:highlight w:val="none"/>
              </w:rPr>
              <w:t>5</w:t>
            </w:r>
            <w:r>
              <w:rPr>
                <w:rFonts w:hint="eastAsia" w:ascii="Times New Roman" w:hAnsi="Times New Roman"/>
                <w:szCs w:val="21"/>
                <w:highlight w:val="none"/>
              </w:rPr>
              <w:t>（L）</w:t>
            </w:r>
          </w:p>
        </w:tc>
        <w:tc>
          <w:tcPr>
            <w:tcW w:w="1153" w:type="pct"/>
            <w:tcBorders>
              <w:tl2br w:val="nil"/>
              <w:tr2bl w:val="nil"/>
            </w:tcBorders>
            <w:vAlign w:val="center"/>
          </w:tcPr>
          <w:p>
            <w:pPr>
              <w:widowControl/>
              <w:jc w:val="center"/>
              <w:textAlignment w:val="center"/>
              <w:rPr>
                <w:rFonts w:ascii="Times New Roman" w:hAnsi="Times New Roman"/>
                <w:szCs w:val="21"/>
                <w:highlight w:val="none"/>
              </w:rPr>
            </w:pPr>
            <w:r>
              <w:rPr>
                <w:rFonts w:ascii="Times New Roman" w:hAnsi="Times New Roman"/>
                <w:szCs w:val="21"/>
                <w:highlight w:val="none"/>
              </w:rPr>
              <w:t>5</w:t>
            </w:r>
            <w:r>
              <w:rPr>
                <w:rFonts w:hint="eastAsia" w:ascii="Times New Roman" w:hAnsi="Times New Roman"/>
                <w:szCs w:val="21"/>
                <w:highlight w:val="none"/>
              </w:rPr>
              <w:t>（L）</w:t>
            </w:r>
          </w:p>
        </w:tc>
        <w:tc>
          <w:tcPr>
            <w:tcW w:w="1162" w:type="pct"/>
            <w:tcBorders>
              <w:tl2br w:val="nil"/>
              <w:tr2bl w:val="nil"/>
            </w:tcBorders>
            <w:vAlign w:val="center"/>
          </w:tcPr>
          <w:p>
            <w:pPr>
              <w:widowControl/>
              <w:jc w:val="center"/>
              <w:textAlignment w:val="center"/>
              <w:rPr>
                <w:rFonts w:ascii="Times New Roman" w:hAnsi="Times New Roman"/>
                <w:szCs w:val="21"/>
                <w:highlight w:val="none"/>
              </w:rPr>
            </w:pPr>
            <w:r>
              <w:rPr>
                <w:rFonts w:ascii="Times New Roman" w:hAnsi="Times New Roman"/>
                <w:szCs w:val="21"/>
                <w:highlight w:val="none"/>
              </w:rPr>
              <w:t>5</w:t>
            </w:r>
            <w:r>
              <w:rPr>
                <w:rFonts w:hint="eastAsia" w:ascii="Times New Roman" w:hAnsi="Times New Roman"/>
                <w:szCs w:val="21"/>
                <w:highlight w:val="none"/>
              </w:rPr>
              <w:t>（L）</w:t>
            </w:r>
          </w:p>
        </w:tc>
        <w:tc>
          <w:tcPr>
            <w:tcW w:w="759" w:type="pct"/>
            <w:tcBorders>
              <w:tl2br w:val="nil"/>
              <w:tr2bl w:val="nil"/>
            </w:tcBorders>
            <w:vAlign w:val="center"/>
          </w:tcPr>
          <w:p>
            <w:pPr>
              <w:jc w:val="center"/>
              <w:outlineLvl w:val="0"/>
              <w:rPr>
                <w:rFonts w:ascii="Times New Roman" w:hAnsi="Times New Roman"/>
                <w:szCs w:val="21"/>
              </w:rPr>
            </w:pPr>
            <w:bookmarkStart w:id="117" w:name="_Toc5770"/>
            <w:bookmarkStart w:id="118" w:name="_Toc16254"/>
            <w:r>
              <w:rPr>
                <w:rFonts w:ascii="Times New Roman" w:hAnsi="Times New Roman"/>
                <w:szCs w:val="21"/>
              </w:rPr>
              <w:t>mg/L</w:t>
            </w:r>
            <w:bookmarkEnd w:id="117"/>
            <w:bookmarkEnd w:id="118"/>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szCs w:val="21"/>
              </w:rPr>
            </w:pPr>
            <w:r>
              <w:rPr>
                <w:rFonts w:ascii="Times New Roman" w:hAnsi="Times New Roman"/>
                <w:szCs w:val="21"/>
              </w:rPr>
              <w:t>HCO</w:t>
            </w:r>
            <w:r>
              <w:rPr>
                <w:rFonts w:ascii="Times New Roman" w:hAnsi="Times New Roman"/>
                <w:szCs w:val="21"/>
                <w:vertAlign w:val="subscript"/>
              </w:rPr>
              <w:t>3</w:t>
            </w:r>
            <w:r>
              <w:rPr>
                <w:rFonts w:ascii="Times New Roman" w:hAnsi="Times New Roman"/>
                <w:szCs w:val="21"/>
                <w:vertAlign w:val="superscript"/>
              </w:rPr>
              <w:t>-</w:t>
            </w:r>
          </w:p>
        </w:tc>
        <w:tc>
          <w:tcPr>
            <w:tcW w:w="1153" w:type="pct"/>
            <w:tcBorders>
              <w:tl2br w:val="nil"/>
              <w:tr2bl w:val="nil"/>
            </w:tcBorders>
            <w:vAlign w:val="center"/>
          </w:tcPr>
          <w:p>
            <w:pPr>
              <w:widowControl/>
              <w:jc w:val="center"/>
              <w:textAlignment w:val="center"/>
              <w:rPr>
                <w:rFonts w:hint="default" w:ascii="Times New Roman" w:hAnsi="Times New Roman"/>
                <w:szCs w:val="21"/>
                <w:highlight w:val="none"/>
                <w:lang w:val="en-US" w:eastAsia="zh-CN"/>
              </w:rPr>
            </w:pPr>
            <w:r>
              <w:rPr>
                <w:rFonts w:hint="eastAsia" w:ascii="Times New Roman" w:hAnsi="Times New Roman"/>
                <w:szCs w:val="21"/>
                <w:highlight w:val="none"/>
                <w:lang w:val="en-US" w:eastAsia="zh-CN"/>
              </w:rPr>
              <w:t>116</w:t>
            </w:r>
          </w:p>
        </w:tc>
        <w:tc>
          <w:tcPr>
            <w:tcW w:w="1153" w:type="pct"/>
            <w:tcBorders>
              <w:tl2br w:val="nil"/>
              <w:tr2bl w:val="nil"/>
            </w:tcBorders>
            <w:vAlign w:val="center"/>
          </w:tcPr>
          <w:p>
            <w:pPr>
              <w:widowControl/>
              <w:jc w:val="center"/>
              <w:textAlignment w:val="center"/>
              <w:rPr>
                <w:rFonts w:hint="default" w:ascii="Times New Roman" w:hAnsi="Times New Roman"/>
                <w:szCs w:val="21"/>
                <w:highlight w:val="none"/>
                <w:lang w:val="en-US" w:eastAsia="zh-CN"/>
              </w:rPr>
            </w:pPr>
            <w:r>
              <w:rPr>
                <w:rFonts w:hint="eastAsia" w:ascii="Times New Roman" w:hAnsi="Times New Roman"/>
                <w:szCs w:val="21"/>
                <w:highlight w:val="none"/>
                <w:lang w:val="en-US" w:eastAsia="zh-CN"/>
              </w:rPr>
              <w:t>136</w:t>
            </w:r>
          </w:p>
        </w:tc>
        <w:tc>
          <w:tcPr>
            <w:tcW w:w="1162" w:type="pct"/>
            <w:tcBorders>
              <w:tl2br w:val="nil"/>
              <w:tr2bl w:val="nil"/>
            </w:tcBorders>
            <w:vAlign w:val="center"/>
          </w:tcPr>
          <w:p>
            <w:pPr>
              <w:widowControl/>
              <w:jc w:val="center"/>
              <w:textAlignment w:val="center"/>
              <w:rPr>
                <w:rFonts w:hint="default" w:ascii="Times New Roman" w:hAnsi="Times New Roman"/>
                <w:szCs w:val="21"/>
                <w:highlight w:val="yellow"/>
                <w:lang w:val="en-US" w:eastAsia="zh-CN"/>
              </w:rPr>
            </w:pPr>
            <w:r>
              <w:rPr>
                <w:rFonts w:hint="eastAsia" w:ascii="Times New Roman" w:hAnsi="Times New Roman"/>
                <w:szCs w:val="21"/>
                <w:highlight w:val="none"/>
                <w:lang w:val="en-US" w:eastAsia="zh-CN"/>
              </w:rPr>
              <w:t>71.2</w:t>
            </w:r>
          </w:p>
        </w:tc>
        <w:tc>
          <w:tcPr>
            <w:tcW w:w="759" w:type="pct"/>
            <w:tcBorders>
              <w:tl2br w:val="nil"/>
              <w:tr2bl w:val="nil"/>
            </w:tcBorders>
            <w:vAlign w:val="center"/>
          </w:tcPr>
          <w:p>
            <w:pPr>
              <w:jc w:val="center"/>
              <w:outlineLvl w:val="0"/>
              <w:rPr>
                <w:rFonts w:ascii="Times New Roman" w:hAnsi="Times New Roman"/>
                <w:szCs w:val="21"/>
              </w:rPr>
            </w:pPr>
            <w:bookmarkStart w:id="119" w:name="_Toc16883"/>
            <w:bookmarkStart w:id="120" w:name="_Toc18395"/>
            <w:r>
              <w:rPr>
                <w:rFonts w:ascii="Times New Roman" w:hAnsi="Times New Roman"/>
                <w:szCs w:val="21"/>
              </w:rPr>
              <w:t>mg/L</w:t>
            </w:r>
            <w:bookmarkEnd w:id="119"/>
            <w:bookmarkEnd w:id="12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szCs w:val="21"/>
              </w:rPr>
            </w:pPr>
            <w:r>
              <w:rPr>
                <w:rFonts w:ascii="Times New Roman" w:hAnsi="Times New Roman"/>
                <w:szCs w:val="21"/>
              </w:rPr>
              <w:t>Cl</w:t>
            </w:r>
            <w:r>
              <w:rPr>
                <w:rFonts w:ascii="Times New Roman" w:hAnsi="Times New Roman"/>
                <w:szCs w:val="21"/>
                <w:vertAlign w:val="superscript"/>
              </w:rPr>
              <w:t>-</w:t>
            </w:r>
          </w:p>
        </w:tc>
        <w:tc>
          <w:tcPr>
            <w:tcW w:w="1153" w:type="pct"/>
            <w:tcBorders>
              <w:tl2br w:val="nil"/>
              <w:tr2bl w:val="nil"/>
            </w:tcBorders>
            <w:vAlign w:val="center"/>
          </w:tcPr>
          <w:p>
            <w:pPr>
              <w:widowControl/>
              <w:jc w:val="center"/>
              <w:textAlignment w:val="center"/>
              <w:rPr>
                <w:rFonts w:hint="default" w:ascii="Times New Roman" w:hAnsi="Times New Roman"/>
                <w:szCs w:val="21"/>
                <w:lang w:val="en-US" w:eastAsia="zh-CN"/>
              </w:rPr>
            </w:pPr>
            <w:r>
              <w:rPr>
                <w:rFonts w:hint="eastAsia" w:ascii="Times New Roman" w:hAnsi="Times New Roman"/>
                <w:szCs w:val="21"/>
                <w:lang w:val="en-US" w:eastAsia="zh-CN"/>
              </w:rPr>
              <w:t>56.6</w:t>
            </w:r>
          </w:p>
        </w:tc>
        <w:tc>
          <w:tcPr>
            <w:tcW w:w="1153" w:type="pct"/>
            <w:tcBorders>
              <w:tl2br w:val="nil"/>
              <w:tr2bl w:val="nil"/>
            </w:tcBorders>
            <w:vAlign w:val="center"/>
          </w:tcPr>
          <w:p>
            <w:pPr>
              <w:widowControl/>
              <w:jc w:val="center"/>
              <w:textAlignment w:val="center"/>
              <w:rPr>
                <w:rFonts w:hint="default" w:ascii="Times New Roman" w:hAnsi="Times New Roman"/>
                <w:szCs w:val="21"/>
                <w:lang w:val="en-US" w:eastAsia="zh-CN"/>
              </w:rPr>
            </w:pPr>
            <w:r>
              <w:rPr>
                <w:rFonts w:hint="eastAsia" w:ascii="Times New Roman" w:hAnsi="Times New Roman"/>
                <w:szCs w:val="21"/>
                <w:lang w:val="en-US" w:eastAsia="zh-CN"/>
              </w:rPr>
              <w:t>7.94</w:t>
            </w:r>
          </w:p>
        </w:tc>
        <w:tc>
          <w:tcPr>
            <w:tcW w:w="1162" w:type="pct"/>
            <w:tcBorders>
              <w:tl2br w:val="nil"/>
              <w:tr2bl w:val="nil"/>
            </w:tcBorders>
            <w:vAlign w:val="center"/>
          </w:tcPr>
          <w:p>
            <w:pPr>
              <w:widowControl/>
              <w:jc w:val="center"/>
              <w:textAlignment w:val="center"/>
              <w:rPr>
                <w:rFonts w:hint="default" w:ascii="Times New Roman" w:hAnsi="Times New Roman"/>
                <w:szCs w:val="21"/>
                <w:lang w:val="en-US" w:eastAsia="zh-CN"/>
              </w:rPr>
            </w:pPr>
            <w:r>
              <w:rPr>
                <w:rFonts w:hint="eastAsia" w:ascii="Times New Roman" w:hAnsi="Times New Roman"/>
                <w:szCs w:val="21"/>
                <w:lang w:val="en-US" w:eastAsia="zh-CN"/>
              </w:rPr>
              <w:t>2.21</w:t>
            </w:r>
          </w:p>
        </w:tc>
        <w:tc>
          <w:tcPr>
            <w:tcW w:w="759" w:type="pct"/>
            <w:tcBorders>
              <w:tl2br w:val="nil"/>
              <w:tr2bl w:val="nil"/>
            </w:tcBorders>
            <w:vAlign w:val="center"/>
          </w:tcPr>
          <w:p>
            <w:pPr>
              <w:jc w:val="center"/>
              <w:outlineLvl w:val="0"/>
              <w:rPr>
                <w:rFonts w:ascii="Times New Roman" w:hAnsi="Times New Roman"/>
                <w:szCs w:val="21"/>
              </w:rPr>
            </w:pPr>
            <w:bookmarkStart w:id="121" w:name="_Toc26621"/>
            <w:bookmarkStart w:id="122" w:name="_Toc6630"/>
            <w:r>
              <w:rPr>
                <w:rFonts w:ascii="Times New Roman" w:hAnsi="Times New Roman"/>
                <w:szCs w:val="21"/>
              </w:rPr>
              <w:t>mg/L</w:t>
            </w:r>
            <w:bookmarkEnd w:id="121"/>
            <w:bookmarkEnd w:id="122"/>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szCs w:val="21"/>
              </w:rPr>
            </w:pPr>
            <w:r>
              <w:rPr>
                <w:rFonts w:ascii="Times New Roman" w:hAnsi="Times New Roman"/>
                <w:szCs w:val="21"/>
              </w:rPr>
              <w:t>SO</w:t>
            </w:r>
            <w:r>
              <w:rPr>
                <w:rFonts w:ascii="Times New Roman" w:hAnsi="Times New Roman"/>
                <w:szCs w:val="21"/>
                <w:vertAlign w:val="subscript"/>
              </w:rPr>
              <w:t>4</w:t>
            </w:r>
            <w:r>
              <w:rPr>
                <w:rFonts w:ascii="Times New Roman" w:hAnsi="Times New Roman"/>
                <w:szCs w:val="21"/>
                <w:vertAlign w:val="superscript"/>
              </w:rPr>
              <w:t>2-</w:t>
            </w:r>
          </w:p>
        </w:tc>
        <w:tc>
          <w:tcPr>
            <w:tcW w:w="1153" w:type="pct"/>
            <w:tcBorders>
              <w:tl2br w:val="nil"/>
              <w:tr2bl w:val="nil"/>
            </w:tcBorders>
            <w:vAlign w:val="center"/>
          </w:tcPr>
          <w:p>
            <w:pPr>
              <w:widowControl/>
              <w:jc w:val="center"/>
              <w:textAlignment w:val="center"/>
              <w:rPr>
                <w:rFonts w:hint="default" w:ascii="Times New Roman" w:hAnsi="Times New Roman"/>
                <w:szCs w:val="21"/>
                <w:lang w:val="en-US" w:eastAsia="zh-CN"/>
              </w:rPr>
            </w:pPr>
            <w:r>
              <w:rPr>
                <w:rFonts w:hint="eastAsia" w:ascii="Times New Roman" w:hAnsi="Times New Roman"/>
                <w:szCs w:val="21"/>
                <w:lang w:val="en-US" w:eastAsia="zh-CN"/>
              </w:rPr>
              <w:t>3.20</w:t>
            </w:r>
          </w:p>
        </w:tc>
        <w:tc>
          <w:tcPr>
            <w:tcW w:w="1153" w:type="pct"/>
            <w:tcBorders>
              <w:tl2br w:val="nil"/>
              <w:tr2bl w:val="nil"/>
            </w:tcBorders>
            <w:vAlign w:val="center"/>
          </w:tcPr>
          <w:p>
            <w:pPr>
              <w:widowControl/>
              <w:jc w:val="center"/>
              <w:textAlignment w:val="center"/>
              <w:rPr>
                <w:rFonts w:hint="default" w:ascii="Times New Roman" w:hAnsi="Times New Roman"/>
                <w:szCs w:val="21"/>
                <w:lang w:val="en-US" w:eastAsia="zh-CN"/>
              </w:rPr>
            </w:pPr>
            <w:r>
              <w:rPr>
                <w:rFonts w:hint="eastAsia" w:ascii="Times New Roman" w:hAnsi="Times New Roman"/>
                <w:szCs w:val="21"/>
                <w:lang w:val="en-US" w:eastAsia="zh-CN"/>
              </w:rPr>
              <w:t>15.4</w:t>
            </w:r>
          </w:p>
        </w:tc>
        <w:tc>
          <w:tcPr>
            <w:tcW w:w="1162" w:type="pct"/>
            <w:tcBorders>
              <w:tl2br w:val="nil"/>
              <w:tr2bl w:val="nil"/>
            </w:tcBorders>
            <w:vAlign w:val="center"/>
          </w:tcPr>
          <w:p>
            <w:pPr>
              <w:widowControl/>
              <w:jc w:val="center"/>
              <w:textAlignment w:val="center"/>
              <w:rPr>
                <w:rFonts w:hint="default" w:ascii="Times New Roman" w:hAnsi="Times New Roman"/>
                <w:szCs w:val="21"/>
                <w:lang w:val="en-US" w:eastAsia="zh-CN"/>
              </w:rPr>
            </w:pPr>
            <w:r>
              <w:rPr>
                <w:rFonts w:hint="eastAsia" w:ascii="Times New Roman" w:hAnsi="Times New Roman"/>
                <w:szCs w:val="21"/>
                <w:lang w:val="en-US" w:eastAsia="zh-CN"/>
              </w:rPr>
              <w:t>4.26</w:t>
            </w:r>
          </w:p>
        </w:tc>
        <w:tc>
          <w:tcPr>
            <w:tcW w:w="759" w:type="pct"/>
            <w:tcBorders>
              <w:tl2br w:val="nil"/>
              <w:tr2bl w:val="nil"/>
            </w:tcBorders>
            <w:vAlign w:val="center"/>
          </w:tcPr>
          <w:p>
            <w:pPr>
              <w:jc w:val="center"/>
              <w:outlineLvl w:val="0"/>
              <w:rPr>
                <w:rFonts w:ascii="Times New Roman" w:hAnsi="Times New Roman"/>
                <w:szCs w:val="21"/>
              </w:rPr>
            </w:pPr>
            <w:bookmarkStart w:id="123" w:name="_Toc22085"/>
            <w:bookmarkStart w:id="124" w:name="_Toc2504"/>
            <w:r>
              <w:rPr>
                <w:rFonts w:ascii="Times New Roman" w:hAnsi="Times New Roman"/>
                <w:szCs w:val="21"/>
              </w:rPr>
              <w:t>mg/L</w:t>
            </w:r>
            <w:bookmarkEnd w:id="123"/>
            <w:bookmarkEnd w:id="12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szCs w:val="21"/>
              </w:rPr>
            </w:pPr>
            <w:r>
              <w:rPr>
                <w:rFonts w:ascii="Times New Roman" w:hAnsi="Times New Roman"/>
                <w:szCs w:val="21"/>
              </w:rPr>
              <w:t>pH</w:t>
            </w:r>
          </w:p>
        </w:tc>
        <w:tc>
          <w:tcPr>
            <w:tcW w:w="1965" w:type="dxa"/>
            <w:tcBorders>
              <w:tl2br w:val="nil"/>
              <w:tr2bl w:val="nil"/>
            </w:tcBorders>
            <w:vAlign w:val="center"/>
          </w:tcPr>
          <w:p>
            <w:pPr>
              <w:widowControl/>
              <w:jc w:val="center"/>
              <w:textAlignment w:val="center"/>
              <w:rPr>
                <w:rFonts w:hint="default" w:ascii="Times New Roman" w:hAnsi="Times New Roman" w:eastAsia="宋体"/>
                <w:color w:val="auto"/>
                <w:szCs w:val="21"/>
                <w:highlight w:val="none"/>
                <w:lang w:val="en-US" w:eastAsia="zh-CN"/>
              </w:rPr>
            </w:pPr>
            <w:r>
              <w:rPr>
                <w:rFonts w:hint="eastAsia" w:ascii="Times New Roman" w:hAnsi="Times New Roman"/>
                <w:color w:val="auto"/>
                <w:szCs w:val="21"/>
                <w:highlight w:val="none"/>
                <w:lang w:val="en-US" w:eastAsia="zh-CN"/>
              </w:rPr>
              <w:t>7.1</w:t>
            </w:r>
          </w:p>
        </w:tc>
        <w:tc>
          <w:tcPr>
            <w:tcW w:w="1965" w:type="dxa"/>
            <w:tcBorders>
              <w:tl2br w:val="nil"/>
              <w:tr2bl w:val="nil"/>
            </w:tcBorders>
            <w:vAlign w:val="center"/>
          </w:tcPr>
          <w:p>
            <w:pPr>
              <w:widowControl/>
              <w:jc w:val="center"/>
              <w:textAlignment w:val="center"/>
              <w:rPr>
                <w:rFonts w:hint="default" w:ascii="Times New Roman" w:hAnsi="Times New Roman" w:eastAsia="宋体"/>
                <w:color w:val="auto"/>
                <w:szCs w:val="21"/>
                <w:highlight w:val="none"/>
                <w:lang w:val="en-US" w:eastAsia="zh-CN"/>
              </w:rPr>
            </w:pPr>
            <w:r>
              <w:rPr>
                <w:rFonts w:hint="eastAsia" w:ascii="Times New Roman" w:hAnsi="Times New Roman"/>
                <w:color w:val="auto"/>
                <w:szCs w:val="21"/>
                <w:highlight w:val="none"/>
                <w:lang w:val="en-US" w:eastAsia="zh-CN"/>
              </w:rPr>
              <w:t>7.2</w:t>
            </w:r>
          </w:p>
        </w:tc>
        <w:tc>
          <w:tcPr>
            <w:tcW w:w="1162" w:type="pct"/>
            <w:tcBorders>
              <w:tl2br w:val="nil"/>
              <w:tr2bl w:val="nil"/>
            </w:tcBorders>
            <w:vAlign w:val="center"/>
          </w:tcPr>
          <w:p>
            <w:pPr>
              <w:widowControl/>
              <w:jc w:val="center"/>
              <w:textAlignment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6.9</w:t>
            </w:r>
          </w:p>
        </w:tc>
        <w:tc>
          <w:tcPr>
            <w:tcW w:w="759" w:type="pct"/>
            <w:tcBorders>
              <w:tl2br w:val="nil"/>
              <w:tr2bl w:val="nil"/>
            </w:tcBorders>
            <w:vAlign w:val="center"/>
          </w:tcPr>
          <w:p>
            <w:pPr>
              <w:jc w:val="center"/>
              <w:outlineLvl w:val="0"/>
              <w:rPr>
                <w:rFonts w:ascii="Times New Roman" w:hAnsi="Times New Roman"/>
                <w:szCs w:val="21"/>
              </w:rPr>
            </w:pPr>
            <w:bookmarkStart w:id="125" w:name="_Toc28147"/>
            <w:bookmarkStart w:id="126" w:name="_Toc643"/>
            <w:r>
              <w:rPr>
                <w:rFonts w:ascii="Times New Roman" w:hAnsi="Times New Roman"/>
                <w:szCs w:val="21"/>
              </w:rPr>
              <w:t>无量纲</w:t>
            </w:r>
            <w:bookmarkEnd w:id="125"/>
            <w:bookmarkEnd w:id="126"/>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szCs w:val="21"/>
              </w:rPr>
            </w:pPr>
            <w:r>
              <w:rPr>
                <w:rFonts w:ascii="Times New Roman" w:hAnsi="Times New Roman"/>
                <w:szCs w:val="21"/>
              </w:rPr>
              <w:t>氨氮</w:t>
            </w:r>
          </w:p>
        </w:tc>
        <w:tc>
          <w:tcPr>
            <w:tcW w:w="1153" w:type="pct"/>
            <w:tcBorders>
              <w:tl2br w:val="nil"/>
              <w:tr2bl w:val="nil"/>
            </w:tcBorders>
            <w:vAlign w:val="center"/>
          </w:tcPr>
          <w:p>
            <w:pPr>
              <w:widowControl/>
              <w:jc w:val="center"/>
              <w:textAlignment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0.105</w:t>
            </w:r>
          </w:p>
        </w:tc>
        <w:tc>
          <w:tcPr>
            <w:tcW w:w="1153" w:type="pct"/>
            <w:tcBorders>
              <w:tl2br w:val="nil"/>
              <w:tr2bl w:val="nil"/>
            </w:tcBorders>
            <w:vAlign w:val="center"/>
          </w:tcPr>
          <w:p>
            <w:pPr>
              <w:widowControl/>
              <w:jc w:val="center"/>
              <w:textAlignment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0.212</w:t>
            </w:r>
          </w:p>
        </w:tc>
        <w:tc>
          <w:tcPr>
            <w:tcW w:w="1162" w:type="pct"/>
            <w:tcBorders>
              <w:tl2br w:val="nil"/>
              <w:tr2bl w:val="nil"/>
            </w:tcBorders>
            <w:vAlign w:val="center"/>
          </w:tcPr>
          <w:p>
            <w:pPr>
              <w:widowControl/>
              <w:jc w:val="center"/>
              <w:textAlignment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0.402</w:t>
            </w:r>
          </w:p>
        </w:tc>
        <w:tc>
          <w:tcPr>
            <w:tcW w:w="759" w:type="pct"/>
            <w:tcBorders>
              <w:tl2br w:val="nil"/>
              <w:tr2bl w:val="nil"/>
            </w:tcBorders>
            <w:vAlign w:val="center"/>
          </w:tcPr>
          <w:p>
            <w:pPr>
              <w:jc w:val="center"/>
              <w:outlineLvl w:val="0"/>
              <w:rPr>
                <w:rFonts w:ascii="Times New Roman" w:hAnsi="Times New Roman"/>
                <w:szCs w:val="21"/>
              </w:rPr>
            </w:pPr>
            <w:bookmarkStart w:id="127" w:name="_Toc4079"/>
            <w:bookmarkStart w:id="128" w:name="_Toc7760"/>
            <w:r>
              <w:rPr>
                <w:rFonts w:ascii="Times New Roman" w:hAnsi="Times New Roman"/>
                <w:szCs w:val="21"/>
              </w:rPr>
              <w:t>mg/L</w:t>
            </w:r>
            <w:bookmarkEnd w:id="127"/>
            <w:bookmarkEnd w:id="128"/>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hint="eastAsia" w:ascii="Times New Roman" w:hAnsi="Times New Roman" w:eastAsia="宋体"/>
                <w:szCs w:val="21"/>
                <w:lang w:val="en-US" w:eastAsia="zh-CN"/>
              </w:rPr>
            </w:pPr>
            <w:r>
              <w:rPr>
                <w:rFonts w:ascii="Times New Roman" w:hAnsi="Times New Roman"/>
                <w:szCs w:val="21"/>
              </w:rPr>
              <w:t>硝酸盐</w:t>
            </w:r>
            <w:r>
              <w:rPr>
                <w:rFonts w:hint="eastAsia" w:ascii="Times New Roman" w:hAnsi="Times New Roman"/>
                <w:szCs w:val="21"/>
                <w:lang w:val="en-US" w:eastAsia="zh-CN"/>
              </w:rPr>
              <w:t>氮</w:t>
            </w:r>
          </w:p>
        </w:tc>
        <w:tc>
          <w:tcPr>
            <w:tcW w:w="1153" w:type="pct"/>
            <w:tcBorders>
              <w:tl2br w:val="nil"/>
              <w:tr2bl w:val="nil"/>
            </w:tcBorders>
            <w:vAlign w:val="center"/>
          </w:tcPr>
          <w:p>
            <w:pPr>
              <w:widowControl/>
              <w:jc w:val="center"/>
              <w:textAlignment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19.6</w:t>
            </w:r>
          </w:p>
        </w:tc>
        <w:tc>
          <w:tcPr>
            <w:tcW w:w="1153" w:type="pct"/>
            <w:tcBorders>
              <w:tl2br w:val="nil"/>
              <w:tr2bl w:val="nil"/>
            </w:tcBorders>
            <w:vAlign w:val="center"/>
          </w:tcPr>
          <w:p>
            <w:pPr>
              <w:widowControl/>
              <w:jc w:val="center"/>
              <w:textAlignment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1.24</w:t>
            </w:r>
          </w:p>
        </w:tc>
        <w:tc>
          <w:tcPr>
            <w:tcW w:w="1162" w:type="pct"/>
            <w:tcBorders>
              <w:tl2br w:val="nil"/>
              <w:tr2bl w:val="nil"/>
            </w:tcBorders>
            <w:vAlign w:val="center"/>
          </w:tcPr>
          <w:p>
            <w:pPr>
              <w:widowControl/>
              <w:jc w:val="center"/>
              <w:textAlignment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3.21</w:t>
            </w:r>
          </w:p>
        </w:tc>
        <w:tc>
          <w:tcPr>
            <w:tcW w:w="759" w:type="pct"/>
            <w:tcBorders>
              <w:tl2br w:val="nil"/>
              <w:tr2bl w:val="nil"/>
            </w:tcBorders>
            <w:vAlign w:val="center"/>
          </w:tcPr>
          <w:p>
            <w:pPr>
              <w:jc w:val="center"/>
              <w:outlineLvl w:val="0"/>
              <w:rPr>
                <w:rFonts w:ascii="Times New Roman" w:hAnsi="Times New Roman"/>
                <w:szCs w:val="21"/>
              </w:rPr>
            </w:pPr>
            <w:bookmarkStart w:id="129" w:name="_Toc2819"/>
            <w:bookmarkStart w:id="130" w:name="_Toc14960"/>
            <w:r>
              <w:rPr>
                <w:rFonts w:ascii="Times New Roman" w:hAnsi="Times New Roman"/>
                <w:szCs w:val="21"/>
              </w:rPr>
              <w:t>mg/L</w:t>
            </w:r>
            <w:bookmarkEnd w:id="129"/>
            <w:bookmarkEnd w:id="13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hint="eastAsia" w:ascii="Times New Roman" w:hAnsi="Times New Roman" w:eastAsia="宋体"/>
                <w:szCs w:val="21"/>
                <w:lang w:val="en-US" w:eastAsia="zh-CN"/>
              </w:rPr>
            </w:pPr>
            <w:r>
              <w:rPr>
                <w:rFonts w:ascii="Times New Roman" w:hAnsi="Times New Roman"/>
                <w:szCs w:val="21"/>
              </w:rPr>
              <w:t>亚硝酸盐</w:t>
            </w:r>
            <w:r>
              <w:rPr>
                <w:rFonts w:hint="eastAsia" w:ascii="Times New Roman" w:hAnsi="Times New Roman"/>
                <w:szCs w:val="21"/>
                <w:lang w:val="en-US" w:eastAsia="zh-CN"/>
              </w:rPr>
              <w:t>氮</w:t>
            </w:r>
          </w:p>
        </w:tc>
        <w:tc>
          <w:tcPr>
            <w:tcW w:w="1153" w:type="pct"/>
            <w:tcBorders>
              <w:tl2br w:val="nil"/>
              <w:tr2bl w:val="nil"/>
            </w:tcBorders>
            <w:vAlign w:val="center"/>
          </w:tcPr>
          <w:p>
            <w:pPr>
              <w:widowControl/>
              <w:jc w:val="center"/>
              <w:textAlignment w:val="center"/>
              <w:rPr>
                <w:rFonts w:hint="default" w:ascii="Times New Roman" w:hAnsi="Times New Roman" w:eastAsia="宋体"/>
                <w:szCs w:val="21"/>
                <w:lang w:val="en-US" w:eastAsia="zh-CN"/>
              </w:rPr>
            </w:pPr>
            <w:r>
              <w:rPr>
                <w:rFonts w:hint="eastAsia" w:ascii="Times New Roman" w:hAnsi="Times New Roman"/>
                <w:szCs w:val="21"/>
                <w:lang w:val="en-US" w:eastAsia="zh-CN"/>
              </w:rPr>
              <w:t>0.002L</w:t>
            </w:r>
          </w:p>
        </w:tc>
        <w:tc>
          <w:tcPr>
            <w:tcW w:w="1153" w:type="pct"/>
            <w:tcBorders>
              <w:tl2br w:val="nil"/>
              <w:tr2bl w:val="nil"/>
            </w:tcBorders>
            <w:vAlign w:val="center"/>
          </w:tcPr>
          <w:p>
            <w:pPr>
              <w:widowControl/>
              <w:jc w:val="center"/>
              <w:textAlignment w:val="center"/>
              <w:rPr>
                <w:rFonts w:ascii="Times New Roman" w:hAnsi="Times New Roman"/>
                <w:szCs w:val="21"/>
              </w:rPr>
            </w:pPr>
            <w:r>
              <w:rPr>
                <w:rFonts w:hint="eastAsia" w:ascii="Times New Roman" w:hAnsi="Times New Roman"/>
                <w:szCs w:val="21"/>
                <w:lang w:val="en-US" w:eastAsia="zh-CN"/>
              </w:rPr>
              <w:t>0.002L</w:t>
            </w:r>
          </w:p>
        </w:tc>
        <w:tc>
          <w:tcPr>
            <w:tcW w:w="1162" w:type="pct"/>
            <w:tcBorders>
              <w:tl2br w:val="nil"/>
              <w:tr2bl w:val="nil"/>
            </w:tcBorders>
            <w:vAlign w:val="center"/>
          </w:tcPr>
          <w:p>
            <w:pPr>
              <w:widowControl/>
              <w:jc w:val="center"/>
              <w:textAlignment w:val="center"/>
              <w:rPr>
                <w:rFonts w:ascii="Times New Roman" w:hAnsi="Times New Roman"/>
                <w:szCs w:val="21"/>
              </w:rPr>
            </w:pPr>
            <w:r>
              <w:rPr>
                <w:rFonts w:hint="eastAsia" w:ascii="Times New Roman" w:hAnsi="Times New Roman"/>
                <w:szCs w:val="21"/>
                <w:lang w:val="en-US" w:eastAsia="zh-CN"/>
              </w:rPr>
              <w:t>0.002L</w:t>
            </w:r>
          </w:p>
        </w:tc>
        <w:tc>
          <w:tcPr>
            <w:tcW w:w="759" w:type="pct"/>
            <w:tcBorders>
              <w:tl2br w:val="nil"/>
              <w:tr2bl w:val="nil"/>
            </w:tcBorders>
            <w:vAlign w:val="center"/>
          </w:tcPr>
          <w:p>
            <w:pPr>
              <w:jc w:val="center"/>
              <w:outlineLvl w:val="0"/>
              <w:rPr>
                <w:rFonts w:ascii="Times New Roman" w:hAnsi="Times New Roman"/>
                <w:szCs w:val="21"/>
              </w:rPr>
            </w:pPr>
            <w:bookmarkStart w:id="131" w:name="_Toc20778"/>
            <w:bookmarkStart w:id="132" w:name="_Toc25462"/>
            <w:r>
              <w:rPr>
                <w:rFonts w:ascii="Times New Roman" w:hAnsi="Times New Roman"/>
                <w:szCs w:val="21"/>
              </w:rPr>
              <w:t>mg/L</w:t>
            </w:r>
            <w:bookmarkEnd w:id="131"/>
            <w:bookmarkEnd w:id="132"/>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szCs w:val="21"/>
              </w:rPr>
            </w:pPr>
            <w:r>
              <w:rPr>
                <w:rFonts w:ascii="Times New Roman" w:hAnsi="Times New Roman"/>
                <w:szCs w:val="21"/>
              </w:rPr>
              <w:t>氰化物</w:t>
            </w:r>
          </w:p>
        </w:tc>
        <w:tc>
          <w:tcPr>
            <w:tcW w:w="1153" w:type="pct"/>
            <w:tcBorders>
              <w:tl2br w:val="nil"/>
              <w:tr2bl w:val="nil"/>
            </w:tcBorders>
            <w:vAlign w:val="center"/>
          </w:tcPr>
          <w:p>
            <w:pPr>
              <w:widowControl/>
              <w:jc w:val="center"/>
              <w:textAlignment w:val="center"/>
              <w:rPr>
                <w:rFonts w:ascii="Times New Roman" w:hAnsi="Times New Roman"/>
                <w:szCs w:val="21"/>
              </w:rPr>
            </w:pPr>
            <w:r>
              <w:rPr>
                <w:rFonts w:hint="eastAsia" w:ascii="Times New Roman" w:hAnsi="Times New Roman"/>
                <w:szCs w:val="21"/>
              </w:rPr>
              <w:t>0.002L</w:t>
            </w:r>
          </w:p>
        </w:tc>
        <w:tc>
          <w:tcPr>
            <w:tcW w:w="1153" w:type="pct"/>
            <w:tcBorders>
              <w:tl2br w:val="nil"/>
              <w:tr2bl w:val="nil"/>
            </w:tcBorders>
            <w:vAlign w:val="center"/>
          </w:tcPr>
          <w:p>
            <w:pPr>
              <w:widowControl/>
              <w:jc w:val="center"/>
              <w:textAlignment w:val="center"/>
              <w:rPr>
                <w:rFonts w:ascii="Times New Roman" w:hAnsi="Times New Roman"/>
                <w:szCs w:val="21"/>
              </w:rPr>
            </w:pPr>
            <w:r>
              <w:rPr>
                <w:rFonts w:hint="eastAsia" w:ascii="Times New Roman" w:hAnsi="Times New Roman"/>
                <w:szCs w:val="21"/>
              </w:rPr>
              <w:t>0.002L</w:t>
            </w:r>
          </w:p>
        </w:tc>
        <w:tc>
          <w:tcPr>
            <w:tcW w:w="1162" w:type="pct"/>
            <w:tcBorders>
              <w:tl2br w:val="nil"/>
              <w:tr2bl w:val="nil"/>
            </w:tcBorders>
            <w:vAlign w:val="center"/>
          </w:tcPr>
          <w:p>
            <w:pPr>
              <w:widowControl/>
              <w:jc w:val="center"/>
              <w:textAlignment w:val="center"/>
              <w:rPr>
                <w:rFonts w:ascii="Times New Roman" w:hAnsi="Times New Roman"/>
                <w:szCs w:val="21"/>
              </w:rPr>
            </w:pPr>
            <w:r>
              <w:rPr>
                <w:rFonts w:hint="eastAsia" w:ascii="Times New Roman" w:hAnsi="Times New Roman"/>
                <w:szCs w:val="21"/>
              </w:rPr>
              <w:t>0.002L</w:t>
            </w:r>
          </w:p>
        </w:tc>
        <w:tc>
          <w:tcPr>
            <w:tcW w:w="759" w:type="pct"/>
            <w:tcBorders>
              <w:tl2br w:val="nil"/>
              <w:tr2bl w:val="nil"/>
            </w:tcBorders>
            <w:vAlign w:val="center"/>
          </w:tcPr>
          <w:p>
            <w:pPr>
              <w:jc w:val="center"/>
              <w:outlineLvl w:val="0"/>
              <w:rPr>
                <w:rFonts w:ascii="Times New Roman" w:hAnsi="Times New Roman"/>
                <w:szCs w:val="21"/>
              </w:rPr>
            </w:pPr>
            <w:bookmarkStart w:id="133" w:name="_Toc13373"/>
            <w:bookmarkStart w:id="134" w:name="_Toc2784"/>
            <w:r>
              <w:rPr>
                <w:rFonts w:ascii="Times New Roman" w:hAnsi="Times New Roman"/>
                <w:szCs w:val="21"/>
              </w:rPr>
              <w:t>mg/L</w:t>
            </w:r>
            <w:bookmarkEnd w:id="133"/>
            <w:bookmarkEnd w:id="13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szCs w:val="21"/>
              </w:rPr>
              <w:t>挥发性酚类</w:t>
            </w:r>
          </w:p>
        </w:tc>
        <w:tc>
          <w:tcPr>
            <w:tcW w:w="1153" w:type="pct"/>
            <w:tcBorders>
              <w:tl2br w:val="nil"/>
              <w:tr2bl w:val="nil"/>
            </w:tcBorders>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szCs w:val="21"/>
              </w:rPr>
              <w:t>0.0003L</w:t>
            </w:r>
          </w:p>
        </w:tc>
        <w:tc>
          <w:tcPr>
            <w:tcW w:w="1153" w:type="pct"/>
            <w:tcBorders>
              <w:tl2br w:val="nil"/>
              <w:tr2bl w:val="nil"/>
            </w:tcBorders>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szCs w:val="21"/>
              </w:rPr>
              <w:t>0.0003L</w:t>
            </w:r>
          </w:p>
        </w:tc>
        <w:tc>
          <w:tcPr>
            <w:tcW w:w="1162" w:type="pct"/>
            <w:tcBorders>
              <w:tl2br w:val="nil"/>
              <w:tr2bl w:val="nil"/>
            </w:tcBorders>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szCs w:val="21"/>
              </w:rPr>
              <w:t>0.0003L</w:t>
            </w:r>
          </w:p>
        </w:tc>
        <w:tc>
          <w:tcPr>
            <w:tcW w:w="759" w:type="pct"/>
            <w:tcBorders>
              <w:tl2br w:val="nil"/>
              <w:tr2bl w:val="nil"/>
            </w:tcBorders>
            <w:vAlign w:val="center"/>
          </w:tcPr>
          <w:p>
            <w:pPr>
              <w:jc w:val="center"/>
              <w:outlineLvl w:val="0"/>
              <w:rPr>
                <w:rFonts w:ascii="Times New Roman" w:hAnsi="Times New Roman" w:eastAsia="宋体" w:cs="Times New Roman"/>
                <w:kern w:val="2"/>
                <w:sz w:val="21"/>
                <w:szCs w:val="21"/>
                <w:lang w:val="en-US" w:eastAsia="zh-CN" w:bidi="ar-SA"/>
              </w:rPr>
            </w:pPr>
            <w:bookmarkStart w:id="135" w:name="_Toc5983"/>
            <w:bookmarkStart w:id="136" w:name="_Toc7455"/>
            <w:r>
              <w:rPr>
                <w:rFonts w:ascii="Times New Roman" w:hAnsi="Times New Roman"/>
                <w:szCs w:val="21"/>
              </w:rPr>
              <w:t>mg/L</w:t>
            </w:r>
            <w:bookmarkEnd w:id="135"/>
            <w:bookmarkEnd w:id="136"/>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szCs w:val="21"/>
              </w:rPr>
              <w:t>砷</w:t>
            </w:r>
          </w:p>
        </w:tc>
        <w:tc>
          <w:tcPr>
            <w:tcW w:w="1153" w:type="pct"/>
            <w:tcBorders>
              <w:tl2br w:val="nil"/>
              <w:tr2bl w:val="nil"/>
            </w:tcBorders>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szCs w:val="21"/>
              </w:rPr>
              <w:t>0.3L</w:t>
            </w:r>
          </w:p>
        </w:tc>
        <w:tc>
          <w:tcPr>
            <w:tcW w:w="1153" w:type="pct"/>
            <w:tcBorders>
              <w:tl2br w:val="nil"/>
              <w:tr2bl w:val="nil"/>
            </w:tcBorders>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szCs w:val="21"/>
              </w:rPr>
              <w:t>0.3L</w:t>
            </w:r>
          </w:p>
        </w:tc>
        <w:tc>
          <w:tcPr>
            <w:tcW w:w="1162" w:type="pct"/>
            <w:tcBorders>
              <w:tl2br w:val="nil"/>
              <w:tr2bl w:val="nil"/>
            </w:tcBorders>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szCs w:val="21"/>
              </w:rPr>
              <w:t>0.3L</w:t>
            </w:r>
          </w:p>
        </w:tc>
        <w:tc>
          <w:tcPr>
            <w:tcW w:w="759" w:type="pct"/>
            <w:tcBorders>
              <w:tl2br w:val="nil"/>
              <w:tr2bl w:val="nil"/>
            </w:tcBorders>
            <w:vAlign w:val="center"/>
          </w:tcPr>
          <w:p>
            <w:pPr>
              <w:jc w:val="center"/>
              <w:outlineLvl w:val="0"/>
              <w:rPr>
                <w:rFonts w:ascii="Times New Roman" w:hAnsi="Times New Roman" w:eastAsia="宋体" w:cs="Times New Roman"/>
                <w:kern w:val="2"/>
                <w:sz w:val="21"/>
                <w:szCs w:val="21"/>
                <w:lang w:val="en-US" w:eastAsia="zh-CN" w:bidi="ar-SA"/>
              </w:rPr>
            </w:pPr>
            <w:bookmarkStart w:id="137" w:name="_Toc15640"/>
            <w:bookmarkStart w:id="138" w:name="_Toc531"/>
            <w:r>
              <w:rPr>
                <w:rFonts w:ascii="Times New Roman" w:hAnsi="Times New Roman"/>
                <w:szCs w:val="21"/>
              </w:rPr>
              <w:t>μg/L</w:t>
            </w:r>
            <w:bookmarkEnd w:id="137"/>
            <w:bookmarkEnd w:id="138"/>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szCs w:val="21"/>
              </w:rPr>
              <w:t>汞</w:t>
            </w:r>
          </w:p>
        </w:tc>
        <w:tc>
          <w:tcPr>
            <w:tcW w:w="1153" w:type="pct"/>
            <w:tcBorders>
              <w:tl2br w:val="nil"/>
              <w:tr2bl w:val="nil"/>
            </w:tcBorders>
            <w:vAlign w:val="center"/>
          </w:tcPr>
          <w:p>
            <w:pPr>
              <w:widowControl/>
              <w:jc w:val="center"/>
              <w:textAlignment w:val="center"/>
              <w:rPr>
                <w:rFonts w:hint="eastAsia" w:ascii="Times New Roman" w:hAnsi="Times New Roman"/>
                <w:szCs w:val="21"/>
                <w:lang w:val="en-US" w:eastAsia="zh-CN"/>
              </w:rPr>
            </w:pPr>
            <w:r>
              <w:rPr>
                <w:rFonts w:hint="eastAsia" w:ascii="Times New Roman" w:hAnsi="Times New Roman"/>
                <w:szCs w:val="21"/>
              </w:rPr>
              <w:t>0.02L</w:t>
            </w:r>
          </w:p>
        </w:tc>
        <w:tc>
          <w:tcPr>
            <w:tcW w:w="1153" w:type="pct"/>
            <w:tcBorders>
              <w:tl2br w:val="nil"/>
              <w:tr2bl w:val="nil"/>
            </w:tcBorders>
            <w:vAlign w:val="center"/>
          </w:tcPr>
          <w:p>
            <w:pPr>
              <w:widowControl/>
              <w:jc w:val="center"/>
              <w:textAlignment w:val="center"/>
              <w:rPr>
                <w:rFonts w:hint="eastAsia" w:ascii="Times New Roman" w:hAnsi="Times New Roman"/>
                <w:szCs w:val="21"/>
                <w:lang w:val="en-US" w:eastAsia="zh-CN"/>
              </w:rPr>
            </w:pPr>
            <w:r>
              <w:rPr>
                <w:rFonts w:hint="eastAsia" w:ascii="Times New Roman" w:hAnsi="Times New Roman"/>
                <w:szCs w:val="21"/>
              </w:rPr>
              <w:t>0.02L</w:t>
            </w:r>
          </w:p>
        </w:tc>
        <w:tc>
          <w:tcPr>
            <w:tcW w:w="1162" w:type="pct"/>
            <w:tcBorders>
              <w:tl2br w:val="nil"/>
              <w:tr2bl w:val="nil"/>
            </w:tcBorders>
            <w:vAlign w:val="center"/>
          </w:tcPr>
          <w:p>
            <w:pPr>
              <w:widowControl/>
              <w:jc w:val="center"/>
              <w:textAlignment w:val="center"/>
              <w:rPr>
                <w:rFonts w:hint="eastAsia" w:ascii="Times New Roman" w:hAnsi="Times New Roman"/>
                <w:szCs w:val="21"/>
                <w:lang w:val="en-US" w:eastAsia="zh-CN"/>
              </w:rPr>
            </w:pPr>
            <w:r>
              <w:rPr>
                <w:rFonts w:hint="eastAsia" w:ascii="Times New Roman" w:hAnsi="Times New Roman"/>
                <w:szCs w:val="21"/>
              </w:rPr>
              <w:t>0.02L</w:t>
            </w:r>
          </w:p>
        </w:tc>
        <w:tc>
          <w:tcPr>
            <w:tcW w:w="759" w:type="pct"/>
            <w:tcBorders>
              <w:tl2br w:val="nil"/>
              <w:tr2bl w:val="nil"/>
            </w:tcBorders>
            <w:vAlign w:val="center"/>
          </w:tcPr>
          <w:p>
            <w:pPr>
              <w:jc w:val="center"/>
              <w:outlineLvl w:val="0"/>
              <w:rPr>
                <w:rFonts w:ascii="Times New Roman" w:hAnsi="Times New Roman" w:eastAsia="宋体" w:cs="Times New Roman"/>
                <w:kern w:val="2"/>
                <w:sz w:val="21"/>
                <w:szCs w:val="21"/>
                <w:lang w:val="en-US" w:eastAsia="zh-CN" w:bidi="ar-SA"/>
              </w:rPr>
            </w:pPr>
            <w:bookmarkStart w:id="139" w:name="_Toc18557"/>
            <w:bookmarkStart w:id="140" w:name="_Toc6681"/>
            <w:r>
              <w:rPr>
                <w:rFonts w:ascii="Times New Roman" w:hAnsi="Times New Roman"/>
                <w:szCs w:val="21"/>
              </w:rPr>
              <w:t>μg/L</w:t>
            </w:r>
            <w:bookmarkEnd w:id="139"/>
            <w:bookmarkEnd w:id="14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szCs w:val="21"/>
              </w:rPr>
              <w:t>铬（六价）</w:t>
            </w:r>
          </w:p>
        </w:tc>
        <w:tc>
          <w:tcPr>
            <w:tcW w:w="1153" w:type="pct"/>
            <w:tcBorders>
              <w:tl2br w:val="nil"/>
              <w:tr2bl w:val="nil"/>
            </w:tcBorders>
            <w:vAlign w:val="center"/>
          </w:tcPr>
          <w:p>
            <w:pPr>
              <w:widowControl/>
              <w:jc w:val="center"/>
              <w:textAlignment w:val="center"/>
              <w:rPr>
                <w:rFonts w:hint="eastAsia" w:ascii="Times New Roman" w:hAnsi="Times New Roman"/>
                <w:szCs w:val="21"/>
                <w:lang w:val="en-US" w:eastAsia="zh-CN"/>
              </w:rPr>
            </w:pPr>
            <w:r>
              <w:rPr>
                <w:rFonts w:hint="eastAsia" w:ascii="Times New Roman" w:hAnsi="Times New Roman"/>
                <w:szCs w:val="21"/>
              </w:rPr>
              <w:t>0.004L</w:t>
            </w:r>
          </w:p>
        </w:tc>
        <w:tc>
          <w:tcPr>
            <w:tcW w:w="1153" w:type="pct"/>
            <w:tcBorders>
              <w:tl2br w:val="nil"/>
              <w:tr2bl w:val="nil"/>
            </w:tcBorders>
            <w:vAlign w:val="center"/>
          </w:tcPr>
          <w:p>
            <w:pPr>
              <w:widowControl/>
              <w:jc w:val="center"/>
              <w:textAlignment w:val="center"/>
              <w:rPr>
                <w:rFonts w:hint="eastAsia" w:ascii="Times New Roman" w:hAnsi="Times New Roman"/>
                <w:szCs w:val="21"/>
                <w:lang w:val="en-US" w:eastAsia="zh-CN"/>
              </w:rPr>
            </w:pPr>
            <w:r>
              <w:rPr>
                <w:rFonts w:hint="eastAsia" w:ascii="Times New Roman" w:hAnsi="Times New Roman"/>
                <w:szCs w:val="21"/>
              </w:rPr>
              <w:t>0.004L</w:t>
            </w:r>
          </w:p>
        </w:tc>
        <w:tc>
          <w:tcPr>
            <w:tcW w:w="1162" w:type="pct"/>
            <w:tcBorders>
              <w:tl2br w:val="nil"/>
              <w:tr2bl w:val="nil"/>
            </w:tcBorders>
            <w:vAlign w:val="center"/>
          </w:tcPr>
          <w:p>
            <w:pPr>
              <w:widowControl/>
              <w:jc w:val="center"/>
              <w:textAlignment w:val="center"/>
              <w:rPr>
                <w:rFonts w:hint="eastAsia" w:ascii="Times New Roman" w:hAnsi="Times New Roman"/>
                <w:szCs w:val="21"/>
                <w:lang w:val="en-US" w:eastAsia="zh-CN"/>
              </w:rPr>
            </w:pPr>
            <w:r>
              <w:rPr>
                <w:rFonts w:hint="eastAsia" w:ascii="Times New Roman" w:hAnsi="Times New Roman"/>
                <w:szCs w:val="21"/>
              </w:rPr>
              <w:t>0.004L</w:t>
            </w:r>
          </w:p>
        </w:tc>
        <w:tc>
          <w:tcPr>
            <w:tcW w:w="759" w:type="pct"/>
            <w:tcBorders>
              <w:tl2br w:val="nil"/>
              <w:tr2bl w:val="nil"/>
            </w:tcBorders>
            <w:vAlign w:val="center"/>
          </w:tcPr>
          <w:p>
            <w:pPr>
              <w:jc w:val="center"/>
              <w:outlineLvl w:val="0"/>
              <w:rPr>
                <w:rFonts w:ascii="Times New Roman" w:hAnsi="Times New Roman" w:eastAsia="宋体" w:cs="Times New Roman"/>
                <w:kern w:val="2"/>
                <w:sz w:val="21"/>
                <w:szCs w:val="21"/>
                <w:lang w:val="en-US" w:eastAsia="zh-CN" w:bidi="ar-SA"/>
              </w:rPr>
            </w:pPr>
            <w:bookmarkStart w:id="141" w:name="_Toc19542"/>
            <w:bookmarkStart w:id="142" w:name="_Toc22029"/>
            <w:r>
              <w:rPr>
                <w:rFonts w:ascii="Times New Roman" w:hAnsi="Times New Roman"/>
                <w:szCs w:val="21"/>
              </w:rPr>
              <w:t>mg/L</w:t>
            </w:r>
            <w:bookmarkEnd w:id="141"/>
            <w:bookmarkEnd w:id="142"/>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szCs w:val="21"/>
              </w:rPr>
              <w:t>总硬度</w:t>
            </w:r>
          </w:p>
        </w:tc>
        <w:tc>
          <w:tcPr>
            <w:tcW w:w="1153" w:type="pct"/>
            <w:tcBorders>
              <w:tl2br w:val="nil"/>
              <w:tr2bl w:val="nil"/>
            </w:tcBorders>
            <w:vAlign w:val="center"/>
          </w:tcPr>
          <w:p>
            <w:pPr>
              <w:widowControl/>
              <w:jc w:val="center"/>
              <w:textAlignment w:val="center"/>
              <w:rPr>
                <w:rFonts w:hint="default" w:ascii="Times New Roman" w:hAnsi="Times New Roman"/>
                <w:szCs w:val="21"/>
                <w:lang w:val="en-US" w:eastAsia="zh-CN"/>
              </w:rPr>
            </w:pPr>
            <w:r>
              <w:rPr>
                <w:rFonts w:hint="eastAsia" w:ascii="Times New Roman" w:hAnsi="Times New Roman"/>
                <w:szCs w:val="21"/>
                <w:lang w:val="en-US" w:eastAsia="zh-CN"/>
              </w:rPr>
              <w:t>182</w:t>
            </w:r>
          </w:p>
        </w:tc>
        <w:tc>
          <w:tcPr>
            <w:tcW w:w="1153" w:type="pct"/>
            <w:tcBorders>
              <w:tl2br w:val="nil"/>
              <w:tr2bl w:val="nil"/>
            </w:tcBorders>
            <w:vAlign w:val="center"/>
          </w:tcPr>
          <w:p>
            <w:pPr>
              <w:widowControl/>
              <w:jc w:val="center"/>
              <w:textAlignment w:val="center"/>
              <w:rPr>
                <w:rFonts w:hint="default" w:ascii="Times New Roman" w:hAnsi="Times New Roman"/>
                <w:szCs w:val="21"/>
                <w:lang w:val="en-US" w:eastAsia="zh-CN"/>
              </w:rPr>
            </w:pPr>
            <w:r>
              <w:rPr>
                <w:rFonts w:hint="eastAsia" w:ascii="Times New Roman" w:hAnsi="Times New Roman"/>
                <w:szCs w:val="21"/>
                <w:lang w:val="en-US" w:eastAsia="zh-CN"/>
              </w:rPr>
              <w:t>94.2</w:t>
            </w:r>
          </w:p>
        </w:tc>
        <w:tc>
          <w:tcPr>
            <w:tcW w:w="1162" w:type="pct"/>
            <w:tcBorders>
              <w:tl2br w:val="nil"/>
              <w:tr2bl w:val="nil"/>
            </w:tcBorders>
            <w:vAlign w:val="center"/>
          </w:tcPr>
          <w:p>
            <w:pPr>
              <w:widowControl/>
              <w:jc w:val="center"/>
              <w:textAlignment w:val="center"/>
              <w:rPr>
                <w:rFonts w:hint="default" w:ascii="Times New Roman" w:hAnsi="Times New Roman"/>
                <w:szCs w:val="21"/>
                <w:lang w:val="en-US" w:eastAsia="zh-CN"/>
              </w:rPr>
            </w:pPr>
            <w:r>
              <w:rPr>
                <w:rFonts w:hint="eastAsia" w:ascii="Times New Roman" w:hAnsi="Times New Roman"/>
                <w:szCs w:val="21"/>
                <w:lang w:val="en-US" w:eastAsia="zh-CN"/>
              </w:rPr>
              <w:t>50.5</w:t>
            </w:r>
          </w:p>
        </w:tc>
        <w:tc>
          <w:tcPr>
            <w:tcW w:w="759" w:type="pct"/>
            <w:tcBorders>
              <w:tl2br w:val="nil"/>
              <w:tr2bl w:val="nil"/>
            </w:tcBorders>
            <w:vAlign w:val="center"/>
          </w:tcPr>
          <w:p>
            <w:pPr>
              <w:jc w:val="center"/>
              <w:outlineLvl w:val="0"/>
              <w:rPr>
                <w:rFonts w:ascii="Times New Roman" w:hAnsi="Times New Roman" w:eastAsia="宋体" w:cs="Times New Roman"/>
                <w:kern w:val="2"/>
                <w:sz w:val="21"/>
                <w:szCs w:val="21"/>
                <w:lang w:val="en-US" w:eastAsia="zh-CN" w:bidi="ar-SA"/>
              </w:rPr>
            </w:pPr>
            <w:bookmarkStart w:id="143" w:name="_Toc32423"/>
            <w:bookmarkStart w:id="144" w:name="_Toc2322"/>
            <w:r>
              <w:rPr>
                <w:rFonts w:ascii="Times New Roman" w:hAnsi="Times New Roman"/>
                <w:szCs w:val="21"/>
              </w:rPr>
              <w:t>mg/L</w:t>
            </w:r>
            <w:bookmarkEnd w:id="143"/>
            <w:bookmarkEnd w:id="14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szCs w:val="21"/>
              </w:rPr>
              <w:t>氟</w:t>
            </w:r>
          </w:p>
        </w:tc>
        <w:tc>
          <w:tcPr>
            <w:tcW w:w="1153" w:type="pct"/>
            <w:tcBorders>
              <w:tl2br w:val="nil"/>
              <w:tr2bl w:val="nil"/>
            </w:tcBorders>
            <w:vAlign w:val="center"/>
          </w:tcPr>
          <w:p>
            <w:pPr>
              <w:widowControl/>
              <w:jc w:val="center"/>
              <w:textAlignment w:val="center"/>
              <w:rPr>
                <w:rFonts w:hint="default" w:ascii="Times New Roman" w:hAnsi="Times New Roman"/>
                <w:szCs w:val="21"/>
                <w:lang w:val="en-US" w:eastAsia="zh-CN"/>
              </w:rPr>
            </w:pPr>
            <w:r>
              <w:rPr>
                <w:rFonts w:hint="eastAsia" w:ascii="Times New Roman" w:hAnsi="Times New Roman"/>
                <w:szCs w:val="21"/>
                <w:lang w:val="en-US" w:eastAsia="zh-CN"/>
              </w:rPr>
              <w:t>0.258</w:t>
            </w:r>
          </w:p>
        </w:tc>
        <w:tc>
          <w:tcPr>
            <w:tcW w:w="1153" w:type="pct"/>
            <w:tcBorders>
              <w:tl2br w:val="nil"/>
              <w:tr2bl w:val="nil"/>
            </w:tcBorders>
            <w:vAlign w:val="center"/>
          </w:tcPr>
          <w:p>
            <w:pPr>
              <w:widowControl/>
              <w:jc w:val="center"/>
              <w:textAlignment w:val="center"/>
              <w:rPr>
                <w:rFonts w:hint="default" w:ascii="Times New Roman" w:hAnsi="Times New Roman"/>
                <w:szCs w:val="21"/>
                <w:lang w:val="en-US" w:eastAsia="zh-CN"/>
              </w:rPr>
            </w:pPr>
            <w:r>
              <w:rPr>
                <w:rFonts w:hint="eastAsia" w:ascii="Times New Roman" w:hAnsi="Times New Roman"/>
                <w:szCs w:val="21"/>
                <w:lang w:val="en-US" w:eastAsia="zh-CN"/>
              </w:rPr>
              <w:t>0.140</w:t>
            </w:r>
          </w:p>
        </w:tc>
        <w:tc>
          <w:tcPr>
            <w:tcW w:w="1162" w:type="pct"/>
            <w:tcBorders>
              <w:tl2br w:val="nil"/>
              <w:tr2bl w:val="nil"/>
            </w:tcBorders>
            <w:vAlign w:val="center"/>
          </w:tcPr>
          <w:p>
            <w:pPr>
              <w:widowControl/>
              <w:jc w:val="center"/>
              <w:textAlignment w:val="center"/>
              <w:rPr>
                <w:rFonts w:hint="default" w:ascii="Times New Roman" w:hAnsi="Times New Roman"/>
                <w:szCs w:val="21"/>
                <w:lang w:val="en-US" w:eastAsia="zh-CN"/>
              </w:rPr>
            </w:pPr>
            <w:r>
              <w:rPr>
                <w:rFonts w:hint="eastAsia" w:ascii="Times New Roman" w:hAnsi="Times New Roman"/>
                <w:szCs w:val="21"/>
                <w:lang w:val="en-US" w:eastAsia="zh-CN"/>
              </w:rPr>
              <w:t>0.644</w:t>
            </w:r>
          </w:p>
        </w:tc>
        <w:tc>
          <w:tcPr>
            <w:tcW w:w="759" w:type="pct"/>
            <w:tcBorders>
              <w:tl2br w:val="nil"/>
              <w:tr2bl w:val="nil"/>
            </w:tcBorders>
            <w:vAlign w:val="center"/>
          </w:tcPr>
          <w:p>
            <w:pPr>
              <w:jc w:val="center"/>
              <w:outlineLvl w:val="0"/>
              <w:rPr>
                <w:rFonts w:ascii="Times New Roman" w:hAnsi="Times New Roman" w:eastAsia="宋体" w:cs="Times New Roman"/>
                <w:kern w:val="2"/>
                <w:sz w:val="21"/>
                <w:szCs w:val="21"/>
                <w:lang w:val="en-US" w:eastAsia="zh-CN" w:bidi="ar-SA"/>
              </w:rPr>
            </w:pPr>
            <w:bookmarkStart w:id="145" w:name="_Toc23570"/>
            <w:bookmarkStart w:id="146" w:name="_Toc9419"/>
            <w:r>
              <w:rPr>
                <w:rFonts w:ascii="Times New Roman" w:hAnsi="Times New Roman"/>
                <w:szCs w:val="21"/>
              </w:rPr>
              <w:t>mg/L</w:t>
            </w:r>
            <w:bookmarkEnd w:id="145"/>
            <w:bookmarkEnd w:id="146"/>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szCs w:val="21"/>
              </w:rPr>
              <w:t>镉</w:t>
            </w:r>
          </w:p>
        </w:tc>
        <w:tc>
          <w:tcPr>
            <w:tcW w:w="1153" w:type="pct"/>
            <w:tcBorders>
              <w:tl2br w:val="nil"/>
              <w:tr2bl w:val="nil"/>
            </w:tcBorders>
            <w:vAlign w:val="center"/>
          </w:tcPr>
          <w:p>
            <w:pPr>
              <w:widowControl/>
              <w:jc w:val="center"/>
              <w:textAlignment w:val="center"/>
              <w:rPr>
                <w:rFonts w:hint="eastAsia" w:ascii="Times New Roman" w:hAnsi="Times New Roman"/>
                <w:szCs w:val="21"/>
                <w:lang w:val="en-US" w:eastAsia="zh-CN"/>
              </w:rPr>
            </w:pPr>
            <w:r>
              <w:rPr>
                <w:rFonts w:hint="eastAsia" w:ascii="Times New Roman" w:hAnsi="Times New Roman"/>
                <w:szCs w:val="21"/>
              </w:rPr>
              <w:t>0.0005L</w:t>
            </w:r>
          </w:p>
        </w:tc>
        <w:tc>
          <w:tcPr>
            <w:tcW w:w="1153" w:type="pct"/>
            <w:tcBorders>
              <w:tl2br w:val="nil"/>
              <w:tr2bl w:val="nil"/>
            </w:tcBorders>
            <w:vAlign w:val="center"/>
          </w:tcPr>
          <w:p>
            <w:pPr>
              <w:widowControl/>
              <w:jc w:val="center"/>
              <w:textAlignment w:val="center"/>
              <w:rPr>
                <w:rFonts w:hint="eastAsia" w:ascii="Times New Roman" w:hAnsi="Times New Roman"/>
                <w:szCs w:val="21"/>
                <w:lang w:val="en-US" w:eastAsia="zh-CN"/>
              </w:rPr>
            </w:pPr>
            <w:r>
              <w:rPr>
                <w:rFonts w:hint="eastAsia" w:ascii="Times New Roman" w:hAnsi="Times New Roman"/>
                <w:szCs w:val="21"/>
              </w:rPr>
              <w:t>0.0005L</w:t>
            </w:r>
          </w:p>
        </w:tc>
        <w:tc>
          <w:tcPr>
            <w:tcW w:w="1162" w:type="pct"/>
            <w:tcBorders>
              <w:tl2br w:val="nil"/>
              <w:tr2bl w:val="nil"/>
            </w:tcBorders>
            <w:vAlign w:val="center"/>
          </w:tcPr>
          <w:p>
            <w:pPr>
              <w:widowControl/>
              <w:jc w:val="center"/>
              <w:textAlignment w:val="center"/>
              <w:rPr>
                <w:rFonts w:hint="eastAsia" w:ascii="Times New Roman" w:hAnsi="Times New Roman"/>
                <w:szCs w:val="21"/>
                <w:lang w:val="en-US" w:eastAsia="zh-CN"/>
              </w:rPr>
            </w:pPr>
            <w:r>
              <w:rPr>
                <w:rFonts w:hint="eastAsia" w:ascii="Times New Roman" w:hAnsi="Times New Roman"/>
                <w:szCs w:val="21"/>
              </w:rPr>
              <w:t>0.0005L</w:t>
            </w:r>
          </w:p>
        </w:tc>
        <w:tc>
          <w:tcPr>
            <w:tcW w:w="759" w:type="pct"/>
            <w:tcBorders>
              <w:tl2br w:val="nil"/>
              <w:tr2bl w:val="nil"/>
            </w:tcBorders>
            <w:vAlign w:val="center"/>
          </w:tcPr>
          <w:p>
            <w:pPr>
              <w:jc w:val="center"/>
              <w:outlineLvl w:val="0"/>
              <w:rPr>
                <w:rFonts w:ascii="Times New Roman" w:hAnsi="Times New Roman" w:eastAsia="宋体" w:cs="Times New Roman"/>
                <w:kern w:val="2"/>
                <w:sz w:val="21"/>
                <w:szCs w:val="21"/>
                <w:lang w:val="en-US" w:eastAsia="zh-CN" w:bidi="ar-SA"/>
              </w:rPr>
            </w:pPr>
            <w:bookmarkStart w:id="147" w:name="_Toc29320"/>
            <w:bookmarkStart w:id="148" w:name="_Toc24920"/>
            <w:r>
              <w:rPr>
                <w:rFonts w:ascii="Times New Roman" w:hAnsi="Times New Roman"/>
                <w:szCs w:val="21"/>
              </w:rPr>
              <w:t>mg/L</w:t>
            </w:r>
            <w:bookmarkEnd w:id="147"/>
            <w:bookmarkEnd w:id="148"/>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szCs w:val="21"/>
              </w:rPr>
              <w:t>铅</w:t>
            </w:r>
          </w:p>
        </w:tc>
        <w:tc>
          <w:tcPr>
            <w:tcW w:w="1153" w:type="pct"/>
            <w:tcBorders>
              <w:tl2br w:val="nil"/>
              <w:tr2bl w:val="nil"/>
            </w:tcBorders>
            <w:vAlign w:val="center"/>
          </w:tcPr>
          <w:p>
            <w:pPr>
              <w:widowControl/>
              <w:jc w:val="center"/>
              <w:textAlignment w:val="center"/>
              <w:rPr>
                <w:rFonts w:hint="eastAsia" w:ascii="Times New Roman" w:hAnsi="Times New Roman"/>
                <w:szCs w:val="21"/>
                <w:lang w:val="en-US" w:eastAsia="zh-CN"/>
              </w:rPr>
            </w:pPr>
            <w:r>
              <w:rPr>
                <w:rFonts w:hint="eastAsia" w:ascii="Times New Roman" w:hAnsi="Times New Roman"/>
                <w:szCs w:val="21"/>
              </w:rPr>
              <w:t>0.0025L</w:t>
            </w:r>
          </w:p>
        </w:tc>
        <w:tc>
          <w:tcPr>
            <w:tcW w:w="1153" w:type="pct"/>
            <w:tcBorders>
              <w:tl2br w:val="nil"/>
              <w:tr2bl w:val="nil"/>
            </w:tcBorders>
            <w:vAlign w:val="center"/>
          </w:tcPr>
          <w:p>
            <w:pPr>
              <w:widowControl/>
              <w:jc w:val="center"/>
              <w:textAlignment w:val="center"/>
              <w:rPr>
                <w:rFonts w:hint="eastAsia" w:ascii="Times New Roman" w:hAnsi="Times New Roman"/>
                <w:szCs w:val="21"/>
                <w:lang w:val="en-US" w:eastAsia="zh-CN"/>
              </w:rPr>
            </w:pPr>
            <w:r>
              <w:rPr>
                <w:rFonts w:hint="eastAsia" w:ascii="Times New Roman" w:hAnsi="Times New Roman"/>
                <w:szCs w:val="21"/>
              </w:rPr>
              <w:t>0.0025L</w:t>
            </w:r>
          </w:p>
        </w:tc>
        <w:tc>
          <w:tcPr>
            <w:tcW w:w="1162" w:type="pct"/>
            <w:tcBorders>
              <w:tl2br w:val="nil"/>
              <w:tr2bl w:val="nil"/>
            </w:tcBorders>
            <w:vAlign w:val="center"/>
          </w:tcPr>
          <w:p>
            <w:pPr>
              <w:widowControl/>
              <w:jc w:val="center"/>
              <w:textAlignment w:val="center"/>
              <w:rPr>
                <w:rFonts w:hint="eastAsia" w:ascii="Times New Roman" w:hAnsi="Times New Roman"/>
                <w:szCs w:val="21"/>
                <w:lang w:val="en-US" w:eastAsia="zh-CN"/>
              </w:rPr>
            </w:pPr>
            <w:r>
              <w:rPr>
                <w:rFonts w:hint="eastAsia" w:ascii="Times New Roman" w:hAnsi="Times New Roman"/>
                <w:szCs w:val="21"/>
              </w:rPr>
              <w:t>0.0025L</w:t>
            </w:r>
          </w:p>
        </w:tc>
        <w:tc>
          <w:tcPr>
            <w:tcW w:w="759" w:type="pct"/>
            <w:tcBorders>
              <w:tl2br w:val="nil"/>
              <w:tr2bl w:val="nil"/>
            </w:tcBorders>
            <w:vAlign w:val="center"/>
          </w:tcPr>
          <w:p>
            <w:pPr>
              <w:jc w:val="center"/>
              <w:outlineLvl w:val="0"/>
              <w:rPr>
                <w:rFonts w:ascii="Times New Roman" w:hAnsi="Times New Roman" w:eastAsia="宋体" w:cs="Times New Roman"/>
                <w:kern w:val="2"/>
                <w:sz w:val="21"/>
                <w:szCs w:val="21"/>
                <w:lang w:val="en-US" w:eastAsia="zh-CN" w:bidi="ar-SA"/>
              </w:rPr>
            </w:pPr>
            <w:bookmarkStart w:id="149" w:name="_Toc20323"/>
            <w:bookmarkStart w:id="150" w:name="_Toc8835"/>
            <w:r>
              <w:rPr>
                <w:rFonts w:ascii="Times New Roman" w:hAnsi="Times New Roman"/>
                <w:szCs w:val="21"/>
              </w:rPr>
              <w:t>mg/L</w:t>
            </w:r>
            <w:bookmarkEnd w:id="149"/>
            <w:bookmarkEnd w:id="15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szCs w:val="21"/>
              </w:rPr>
              <w:t>铁</w:t>
            </w:r>
          </w:p>
        </w:tc>
        <w:tc>
          <w:tcPr>
            <w:tcW w:w="1153" w:type="pct"/>
            <w:tcBorders>
              <w:tl2br w:val="nil"/>
              <w:tr2bl w:val="nil"/>
            </w:tcBorders>
            <w:vAlign w:val="center"/>
          </w:tcPr>
          <w:p>
            <w:pPr>
              <w:widowControl/>
              <w:jc w:val="center"/>
              <w:textAlignment w:val="center"/>
              <w:rPr>
                <w:rFonts w:hint="default" w:ascii="Times New Roman" w:hAnsi="Times New Roman"/>
                <w:szCs w:val="21"/>
                <w:highlight w:val="none"/>
                <w:lang w:val="en-US" w:eastAsia="zh-CN"/>
              </w:rPr>
            </w:pPr>
            <w:r>
              <w:rPr>
                <w:rFonts w:hint="eastAsia" w:ascii="Times New Roman" w:hAnsi="Times New Roman"/>
                <w:szCs w:val="21"/>
                <w:highlight w:val="none"/>
                <w:lang w:val="en-US" w:eastAsia="zh-CN"/>
              </w:rPr>
              <w:t>0.12</w:t>
            </w:r>
          </w:p>
        </w:tc>
        <w:tc>
          <w:tcPr>
            <w:tcW w:w="1153" w:type="pct"/>
            <w:tcBorders>
              <w:tl2br w:val="nil"/>
              <w:tr2bl w:val="nil"/>
            </w:tcBorders>
            <w:vAlign w:val="center"/>
          </w:tcPr>
          <w:p>
            <w:pPr>
              <w:widowControl/>
              <w:jc w:val="center"/>
              <w:textAlignment w:val="center"/>
              <w:rPr>
                <w:rFonts w:hint="default" w:ascii="Times New Roman" w:hAnsi="Times New Roman"/>
                <w:szCs w:val="21"/>
                <w:highlight w:val="none"/>
                <w:lang w:val="en-US" w:eastAsia="zh-CN"/>
              </w:rPr>
            </w:pPr>
            <w:r>
              <w:rPr>
                <w:rFonts w:hint="eastAsia" w:ascii="Times New Roman" w:hAnsi="Times New Roman"/>
                <w:szCs w:val="21"/>
                <w:highlight w:val="none"/>
                <w:lang w:val="en-US" w:eastAsia="zh-CN"/>
              </w:rPr>
              <w:t>0.14</w:t>
            </w:r>
          </w:p>
        </w:tc>
        <w:tc>
          <w:tcPr>
            <w:tcW w:w="1162" w:type="pct"/>
            <w:tcBorders>
              <w:tl2br w:val="nil"/>
              <w:tr2bl w:val="nil"/>
            </w:tcBorders>
            <w:vAlign w:val="center"/>
          </w:tcPr>
          <w:p>
            <w:pPr>
              <w:widowControl/>
              <w:jc w:val="center"/>
              <w:textAlignment w:val="center"/>
              <w:rPr>
                <w:rFonts w:hint="default" w:ascii="Times New Roman" w:hAnsi="Times New Roman"/>
                <w:szCs w:val="21"/>
                <w:highlight w:val="none"/>
                <w:lang w:val="en-US" w:eastAsia="zh-CN"/>
              </w:rPr>
            </w:pPr>
            <w:r>
              <w:rPr>
                <w:rFonts w:hint="eastAsia" w:ascii="Times New Roman" w:hAnsi="Times New Roman"/>
                <w:szCs w:val="21"/>
                <w:highlight w:val="none"/>
                <w:lang w:val="en-US" w:eastAsia="zh-CN"/>
              </w:rPr>
              <w:t>0.16</w:t>
            </w:r>
          </w:p>
        </w:tc>
        <w:tc>
          <w:tcPr>
            <w:tcW w:w="759" w:type="pct"/>
            <w:tcBorders>
              <w:tl2br w:val="nil"/>
              <w:tr2bl w:val="nil"/>
            </w:tcBorders>
            <w:vAlign w:val="center"/>
          </w:tcPr>
          <w:p>
            <w:pPr>
              <w:jc w:val="center"/>
              <w:outlineLvl w:val="0"/>
              <w:rPr>
                <w:rFonts w:ascii="Times New Roman" w:hAnsi="Times New Roman" w:eastAsia="宋体" w:cs="Times New Roman"/>
                <w:kern w:val="2"/>
                <w:sz w:val="21"/>
                <w:szCs w:val="21"/>
                <w:lang w:val="en-US" w:eastAsia="zh-CN" w:bidi="ar-SA"/>
              </w:rPr>
            </w:pPr>
            <w:bookmarkStart w:id="151" w:name="_Toc31217"/>
            <w:bookmarkStart w:id="152" w:name="_Toc24988"/>
            <w:r>
              <w:rPr>
                <w:rFonts w:ascii="Times New Roman" w:hAnsi="Times New Roman"/>
                <w:szCs w:val="21"/>
              </w:rPr>
              <w:t>mg/L</w:t>
            </w:r>
            <w:bookmarkEnd w:id="151"/>
            <w:bookmarkEnd w:id="152"/>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szCs w:val="21"/>
              </w:rPr>
              <w:t>锰</w:t>
            </w:r>
          </w:p>
        </w:tc>
        <w:tc>
          <w:tcPr>
            <w:tcW w:w="1153" w:type="pct"/>
            <w:tcBorders>
              <w:tl2br w:val="nil"/>
              <w:tr2bl w:val="nil"/>
            </w:tcBorders>
            <w:vAlign w:val="center"/>
          </w:tcPr>
          <w:p>
            <w:pPr>
              <w:widowControl/>
              <w:jc w:val="center"/>
              <w:textAlignment w:val="center"/>
              <w:rPr>
                <w:rFonts w:hint="eastAsia" w:ascii="Times New Roman" w:hAnsi="Times New Roman"/>
                <w:szCs w:val="21"/>
                <w:highlight w:val="none"/>
                <w:lang w:val="en-US" w:eastAsia="zh-CN"/>
              </w:rPr>
            </w:pPr>
            <w:r>
              <w:rPr>
                <w:rFonts w:hint="eastAsia" w:ascii="Times New Roman" w:hAnsi="Times New Roman"/>
                <w:szCs w:val="21"/>
                <w:highlight w:val="none"/>
              </w:rPr>
              <w:t>0.01L</w:t>
            </w:r>
          </w:p>
        </w:tc>
        <w:tc>
          <w:tcPr>
            <w:tcW w:w="1153" w:type="pct"/>
            <w:tcBorders>
              <w:tl2br w:val="nil"/>
              <w:tr2bl w:val="nil"/>
            </w:tcBorders>
            <w:vAlign w:val="center"/>
          </w:tcPr>
          <w:p>
            <w:pPr>
              <w:widowControl/>
              <w:jc w:val="center"/>
              <w:textAlignment w:val="center"/>
              <w:rPr>
                <w:rFonts w:hint="eastAsia" w:ascii="Times New Roman" w:hAnsi="Times New Roman" w:eastAsia="宋体"/>
                <w:szCs w:val="21"/>
                <w:highlight w:val="none"/>
                <w:lang w:val="en-US" w:eastAsia="zh-CN"/>
              </w:rPr>
            </w:pPr>
            <w:r>
              <w:rPr>
                <w:rFonts w:hint="eastAsia" w:ascii="Times New Roman" w:hAnsi="Times New Roman"/>
                <w:szCs w:val="21"/>
                <w:highlight w:val="none"/>
              </w:rPr>
              <w:t>0.0</w:t>
            </w:r>
            <w:r>
              <w:rPr>
                <w:rFonts w:hint="eastAsia" w:ascii="Times New Roman" w:hAnsi="Times New Roman"/>
                <w:szCs w:val="21"/>
                <w:highlight w:val="none"/>
                <w:lang w:val="en-US" w:eastAsia="zh-CN"/>
              </w:rPr>
              <w:t>8</w:t>
            </w:r>
          </w:p>
        </w:tc>
        <w:tc>
          <w:tcPr>
            <w:tcW w:w="1162" w:type="pct"/>
            <w:tcBorders>
              <w:tl2br w:val="nil"/>
              <w:tr2bl w:val="nil"/>
            </w:tcBorders>
            <w:vAlign w:val="center"/>
          </w:tcPr>
          <w:p>
            <w:pPr>
              <w:widowControl/>
              <w:jc w:val="center"/>
              <w:textAlignment w:val="center"/>
              <w:rPr>
                <w:rFonts w:hint="eastAsia" w:ascii="Times New Roman" w:hAnsi="Times New Roman"/>
                <w:szCs w:val="21"/>
                <w:highlight w:val="none"/>
                <w:lang w:val="en-US" w:eastAsia="zh-CN"/>
              </w:rPr>
            </w:pPr>
            <w:r>
              <w:rPr>
                <w:rFonts w:hint="eastAsia" w:ascii="Times New Roman" w:hAnsi="Times New Roman"/>
                <w:szCs w:val="21"/>
                <w:highlight w:val="none"/>
              </w:rPr>
              <w:t>0.01L</w:t>
            </w:r>
          </w:p>
        </w:tc>
        <w:tc>
          <w:tcPr>
            <w:tcW w:w="759" w:type="pct"/>
            <w:tcBorders>
              <w:tl2br w:val="nil"/>
              <w:tr2bl w:val="nil"/>
            </w:tcBorders>
            <w:vAlign w:val="center"/>
          </w:tcPr>
          <w:p>
            <w:pPr>
              <w:jc w:val="center"/>
              <w:outlineLvl w:val="0"/>
              <w:rPr>
                <w:rFonts w:ascii="Times New Roman" w:hAnsi="Times New Roman" w:eastAsia="宋体" w:cs="Times New Roman"/>
                <w:kern w:val="2"/>
                <w:sz w:val="21"/>
                <w:szCs w:val="21"/>
                <w:lang w:val="en-US" w:eastAsia="zh-CN" w:bidi="ar-SA"/>
              </w:rPr>
            </w:pPr>
            <w:bookmarkStart w:id="153" w:name="_Toc25783"/>
            <w:bookmarkStart w:id="154" w:name="_Toc21523"/>
            <w:r>
              <w:rPr>
                <w:rFonts w:ascii="Times New Roman" w:hAnsi="Times New Roman"/>
                <w:szCs w:val="21"/>
              </w:rPr>
              <w:t>mg/L</w:t>
            </w:r>
            <w:bookmarkEnd w:id="153"/>
            <w:bookmarkEnd w:id="15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szCs w:val="21"/>
              </w:rPr>
              <w:t>溶解性总固体</w:t>
            </w:r>
          </w:p>
        </w:tc>
        <w:tc>
          <w:tcPr>
            <w:tcW w:w="1153" w:type="pct"/>
            <w:tcBorders>
              <w:tl2br w:val="nil"/>
              <w:tr2bl w:val="nil"/>
            </w:tcBorders>
            <w:vAlign w:val="center"/>
          </w:tcPr>
          <w:p>
            <w:pPr>
              <w:widowControl/>
              <w:jc w:val="center"/>
              <w:textAlignment w:val="center"/>
              <w:rPr>
                <w:rFonts w:hint="default" w:ascii="Times New Roman" w:hAnsi="Times New Roman"/>
                <w:szCs w:val="21"/>
                <w:lang w:val="en-US" w:eastAsia="zh-CN"/>
              </w:rPr>
            </w:pPr>
            <w:r>
              <w:rPr>
                <w:rFonts w:hint="eastAsia" w:ascii="Times New Roman" w:hAnsi="Times New Roman"/>
                <w:szCs w:val="21"/>
                <w:lang w:val="en-US" w:eastAsia="zh-CN"/>
              </w:rPr>
              <w:t>231</w:t>
            </w:r>
          </w:p>
        </w:tc>
        <w:tc>
          <w:tcPr>
            <w:tcW w:w="1153" w:type="pct"/>
            <w:tcBorders>
              <w:tl2br w:val="nil"/>
              <w:tr2bl w:val="nil"/>
            </w:tcBorders>
            <w:vAlign w:val="center"/>
          </w:tcPr>
          <w:p>
            <w:pPr>
              <w:widowControl/>
              <w:jc w:val="center"/>
              <w:textAlignment w:val="center"/>
              <w:rPr>
                <w:rFonts w:hint="default" w:ascii="Times New Roman" w:hAnsi="Times New Roman"/>
                <w:szCs w:val="21"/>
                <w:lang w:val="en-US" w:eastAsia="zh-CN"/>
              </w:rPr>
            </w:pPr>
            <w:r>
              <w:rPr>
                <w:rFonts w:hint="eastAsia" w:ascii="Times New Roman" w:hAnsi="Times New Roman"/>
                <w:szCs w:val="21"/>
                <w:lang w:val="en-US" w:eastAsia="zh-CN"/>
              </w:rPr>
              <w:t>133</w:t>
            </w:r>
          </w:p>
        </w:tc>
        <w:tc>
          <w:tcPr>
            <w:tcW w:w="1162" w:type="pct"/>
            <w:tcBorders>
              <w:tl2br w:val="nil"/>
              <w:tr2bl w:val="nil"/>
            </w:tcBorders>
            <w:vAlign w:val="center"/>
          </w:tcPr>
          <w:p>
            <w:pPr>
              <w:widowControl/>
              <w:jc w:val="center"/>
              <w:textAlignment w:val="center"/>
              <w:rPr>
                <w:rFonts w:hint="default" w:ascii="Times New Roman" w:hAnsi="Times New Roman"/>
                <w:szCs w:val="21"/>
                <w:lang w:val="en-US" w:eastAsia="zh-CN"/>
              </w:rPr>
            </w:pPr>
            <w:r>
              <w:rPr>
                <w:rFonts w:hint="eastAsia" w:ascii="Times New Roman" w:hAnsi="Times New Roman"/>
                <w:szCs w:val="21"/>
                <w:lang w:val="en-US" w:eastAsia="zh-CN"/>
              </w:rPr>
              <w:t>76.3</w:t>
            </w:r>
          </w:p>
        </w:tc>
        <w:tc>
          <w:tcPr>
            <w:tcW w:w="759" w:type="pct"/>
            <w:tcBorders>
              <w:tl2br w:val="nil"/>
              <w:tr2bl w:val="nil"/>
            </w:tcBorders>
            <w:vAlign w:val="center"/>
          </w:tcPr>
          <w:p>
            <w:pPr>
              <w:jc w:val="center"/>
              <w:outlineLvl w:val="0"/>
              <w:rPr>
                <w:rFonts w:ascii="Times New Roman" w:hAnsi="Times New Roman" w:eastAsia="宋体" w:cs="Times New Roman"/>
                <w:kern w:val="2"/>
                <w:sz w:val="21"/>
                <w:szCs w:val="21"/>
                <w:lang w:val="en-US" w:eastAsia="zh-CN" w:bidi="ar-SA"/>
              </w:rPr>
            </w:pPr>
            <w:bookmarkStart w:id="155" w:name="_Toc7077"/>
            <w:bookmarkStart w:id="156" w:name="_Toc1719"/>
            <w:r>
              <w:rPr>
                <w:rFonts w:ascii="Times New Roman" w:hAnsi="Times New Roman"/>
                <w:szCs w:val="21"/>
              </w:rPr>
              <w:t>mg/L</w:t>
            </w:r>
            <w:bookmarkEnd w:id="155"/>
            <w:bookmarkEnd w:id="156"/>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widowControl/>
              <w:jc w:val="center"/>
              <w:textAlignment w:val="center"/>
              <w:rPr>
                <w:rFonts w:ascii="Times New Roman" w:hAnsi="Times New Roman" w:eastAsia="宋体" w:cs="Times New Roman"/>
                <w:kern w:val="2"/>
                <w:sz w:val="21"/>
                <w:szCs w:val="21"/>
                <w:lang w:val="en-US" w:eastAsia="zh-CN" w:bidi="ar-SA"/>
              </w:rPr>
            </w:pPr>
            <w:r>
              <w:rPr>
                <w:rStyle w:val="731"/>
                <w:rFonts w:hint="default" w:ascii="Times New Roman" w:hAnsi="Times New Roman" w:cs="Times New Roman"/>
                <w:color w:val="auto"/>
                <w:lang w:bidi="ar"/>
              </w:rPr>
              <w:t>耗氧量（</w:t>
            </w:r>
            <w:r>
              <w:rPr>
                <w:rFonts w:ascii="Times New Roman" w:hAnsi="Times New Roman"/>
                <w:kern w:val="0"/>
                <w:szCs w:val="21"/>
                <w:lang w:bidi="ar"/>
              </w:rPr>
              <w:t>COD</w:t>
            </w:r>
            <w:r>
              <w:rPr>
                <w:rFonts w:ascii="Times New Roman" w:hAnsi="Times New Roman"/>
                <w:kern w:val="0"/>
                <w:szCs w:val="21"/>
                <w:vertAlign w:val="subscript"/>
                <w:lang w:bidi="ar"/>
              </w:rPr>
              <w:t>Mn</w:t>
            </w:r>
            <w:r>
              <w:rPr>
                <w:rStyle w:val="731"/>
                <w:rFonts w:hint="default" w:ascii="Times New Roman" w:hAnsi="Times New Roman" w:cs="Times New Roman"/>
                <w:color w:val="auto"/>
                <w:lang w:bidi="ar"/>
              </w:rPr>
              <w:t>法）</w:t>
            </w:r>
          </w:p>
        </w:tc>
        <w:tc>
          <w:tcPr>
            <w:tcW w:w="1153" w:type="pct"/>
            <w:tcBorders>
              <w:tl2br w:val="nil"/>
              <w:tr2bl w:val="nil"/>
            </w:tcBorders>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2.5</w:t>
            </w:r>
          </w:p>
        </w:tc>
        <w:tc>
          <w:tcPr>
            <w:tcW w:w="1153" w:type="pct"/>
            <w:tcBorders>
              <w:tl2br w:val="nil"/>
              <w:tr2bl w:val="nil"/>
            </w:tcBorders>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1.2</w:t>
            </w:r>
          </w:p>
        </w:tc>
        <w:tc>
          <w:tcPr>
            <w:tcW w:w="1162" w:type="pct"/>
            <w:tcBorders>
              <w:tl2br w:val="nil"/>
              <w:tr2bl w:val="nil"/>
            </w:tcBorders>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0.8</w:t>
            </w:r>
          </w:p>
        </w:tc>
        <w:tc>
          <w:tcPr>
            <w:tcW w:w="759" w:type="pct"/>
            <w:tcBorders>
              <w:tl2br w:val="nil"/>
              <w:tr2bl w:val="nil"/>
            </w:tcBorders>
            <w:vAlign w:val="center"/>
          </w:tcPr>
          <w:p>
            <w:pPr>
              <w:jc w:val="center"/>
              <w:outlineLvl w:val="0"/>
              <w:rPr>
                <w:rFonts w:ascii="Times New Roman" w:hAnsi="Times New Roman" w:eastAsia="宋体" w:cs="Times New Roman"/>
                <w:kern w:val="2"/>
                <w:sz w:val="21"/>
                <w:szCs w:val="21"/>
                <w:lang w:val="en-US" w:eastAsia="zh-CN" w:bidi="ar-SA"/>
              </w:rPr>
            </w:pPr>
            <w:bookmarkStart w:id="157" w:name="_Toc98"/>
            <w:bookmarkStart w:id="158" w:name="_Toc29130"/>
            <w:r>
              <w:rPr>
                <w:rFonts w:ascii="Times New Roman" w:hAnsi="Times New Roman"/>
                <w:szCs w:val="21"/>
              </w:rPr>
              <w:t>mg/L</w:t>
            </w:r>
            <w:bookmarkEnd w:id="157"/>
            <w:bookmarkEnd w:id="158"/>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hint="default" w:ascii="Times New Roman" w:hAnsi="Times New Roman" w:eastAsia="宋体" w:cs="Times New Roman"/>
                <w:kern w:val="2"/>
                <w:sz w:val="21"/>
                <w:szCs w:val="21"/>
                <w:lang w:val="en-US" w:eastAsia="zh-CN" w:bidi="ar-SA"/>
              </w:rPr>
            </w:pPr>
            <w:r>
              <w:rPr>
                <w:rFonts w:ascii="Times New Roman" w:hAnsi="Times New Roman"/>
                <w:szCs w:val="21"/>
              </w:rPr>
              <w:t>硫酸盐</w:t>
            </w:r>
          </w:p>
        </w:tc>
        <w:tc>
          <w:tcPr>
            <w:tcW w:w="1153" w:type="pct"/>
            <w:tcBorders>
              <w:tl2br w:val="nil"/>
              <w:tr2bl w:val="nil"/>
            </w:tcBorders>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szCs w:val="21"/>
                <w:lang w:val="en-US" w:eastAsia="zh-CN"/>
              </w:rPr>
              <w:t>3.20</w:t>
            </w:r>
          </w:p>
        </w:tc>
        <w:tc>
          <w:tcPr>
            <w:tcW w:w="1153" w:type="pct"/>
            <w:tcBorders>
              <w:tl2br w:val="nil"/>
              <w:tr2bl w:val="nil"/>
            </w:tcBorders>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szCs w:val="21"/>
                <w:lang w:val="en-US" w:eastAsia="zh-CN"/>
              </w:rPr>
              <w:t>15.4</w:t>
            </w:r>
          </w:p>
        </w:tc>
        <w:tc>
          <w:tcPr>
            <w:tcW w:w="1162" w:type="pct"/>
            <w:tcBorders>
              <w:tl2br w:val="nil"/>
              <w:tr2bl w:val="nil"/>
            </w:tcBorders>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szCs w:val="21"/>
                <w:lang w:val="en-US" w:eastAsia="zh-CN"/>
              </w:rPr>
              <w:t>4.26</w:t>
            </w:r>
          </w:p>
        </w:tc>
        <w:tc>
          <w:tcPr>
            <w:tcW w:w="759" w:type="pct"/>
            <w:tcBorders>
              <w:tl2br w:val="nil"/>
              <w:tr2bl w:val="nil"/>
            </w:tcBorders>
            <w:vAlign w:val="center"/>
          </w:tcPr>
          <w:p>
            <w:pPr>
              <w:jc w:val="center"/>
              <w:outlineLvl w:val="0"/>
              <w:rPr>
                <w:rFonts w:ascii="Times New Roman" w:hAnsi="Times New Roman" w:eastAsia="宋体" w:cs="Times New Roman"/>
                <w:kern w:val="2"/>
                <w:sz w:val="21"/>
                <w:szCs w:val="21"/>
                <w:lang w:val="en-US" w:eastAsia="zh-CN" w:bidi="ar-SA"/>
              </w:rPr>
            </w:pPr>
            <w:bookmarkStart w:id="159" w:name="_Toc7296"/>
            <w:bookmarkStart w:id="160" w:name="_Toc3979"/>
            <w:r>
              <w:rPr>
                <w:rFonts w:ascii="Times New Roman" w:hAnsi="Times New Roman"/>
                <w:szCs w:val="21"/>
              </w:rPr>
              <w:t>mg/L</w:t>
            </w:r>
            <w:bookmarkEnd w:id="159"/>
            <w:bookmarkEnd w:id="16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szCs w:val="21"/>
              </w:rPr>
            </w:pPr>
            <w:r>
              <w:rPr>
                <w:rFonts w:ascii="Times New Roman" w:hAnsi="Times New Roman"/>
                <w:szCs w:val="21"/>
              </w:rPr>
              <w:t>氯化物</w:t>
            </w:r>
          </w:p>
        </w:tc>
        <w:tc>
          <w:tcPr>
            <w:tcW w:w="1153" w:type="pct"/>
            <w:tcBorders>
              <w:tl2br w:val="nil"/>
              <w:tr2bl w:val="nil"/>
            </w:tcBorders>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eastAsia" w:ascii="Times New Roman" w:hAnsi="Times New Roman"/>
                <w:szCs w:val="21"/>
                <w:lang w:val="en-US" w:eastAsia="zh-CN"/>
              </w:rPr>
              <w:t>56.6</w:t>
            </w:r>
          </w:p>
        </w:tc>
        <w:tc>
          <w:tcPr>
            <w:tcW w:w="1153" w:type="pct"/>
            <w:tcBorders>
              <w:tl2br w:val="nil"/>
              <w:tr2bl w:val="nil"/>
            </w:tcBorders>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eastAsia" w:ascii="Times New Roman" w:hAnsi="Times New Roman"/>
                <w:szCs w:val="21"/>
                <w:lang w:val="en-US" w:eastAsia="zh-CN"/>
              </w:rPr>
              <w:t>7.94</w:t>
            </w:r>
          </w:p>
        </w:tc>
        <w:tc>
          <w:tcPr>
            <w:tcW w:w="1162" w:type="pct"/>
            <w:tcBorders>
              <w:tl2br w:val="nil"/>
              <w:tr2bl w:val="nil"/>
            </w:tcBorders>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eastAsia" w:ascii="Times New Roman" w:hAnsi="Times New Roman"/>
                <w:szCs w:val="21"/>
                <w:lang w:val="en-US" w:eastAsia="zh-CN"/>
              </w:rPr>
              <w:t>2.21</w:t>
            </w:r>
          </w:p>
        </w:tc>
        <w:tc>
          <w:tcPr>
            <w:tcW w:w="759" w:type="pct"/>
            <w:tcBorders>
              <w:tl2br w:val="nil"/>
              <w:tr2bl w:val="nil"/>
            </w:tcBorders>
            <w:vAlign w:val="center"/>
          </w:tcPr>
          <w:p>
            <w:pPr>
              <w:jc w:val="center"/>
              <w:outlineLvl w:val="0"/>
              <w:rPr>
                <w:rFonts w:ascii="Times New Roman" w:hAnsi="Times New Roman"/>
                <w:szCs w:val="21"/>
              </w:rPr>
            </w:pPr>
            <w:bookmarkStart w:id="161" w:name="_Toc6853"/>
            <w:bookmarkStart w:id="162" w:name="_Toc31522"/>
            <w:r>
              <w:rPr>
                <w:rFonts w:ascii="Times New Roman" w:hAnsi="Times New Roman"/>
                <w:szCs w:val="21"/>
              </w:rPr>
              <w:t>mg/L</w:t>
            </w:r>
            <w:bookmarkEnd w:id="161"/>
            <w:bookmarkEnd w:id="162"/>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szCs w:val="21"/>
              </w:rPr>
            </w:pPr>
            <w:r>
              <w:rPr>
                <w:rFonts w:ascii="Times New Roman" w:hAnsi="Times New Roman"/>
                <w:szCs w:val="21"/>
              </w:rPr>
              <w:t>总大肠菌群</w:t>
            </w:r>
          </w:p>
        </w:tc>
        <w:tc>
          <w:tcPr>
            <w:tcW w:w="1153" w:type="pct"/>
            <w:tcBorders>
              <w:tl2br w:val="nil"/>
              <w:tr2bl w:val="nil"/>
            </w:tcBorders>
            <w:vAlign w:val="center"/>
          </w:tcPr>
          <w:p>
            <w:pPr>
              <w:widowControl/>
              <w:jc w:val="center"/>
              <w:textAlignment w:val="center"/>
              <w:rPr>
                <w:rFonts w:ascii="Times New Roman" w:hAnsi="Times New Roman"/>
                <w:szCs w:val="21"/>
              </w:rPr>
            </w:pPr>
            <w:r>
              <w:rPr>
                <w:rFonts w:ascii="Times New Roman" w:hAnsi="Times New Roman"/>
                <w:szCs w:val="21"/>
              </w:rPr>
              <w:t>&lt;2</w:t>
            </w:r>
          </w:p>
        </w:tc>
        <w:tc>
          <w:tcPr>
            <w:tcW w:w="1153" w:type="pct"/>
            <w:tcBorders>
              <w:tl2br w:val="nil"/>
              <w:tr2bl w:val="nil"/>
            </w:tcBorders>
            <w:vAlign w:val="center"/>
          </w:tcPr>
          <w:p>
            <w:pPr>
              <w:widowControl/>
              <w:jc w:val="center"/>
              <w:textAlignment w:val="center"/>
              <w:rPr>
                <w:rFonts w:ascii="Times New Roman" w:hAnsi="Times New Roman"/>
                <w:szCs w:val="21"/>
              </w:rPr>
            </w:pPr>
            <w:r>
              <w:rPr>
                <w:rFonts w:ascii="Times New Roman" w:hAnsi="Times New Roman"/>
                <w:szCs w:val="21"/>
              </w:rPr>
              <w:t>&lt;2</w:t>
            </w:r>
          </w:p>
        </w:tc>
        <w:tc>
          <w:tcPr>
            <w:tcW w:w="1162" w:type="pct"/>
            <w:tcBorders>
              <w:tl2br w:val="nil"/>
              <w:tr2bl w:val="nil"/>
            </w:tcBorders>
            <w:vAlign w:val="center"/>
          </w:tcPr>
          <w:p>
            <w:pPr>
              <w:widowControl/>
              <w:jc w:val="center"/>
              <w:textAlignment w:val="center"/>
              <w:rPr>
                <w:rFonts w:ascii="Times New Roman" w:hAnsi="Times New Roman"/>
                <w:szCs w:val="21"/>
              </w:rPr>
            </w:pPr>
            <w:r>
              <w:rPr>
                <w:rFonts w:ascii="Times New Roman" w:hAnsi="Times New Roman"/>
                <w:szCs w:val="21"/>
              </w:rPr>
              <w:t>&lt;2</w:t>
            </w:r>
          </w:p>
        </w:tc>
        <w:tc>
          <w:tcPr>
            <w:tcW w:w="759" w:type="pct"/>
            <w:tcBorders>
              <w:tl2br w:val="nil"/>
              <w:tr2bl w:val="nil"/>
            </w:tcBorders>
            <w:vAlign w:val="center"/>
          </w:tcPr>
          <w:p>
            <w:pPr>
              <w:jc w:val="center"/>
              <w:outlineLvl w:val="0"/>
              <w:rPr>
                <w:rFonts w:ascii="Times New Roman" w:hAnsi="Times New Roman"/>
                <w:szCs w:val="21"/>
              </w:rPr>
            </w:pPr>
            <w:bookmarkStart w:id="163" w:name="_Toc20575"/>
            <w:bookmarkStart w:id="164" w:name="_Toc1901"/>
            <w:r>
              <w:rPr>
                <w:rFonts w:hint="eastAsia" w:ascii="Times New Roman" w:hAnsi="Times New Roman"/>
                <w:szCs w:val="21"/>
              </w:rPr>
              <w:t>CFU</w:t>
            </w:r>
            <w:r>
              <w:rPr>
                <w:rFonts w:ascii="Times New Roman" w:hAnsi="Times New Roman"/>
                <w:szCs w:val="21"/>
              </w:rPr>
              <w:t>/100mL</w:t>
            </w:r>
            <w:bookmarkEnd w:id="163"/>
            <w:bookmarkEnd w:id="16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70" w:type="pct"/>
            <w:tcBorders>
              <w:tl2br w:val="nil"/>
              <w:tr2bl w:val="nil"/>
            </w:tcBorders>
            <w:vAlign w:val="center"/>
          </w:tcPr>
          <w:p>
            <w:pPr>
              <w:jc w:val="center"/>
              <w:rPr>
                <w:rFonts w:ascii="Times New Roman" w:hAnsi="Times New Roman"/>
                <w:szCs w:val="21"/>
              </w:rPr>
            </w:pPr>
            <w:r>
              <w:rPr>
                <w:rFonts w:ascii="Times New Roman" w:hAnsi="Times New Roman"/>
                <w:szCs w:val="21"/>
              </w:rPr>
              <w:t>细菌总数</w:t>
            </w:r>
          </w:p>
        </w:tc>
        <w:tc>
          <w:tcPr>
            <w:tcW w:w="1153" w:type="pct"/>
            <w:tcBorders>
              <w:tl2br w:val="nil"/>
              <w:tr2bl w:val="nil"/>
            </w:tcBorders>
            <w:vAlign w:val="center"/>
          </w:tcPr>
          <w:p>
            <w:pPr>
              <w:widowControl/>
              <w:jc w:val="center"/>
              <w:textAlignment w:val="center"/>
              <w:rPr>
                <w:rFonts w:hint="default" w:ascii="Times New Roman" w:hAnsi="Times New Roman" w:eastAsia="宋体"/>
                <w:szCs w:val="21"/>
                <w:lang w:val="en-US" w:eastAsia="zh-CN"/>
              </w:rPr>
            </w:pPr>
            <w:r>
              <w:rPr>
                <w:rFonts w:hint="eastAsia" w:ascii="Times New Roman" w:hAnsi="Times New Roman"/>
                <w:szCs w:val="21"/>
                <w:lang w:val="en-US" w:eastAsia="zh-CN"/>
              </w:rPr>
              <w:t>71</w:t>
            </w:r>
          </w:p>
        </w:tc>
        <w:tc>
          <w:tcPr>
            <w:tcW w:w="1153" w:type="pct"/>
            <w:tcBorders>
              <w:tl2br w:val="nil"/>
              <w:tr2bl w:val="nil"/>
            </w:tcBorders>
            <w:vAlign w:val="center"/>
          </w:tcPr>
          <w:p>
            <w:pPr>
              <w:widowControl/>
              <w:jc w:val="center"/>
              <w:textAlignment w:val="center"/>
              <w:rPr>
                <w:rFonts w:hint="default" w:ascii="Times New Roman" w:hAnsi="Times New Roman" w:eastAsia="宋体"/>
                <w:szCs w:val="21"/>
                <w:lang w:val="en-US" w:eastAsia="zh-CN"/>
              </w:rPr>
            </w:pPr>
            <w:r>
              <w:rPr>
                <w:rFonts w:hint="eastAsia" w:ascii="Times New Roman" w:hAnsi="Times New Roman"/>
                <w:szCs w:val="21"/>
                <w:lang w:val="en-US" w:eastAsia="zh-CN"/>
              </w:rPr>
              <w:t>65</w:t>
            </w:r>
          </w:p>
        </w:tc>
        <w:tc>
          <w:tcPr>
            <w:tcW w:w="1162" w:type="pct"/>
            <w:tcBorders>
              <w:tl2br w:val="nil"/>
              <w:tr2bl w:val="nil"/>
            </w:tcBorders>
            <w:vAlign w:val="center"/>
          </w:tcPr>
          <w:p>
            <w:pPr>
              <w:widowControl/>
              <w:jc w:val="center"/>
              <w:textAlignment w:val="center"/>
              <w:rPr>
                <w:rFonts w:hint="default" w:ascii="Times New Roman" w:hAnsi="Times New Roman" w:eastAsia="宋体"/>
                <w:szCs w:val="21"/>
                <w:lang w:val="en-US" w:eastAsia="zh-CN"/>
              </w:rPr>
            </w:pPr>
            <w:r>
              <w:rPr>
                <w:rFonts w:hint="eastAsia" w:ascii="Times New Roman" w:hAnsi="Times New Roman"/>
                <w:szCs w:val="21"/>
                <w:lang w:val="en-US" w:eastAsia="zh-CN"/>
              </w:rPr>
              <w:t>32</w:t>
            </w:r>
          </w:p>
        </w:tc>
        <w:tc>
          <w:tcPr>
            <w:tcW w:w="759" w:type="pct"/>
            <w:tcBorders>
              <w:tl2br w:val="nil"/>
              <w:tr2bl w:val="nil"/>
            </w:tcBorders>
            <w:vAlign w:val="center"/>
          </w:tcPr>
          <w:p>
            <w:pPr>
              <w:jc w:val="center"/>
              <w:outlineLvl w:val="0"/>
              <w:rPr>
                <w:rFonts w:ascii="Times New Roman" w:hAnsi="Times New Roman"/>
                <w:szCs w:val="21"/>
              </w:rPr>
            </w:pPr>
            <w:bookmarkStart w:id="165" w:name="_Toc5361"/>
            <w:bookmarkStart w:id="166" w:name="_Toc11554"/>
            <w:r>
              <w:rPr>
                <w:rFonts w:ascii="Times New Roman" w:hAnsi="Times New Roman"/>
                <w:szCs w:val="21"/>
              </w:rPr>
              <w:t>CFU/mL</w:t>
            </w:r>
            <w:bookmarkEnd w:id="165"/>
            <w:bookmarkEnd w:id="166"/>
          </w:p>
        </w:tc>
      </w:tr>
    </w:tbl>
    <w:p>
      <w:pPr>
        <w:spacing w:line="360" w:lineRule="auto"/>
        <w:jc w:val="center"/>
        <w:rPr>
          <w:b/>
          <w:color w:val="auto"/>
          <w:kern w:val="0"/>
          <w:sz w:val="24"/>
        </w:rPr>
      </w:pPr>
      <w:r>
        <w:rPr>
          <w:b/>
          <w:color w:val="auto"/>
          <w:kern w:val="0"/>
          <w:sz w:val="24"/>
        </w:rPr>
        <w:t>表4-2-</w:t>
      </w:r>
      <w:r>
        <w:rPr>
          <w:rFonts w:hint="eastAsia"/>
          <w:b/>
          <w:color w:val="auto"/>
          <w:kern w:val="0"/>
          <w:sz w:val="24"/>
        </w:rPr>
        <w:t>7</w:t>
      </w:r>
      <w:r>
        <w:rPr>
          <w:b/>
          <w:color w:val="auto"/>
          <w:kern w:val="0"/>
          <w:sz w:val="24"/>
        </w:rPr>
        <w:t>地下水水位监测结果</w:t>
      </w:r>
    </w:p>
    <w:tbl>
      <w:tblPr>
        <w:tblStyle w:val="46"/>
        <w:tblW w:w="8897"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874"/>
        <w:gridCol w:w="1462"/>
        <w:gridCol w:w="1718"/>
        <w:gridCol w:w="1718"/>
        <w:gridCol w:w="212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1874" w:type="dxa"/>
            <w:vAlign w:val="center"/>
          </w:tcPr>
          <w:p>
            <w:pPr>
              <w:jc w:val="center"/>
              <w:rPr>
                <w:b/>
                <w:bCs/>
                <w:color w:val="auto"/>
                <w:szCs w:val="21"/>
              </w:rPr>
            </w:pPr>
            <w:r>
              <w:rPr>
                <w:b/>
                <w:bCs/>
                <w:color w:val="auto"/>
                <w:szCs w:val="21"/>
              </w:rPr>
              <w:t>监测点位</w:t>
            </w:r>
          </w:p>
        </w:tc>
        <w:tc>
          <w:tcPr>
            <w:tcW w:w="1462" w:type="dxa"/>
            <w:vAlign w:val="center"/>
          </w:tcPr>
          <w:p>
            <w:pPr>
              <w:jc w:val="center"/>
              <w:rPr>
                <w:b/>
                <w:bCs/>
                <w:color w:val="auto"/>
                <w:szCs w:val="21"/>
              </w:rPr>
            </w:pPr>
            <w:r>
              <w:rPr>
                <w:b/>
                <w:bCs/>
                <w:color w:val="auto"/>
                <w:szCs w:val="21"/>
              </w:rPr>
              <w:t>水位</w:t>
            </w:r>
          </w:p>
        </w:tc>
        <w:tc>
          <w:tcPr>
            <w:tcW w:w="1718" w:type="dxa"/>
          </w:tcPr>
          <w:p>
            <w:pPr>
              <w:jc w:val="center"/>
              <w:rPr>
                <w:b/>
                <w:bCs/>
                <w:color w:val="auto"/>
                <w:szCs w:val="21"/>
              </w:rPr>
            </w:pPr>
            <w:r>
              <w:rPr>
                <w:rFonts w:hint="eastAsia"/>
                <w:b/>
                <w:bCs/>
                <w:color w:val="auto"/>
                <w:szCs w:val="21"/>
              </w:rPr>
              <w:t>井</w:t>
            </w:r>
            <w:r>
              <w:rPr>
                <w:b/>
                <w:bCs/>
                <w:color w:val="auto"/>
                <w:szCs w:val="21"/>
              </w:rPr>
              <w:t>深</w:t>
            </w:r>
          </w:p>
        </w:tc>
        <w:tc>
          <w:tcPr>
            <w:tcW w:w="1718" w:type="dxa"/>
          </w:tcPr>
          <w:p>
            <w:pPr>
              <w:jc w:val="center"/>
              <w:rPr>
                <w:b/>
                <w:bCs/>
                <w:color w:val="auto"/>
                <w:szCs w:val="21"/>
              </w:rPr>
            </w:pPr>
            <w:r>
              <w:rPr>
                <w:b/>
                <w:bCs/>
                <w:color w:val="auto"/>
                <w:szCs w:val="21"/>
              </w:rPr>
              <w:t>含水层</w:t>
            </w:r>
          </w:p>
        </w:tc>
        <w:tc>
          <w:tcPr>
            <w:tcW w:w="2125" w:type="dxa"/>
          </w:tcPr>
          <w:p>
            <w:pPr>
              <w:jc w:val="center"/>
              <w:rPr>
                <w:b/>
                <w:bCs/>
                <w:color w:val="auto"/>
                <w:szCs w:val="21"/>
              </w:rPr>
            </w:pPr>
            <w:r>
              <w:rPr>
                <w:b/>
                <w:bCs/>
                <w:color w:val="auto"/>
                <w:szCs w:val="21"/>
              </w:rPr>
              <w:t>使用功能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1874" w:type="dxa"/>
            <w:vAlign w:val="center"/>
          </w:tcPr>
          <w:p>
            <w:pPr>
              <w:adjustRightInd w:val="0"/>
              <w:snapToGrid w:val="0"/>
              <w:spacing w:line="240" w:lineRule="auto"/>
              <w:ind w:firstLine="0" w:firstLineChars="0"/>
              <w:jc w:val="center"/>
              <w:rPr>
                <w:color w:val="auto"/>
                <w:szCs w:val="21"/>
              </w:rPr>
            </w:pPr>
            <w:r>
              <w:rPr>
                <w:rFonts w:hint="default" w:ascii="Times New Roman" w:hAnsi="Times New Roman" w:cs="Times New Roman"/>
                <w:color w:val="auto"/>
                <w:sz w:val="21"/>
                <w:szCs w:val="21"/>
                <w:highlight w:val="none"/>
              </w:rPr>
              <w:t>1#</w:t>
            </w:r>
          </w:p>
        </w:tc>
        <w:tc>
          <w:tcPr>
            <w:tcW w:w="1462" w:type="dxa"/>
          </w:tcPr>
          <w:p>
            <w:pPr>
              <w:jc w:val="center"/>
              <w:rPr>
                <w:color w:val="auto"/>
              </w:rPr>
            </w:pPr>
            <w:r>
              <w:rPr>
                <w:rFonts w:hint="eastAsia"/>
                <w:color w:val="auto"/>
                <w:lang w:val="en-US" w:eastAsia="zh-CN"/>
              </w:rPr>
              <w:t>10</w:t>
            </w:r>
            <w:r>
              <w:rPr>
                <w:color w:val="auto"/>
              </w:rPr>
              <w:t>m</w:t>
            </w:r>
          </w:p>
        </w:tc>
        <w:tc>
          <w:tcPr>
            <w:tcW w:w="1718" w:type="dxa"/>
          </w:tcPr>
          <w:p>
            <w:pPr>
              <w:jc w:val="center"/>
              <w:rPr>
                <w:color w:val="auto"/>
                <w:szCs w:val="22"/>
              </w:rPr>
            </w:pPr>
            <w:r>
              <w:rPr>
                <w:rFonts w:hint="eastAsia"/>
                <w:color w:val="auto"/>
                <w:lang w:val="en-US" w:eastAsia="zh-CN"/>
              </w:rPr>
              <w:t>15</w:t>
            </w:r>
            <w:r>
              <w:rPr>
                <w:color w:val="auto"/>
              </w:rPr>
              <w:t>m</w:t>
            </w:r>
          </w:p>
        </w:tc>
        <w:tc>
          <w:tcPr>
            <w:tcW w:w="1718" w:type="dxa"/>
          </w:tcPr>
          <w:p>
            <w:pPr>
              <w:jc w:val="center"/>
              <w:rPr>
                <w:color w:val="auto"/>
                <w:szCs w:val="22"/>
              </w:rPr>
            </w:pPr>
            <w:r>
              <w:rPr>
                <w:rFonts w:hint="default"/>
                <w:color w:val="auto"/>
                <w:szCs w:val="22"/>
                <w:lang w:val="en-US" w:eastAsia="zh-CN"/>
              </w:rPr>
              <w:t>潜水层</w:t>
            </w:r>
          </w:p>
        </w:tc>
        <w:tc>
          <w:tcPr>
            <w:tcW w:w="2125" w:type="dxa"/>
          </w:tcPr>
          <w:p>
            <w:pPr>
              <w:jc w:val="center"/>
              <w:rPr>
                <w:color w:val="auto"/>
                <w:szCs w:val="22"/>
              </w:rPr>
            </w:pPr>
            <w:r>
              <w:rPr>
                <w:rFonts w:hint="eastAsia"/>
                <w:color w:val="auto"/>
                <w:szCs w:val="22"/>
                <w:lang w:val="en-US" w:eastAsia="zh-CN"/>
              </w:rPr>
              <w:t>饮用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1874" w:type="dxa"/>
            <w:vAlign w:val="center"/>
          </w:tcPr>
          <w:p>
            <w:pPr>
              <w:adjustRightInd w:val="0"/>
              <w:snapToGrid w:val="0"/>
              <w:spacing w:line="240" w:lineRule="auto"/>
              <w:ind w:firstLine="0" w:firstLineChars="0"/>
              <w:jc w:val="center"/>
              <w:rPr>
                <w:color w:val="auto"/>
                <w:szCs w:val="21"/>
              </w:rPr>
            </w:pPr>
            <w:r>
              <w:rPr>
                <w:rFonts w:hint="default" w:ascii="Times New Roman" w:hAnsi="Times New Roman" w:cs="Times New Roman"/>
                <w:color w:val="auto"/>
                <w:sz w:val="21"/>
                <w:szCs w:val="21"/>
                <w:highlight w:val="none"/>
              </w:rPr>
              <w:t>2#</w:t>
            </w:r>
          </w:p>
        </w:tc>
        <w:tc>
          <w:tcPr>
            <w:tcW w:w="1462" w:type="dxa"/>
          </w:tcPr>
          <w:p>
            <w:pPr>
              <w:jc w:val="center"/>
              <w:rPr>
                <w:color w:val="auto"/>
              </w:rPr>
            </w:pPr>
            <w:r>
              <w:rPr>
                <w:rFonts w:hint="eastAsia"/>
                <w:color w:val="auto"/>
                <w:lang w:val="en-US" w:eastAsia="zh-CN"/>
              </w:rPr>
              <w:t>1.5</w:t>
            </w:r>
            <w:r>
              <w:rPr>
                <w:color w:val="auto"/>
              </w:rPr>
              <w:t>m</w:t>
            </w:r>
          </w:p>
        </w:tc>
        <w:tc>
          <w:tcPr>
            <w:tcW w:w="1718" w:type="dxa"/>
          </w:tcPr>
          <w:p>
            <w:pPr>
              <w:jc w:val="center"/>
              <w:rPr>
                <w:color w:val="auto"/>
                <w:szCs w:val="22"/>
              </w:rPr>
            </w:pPr>
            <w:r>
              <w:rPr>
                <w:rFonts w:hint="eastAsia"/>
                <w:color w:val="auto"/>
                <w:lang w:val="en-US" w:eastAsia="zh-CN"/>
              </w:rPr>
              <w:t>100</w:t>
            </w:r>
            <w:r>
              <w:rPr>
                <w:color w:val="auto"/>
              </w:rPr>
              <w:t>m</w:t>
            </w:r>
          </w:p>
        </w:tc>
        <w:tc>
          <w:tcPr>
            <w:tcW w:w="1718" w:type="dxa"/>
          </w:tcPr>
          <w:p>
            <w:pPr>
              <w:jc w:val="center"/>
              <w:rPr>
                <w:color w:val="auto"/>
                <w:szCs w:val="22"/>
              </w:rPr>
            </w:pPr>
            <w:r>
              <w:rPr>
                <w:bCs/>
                <w:color w:val="auto"/>
              </w:rPr>
              <w:t>承压水</w:t>
            </w:r>
          </w:p>
        </w:tc>
        <w:tc>
          <w:tcPr>
            <w:tcW w:w="2125" w:type="dxa"/>
          </w:tcPr>
          <w:p>
            <w:pPr>
              <w:jc w:val="center"/>
              <w:rPr>
                <w:rFonts w:hint="default" w:eastAsia="宋体"/>
                <w:color w:val="auto"/>
                <w:szCs w:val="22"/>
                <w:lang w:val="en-US" w:eastAsia="zh-CN"/>
              </w:rPr>
            </w:pPr>
            <w:r>
              <w:rPr>
                <w:rFonts w:hint="eastAsia"/>
                <w:color w:val="auto"/>
                <w:szCs w:val="22"/>
                <w:lang w:val="en-US" w:eastAsia="zh-CN"/>
              </w:rPr>
              <w:t>饮用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1874" w:type="dxa"/>
            <w:vAlign w:val="center"/>
          </w:tcPr>
          <w:p>
            <w:pPr>
              <w:adjustRightInd w:val="0"/>
              <w:snapToGrid w:val="0"/>
              <w:spacing w:line="240" w:lineRule="auto"/>
              <w:ind w:firstLine="0" w:firstLineChars="0"/>
              <w:jc w:val="center"/>
              <w:rPr>
                <w:color w:val="auto"/>
                <w:szCs w:val="21"/>
              </w:rPr>
            </w:pPr>
            <w:r>
              <w:rPr>
                <w:rFonts w:hint="default" w:ascii="Times New Roman" w:hAnsi="Times New Roman" w:cs="Times New Roman"/>
                <w:color w:val="auto"/>
                <w:sz w:val="21"/>
                <w:szCs w:val="21"/>
                <w:highlight w:val="none"/>
              </w:rPr>
              <w:t>3#</w:t>
            </w:r>
          </w:p>
        </w:tc>
        <w:tc>
          <w:tcPr>
            <w:tcW w:w="1462" w:type="dxa"/>
          </w:tcPr>
          <w:p>
            <w:pPr>
              <w:jc w:val="center"/>
              <w:rPr>
                <w:color w:val="auto"/>
              </w:rPr>
            </w:pPr>
            <w:r>
              <w:rPr>
                <w:rFonts w:hint="eastAsia"/>
                <w:color w:val="auto"/>
                <w:lang w:val="en-US" w:eastAsia="zh-CN"/>
              </w:rPr>
              <w:t>3.2</w:t>
            </w:r>
            <w:r>
              <w:rPr>
                <w:color w:val="auto"/>
              </w:rPr>
              <w:t>m</w:t>
            </w:r>
          </w:p>
        </w:tc>
        <w:tc>
          <w:tcPr>
            <w:tcW w:w="1718" w:type="dxa"/>
          </w:tcPr>
          <w:p>
            <w:pPr>
              <w:jc w:val="center"/>
              <w:rPr>
                <w:color w:val="auto"/>
                <w:szCs w:val="22"/>
              </w:rPr>
            </w:pPr>
            <w:r>
              <w:rPr>
                <w:rFonts w:hint="eastAsia"/>
                <w:color w:val="auto"/>
                <w:lang w:val="en-US" w:eastAsia="zh-CN"/>
              </w:rPr>
              <w:t>100</w:t>
            </w:r>
            <w:r>
              <w:rPr>
                <w:color w:val="auto"/>
              </w:rPr>
              <w:t>m</w:t>
            </w:r>
          </w:p>
        </w:tc>
        <w:tc>
          <w:tcPr>
            <w:tcW w:w="1718" w:type="dxa"/>
          </w:tcPr>
          <w:p>
            <w:pPr>
              <w:jc w:val="center"/>
              <w:rPr>
                <w:color w:val="auto"/>
                <w:szCs w:val="22"/>
              </w:rPr>
            </w:pPr>
            <w:r>
              <w:rPr>
                <w:bCs/>
                <w:color w:val="auto"/>
              </w:rPr>
              <w:t>承压水</w:t>
            </w:r>
          </w:p>
        </w:tc>
        <w:tc>
          <w:tcPr>
            <w:tcW w:w="2125" w:type="dxa"/>
          </w:tcPr>
          <w:p>
            <w:pPr>
              <w:jc w:val="center"/>
              <w:rPr>
                <w:color w:val="auto"/>
                <w:szCs w:val="22"/>
              </w:rPr>
            </w:pPr>
            <w:r>
              <w:rPr>
                <w:rFonts w:hint="eastAsia"/>
                <w:color w:val="auto"/>
                <w:szCs w:val="22"/>
                <w:lang w:val="en-US" w:eastAsia="zh-CN"/>
              </w:rPr>
              <w:t>饮用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1874" w:type="dxa"/>
            <w:vAlign w:val="center"/>
          </w:tcPr>
          <w:p>
            <w:pPr>
              <w:adjustRightInd w:val="0"/>
              <w:snapToGrid w:val="0"/>
              <w:spacing w:line="240" w:lineRule="auto"/>
              <w:ind w:firstLine="0" w:firstLineChars="0"/>
              <w:jc w:val="center"/>
              <w:rPr>
                <w:color w:val="auto"/>
                <w:szCs w:val="21"/>
              </w:rPr>
            </w:pPr>
            <w:r>
              <w:rPr>
                <w:rFonts w:hint="default" w:ascii="Times New Roman" w:hAnsi="Times New Roman" w:cs="Times New Roman"/>
                <w:color w:val="auto"/>
                <w:sz w:val="21"/>
                <w:szCs w:val="21"/>
                <w:highlight w:val="none"/>
              </w:rPr>
              <w:t>4#</w:t>
            </w:r>
          </w:p>
        </w:tc>
        <w:tc>
          <w:tcPr>
            <w:tcW w:w="1462" w:type="dxa"/>
          </w:tcPr>
          <w:p>
            <w:pPr>
              <w:jc w:val="center"/>
              <w:rPr>
                <w:color w:val="auto"/>
              </w:rPr>
            </w:pPr>
            <w:r>
              <w:rPr>
                <w:rFonts w:hint="eastAsia"/>
                <w:color w:val="auto"/>
                <w:lang w:val="en-US" w:eastAsia="zh-CN"/>
              </w:rPr>
              <w:t>3.0</w:t>
            </w:r>
            <w:r>
              <w:rPr>
                <w:color w:val="auto"/>
              </w:rPr>
              <w:t>m</w:t>
            </w:r>
          </w:p>
        </w:tc>
        <w:tc>
          <w:tcPr>
            <w:tcW w:w="1718" w:type="dxa"/>
          </w:tcPr>
          <w:p>
            <w:pPr>
              <w:jc w:val="center"/>
              <w:rPr>
                <w:color w:val="auto"/>
                <w:szCs w:val="22"/>
              </w:rPr>
            </w:pPr>
            <w:r>
              <w:rPr>
                <w:rFonts w:hint="eastAsia"/>
                <w:color w:val="auto"/>
                <w:lang w:val="en-US" w:eastAsia="zh-CN"/>
              </w:rPr>
              <w:t>12</w:t>
            </w:r>
            <w:r>
              <w:rPr>
                <w:color w:val="auto"/>
              </w:rPr>
              <w:t>m</w:t>
            </w:r>
          </w:p>
        </w:tc>
        <w:tc>
          <w:tcPr>
            <w:tcW w:w="1718" w:type="dxa"/>
          </w:tcPr>
          <w:p>
            <w:pPr>
              <w:jc w:val="center"/>
              <w:rPr>
                <w:color w:val="auto"/>
                <w:szCs w:val="22"/>
              </w:rPr>
            </w:pPr>
            <w:r>
              <w:rPr>
                <w:rFonts w:hint="default" w:ascii="Times New Roman" w:hAnsi="Times New Roman" w:cs="Times New Roman"/>
                <w:b w:val="0"/>
                <w:bCs w:val="0"/>
                <w:smallCaps w:val="0"/>
                <w:snapToGrid w:val="0"/>
                <w:color w:val="auto"/>
                <w:kern w:val="2"/>
                <w:sz w:val="21"/>
                <w:szCs w:val="21"/>
                <w:lang w:val="en-US" w:eastAsia="zh-CN" w:bidi="ar-SA"/>
              </w:rPr>
              <w:t>潜水层</w:t>
            </w:r>
          </w:p>
        </w:tc>
        <w:tc>
          <w:tcPr>
            <w:tcW w:w="2125" w:type="dxa"/>
          </w:tcPr>
          <w:p>
            <w:pPr>
              <w:jc w:val="center"/>
              <w:rPr>
                <w:color w:val="auto"/>
                <w:szCs w:val="22"/>
              </w:rPr>
            </w:pPr>
            <w:r>
              <w:rPr>
                <w:snapToGrid w:val="0"/>
                <w:color w:val="auto"/>
                <w:szCs w:val="21"/>
              </w:rPr>
              <w:t>监测井</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1874" w:type="dxa"/>
            <w:vAlign w:val="center"/>
          </w:tcPr>
          <w:p>
            <w:pPr>
              <w:adjustRightInd w:val="0"/>
              <w:snapToGrid w:val="0"/>
              <w:spacing w:line="240" w:lineRule="auto"/>
              <w:ind w:firstLine="0" w:firstLineChars="0"/>
              <w:jc w:val="center"/>
              <w:rPr>
                <w:color w:val="auto"/>
                <w:szCs w:val="21"/>
              </w:rPr>
            </w:pPr>
            <w:r>
              <w:rPr>
                <w:rFonts w:hint="default" w:ascii="Times New Roman" w:hAnsi="Times New Roman" w:cs="Times New Roman"/>
                <w:color w:val="auto"/>
                <w:sz w:val="21"/>
                <w:szCs w:val="21"/>
                <w:highlight w:val="none"/>
              </w:rPr>
              <w:t>5#</w:t>
            </w:r>
          </w:p>
        </w:tc>
        <w:tc>
          <w:tcPr>
            <w:tcW w:w="1462" w:type="dxa"/>
          </w:tcPr>
          <w:p>
            <w:pPr>
              <w:jc w:val="center"/>
              <w:rPr>
                <w:color w:val="auto"/>
              </w:rPr>
            </w:pPr>
            <w:r>
              <w:rPr>
                <w:rFonts w:hint="eastAsia"/>
                <w:color w:val="auto"/>
                <w:lang w:val="en-US" w:eastAsia="zh-CN"/>
              </w:rPr>
              <w:t>2.5</w:t>
            </w:r>
            <w:r>
              <w:rPr>
                <w:color w:val="auto"/>
              </w:rPr>
              <w:t>m</w:t>
            </w:r>
          </w:p>
        </w:tc>
        <w:tc>
          <w:tcPr>
            <w:tcW w:w="1718" w:type="dxa"/>
          </w:tcPr>
          <w:p>
            <w:pPr>
              <w:jc w:val="center"/>
              <w:rPr>
                <w:color w:val="auto"/>
                <w:szCs w:val="22"/>
              </w:rPr>
            </w:pPr>
            <w:r>
              <w:rPr>
                <w:rFonts w:hint="eastAsia"/>
                <w:color w:val="auto"/>
                <w:lang w:val="en-US" w:eastAsia="zh-CN"/>
              </w:rPr>
              <w:t>12</w:t>
            </w:r>
            <w:r>
              <w:rPr>
                <w:color w:val="auto"/>
              </w:rPr>
              <w:t>m</w:t>
            </w:r>
          </w:p>
        </w:tc>
        <w:tc>
          <w:tcPr>
            <w:tcW w:w="1718" w:type="dxa"/>
          </w:tcPr>
          <w:p>
            <w:pPr>
              <w:jc w:val="center"/>
              <w:rPr>
                <w:color w:val="auto"/>
                <w:szCs w:val="22"/>
              </w:rPr>
            </w:pPr>
            <w:r>
              <w:rPr>
                <w:rFonts w:hint="default" w:ascii="Times New Roman" w:hAnsi="Times New Roman" w:cs="Times New Roman"/>
                <w:b w:val="0"/>
                <w:bCs w:val="0"/>
                <w:smallCaps w:val="0"/>
                <w:snapToGrid w:val="0"/>
                <w:color w:val="auto"/>
                <w:kern w:val="2"/>
                <w:sz w:val="21"/>
                <w:szCs w:val="21"/>
                <w:lang w:val="en-US" w:eastAsia="zh-CN" w:bidi="ar-SA"/>
              </w:rPr>
              <w:t>潜水层</w:t>
            </w:r>
          </w:p>
        </w:tc>
        <w:tc>
          <w:tcPr>
            <w:tcW w:w="2125" w:type="dxa"/>
          </w:tcPr>
          <w:p>
            <w:pPr>
              <w:jc w:val="center"/>
              <w:rPr>
                <w:color w:val="auto"/>
                <w:szCs w:val="22"/>
              </w:rPr>
            </w:pPr>
            <w:r>
              <w:rPr>
                <w:rFonts w:hint="eastAsia"/>
                <w:color w:val="auto"/>
                <w:szCs w:val="22"/>
                <w:lang w:val="en-US" w:eastAsia="zh-CN"/>
              </w:rPr>
              <w:t>饮用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1874" w:type="dxa"/>
            <w:vAlign w:val="center"/>
          </w:tcPr>
          <w:p>
            <w:pPr>
              <w:adjustRightInd w:val="0"/>
              <w:snapToGrid w:val="0"/>
              <w:spacing w:line="240" w:lineRule="auto"/>
              <w:ind w:firstLine="0" w:firstLineChars="0"/>
              <w:jc w:val="center"/>
              <w:rPr>
                <w:color w:val="auto"/>
                <w:szCs w:val="21"/>
              </w:rPr>
            </w:pPr>
            <w:r>
              <w:rPr>
                <w:rFonts w:hint="default" w:ascii="Times New Roman" w:hAnsi="Times New Roman" w:cs="Times New Roman"/>
                <w:color w:val="auto"/>
                <w:sz w:val="21"/>
                <w:szCs w:val="21"/>
                <w:highlight w:val="none"/>
              </w:rPr>
              <w:t>6#</w:t>
            </w:r>
          </w:p>
        </w:tc>
        <w:tc>
          <w:tcPr>
            <w:tcW w:w="1462" w:type="dxa"/>
          </w:tcPr>
          <w:p>
            <w:pPr>
              <w:jc w:val="center"/>
              <w:rPr>
                <w:color w:val="auto"/>
              </w:rPr>
            </w:pPr>
            <w:r>
              <w:rPr>
                <w:rFonts w:hint="eastAsia"/>
                <w:color w:val="auto"/>
                <w:lang w:val="en-US" w:eastAsia="zh-CN"/>
              </w:rPr>
              <w:t>1.8</w:t>
            </w:r>
            <w:r>
              <w:rPr>
                <w:color w:val="auto"/>
              </w:rPr>
              <w:t>m</w:t>
            </w:r>
          </w:p>
        </w:tc>
        <w:tc>
          <w:tcPr>
            <w:tcW w:w="1718" w:type="dxa"/>
          </w:tcPr>
          <w:p>
            <w:pPr>
              <w:jc w:val="center"/>
              <w:rPr>
                <w:color w:val="auto"/>
                <w:szCs w:val="22"/>
              </w:rPr>
            </w:pPr>
            <w:r>
              <w:rPr>
                <w:rFonts w:hint="eastAsia"/>
                <w:color w:val="auto"/>
                <w:lang w:val="en-US" w:eastAsia="zh-CN"/>
              </w:rPr>
              <w:t>100</w:t>
            </w:r>
            <w:r>
              <w:rPr>
                <w:color w:val="auto"/>
              </w:rPr>
              <w:t>m</w:t>
            </w:r>
          </w:p>
        </w:tc>
        <w:tc>
          <w:tcPr>
            <w:tcW w:w="1718" w:type="dxa"/>
          </w:tcPr>
          <w:p>
            <w:pPr>
              <w:jc w:val="center"/>
              <w:rPr>
                <w:color w:val="auto"/>
                <w:szCs w:val="22"/>
              </w:rPr>
            </w:pPr>
            <w:r>
              <w:rPr>
                <w:bCs/>
                <w:color w:val="auto"/>
              </w:rPr>
              <w:t>承压水</w:t>
            </w:r>
          </w:p>
        </w:tc>
        <w:tc>
          <w:tcPr>
            <w:tcW w:w="2125" w:type="dxa"/>
          </w:tcPr>
          <w:p>
            <w:pPr>
              <w:jc w:val="center"/>
              <w:rPr>
                <w:color w:val="auto"/>
                <w:szCs w:val="22"/>
              </w:rPr>
            </w:pPr>
            <w:r>
              <w:rPr>
                <w:rFonts w:hint="eastAsia"/>
                <w:color w:val="auto"/>
                <w:szCs w:val="22"/>
                <w:lang w:val="en-US" w:eastAsia="zh-CN"/>
              </w:rPr>
              <w:t>灌溉</w:t>
            </w:r>
          </w:p>
        </w:tc>
      </w:tr>
    </w:tbl>
    <w:p>
      <w:pPr>
        <w:spacing w:line="360" w:lineRule="auto"/>
        <w:outlineLvl w:val="3"/>
        <w:rPr>
          <w:b/>
          <w:color w:val="auto"/>
          <w:sz w:val="24"/>
        </w:rPr>
      </w:pPr>
      <w:r>
        <w:rPr>
          <w:b/>
          <w:color w:val="auto"/>
          <w:sz w:val="24"/>
        </w:rPr>
        <w:t>4.2.3.2地下水环境现状评价</w:t>
      </w:r>
    </w:p>
    <w:p>
      <w:pPr>
        <w:spacing w:line="360" w:lineRule="auto"/>
        <w:ind w:firstLine="480" w:firstLineChars="200"/>
        <w:rPr>
          <w:color w:val="auto"/>
          <w:sz w:val="24"/>
        </w:rPr>
      </w:pPr>
      <w:r>
        <w:rPr>
          <w:color w:val="auto"/>
          <w:sz w:val="24"/>
        </w:rPr>
        <w:t>（1）评价标准</w:t>
      </w:r>
    </w:p>
    <w:p>
      <w:pPr>
        <w:spacing w:line="360" w:lineRule="auto"/>
        <w:ind w:firstLine="480" w:firstLineChars="200"/>
        <w:rPr>
          <w:color w:val="auto"/>
          <w:sz w:val="24"/>
        </w:rPr>
      </w:pPr>
      <w:r>
        <w:rPr>
          <w:color w:val="auto"/>
          <w:sz w:val="24"/>
        </w:rPr>
        <w:t>采用《地下水质量标准》（GB/T14848-2017）中Ⅲ类标准。</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color w:val="auto"/>
          <w:kern w:val="0"/>
          <w:sz w:val="24"/>
        </w:rPr>
      </w:pPr>
      <w:r>
        <w:rPr>
          <w:b/>
          <w:color w:val="auto"/>
          <w:kern w:val="0"/>
          <w:sz w:val="24"/>
        </w:rPr>
        <w:t>表4-2-</w:t>
      </w:r>
      <w:r>
        <w:rPr>
          <w:rFonts w:hint="eastAsia"/>
          <w:b/>
          <w:color w:val="auto"/>
          <w:kern w:val="0"/>
          <w:sz w:val="24"/>
        </w:rPr>
        <w:t>8</w:t>
      </w:r>
      <w:r>
        <w:rPr>
          <w:b/>
          <w:color w:val="auto"/>
          <w:kern w:val="0"/>
          <w:sz w:val="24"/>
        </w:rPr>
        <w:t>地下水评价因子及执行标准</w:t>
      </w:r>
    </w:p>
    <w:tbl>
      <w:tblPr>
        <w:tblStyle w:val="4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2"/>
        <w:gridCol w:w="2131"/>
        <w:gridCol w:w="1935"/>
        <w:gridCol w:w="1337"/>
        <w:gridCol w:w="23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459" w:type="pct"/>
            <w:vMerge w:val="restart"/>
            <w:shd w:val="clear" w:color="auto" w:fill="auto"/>
            <w:vAlign w:val="center"/>
          </w:tcPr>
          <w:p>
            <w:pPr>
              <w:jc w:val="center"/>
              <w:rPr>
                <w:snapToGrid w:val="0"/>
                <w:color w:val="auto"/>
              </w:rPr>
            </w:pPr>
            <w:r>
              <w:rPr>
                <w:snapToGrid w:val="0"/>
                <w:color w:val="auto"/>
              </w:rPr>
              <w:t>地</w:t>
            </w:r>
          </w:p>
          <w:p>
            <w:pPr>
              <w:jc w:val="center"/>
              <w:rPr>
                <w:snapToGrid w:val="0"/>
                <w:color w:val="auto"/>
              </w:rPr>
            </w:pPr>
            <w:r>
              <w:rPr>
                <w:snapToGrid w:val="0"/>
                <w:color w:val="auto"/>
              </w:rPr>
              <w:t>下</w:t>
            </w:r>
          </w:p>
          <w:p>
            <w:pPr>
              <w:jc w:val="center"/>
              <w:rPr>
                <w:snapToGrid w:val="0"/>
                <w:color w:val="auto"/>
              </w:rPr>
            </w:pPr>
            <w:r>
              <w:rPr>
                <w:snapToGrid w:val="0"/>
                <w:color w:val="auto"/>
              </w:rPr>
              <w:t>水</w:t>
            </w:r>
          </w:p>
          <w:p>
            <w:pPr>
              <w:jc w:val="center"/>
              <w:rPr>
                <w:snapToGrid w:val="0"/>
                <w:color w:val="auto"/>
              </w:rPr>
            </w:pPr>
            <w:r>
              <w:rPr>
                <w:snapToGrid w:val="0"/>
                <w:color w:val="auto"/>
              </w:rPr>
              <w:t>环</w:t>
            </w:r>
          </w:p>
          <w:p>
            <w:pPr>
              <w:jc w:val="center"/>
              <w:rPr>
                <w:snapToGrid w:val="0"/>
                <w:color w:val="auto"/>
              </w:rPr>
            </w:pPr>
            <w:r>
              <w:rPr>
                <w:snapToGrid w:val="0"/>
                <w:color w:val="auto"/>
              </w:rPr>
              <w:t>境</w:t>
            </w:r>
          </w:p>
        </w:tc>
        <w:tc>
          <w:tcPr>
            <w:tcW w:w="1250" w:type="pct"/>
            <w:vMerge w:val="restart"/>
            <w:shd w:val="clear" w:color="auto" w:fill="auto"/>
            <w:vAlign w:val="center"/>
          </w:tcPr>
          <w:p>
            <w:pPr>
              <w:jc w:val="center"/>
              <w:rPr>
                <w:snapToGrid w:val="0"/>
                <w:color w:val="auto"/>
              </w:rPr>
            </w:pPr>
            <w:r>
              <w:rPr>
                <w:snapToGrid w:val="0"/>
                <w:color w:val="auto"/>
              </w:rPr>
              <w:t>《地下水质量标准》（GB/T14848-2017）中</w:t>
            </w:r>
            <w:r>
              <w:rPr>
                <w:snapToGrid w:val="0"/>
                <w:color w:val="auto"/>
              </w:rPr>
              <w:fldChar w:fldCharType="begin"/>
            </w:r>
            <w:r>
              <w:rPr>
                <w:snapToGrid w:val="0"/>
                <w:color w:val="auto"/>
              </w:rPr>
              <w:instrText xml:space="preserve"> = 3 \* ROMAN </w:instrText>
            </w:r>
            <w:r>
              <w:rPr>
                <w:snapToGrid w:val="0"/>
                <w:color w:val="auto"/>
              </w:rPr>
              <w:fldChar w:fldCharType="separate"/>
            </w:r>
            <w:r>
              <w:rPr>
                <w:snapToGrid w:val="0"/>
                <w:color w:val="auto"/>
              </w:rPr>
              <w:t>III</w:t>
            </w:r>
            <w:r>
              <w:rPr>
                <w:snapToGrid w:val="0"/>
                <w:color w:val="auto"/>
              </w:rPr>
              <w:fldChar w:fldCharType="end"/>
            </w:r>
            <w:r>
              <w:rPr>
                <w:snapToGrid w:val="0"/>
                <w:color w:val="auto"/>
              </w:rPr>
              <w:t>类标准</w:t>
            </w:r>
          </w:p>
        </w:tc>
        <w:tc>
          <w:tcPr>
            <w:tcW w:w="1135" w:type="pct"/>
            <w:shd w:val="clear" w:color="auto" w:fill="auto"/>
            <w:vAlign w:val="center"/>
          </w:tcPr>
          <w:p>
            <w:pPr>
              <w:jc w:val="center"/>
              <w:rPr>
                <w:snapToGrid w:val="0"/>
                <w:color w:val="auto"/>
                <w:szCs w:val="21"/>
              </w:rPr>
            </w:pPr>
            <w:r>
              <w:rPr>
                <w:snapToGrid w:val="0"/>
                <w:color w:val="auto"/>
                <w:szCs w:val="21"/>
              </w:rPr>
              <w:t>pH值</w:t>
            </w:r>
          </w:p>
        </w:tc>
        <w:tc>
          <w:tcPr>
            <w:tcW w:w="784" w:type="pct"/>
            <w:shd w:val="clear" w:color="auto" w:fill="auto"/>
            <w:vAlign w:val="center"/>
          </w:tcPr>
          <w:p>
            <w:pPr>
              <w:jc w:val="center"/>
              <w:rPr>
                <w:snapToGrid w:val="0"/>
                <w:color w:val="auto"/>
                <w:szCs w:val="21"/>
              </w:rPr>
            </w:pPr>
            <w:r>
              <w:rPr>
                <w:snapToGrid w:val="0"/>
                <w:color w:val="auto"/>
                <w:szCs w:val="21"/>
              </w:rPr>
              <w:t>无量纲</w:t>
            </w:r>
          </w:p>
        </w:tc>
        <w:tc>
          <w:tcPr>
            <w:tcW w:w="1371" w:type="pct"/>
            <w:shd w:val="clear" w:color="auto" w:fill="auto"/>
            <w:vAlign w:val="center"/>
          </w:tcPr>
          <w:p>
            <w:pPr>
              <w:jc w:val="center"/>
              <w:rPr>
                <w:snapToGrid w:val="0"/>
                <w:color w:val="auto"/>
                <w:szCs w:val="21"/>
              </w:rPr>
            </w:pPr>
            <w:r>
              <w:rPr>
                <w:snapToGrid w:val="0"/>
                <w:color w:val="auto"/>
                <w:szCs w:val="21"/>
              </w:rPr>
              <w:t>6.5～8.5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9" w:type="pct"/>
            <w:vMerge w:val="continue"/>
            <w:shd w:val="clear" w:color="auto" w:fill="auto"/>
            <w:vAlign w:val="center"/>
          </w:tcPr>
          <w:p>
            <w:pPr>
              <w:jc w:val="center"/>
              <w:rPr>
                <w:snapToGrid w:val="0"/>
                <w:color w:val="auto"/>
              </w:rPr>
            </w:pPr>
          </w:p>
        </w:tc>
        <w:tc>
          <w:tcPr>
            <w:tcW w:w="1250" w:type="pct"/>
            <w:vMerge w:val="continue"/>
            <w:shd w:val="clear" w:color="auto" w:fill="auto"/>
            <w:vAlign w:val="center"/>
          </w:tcPr>
          <w:p>
            <w:pPr>
              <w:ind w:firstLine="420"/>
              <w:jc w:val="center"/>
              <w:rPr>
                <w:snapToGrid w:val="0"/>
                <w:color w:val="auto"/>
              </w:rPr>
            </w:pPr>
          </w:p>
        </w:tc>
        <w:tc>
          <w:tcPr>
            <w:tcW w:w="1135" w:type="pct"/>
            <w:shd w:val="clear" w:color="auto" w:fill="auto"/>
            <w:vAlign w:val="center"/>
          </w:tcPr>
          <w:p>
            <w:pPr>
              <w:jc w:val="center"/>
              <w:rPr>
                <w:snapToGrid w:val="0"/>
                <w:color w:val="auto"/>
                <w:szCs w:val="21"/>
              </w:rPr>
            </w:pPr>
            <w:r>
              <w:rPr>
                <w:snapToGrid w:val="0"/>
                <w:color w:val="auto"/>
                <w:szCs w:val="21"/>
              </w:rPr>
              <w:t>总硬度</w:t>
            </w:r>
          </w:p>
        </w:tc>
        <w:tc>
          <w:tcPr>
            <w:tcW w:w="784" w:type="pct"/>
            <w:vMerge w:val="restart"/>
            <w:shd w:val="clear" w:color="auto" w:fill="auto"/>
            <w:vAlign w:val="center"/>
          </w:tcPr>
          <w:p>
            <w:pPr>
              <w:jc w:val="center"/>
              <w:rPr>
                <w:snapToGrid w:val="0"/>
                <w:color w:val="auto"/>
                <w:szCs w:val="21"/>
              </w:rPr>
            </w:pPr>
            <w:r>
              <w:rPr>
                <w:snapToGrid w:val="0"/>
                <w:color w:val="auto"/>
                <w:szCs w:val="21"/>
              </w:rPr>
              <w:t>mg/L</w:t>
            </w:r>
          </w:p>
        </w:tc>
        <w:tc>
          <w:tcPr>
            <w:tcW w:w="1371" w:type="pct"/>
            <w:shd w:val="clear" w:color="auto" w:fill="auto"/>
            <w:vAlign w:val="center"/>
          </w:tcPr>
          <w:p>
            <w:pPr>
              <w:jc w:val="center"/>
              <w:rPr>
                <w:snapToGrid w:val="0"/>
                <w:color w:val="auto"/>
                <w:szCs w:val="21"/>
              </w:rPr>
            </w:pPr>
            <w:r>
              <w:rPr>
                <w:snapToGrid w:val="0"/>
                <w:color w:val="auto"/>
                <w:szCs w:val="21"/>
              </w:rPr>
              <w:t>≤450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9" w:type="pct"/>
            <w:vMerge w:val="continue"/>
            <w:shd w:val="clear" w:color="auto" w:fill="auto"/>
            <w:vAlign w:val="center"/>
          </w:tcPr>
          <w:p>
            <w:pPr>
              <w:jc w:val="center"/>
              <w:rPr>
                <w:snapToGrid w:val="0"/>
                <w:color w:val="auto"/>
              </w:rPr>
            </w:pPr>
          </w:p>
        </w:tc>
        <w:tc>
          <w:tcPr>
            <w:tcW w:w="1250" w:type="pct"/>
            <w:vMerge w:val="continue"/>
            <w:shd w:val="clear" w:color="auto" w:fill="auto"/>
            <w:vAlign w:val="center"/>
          </w:tcPr>
          <w:p>
            <w:pPr>
              <w:ind w:firstLine="420"/>
              <w:jc w:val="center"/>
              <w:rPr>
                <w:snapToGrid w:val="0"/>
                <w:color w:val="auto"/>
              </w:rPr>
            </w:pPr>
          </w:p>
        </w:tc>
        <w:tc>
          <w:tcPr>
            <w:tcW w:w="1135" w:type="pct"/>
            <w:shd w:val="clear" w:color="auto" w:fill="auto"/>
            <w:vAlign w:val="center"/>
          </w:tcPr>
          <w:p>
            <w:pPr>
              <w:jc w:val="center"/>
              <w:rPr>
                <w:snapToGrid w:val="0"/>
                <w:color w:val="auto"/>
                <w:szCs w:val="21"/>
              </w:rPr>
            </w:pPr>
            <w:r>
              <w:rPr>
                <w:snapToGrid w:val="0"/>
                <w:color w:val="auto"/>
                <w:szCs w:val="21"/>
              </w:rPr>
              <w:t>铁</w:t>
            </w:r>
          </w:p>
        </w:tc>
        <w:tc>
          <w:tcPr>
            <w:tcW w:w="784" w:type="pct"/>
            <w:vMerge w:val="continue"/>
            <w:shd w:val="clear" w:color="auto" w:fill="auto"/>
            <w:vAlign w:val="center"/>
          </w:tcPr>
          <w:p>
            <w:pPr>
              <w:jc w:val="center"/>
              <w:rPr>
                <w:snapToGrid w:val="0"/>
                <w:color w:val="auto"/>
                <w:szCs w:val="21"/>
              </w:rPr>
            </w:pPr>
          </w:p>
        </w:tc>
        <w:tc>
          <w:tcPr>
            <w:tcW w:w="1371" w:type="pct"/>
            <w:shd w:val="clear" w:color="auto" w:fill="auto"/>
            <w:vAlign w:val="center"/>
          </w:tcPr>
          <w:p>
            <w:pPr>
              <w:jc w:val="center"/>
              <w:rPr>
                <w:snapToGrid w:val="0"/>
                <w:color w:val="auto"/>
                <w:szCs w:val="21"/>
              </w:rPr>
            </w:pPr>
            <w:r>
              <w:rPr>
                <w:snapToGrid w:val="0"/>
                <w:color w:val="auto"/>
                <w:szCs w:val="21"/>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9" w:type="pct"/>
            <w:vMerge w:val="continue"/>
            <w:shd w:val="clear" w:color="auto" w:fill="auto"/>
            <w:vAlign w:val="center"/>
          </w:tcPr>
          <w:p>
            <w:pPr>
              <w:jc w:val="center"/>
              <w:rPr>
                <w:snapToGrid w:val="0"/>
                <w:color w:val="auto"/>
              </w:rPr>
            </w:pPr>
          </w:p>
        </w:tc>
        <w:tc>
          <w:tcPr>
            <w:tcW w:w="1250" w:type="pct"/>
            <w:vMerge w:val="continue"/>
            <w:shd w:val="clear" w:color="auto" w:fill="auto"/>
            <w:vAlign w:val="center"/>
          </w:tcPr>
          <w:p>
            <w:pPr>
              <w:ind w:firstLine="420"/>
              <w:jc w:val="center"/>
              <w:rPr>
                <w:snapToGrid w:val="0"/>
                <w:color w:val="auto"/>
              </w:rPr>
            </w:pPr>
          </w:p>
        </w:tc>
        <w:tc>
          <w:tcPr>
            <w:tcW w:w="1135" w:type="pct"/>
            <w:shd w:val="clear" w:color="auto" w:fill="auto"/>
            <w:vAlign w:val="center"/>
          </w:tcPr>
          <w:p>
            <w:pPr>
              <w:jc w:val="center"/>
              <w:rPr>
                <w:snapToGrid w:val="0"/>
                <w:color w:val="auto"/>
                <w:szCs w:val="21"/>
              </w:rPr>
            </w:pPr>
            <w:r>
              <w:rPr>
                <w:snapToGrid w:val="0"/>
                <w:color w:val="auto"/>
                <w:szCs w:val="21"/>
              </w:rPr>
              <w:t>锰</w:t>
            </w:r>
          </w:p>
        </w:tc>
        <w:tc>
          <w:tcPr>
            <w:tcW w:w="784" w:type="pct"/>
            <w:vMerge w:val="continue"/>
            <w:shd w:val="clear" w:color="auto" w:fill="auto"/>
            <w:vAlign w:val="center"/>
          </w:tcPr>
          <w:p>
            <w:pPr>
              <w:jc w:val="center"/>
              <w:rPr>
                <w:snapToGrid w:val="0"/>
                <w:color w:val="auto"/>
                <w:szCs w:val="21"/>
              </w:rPr>
            </w:pPr>
          </w:p>
        </w:tc>
        <w:tc>
          <w:tcPr>
            <w:tcW w:w="1371" w:type="pct"/>
            <w:shd w:val="clear" w:color="auto" w:fill="auto"/>
            <w:vAlign w:val="center"/>
          </w:tcPr>
          <w:p>
            <w:pPr>
              <w:jc w:val="center"/>
              <w:rPr>
                <w:snapToGrid w:val="0"/>
                <w:color w:val="auto"/>
                <w:szCs w:val="21"/>
              </w:rPr>
            </w:pPr>
            <w:r>
              <w:rPr>
                <w:snapToGrid w:val="0"/>
                <w:color w:val="auto"/>
                <w:szCs w:val="21"/>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9" w:type="pct"/>
            <w:vMerge w:val="continue"/>
            <w:shd w:val="clear" w:color="auto" w:fill="auto"/>
            <w:vAlign w:val="center"/>
          </w:tcPr>
          <w:p>
            <w:pPr>
              <w:jc w:val="center"/>
              <w:rPr>
                <w:snapToGrid w:val="0"/>
                <w:color w:val="auto"/>
              </w:rPr>
            </w:pPr>
          </w:p>
        </w:tc>
        <w:tc>
          <w:tcPr>
            <w:tcW w:w="1250" w:type="pct"/>
            <w:vMerge w:val="continue"/>
            <w:shd w:val="clear" w:color="auto" w:fill="auto"/>
            <w:vAlign w:val="center"/>
          </w:tcPr>
          <w:p>
            <w:pPr>
              <w:ind w:firstLine="420"/>
              <w:jc w:val="center"/>
              <w:rPr>
                <w:snapToGrid w:val="0"/>
                <w:color w:val="auto"/>
              </w:rPr>
            </w:pPr>
          </w:p>
        </w:tc>
        <w:tc>
          <w:tcPr>
            <w:tcW w:w="1135" w:type="pct"/>
            <w:shd w:val="clear" w:color="auto" w:fill="auto"/>
            <w:vAlign w:val="center"/>
          </w:tcPr>
          <w:p>
            <w:pPr>
              <w:jc w:val="center"/>
              <w:rPr>
                <w:snapToGrid w:val="0"/>
                <w:color w:val="auto"/>
                <w:szCs w:val="21"/>
              </w:rPr>
            </w:pPr>
            <w:r>
              <w:rPr>
                <w:snapToGrid w:val="0"/>
                <w:color w:val="auto"/>
                <w:szCs w:val="21"/>
              </w:rPr>
              <w:t>溶解性总固体</w:t>
            </w:r>
          </w:p>
        </w:tc>
        <w:tc>
          <w:tcPr>
            <w:tcW w:w="784" w:type="pct"/>
            <w:vMerge w:val="continue"/>
            <w:shd w:val="clear" w:color="auto" w:fill="auto"/>
            <w:vAlign w:val="center"/>
          </w:tcPr>
          <w:p>
            <w:pPr>
              <w:jc w:val="center"/>
              <w:rPr>
                <w:snapToGrid w:val="0"/>
                <w:color w:val="auto"/>
                <w:szCs w:val="21"/>
              </w:rPr>
            </w:pPr>
          </w:p>
        </w:tc>
        <w:tc>
          <w:tcPr>
            <w:tcW w:w="1371" w:type="pct"/>
            <w:shd w:val="clear" w:color="auto" w:fill="auto"/>
            <w:vAlign w:val="center"/>
          </w:tcPr>
          <w:p>
            <w:pPr>
              <w:jc w:val="center"/>
              <w:rPr>
                <w:snapToGrid w:val="0"/>
                <w:color w:val="auto"/>
                <w:szCs w:val="21"/>
              </w:rPr>
            </w:pPr>
            <w:r>
              <w:rPr>
                <w:snapToGrid w:val="0"/>
                <w:color w:val="auto"/>
                <w:szCs w:val="21"/>
              </w:rPr>
              <w:t>≤1000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9" w:type="pct"/>
            <w:vMerge w:val="continue"/>
            <w:shd w:val="clear" w:color="auto" w:fill="auto"/>
            <w:vAlign w:val="center"/>
          </w:tcPr>
          <w:p>
            <w:pPr>
              <w:jc w:val="center"/>
              <w:rPr>
                <w:snapToGrid w:val="0"/>
                <w:color w:val="auto"/>
              </w:rPr>
            </w:pPr>
          </w:p>
        </w:tc>
        <w:tc>
          <w:tcPr>
            <w:tcW w:w="1250" w:type="pct"/>
            <w:vMerge w:val="continue"/>
            <w:shd w:val="clear" w:color="auto" w:fill="auto"/>
            <w:vAlign w:val="center"/>
          </w:tcPr>
          <w:p>
            <w:pPr>
              <w:ind w:firstLine="420"/>
              <w:jc w:val="center"/>
              <w:rPr>
                <w:snapToGrid w:val="0"/>
                <w:color w:val="auto"/>
              </w:rPr>
            </w:pPr>
          </w:p>
        </w:tc>
        <w:tc>
          <w:tcPr>
            <w:tcW w:w="1135" w:type="pct"/>
            <w:shd w:val="clear" w:color="auto" w:fill="auto"/>
            <w:vAlign w:val="center"/>
          </w:tcPr>
          <w:p>
            <w:pPr>
              <w:jc w:val="center"/>
              <w:rPr>
                <w:snapToGrid w:val="0"/>
                <w:color w:val="auto"/>
                <w:szCs w:val="21"/>
              </w:rPr>
            </w:pPr>
            <w:r>
              <w:rPr>
                <w:snapToGrid w:val="0"/>
                <w:color w:val="auto"/>
                <w:szCs w:val="21"/>
              </w:rPr>
              <w:t>挥发酚类</w:t>
            </w:r>
          </w:p>
        </w:tc>
        <w:tc>
          <w:tcPr>
            <w:tcW w:w="784" w:type="pct"/>
            <w:vMerge w:val="continue"/>
            <w:shd w:val="clear" w:color="auto" w:fill="auto"/>
            <w:vAlign w:val="center"/>
          </w:tcPr>
          <w:p>
            <w:pPr>
              <w:jc w:val="center"/>
              <w:rPr>
                <w:snapToGrid w:val="0"/>
                <w:color w:val="auto"/>
                <w:szCs w:val="21"/>
              </w:rPr>
            </w:pPr>
          </w:p>
        </w:tc>
        <w:tc>
          <w:tcPr>
            <w:tcW w:w="1371" w:type="pct"/>
            <w:shd w:val="clear" w:color="auto" w:fill="auto"/>
            <w:vAlign w:val="center"/>
          </w:tcPr>
          <w:p>
            <w:pPr>
              <w:jc w:val="center"/>
              <w:rPr>
                <w:snapToGrid w:val="0"/>
                <w:color w:val="auto"/>
                <w:szCs w:val="21"/>
              </w:rPr>
            </w:pPr>
            <w:r>
              <w:rPr>
                <w:snapToGrid w:val="0"/>
                <w:color w:val="auto"/>
                <w:szCs w:val="21"/>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9" w:type="pct"/>
            <w:vMerge w:val="continue"/>
            <w:shd w:val="clear" w:color="auto" w:fill="auto"/>
            <w:vAlign w:val="center"/>
          </w:tcPr>
          <w:p>
            <w:pPr>
              <w:jc w:val="center"/>
              <w:rPr>
                <w:snapToGrid w:val="0"/>
                <w:color w:val="auto"/>
              </w:rPr>
            </w:pPr>
          </w:p>
        </w:tc>
        <w:tc>
          <w:tcPr>
            <w:tcW w:w="1250" w:type="pct"/>
            <w:vMerge w:val="continue"/>
            <w:shd w:val="clear" w:color="auto" w:fill="auto"/>
            <w:vAlign w:val="center"/>
          </w:tcPr>
          <w:p>
            <w:pPr>
              <w:ind w:firstLine="420"/>
              <w:jc w:val="center"/>
              <w:rPr>
                <w:snapToGrid w:val="0"/>
                <w:color w:val="auto"/>
              </w:rPr>
            </w:pPr>
          </w:p>
        </w:tc>
        <w:tc>
          <w:tcPr>
            <w:tcW w:w="1135" w:type="pct"/>
            <w:shd w:val="clear" w:color="auto" w:fill="auto"/>
            <w:vAlign w:val="center"/>
          </w:tcPr>
          <w:p>
            <w:pPr>
              <w:jc w:val="center"/>
              <w:rPr>
                <w:snapToGrid w:val="0"/>
                <w:color w:val="auto"/>
                <w:szCs w:val="21"/>
              </w:rPr>
            </w:pPr>
            <w:r>
              <w:rPr>
                <w:snapToGrid w:val="0"/>
                <w:color w:val="auto"/>
                <w:szCs w:val="21"/>
              </w:rPr>
              <w:t>耗氧量（COD</w:t>
            </w:r>
            <w:r>
              <w:rPr>
                <w:snapToGrid w:val="0"/>
                <w:color w:val="auto"/>
                <w:szCs w:val="21"/>
                <w:vertAlign w:val="subscript"/>
              </w:rPr>
              <w:t>Mn</w:t>
            </w:r>
            <w:r>
              <w:rPr>
                <w:snapToGrid w:val="0"/>
                <w:color w:val="auto"/>
                <w:szCs w:val="21"/>
              </w:rPr>
              <w:t>法，以O</w:t>
            </w:r>
            <w:r>
              <w:rPr>
                <w:snapToGrid w:val="0"/>
                <w:color w:val="auto"/>
                <w:szCs w:val="21"/>
                <w:vertAlign w:val="subscript"/>
              </w:rPr>
              <w:t>2</w:t>
            </w:r>
            <w:r>
              <w:rPr>
                <w:snapToGrid w:val="0"/>
                <w:color w:val="auto"/>
                <w:szCs w:val="21"/>
              </w:rPr>
              <w:t>计）</w:t>
            </w:r>
          </w:p>
        </w:tc>
        <w:tc>
          <w:tcPr>
            <w:tcW w:w="784" w:type="pct"/>
            <w:vMerge w:val="continue"/>
            <w:shd w:val="clear" w:color="auto" w:fill="auto"/>
            <w:vAlign w:val="center"/>
          </w:tcPr>
          <w:p>
            <w:pPr>
              <w:jc w:val="center"/>
              <w:rPr>
                <w:snapToGrid w:val="0"/>
                <w:color w:val="auto"/>
                <w:szCs w:val="21"/>
              </w:rPr>
            </w:pPr>
          </w:p>
        </w:tc>
        <w:tc>
          <w:tcPr>
            <w:tcW w:w="1371" w:type="pct"/>
            <w:shd w:val="clear" w:color="auto" w:fill="auto"/>
            <w:vAlign w:val="center"/>
          </w:tcPr>
          <w:p>
            <w:pPr>
              <w:jc w:val="center"/>
              <w:rPr>
                <w:snapToGrid w:val="0"/>
                <w:color w:val="auto"/>
                <w:szCs w:val="21"/>
              </w:rPr>
            </w:pPr>
            <w:r>
              <w:rPr>
                <w:snapToGrid w:val="0"/>
                <w:color w:val="auto"/>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9" w:type="pct"/>
            <w:vMerge w:val="continue"/>
            <w:shd w:val="clear" w:color="auto" w:fill="auto"/>
            <w:vAlign w:val="center"/>
          </w:tcPr>
          <w:p>
            <w:pPr>
              <w:jc w:val="center"/>
              <w:rPr>
                <w:snapToGrid w:val="0"/>
                <w:color w:val="auto"/>
              </w:rPr>
            </w:pPr>
          </w:p>
        </w:tc>
        <w:tc>
          <w:tcPr>
            <w:tcW w:w="1250" w:type="pct"/>
            <w:vMerge w:val="continue"/>
            <w:shd w:val="clear" w:color="auto" w:fill="auto"/>
            <w:vAlign w:val="center"/>
          </w:tcPr>
          <w:p>
            <w:pPr>
              <w:ind w:firstLine="420"/>
              <w:jc w:val="center"/>
              <w:rPr>
                <w:snapToGrid w:val="0"/>
                <w:color w:val="auto"/>
              </w:rPr>
            </w:pPr>
          </w:p>
        </w:tc>
        <w:tc>
          <w:tcPr>
            <w:tcW w:w="1135" w:type="pct"/>
            <w:shd w:val="clear" w:color="auto" w:fill="auto"/>
            <w:vAlign w:val="center"/>
          </w:tcPr>
          <w:p>
            <w:pPr>
              <w:jc w:val="center"/>
              <w:rPr>
                <w:snapToGrid w:val="0"/>
                <w:color w:val="auto"/>
                <w:szCs w:val="21"/>
              </w:rPr>
            </w:pPr>
            <w:r>
              <w:rPr>
                <w:snapToGrid w:val="0"/>
                <w:color w:val="auto"/>
                <w:szCs w:val="21"/>
              </w:rPr>
              <w:t>铅</w:t>
            </w:r>
          </w:p>
        </w:tc>
        <w:tc>
          <w:tcPr>
            <w:tcW w:w="784" w:type="pct"/>
            <w:vMerge w:val="continue"/>
            <w:shd w:val="clear" w:color="auto" w:fill="auto"/>
            <w:vAlign w:val="center"/>
          </w:tcPr>
          <w:p>
            <w:pPr>
              <w:jc w:val="center"/>
              <w:rPr>
                <w:snapToGrid w:val="0"/>
                <w:color w:val="auto"/>
                <w:szCs w:val="21"/>
              </w:rPr>
            </w:pPr>
          </w:p>
        </w:tc>
        <w:tc>
          <w:tcPr>
            <w:tcW w:w="1371" w:type="pct"/>
            <w:shd w:val="clear" w:color="auto" w:fill="auto"/>
            <w:vAlign w:val="center"/>
          </w:tcPr>
          <w:p>
            <w:pPr>
              <w:jc w:val="center"/>
              <w:rPr>
                <w:snapToGrid w:val="0"/>
                <w:color w:val="auto"/>
                <w:szCs w:val="21"/>
              </w:rPr>
            </w:pPr>
            <w:r>
              <w:rPr>
                <w:snapToGrid w:val="0"/>
                <w:color w:val="auto"/>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9" w:type="pct"/>
            <w:vMerge w:val="continue"/>
            <w:shd w:val="clear" w:color="auto" w:fill="auto"/>
            <w:vAlign w:val="center"/>
          </w:tcPr>
          <w:p>
            <w:pPr>
              <w:jc w:val="center"/>
              <w:rPr>
                <w:snapToGrid w:val="0"/>
                <w:color w:val="auto"/>
              </w:rPr>
            </w:pPr>
          </w:p>
        </w:tc>
        <w:tc>
          <w:tcPr>
            <w:tcW w:w="1250" w:type="pct"/>
            <w:vMerge w:val="continue"/>
            <w:shd w:val="clear" w:color="auto" w:fill="auto"/>
            <w:vAlign w:val="center"/>
          </w:tcPr>
          <w:p>
            <w:pPr>
              <w:ind w:firstLine="420"/>
              <w:jc w:val="center"/>
              <w:rPr>
                <w:snapToGrid w:val="0"/>
                <w:color w:val="auto"/>
              </w:rPr>
            </w:pPr>
          </w:p>
        </w:tc>
        <w:tc>
          <w:tcPr>
            <w:tcW w:w="1135" w:type="pct"/>
            <w:shd w:val="clear" w:color="auto" w:fill="auto"/>
            <w:vAlign w:val="center"/>
          </w:tcPr>
          <w:p>
            <w:pPr>
              <w:jc w:val="center"/>
              <w:rPr>
                <w:snapToGrid w:val="0"/>
                <w:color w:val="auto"/>
                <w:szCs w:val="21"/>
              </w:rPr>
            </w:pPr>
            <w:r>
              <w:rPr>
                <w:snapToGrid w:val="0"/>
                <w:color w:val="auto"/>
                <w:szCs w:val="21"/>
              </w:rPr>
              <w:t>六价铬</w:t>
            </w:r>
          </w:p>
        </w:tc>
        <w:tc>
          <w:tcPr>
            <w:tcW w:w="784" w:type="pct"/>
            <w:vMerge w:val="continue"/>
            <w:shd w:val="clear" w:color="auto" w:fill="auto"/>
            <w:vAlign w:val="center"/>
          </w:tcPr>
          <w:p>
            <w:pPr>
              <w:jc w:val="center"/>
              <w:rPr>
                <w:snapToGrid w:val="0"/>
                <w:color w:val="auto"/>
                <w:szCs w:val="21"/>
              </w:rPr>
            </w:pPr>
          </w:p>
        </w:tc>
        <w:tc>
          <w:tcPr>
            <w:tcW w:w="1371" w:type="pct"/>
            <w:shd w:val="clear" w:color="auto" w:fill="auto"/>
            <w:vAlign w:val="center"/>
          </w:tcPr>
          <w:p>
            <w:pPr>
              <w:jc w:val="center"/>
              <w:rPr>
                <w:snapToGrid w:val="0"/>
                <w:color w:val="auto"/>
                <w:szCs w:val="21"/>
              </w:rPr>
            </w:pPr>
            <w:r>
              <w:rPr>
                <w:snapToGrid w:val="0"/>
                <w:color w:val="auto"/>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9" w:type="pct"/>
            <w:vMerge w:val="continue"/>
            <w:shd w:val="clear" w:color="auto" w:fill="auto"/>
            <w:vAlign w:val="center"/>
          </w:tcPr>
          <w:p>
            <w:pPr>
              <w:jc w:val="center"/>
              <w:rPr>
                <w:snapToGrid w:val="0"/>
                <w:color w:val="auto"/>
              </w:rPr>
            </w:pPr>
          </w:p>
        </w:tc>
        <w:tc>
          <w:tcPr>
            <w:tcW w:w="1250" w:type="pct"/>
            <w:vMerge w:val="continue"/>
            <w:shd w:val="clear" w:color="auto" w:fill="auto"/>
            <w:vAlign w:val="center"/>
          </w:tcPr>
          <w:p>
            <w:pPr>
              <w:ind w:firstLine="420"/>
              <w:jc w:val="center"/>
              <w:rPr>
                <w:snapToGrid w:val="0"/>
                <w:color w:val="auto"/>
              </w:rPr>
            </w:pPr>
          </w:p>
        </w:tc>
        <w:tc>
          <w:tcPr>
            <w:tcW w:w="1135" w:type="pct"/>
            <w:shd w:val="clear" w:color="auto" w:fill="auto"/>
            <w:vAlign w:val="center"/>
          </w:tcPr>
          <w:p>
            <w:pPr>
              <w:jc w:val="center"/>
              <w:rPr>
                <w:snapToGrid w:val="0"/>
                <w:color w:val="auto"/>
                <w:szCs w:val="21"/>
              </w:rPr>
            </w:pPr>
            <w:r>
              <w:rPr>
                <w:snapToGrid w:val="0"/>
                <w:color w:val="auto"/>
                <w:szCs w:val="21"/>
              </w:rPr>
              <w:t>镉</w:t>
            </w:r>
          </w:p>
        </w:tc>
        <w:tc>
          <w:tcPr>
            <w:tcW w:w="784" w:type="pct"/>
            <w:vMerge w:val="continue"/>
            <w:shd w:val="clear" w:color="auto" w:fill="auto"/>
            <w:vAlign w:val="center"/>
          </w:tcPr>
          <w:p>
            <w:pPr>
              <w:jc w:val="center"/>
              <w:rPr>
                <w:snapToGrid w:val="0"/>
                <w:color w:val="auto"/>
                <w:szCs w:val="21"/>
              </w:rPr>
            </w:pPr>
          </w:p>
        </w:tc>
        <w:tc>
          <w:tcPr>
            <w:tcW w:w="1371" w:type="pct"/>
            <w:shd w:val="clear" w:color="auto" w:fill="auto"/>
            <w:vAlign w:val="center"/>
          </w:tcPr>
          <w:p>
            <w:pPr>
              <w:jc w:val="center"/>
              <w:rPr>
                <w:snapToGrid w:val="0"/>
                <w:color w:val="auto"/>
                <w:szCs w:val="21"/>
              </w:rPr>
            </w:pPr>
            <w:r>
              <w:rPr>
                <w:snapToGrid w:val="0"/>
                <w:color w:val="auto"/>
                <w:szCs w:val="21"/>
              </w:rPr>
              <w: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9" w:type="pct"/>
            <w:vMerge w:val="continue"/>
            <w:shd w:val="clear" w:color="auto" w:fill="auto"/>
            <w:vAlign w:val="center"/>
          </w:tcPr>
          <w:p>
            <w:pPr>
              <w:jc w:val="center"/>
              <w:rPr>
                <w:snapToGrid w:val="0"/>
                <w:color w:val="auto"/>
              </w:rPr>
            </w:pPr>
          </w:p>
        </w:tc>
        <w:tc>
          <w:tcPr>
            <w:tcW w:w="1250" w:type="pct"/>
            <w:vMerge w:val="continue"/>
            <w:shd w:val="clear" w:color="auto" w:fill="auto"/>
            <w:vAlign w:val="center"/>
          </w:tcPr>
          <w:p>
            <w:pPr>
              <w:ind w:firstLine="420"/>
              <w:jc w:val="center"/>
              <w:rPr>
                <w:snapToGrid w:val="0"/>
                <w:color w:val="auto"/>
              </w:rPr>
            </w:pPr>
          </w:p>
        </w:tc>
        <w:tc>
          <w:tcPr>
            <w:tcW w:w="1135" w:type="pct"/>
            <w:shd w:val="clear" w:color="auto" w:fill="auto"/>
            <w:vAlign w:val="center"/>
          </w:tcPr>
          <w:p>
            <w:pPr>
              <w:jc w:val="center"/>
              <w:rPr>
                <w:snapToGrid w:val="0"/>
                <w:color w:val="auto"/>
                <w:szCs w:val="21"/>
              </w:rPr>
            </w:pPr>
            <w:r>
              <w:rPr>
                <w:snapToGrid w:val="0"/>
                <w:color w:val="auto"/>
                <w:szCs w:val="21"/>
              </w:rPr>
              <w:t>砷</w:t>
            </w:r>
          </w:p>
        </w:tc>
        <w:tc>
          <w:tcPr>
            <w:tcW w:w="784" w:type="pct"/>
            <w:vMerge w:val="continue"/>
            <w:shd w:val="clear" w:color="auto" w:fill="auto"/>
            <w:vAlign w:val="center"/>
          </w:tcPr>
          <w:p>
            <w:pPr>
              <w:jc w:val="center"/>
              <w:rPr>
                <w:snapToGrid w:val="0"/>
                <w:color w:val="auto"/>
                <w:szCs w:val="21"/>
              </w:rPr>
            </w:pPr>
          </w:p>
        </w:tc>
        <w:tc>
          <w:tcPr>
            <w:tcW w:w="1371" w:type="pct"/>
            <w:shd w:val="clear" w:color="auto" w:fill="auto"/>
            <w:vAlign w:val="center"/>
          </w:tcPr>
          <w:p>
            <w:pPr>
              <w:jc w:val="center"/>
              <w:rPr>
                <w:snapToGrid w:val="0"/>
                <w:color w:val="auto"/>
                <w:szCs w:val="21"/>
              </w:rPr>
            </w:pPr>
            <w:r>
              <w:rPr>
                <w:snapToGrid w:val="0"/>
                <w:color w:val="auto"/>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9" w:type="pct"/>
            <w:vMerge w:val="continue"/>
            <w:shd w:val="clear" w:color="auto" w:fill="auto"/>
            <w:vAlign w:val="center"/>
          </w:tcPr>
          <w:p>
            <w:pPr>
              <w:jc w:val="center"/>
              <w:rPr>
                <w:snapToGrid w:val="0"/>
                <w:color w:val="auto"/>
              </w:rPr>
            </w:pPr>
          </w:p>
        </w:tc>
        <w:tc>
          <w:tcPr>
            <w:tcW w:w="1250" w:type="pct"/>
            <w:vMerge w:val="continue"/>
            <w:shd w:val="clear" w:color="auto" w:fill="auto"/>
            <w:vAlign w:val="center"/>
          </w:tcPr>
          <w:p>
            <w:pPr>
              <w:ind w:firstLine="420"/>
              <w:jc w:val="center"/>
              <w:rPr>
                <w:snapToGrid w:val="0"/>
                <w:color w:val="auto"/>
              </w:rPr>
            </w:pPr>
          </w:p>
        </w:tc>
        <w:tc>
          <w:tcPr>
            <w:tcW w:w="1135" w:type="pct"/>
            <w:shd w:val="clear" w:color="auto" w:fill="auto"/>
            <w:vAlign w:val="center"/>
          </w:tcPr>
          <w:p>
            <w:pPr>
              <w:jc w:val="center"/>
              <w:rPr>
                <w:snapToGrid w:val="0"/>
                <w:color w:val="auto"/>
                <w:szCs w:val="21"/>
              </w:rPr>
            </w:pPr>
            <w:r>
              <w:rPr>
                <w:snapToGrid w:val="0"/>
                <w:color w:val="auto"/>
                <w:szCs w:val="21"/>
              </w:rPr>
              <w:t>汞</w:t>
            </w:r>
          </w:p>
        </w:tc>
        <w:tc>
          <w:tcPr>
            <w:tcW w:w="784" w:type="pct"/>
            <w:vMerge w:val="continue"/>
            <w:shd w:val="clear" w:color="auto" w:fill="auto"/>
            <w:vAlign w:val="center"/>
          </w:tcPr>
          <w:p>
            <w:pPr>
              <w:jc w:val="center"/>
              <w:rPr>
                <w:snapToGrid w:val="0"/>
                <w:color w:val="auto"/>
                <w:szCs w:val="21"/>
              </w:rPr>
            </w:pPr>
          </w:p>
        </w:tc>
        <w:tc>
          <w:tcPr>
            <w:tcW w:w="1371" w:type="pct"/>
            <w:shd w:val="clear" w:color="auto" w:fill="auto"/>
            <w:vAlign w:val="center"/>
          </w:tcPr>
          <w:p>
            <w:pPr>
              <w:jc w:val="center"/>
              <w:rPr>
                <w:snapToGrid w:val="0"/>
                <w:color w:val="auto"/>
                <w:szCs w:val="21"/>
              </w:rPr>
            </w:pPr>
            <w:r>
              <w:rPr>
                <w:snapToGrid w:val="0"/>
                <w:color w:val="auto"/>
                <w:szCs w:val="21"/>
              </w:rPr>
              <w: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9" w:type="pct"/>
            <w:vMerge w:val="continue"/>
            <w:shd w:val="clear" w:color="auto" w:fill="auto"/>
            <w:vAlign w:val="center"/>
          </w:tcPr>
          <w:p>
            <w:pPr>
              <w:jc w:val="center"/>
              <w:rPr>
                <w:snapToGrid w:val="0"/>
                <w:color w:val="auto"/>
              </w:rPr>
            </w:pPr>
          </w:p>
        </w:tc>
        <w:tc>
          <w:tcPr>
            <w:tcW w:w="1250" w:type="pct"/>
            <w:vMerge w:val="continue"/>
            <w:shd w:val="clear" w:color="auto" w:fill="auto"/>
            <w:vAlign w:val="center"/>
          </w:tcPr>
          <w:p>
            <w:pPr>
              <w:ind w:firstLine="420"/>
              <w:jc w:val="center"/>
              <w:rPr>
                <w:snapToGrid w:val="0"/>
                <w:color w:val="auto"/>
              </w:rPr>
            </w:pPr>
          </w:p>
        </w:tc>
        <w:tc>
          <w:tcPr>
            <w:tcW w:w="1135" w:type="pct"/>
            <w:shd w:val="clear" w:color="auto" w:fill="auto"/>
            <w:vAlign w:val="center"/>
          </w:tcPr>
          <w:p>
            <w:pPr>
              <w:jc w:val="center"/>
              <w:rPr>
                <w:snapToGrid w:val="0"/>
                <w:color w:val="auto"/>
                <w:szCs w:val="21"/>
              </w:rPr>
            </w:pPr>
            <w:r>
              <w:rPr>
                <w:snapToGrid w:val="0"/>
                <w:color w:val="auto"/>
                <w:szCs w:val="21"/>
              </w:rPr>
              <w:t>硝酸盐</w:t>
            </w:r>
          </w:p>
        </w:tc>
        <w:tc>
          <w:tcPr>
            <w:tcW w:w="784" w:type="pct"/>
            <w:vMerge w:val="continue"/>
            <w:shd w:val="clear" w:color="auto" w:fill="auto"/>
            <w:vAlign w:val="center"/>
          </w:tcPr>
          <w:p>
            <w:pPr>
              <w:jc w:val="center"/>
              <w:rPr>
                <w:snapToGrid w:val="0"/>
                <w:color w:val="auto"/>
                <w:szCs w:val="21"/>
              </w:rPr>
            </w:pPr>
          </w:p>
        </w:tc>
        <w:tc>
          <w:tcPr>
            <w:tcW w:w="1371" w:type="pct"/>
            <w:shd w:val="clear" w:color="auto" w:fill="auto"/>
            <w:vAlign w:val="center"/>
          </w:tcPr>
          <w:p>
            <w:pPr>
              <w:jc w:val="center"/>
              <w:rPr>
                <w:snapToGrid w:val="0"/>
                <w:color w:val="auto"/>
                <w:szCs w:val="21"/>
              </w:rPr>
            </w:pPr>
            <w:r>
              <w:rPr>
                <w:snapToGrid w:val="0"/>
                <w:color w:val="auto"/>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9" w:type="pct"/>
            <w:vMerge w:val="continue"/>
            <w:shd w:val="clear" w:color="auto" w:fill="auto"/>
            <w:vAlign w:val="center"/>
          </w:tcPr>
          <w:p>
            <w:pPr>
              <w:jc w:val="center"/>
              <w:rPr>
                <w:snapToGrid w:val="0"/>
                <w:color w:val="auto"/>
              </w:rPr>
            </w:pPr>
          </w:p>
        </w:tc>
        <w:tc>
          <w:tcPr>
            <w:tcW w:w="1250" w:type="pct"/>
            <w:vMerge w:val="continue"/>
            <w:shd w:val="clear" w:color="auto" w:fill="auto"/>
            <w:vAlign w:val="center"/>
          </w:tcPr>
          <w:p>
            <w:pPr>
              <w:ind w:firstLine="420"/>
              <w:jc w:val="center"/>
              <w:rPr>
                <w:snapToGrid w:val="0"/>
                <w:color w:val="auto"/>
              </w:rPr>
            </w:pPr>
          </w:p>
        </w:tc>
        <w:tc>
          <w:tcPr>
            <w:tcW w:w="1135" w:type="pct"/>
            <w:shd w:val="clear" w:color="auto" w:fill="auto"/>
            <w:vAlign w:val="center"/>
          </w:tcPr>
          <w:p>
            <w:pPr>
              <w:jc w:val="center"/>
              <w:rPr>
                <w:snapToGrid w:val="0"/>
                <w:color w:val="auto"/>
                <w:szCs w:val="21"/>
              </w:rPr>
            </w:pPr>
            <w:r>
              <w:rPr>
                <w:snapToGrid w:val="0"/>
                <w:color w:val="auto"/>
                <w:szCs w:val="21"/>
              </w:rPr>
              <w:t>亚硝酸盐</w:t>
            </w:r>
          </w:p>
        </w:tc>
        <w:tc>
          <w:tcPr>
            <w:tcW w:w="784" w:type="pct"/>
            <w:vMerge w:val="continue"/>
            <w:shd w:val="clear" w:color="auto" w:fill="auto"/>
            <w:vAlign w:val="center"/>
          </w:tcPr>
          <w:p>
            <w:pPr>
              <w:jc w:val="center"/>
              <w:rPr>
                <w:snapToGrid w:val="0"/>
                <w:color w:val="auto"/>
                <w:szCs w:val="21"/>
              </w:rPr>
            </w:pPr>
          </w:p>
        </w:tc>
        <w:tc>
          <w:tcPr>
            <w:tcW w:w="1371" w:type="pct"/>
            <w:shd w:val="clear" w:color="auto" w:fill="auto"/>
            <w:vAlign w:val="center"/>
          </w:tcPr>
          <w:p>
            <w:pPr>
              <w:jc w:val="center"/>
              <w:rPr>
                <w:snapToGrid w:val="0"/>
                <w:color w:val="auto"/>
                <w:szCs w:val="21"/>
              </w:rPr>
            </w:pPr>
            <w:r>
              <w:rPr>
                <w:snapToGrid w:val="0"/>
                <w:color w:val="auto"/>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9" w:type="pct"/>
            <w:vMerge w:val="continue"/>
            <w:shd w:val="clear" w:color="auto" w:fill="auto"/>
            <w:vAlign w:val="center"/>
          </w:tcPr>
          <w:p>
            <w:pPr>
              <w:jc w:val="center"/>
              <w:rPr>
                <w:snapToGrid w:val="0"/>
                <w:color w:val="auto"/>
              </w:rPr>
            </w:pPr>
          </w:p>
        </w:tc>
        <w:tc>
          <w:tcPr>
            <w:tcW w:w="1250" w:type="pct"/>
            <w:vMerge w:val="continue"/>
            <w:shd w:val="clear" w:color="auto" w:fill="auto"/>
            <w:vAlign w:val="center"/>
          </w:tcPr>
          <w:p>
            <w:pPr>
              <w:ind w:firstLine="420"/>
              <w:jc w:val="center"/>
              <w:rPr>
                <w:snapToGrid w:val="0"/>
                <w:color w:val="auto"/>
              </w:rPr>
            </w:pPr>
          </w:p>
        </w:tc>
        <w:tc>
          <w:tcPr>
            <w:tcW w:w="1135" w:type="pct"/>
            <w:shd w:val="clear" w:color="auto" w:fill="auto"/>
            <w:vAlign w:val="center"/>
          </w:tcPr>
          <w:p>
            <w:pPr>
              <w:jc w:val="center"/>
              <w:rPr>
                <w:snapToGrid w:val="0"/>
                <w:color w:val="auto"/>
                <w:szCs w:val="21"/>
              </w:rPr>
            </w:pPr>
            <w:r>
              <w:rPr>
                <w:snapToGrid w:val="0"/>
                <w:color w:val="auto"/>
                <w:szCs w:val="21"/>
              </w:rPr>
              <w:t>氨氮</w:t>
            </w:r>
          </w:p>
        </w:tc>
        <w:tc>
          <w:tcPr>
            <w:tcW w:w="784" w:type="pct"/>
            <w:vMerge w:val="continue"/>
            <w:shd w:val="clear" w:color="auto" w:fill="auto"/>
            <w:vAlign w:val="center"/>
          </w:tcPr>
          <w:p>
            <w:pPr>
              <w:jc w:val="center"/>
              <w:rPr>
                <w:snapToGrid w:val="0"/>
                <w:color w:val="auto"/>
                <w:szCs w:val="21"/>
              </w:rPr>
            </w:pPr>
          </w:p>
        </w:tc>
        <w:tc>
          <w:tcPr>
            <w:tcW w:w="1371" w:type="pct"/>
            <w:shd w:val="clear" w:color="auto" w:fill="auto"/>
            <w:vAlign w:val="center"/>
          </w:tcPr>
          <w:p>
            <w:pPr>
              <w:jc w:val="center"/>
              <w:rPr>
                <w:snapToGrid w:val="0"/>
                <w:color w:val="auto"/>
                <w:szCs w:val="21"/>
              </w:rPr>
            </w:pPr>
            <w:r>
              <w:rPr>
                <w:snapToGrid w:val="0"/>
                <w:color w:val="auto"/>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9" w:type="pct"/>
            <w:vMerge w:val="continue"/>
            <w:shd w:val="clear" w:color="auto" w:fill="auto"/>
            <w:vAlign w:val="center"/>
          </w:tcPr>
          <w:p>
            <w:pPr>
              <w:jc w:val="center"/>
              <w:rPr>
                <w:snapToGrid w:val="0"/>
                <w:color w:val="auto"/>
              </w:rPr>
            </w:pPr>
          </w:p>
        </w:tc>
        <w:tc>
          <w:tcPr>
            <w:tcW w:w="1250" w:type="pct"/>
            <w:vMerge w:val="continue"/>
            <w:shd w:val="clear" w:color="auto" w:fill="auto"/>
            <w:vAlign w:val="center"/>
          </w:tcPr>
          <w:p>
            <w:pPr>
              <w:ind w:firstLine="420"/>
              <w:jc w:val="center"/>
              <w:rPr>
                <w:snapToGrid w:val="0"/>
                <w:color w:val="auto"/>
              </w:rPr>
            </w:pPr>
          </w:p>
        </w:tc>
        <w:tc>
          <w:tcPr>
            <w:tcW w:w="1135" w:type="pct"/>
            <w:shd w:val="clear" w:color="auto" w:fill="auto"/>
            <w:vAlign w:val="center"/>
          </w:tcPr>
          <w:p>
            <w:pPr>
              <w:jc w:val="center"/>
              <w:rPr>
                <w:snapToGrid w:val="0"/>
                <w:color w:val="auto"/>
                <w:szCs w:val="21"/>
              </w:rPr>
            </w:pPr>
            <w:r>
              <w:rPr>
                <w:snapToGrid w:val="0"/>
                <w:color w:val="auto"/>
                <w:szCs w:val="21"/>
              </w:rPr>
              <w:t>氟化物</w:t>
            </w:r>
          </w:p>
        </w:tc>
        <w:tc>
          <w:tcPr>
            <w:tcW w:w="784" w:type="pct"/>
            <w:vMerge w:val="continue"/>
            <w:shd w:val="clear" w:color="auto" w:fill="auto"/>
            <w:vAlign w:val="center"/>
          </w:tcPr>
          <w:p>
            <w:pPr>
              <w:jc w:val="center"/>
              <w:rPr>
                <w:snapToGrid w:val="0"/>
                <w:color w:val="auto"/>
                <w:szCs w:val="21"/>
              </w:rPr>
            </w:pPr>
          </w:p>
        </w:tc>
        <w:tc>
          <w:tcPr>
            <w:tcW w:w="1371" w:type="pct"/>
            <w:shd w:val="clear" w:color="auto" w:fill="auto"/>
            <w:vAlign w:val="center"/>
          </w:tcPr>
          <w:p>
            <w:pPr>
              <w:jc w:val="center"/>
              <w:rPr>
                <w:snapToGrid w:val="0"/>
                <w:color w:val="auto"/>
                <w:szCs w:val="21"/>
              </w:rPr>
            </w:pPr>
            <w:r>
              <w:rPr>
                <w:snapToGrid w:val="0"/>
                <w:color w:val="auto"/>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9" w:type="pct"/>
            <w:vMerge w:val="continue"/>
            <w:shd w:val="clear" w:color="auto" w:fill="auto"/>
            <w:vAlign w:val="center"/>
          </w:tcPr>
          <w:p>
            <w:pPr>
              <w:jc w:val="center"/>
              <w:rPr>
                <w:snapToGrid w:val="0"/>
                <w:color w:val="auto"/>
              </w:rPr>
            </w:pPr>
          </w:p>
        </w:tc>
        <w:tc>
          <w:tcPr>
            <w:tcW w:w="1250" w:type="pct"/>
            <w:vMerge w:val="continue"/>
            <w:shd w:val="clear" w:color="auto" w:fill="auto"/>
            <w:vAlign w:val="center"/>
          </w:tcPr>
          <w:p>
            <w:pPr>
              <w:ind w:firstLine="420"/>
              <w:jc w:val="center"/>
              <w:rPr>
                <w:snapToGrid w:val="0"/>
                <w:color w:val="auto"/>
              </w:rPr>
            </w:pPr>
          </w:p>
        </w:tc>
        <w:tc>
          <w:tcPr>
            <w:tcW w:w="1135" w:type="pct"/>
            <w:shd w:val="clear" w:color="auto" w:fill="auto"/>
            <w:vAlign w:val="center"/>
          </w:tcPr>
          <w:p>
            <w:pPr>
              <w:jc w:val="center"/>
              <w:rPr>
                <w:snapToGrid w:val="0"/>
                <w:color w:val="auto"/>
                <w:szCs w:val="21"/>
              </w:rPr>
            </w:pPr>
            <w:r>
              <w:rPr>
                <w:snapToGrid w:val="0"/>
                <w:color w:val="auto"/>
                <w:szCs w:val="21"/>
              </w:rPr>
              <w:t>氰化物</w:t>
            </w:r>
          </w:p>
        </w:tc>
        <w:tc>
          <w:tcPr>
            <w:tcW w:w="784" w:type="pct"/>
            <w:vMerge w:val="continue"/>
            <w:shd w:val="clear" w:color="auto" w:fill="auto"/>
            <w:vAlign w:val="center"/>
          </w:tcPr>
          <w:p>
            <w:pPr>
              <w:jc w:val="center"/>
              <w:rPr>
                <w:snapToGrid w:val="0"/>
                <w:color w:val="auto"/>
                <w:szCs w:val="21"/>
              </w:rPr>
            </w:pPr>
          </w:p>
        </w:tc>
        <w:tc>
          <w:tcPr>
            <w:tcW w:w="1371" w:type="pct"/>
            <w:shd w:val="clear" w:color="auto" w:fill="auto"/>
            <w:vAlign w:val="center"/>
          </w:tcPr>
          <w:p>
            <w:pPr>
              <w:jc w:val="center"/>
              <w:rPr>
                <w:snapToGrid w:val="0"/>
                <w:color w:val="auto"/>
                <w:szCs w:val="21"/>
              </w:rPr>
            </w:pPr>
            <w:r>
              <w:rPr>
                <w:snapToGrid w:val="0"/>
                <w:color w:val="auto"/>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9" w:type="pct"/>
            <w:vMerge w:val="continue"/>
            <w:shd w:val="clear" w:color="auto" w:fill="auto"/>
            <w:vAlign w:val="center"/>
          </w:tcPr>
          <w:p>
            <w:pPr>
              <w:jc w:val="center"/>
              <w:rPr>
                <w:snapToGrid w:val="0"/>
                <w:color w:val="auto"/>
              </w:rPr>
            </w:pPr>
          </w:p>
        </w:tc>
        <w:tc>
          <w:tcPr>
            <w:tcW w:w="1250" w:type="pct"/>
            <w:vMerge w:val="continue"/>
            <w:shd w:val="clear" w:color="auto" w:fill="auto"/>
            <w:vAlign w:val="center"/>
          </w:tcPr>
          <w:p>
            <w:pPr>
              <w:ind w:firstLine="420"/>
              <w:jc w:val="center"/>
              <w:rPr>
                <w:snapToGrid w:val="0"/>
                <w:color w:val="auto"/>
              </w:rPr>
            </w:pPr>
          </w:p>
        </w:tc>
        <w:tc>
          <w:tcPr>
            <w:tcW w:w="1135" w:type="pct"/>
            <w:shd w:val="clear" w:color="auto" w:fill="auto"/>
            <w:vAlign w:val="center"/>
          </w:tcPr>
          <w:p>
            <w:pPr>
              <w:jc w:val="center"/>
              <w:rPr>
                <w:snapToGrid w:val="0"/>
                <w:color w:val="auto"/>
                <w:szCs w:val="21"/>
              </w:rPr>
            </w:pPr>
            <w:r>
              <w:rPr>
                <w:snapToGrid w:val="0"/>
                <w:color w:val="auto"/>
                <w:szCs w:val="21"/>
              </w:rPr>
              <w:t>氯化物</w:t>
            </w:r>
          </w:p>
        </w:tc>
        <w:tc>
          <w:tcPr>
            <w:tcW w:w="784" w:type="pct"/>
            <w:vMerge w:val="continue"/>
            <w:shd w:val="clear" w:color="auto" w:fill="auto"/>
            <w:vAlign w:val="center"/>
          </w:tcPr>
          <w:p>
            <w:pPr>
              <w:jc w:val="center"/>
              <w:rPr>
                <w:snapToGrid w:val="0"/>
                <w:color w:val="auto"/>
                <w:szCs w:val="21"/>
              </w:rPr>
            </w:pPr>
          </w:p>
        </w:tc>
        <w:tc>
          <w:tcPr>
            <w:tcW w:w="1371" w:type="pct"/>
            <w:shd w:val="clear" w:color="auto" w:fill="auto"/>
            <w:vAlign w:val="center"/>
          </w:tcPr>
          <w:p>
            <w:pPr>
              <w:jc w:val="center"/>
              <w:rPr>
                <w:snapToGrid w:val="0"/>
                <w:color w:val="auto"/>
                <w:szCs w:val="21"/>
              </w:rPr>
            </w:pPr>
            <w:r>
              <w:rPr>
                <w:snapToGrid w:val="0"/>
                <w:color w:val="auto"/>
                <w:szCs w:val="21"/>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9" w:type="pct"/>
            <w:vMerge w:val="continue"/>
            <w:shd w:val="clear" w:color="auto" w:fill="auto"/>
            <w:vAlign w:val="center"/>
          </w:tcPr>
          <w:p>
            <w:pPr>
              <w:jc w:val="center"/>
              <w:rPr>
                <w:snapToGrid w:val="0"/>
                <w:color w:val="auto"/>
              </w:rPr>
            </w:pPr>
          </w:p>
        </w:tc>
        <w:tc>
          <w:tcPr>
            <w:tcW w:w="1250" w:type="pct"/>
            <w:vMerge w:val="continue"/>
            <w:shd w:val="clear" w:color="auto" w:fill="auto"/>
            <w:vAlign w:val="center"/>
          </w:tcPr>
          <w:p>
            <w:pPr>
              <w:ind w:firstLine="420"/>
              <w:jc w:val="center"/>
              <w:rPr>
                <w:snapToGrid w:val="0"/>
                <w:color w:val="auto"/>
              </w:rPr>
            </w:pPr>
          </w:p>
        </w:tc>
        <w:tc>
          <w:tcPr>
            <w:tcW w:w="1135" w:type="pct"/>
            <w:shd w:val="clear" w:color="auto" w:fill="auto"/>
            <w:vAlign w:val="center"/>
          </w:tcPr>
          <w:p>
            <w:pPr>
              <w:jc w:val="center"/>
              <w:rPr>
                <w:snapToGrid w:val="0"/>
                <w:color w:val="auto"/>
                <w:szCs w:val="21"/>
              </w:rPr>
            </w:pPr>
            <w:r>
              <w:rPr>
                <w:snapToGrid w:val="0"/>
                <w:color w:val="auto"/>
                <w:szCs w:val="21"/>
              </w:rPr>
              <w:t>硫酸盐</w:t>
            </w:r>
          </w:p>
        </w:tc>
        <w:tc>
          <w:tcPr>
            <w:tcW w:w="784" w:type="pct"/>
            <w:vMerge w:val="continue"/>
            <w:shd w:val="clear" w:color="auto" w:fill="auto"/>
            <w:vAlign w:val="center"/>
          </w:tcPr>
          <w:p>
            <w:pPr>
              <w:jc w:val="center"/>
              <w:rPr>
                <w:snapToGrid w:val="0"/>
                <w:color w:val="auto"/>
                <w:szCs w:val="21"/>
              </w:rPr>
            </w:pPr>
          </w:p>
        </w:tc>
        <w:tc>
          <w:tcPr>
            <w:tcW w:w="1371" w:type="pct"/>
            <w:shd w:val="clear" w:color="auto" w:fill="auto"/>
            <w:vAlign w:val="center"/>
          </w:tcPr>
          <w:p>
            <w:pPr>
              <w:jc w:val="center"/>
              <w:rPr>
                <w:snapToGrid w:val="0"/>
                <w:color w:val="auto"/>
                <w:szCs w:val="21"/>
              </w:rPr>
            </w:pPr>
            <w:r>
              <w:rPr>
                <w:snapToGrid w:val="0"/>
                <w:color w:val="auto"/>
                <w:szCs w:val="21"/>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9" w:type="pct"/>
            <w:vMerge w:val="continue"/>
            <w:shd w:val="clear" w:color="auto" w:fill="auto"/>
            <w:vAlign w:val="center"/>
          </w:tcPr>
          <w:p>
            <w:pPr>
              <w:jc w:val="center"/>
              <w:rPr>
                <w:snapToGrid w:val="0"/>
                <w:color w:val="auto"/>
              </w:rPr>
            </w:pPr>
          </w:p>
        </w:tc>
        <w:tc>
          <w:tcPr>
            <w:tcW w:w="1250" w:type="pct"/>
            <w:vMerge w:val="continue"/>
            <w:shd w:val="clear" w:color="auto" w:fill="auto"/>
            <w:vAlign w:val="center"/>
          </w:tcPr>
          <w:p>
            <w:pPr>
              <w:ind w:firstLine="420"/>
              <w:jc w:val="center"/>
              <w:rPr>
                <w:snapToGrid w:val="0"/>
                <w:color w:val="auto"/>
              </w:rPr>
            </w:pPr>
          </w:p>
        </w:tc>
        <w:tc>
          <w:tcPr>
            <w:tcW w:w="1135" w:type="pct"/>
            <w:shd w:val="clear" w:color="auto" w:fill="auto"/>
            <w:vAlign w:val="center"/>
          </w:tcPr>
          <w:p>
            <w:pPr>
              <w:jc w:val="center"/>
              <w:rPr>
                <w:snapToGrid w:val="0"/>
                <w:color w:val="auto"/>
                <w:szCs w:val="21"/>
              </w:rPr>
            </w:pPr>
            <w:r>
              <w:rPr>
                <w:rFonts w:hint="eastAsia"/>
                <w:snapToGrid w:val="0"/>
                <w:color w:val="auto"/>
                <w:szCs w:val="21"/>
              </w:rPr>
              <w:t>钠</w:t>
            </w:r>
          </w:p>
        </w:tc>
        <w:tc>
          <w:tcPr>
            <w:tcW w:w="784" w:type="pct"/>
            <w:vMerge w:val="continue"/>
            <w:shd w:val="clear" w:color="auto" w:fill="auto"/>
            <w:vAlign w:val="center"/>
          </w:tcPr>
          <w:p>
            <w:pPr>
              <w:jc w:val="center"/>
              <w:rPr>
                <w:snapToGrid w:val="0"/>
                <w:color w:val="auto"/>
                <w:szCs w:val="21"/>
              </w:rPr>
            </w:pPr>
          </w:p>
        </w:tc>
        <w:tc>
          <w:tcPr>
            <w:tcW w:w="1371" w:type="pct"/>
            <w:shd w:val="clear" w:color="auto" w:fill="auto"/>
            <w:vAlign w:val="center"/>
          </w:tcPr>
          <w:p>
            <w:pPr>
              <w:jc w:val="center"/>
              <w:rPr>
                <w:snapToGrid w:val="0"/>
                <w:color w:val="auto"/>
                <w:szCs w:val="21"/>
              </w:rPr>
            </w:pPr>
            <w:r>
              <w:rPr>
                <w:snapToGrid w:val="0"/>
                <w:color w:val="auto"/>
                <w:szCs w:val="21"/>
              </w:rPr>
              <w:t>≤2</w:t>
            </w:r>
            <w:r>
              <w:rPr>
                <w:rFonts w:hint="eastAsia"/>
                <w:snapToGrid w:val="0"/>
                <w:color w:val="auto"/>
                <w:szCs w:val="21"/>
              </w:rPr>
              <w:t>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9" w:type="pct"/>
            <w:vMerge w:val="continue"/>
            <w:shd w:val="clear" w:color="auto" w:fill="auto"/>
            <w:vAlign w:val="center"/>
          </w:tcPr>
          <w:p>
            <w:pPr>
              <w:jc w:val="center"/>
              <w:rPr>
                <w:snapToGrid w:val="0"/>
                <w:color w:val="auto"/>
              </w:rPr>
            </w:pPr>
          </w:p>
        </w:tc>
        <w:tc>
          <w:tcPr>
            <w:tcW w:w="1250" w:type="pct"/>
            <w:vMerge w:val="continue"/>
            <w:shd w:val="clear" w:color="auto" w:fill="auto"/>
            <w:vAlign w:val="center"/>
          </w:tcPr>
          <w:p>
            <w:pPr>
              <w:ind w:firstLine="420"/>
              <w:jc w:val="center"/>
              <w:rPr>
                <w:snapToGrid w:val="0"/>
                <w:color w:val="auto"/>
              </w:rPr>
            </w:pPr>
          </w:p>
        </w:tc>
        <w:tc>
          <w:tcPr>
            <w:tcW w:w="1135" w:type="pct"/>
            <w:shd w:val="clear" w:color="auto" w:fill="auto"/>
            <w:vAlign w:val="center"/>
          </w:tcPr>
          <w:p>
            <w:pPr>
              <w:jc w:val="center"/>
              <w:rPr>
                <w:snapToGrid w:val="0"/>
                <w:color w:val="auto"/>
                <w:szCs w:val="21"/>
              </w:rPr>
            </w:pPr>
            <w:r>
              <w:rPr>
                <w:snapToGrid w:val="0"/>
                <w:color w:val="auto"/>
                <w:szCs w:val="21"/>
              </w:rPr>
              <w:t>菌落总数</w:t>
            </w:r>
          </w:p>
        </w:tc>
        <w:tc>
          <w:tcPr>
            <w:tcW w:w="784" w:type="pct"/>
            <w:shd w:val="clear" w:color="auto" w:fill="auto"/>
            <w:vAlign w:val="center"/>
          </w:tcPr>
          <w:p>
            <w:pPr>
              <w:jc w:val="center"/>
              <w:rPr>
                <w:snapToGrid w:val="0"/>
                <w:color w:val="auto"/>
                <w:szCs w:val="21"/>
              </w:rPr>
            </w:pPr>
            <w:r>
              <w:rPr>
                <w:snapToGrid w:val="0"/>
                <w:color w:val="auto"/>
                <w:szCs w:val="21"/>
              </w:rPr>
              <w:t>CFU/mL</w:t>
            </w:r>
          </w:p>
        </w:tc>
        <w:tc>
          <w:tcPr>
            <w:tcW w:w="1371" w:type="pct"/>
            <w:shd w:val="clear" w:color="auto" w:fill="auto"/>
            <w:vAlign w:val="center"/>
          </w:tcPr>
          <w:p>
            <w:pPr>
              <w:jc w:val="center"/>
              <w:rPr>
                <w:snapToGrid w:val="0"/>
                <w:color w:val="auto"/>
                <w:szCs w:val="21"/>
              </w:rPr>
            </w:pPr>
            <w:r>
              <w:rPr>
                <w:snapToGrid w:val="0"/>
                <w:color w:val="auto"/>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9" w:type="pct"/>
            <w:vMerge w:val="continue"/>
            <w:shd w:val="clear" w:color="auto" w:fill="auto"/>
            <w:vAlign w:val="center"/>
          </w:tcPr>
          <w:p>
            <w:pPr>
              <w:jc w:val="center"/>
              <w:rPr>
                <w:snapToGrid w:val="0"/>
                <w:color w:val="auto"/>
              </w:rPr>
            </w:pPr>
          </w:p>
        </w:tc>
        <w:tc>
          <w:tcPr>
            <w:tcW w:w="1250" w:type="pct"/>
            <w:vMerge w:val="continue"/>
            <w:shd w:val="clear" w:color="auto" w:fill="auto"/>
            <w:vAlign w:val="center"/>
          </w:tcPr>
          <w:p>
            <w:pPr>
              <w:ind w:firstLine="420"/>
              <w:jc w:val="center"/>
              <w:rPr>
                <w:snapToGrid w:val="0"/>
                <w:color w:val="auto"/>
              </w:rPr>
            </w:pPr>
          </w:p>
        </w:tc>
        <w:tc>
          <w:tcPr>
            <w:tcW w:w="1135" w:type="pct"/>
            <w:shd w:val="clear" w:color="auto" w:fill="auto"/>
            <w:vAlign w:val="center"/>
          </w:tcPr>
          <w:p>
            <w:pPr>
              <w:jc w:val="center"/>
              <w:rPr>
                <w:snapToGrid w:val="0"/>
                <w:color w:val="auto"/>
                <w:szCs w:val="21"/>
              </w:rPr>
            </w:pPr>
            <w:r>
              <w:rPr>
                <w:snapToGrid w:val="0"/>
                <w:color w:val="auto"/>
                <w:szCs w:val="21"/>
              </w:rPr>
              <w:t>总大肠菌群</w:t>
            </w:r>
          </w:p>
        </w:tc>
        <w:tc>
          <w:tcPr>
            <w:tcW w:w="784" w:type="pct"/>
            <w:shd w:val="clear" w:color="auto" w:fill="auto"/>
            <w:vAlign w:val="center"/>
          </w:tcPr>
          <w:p>
            <w:pPr>
              <w:jc w:val="center"/>
              <w:rPr>
                <w:snapToGrid w:val="0"/>
                <w:color w:val="auto"/>
                <w:szCs w:val="21"/>
              </w:rPr>
            </w:pPr>
            <w:r>
              <w:rPr>
                <w:snapToGrid w:val="0"/>
                <w:color w:val="auto"/>
                <w:szCs w:val="21"/>
              </w:rPr>
              <w:t>MPN/100mL</w:t>
            </w:r>
          </w:p>
        </w:tc>
        <w:tc>
          <w:tcPr>
            <w:tcW w:w="1371" w:type="pct"/>
            <w:shd w:val="clear" w:color="auto" w:fill="auto"/>
            <w:vAlign w:val="center"/>
          </w:tcPr>
          <w:p>
            <w:pPr>
              <w:jc w:val="center"/>
              <w:rPr>
                <w:snapToGrid w:val="0"/>
                <w:color w:val="auto"/>
                <w:szCs w:val="21"/>
              </w:rPr>
            </w:pPr>
            <w:r>
              <w:rPr>
                <w:snapToGrid w:val="0"/>
                <w:color w:val="auto"/>
                <w:szCs w:val="21"/>
              </w:rPr>
              <w:t>≤3.0</w:t>
            </w:r>
          </w:p>
        </w:tc>
      </w:tr>
    </w:tbl>
    <w:p>
      <w:pPr>
        <w:spacing w:line="360" w:lineRule="auto"/>
        <w:ind w:firstLine="480" w:firstLineChars="200"/>
        <w:rPr>
          <w:color w:val="auto"/>
          <w:sz w:val="24"/>
        </w:rPr>
      </w:pPr>
      <w:r>
        <w:rPr>
          <w:color w:val="auto"/>
          <w:sz w:val="24"/>
        </w:rPr>
        <w:t>（2）评价方法</w:t>
      </w:r>
    </w:p>
    <w:p>
      <w:pPr>
        <w:spacing w:line="360" w:lineRule="auto"/>
        <w:ind w:firstLine="480" w:firstLineChars="200"/>
        <w:rPr>
          <w:color w:val="auto"/>
          <w:sz w:val="24"/>
        </w:rPr>
      </w:pPr>
      <w:r>
        <w:rPr>
          <w:rFonts w:hint="eastAsia" w:ascii="宋体" w:hAnsi="宋体" w:cs="宋体"/>
          <w:color w:val="auto"/>
          <w:sz w:val="24"/>
        </w:rPr>
        <w:t>①</w:t>
      </w:r>
      <w:r>
        <w:rPr>
          <w:color w:val="auto"/>
          <w:sz w:val="24"/>
        </w:rPr>
        <w:t>水质现状评价</w:t>
      </w:r>
    </w:p>
    <w:p>
      <w:pPr>
        <w:spacing w:line="360" w:lineRule="auto"/>
        <w:rPr>
          <w:color w:val="auto"/>
          <w:kern w:val="0"/>
          <w:sz w:val="24"/>
          <w:lang w:val="zh-CN"/>
        </w:rPr>
      </w:pPr>
      <w:r>
        <w:rPr>
          <w:color w:val="auto"/>
          <w:kern w:val="0"/>
          <w:sz w:val="24"/>
          <w:lang w:val="zh-CN"/>
        </w:rPr>
        <w:t>采用单项标准指数法对地下水现状监测结果进行评价，评价模式如下：</w:t>
      </w:r>
    </w:p>
    <w:p>
      <w:pPr>
        <w:spacing w:line="360" w:lineRule="auto"/>
        <w:jc w:val="center"/>
        <w:rPr>
          <w:snapToGrid w:val="0"/>
          <w:color w:val="auto"/>
          <w:kern w:val="0"/>
          <w:sz w:val="24"/>
        </w:rPr>
      </w:pPr>
      <w:r>
        <w:rPr>
          <w:snapToGrid w:val="0"/>
          <w:color w:val="auto"/>
          <w:kern w:val="0"/>
          <w:sz w:val="24"/>
        </w:rPr>
        <w:t>P</w:t>
      </w:r>
      <w:r>
        <w:rPr>
          <w:snapToGrid w:val="0"/>
          <w:color w:val="auto"/>
          <w:kern w:val="0"/>
          <w:sz w:val="24"/>
          <w:vertAlign w:val="subscript"/>
        </w:rPr>
        <w:t>i</w:t>
      </w:r>
      <w:r>
        <w:rPr>
          <w:snapToGrid w:val="0"/>
          <w:color w:val="auto"/>
          <w:kern w:val="0"/>
          <w:sz w:val="24"/>
        </w:rPr>
        <w:t>=C</w:t>
      </w:r>
      <w:r>
        <w:rPr>
          <w:snapToGrid w:val="0"/>
          <w:color w:val="auto"/>
          <w:kern w:val="0"/>
          <w:sz w:val="24"/>
          <w:vertAlign w:val="subscript"/>
        </w:rPr>
        <w:t>i</w:t>
      </w:r>
      <w:r>
        <w:rPr>
          <w:snapToGrid w:val="0"/>
          <w:color w:val="auto"/>
          <w:kern w:val="0"/>
          <w:sz w:val="24"/>
        </w:rPr>
        <w:t>/C</w:t>
      </w:r>
      <w:r>
        <w:rPr>
          <w:snapToGrid w:val="0"/>
          <w:color w:val="auto"/>
          <w:kern w:val="0"/>
          <w:sz w:val="24"/>
          <w:vertAlign w:val="subscript"/>
        </w:rPr>
        <w:t>si</w:t>
      </w:r>
    </w:p>
    <w:p>
      <w:pPr>
        <w:spacing w:line="360" w:lineRule="auto"/>
        <w:rPr>
          <w:snapToGrid w:val="0"/>
          <w:color w:val="auto"/>
          <w:kern w:val="0"/>
          <w:sz w:val="24"/>
        </w:rPr>
      </w:pPr>
      <w:r>
        <w:rPr>
          <w:snapToGrid w:val="0"/>
          <w:color w:val="auto"/>
          <w:kern w:val="0"/>
          <w:sz w:val="24"/>
        </w:rPr>
        <w:t>式中：P</w:t>
      </w:r>
      <w:r>
        <w:rPr>
          <w:snapToGrid w:val="0"/>
          <w:color w:val="auto"/>
          <w:kern w:val="0"/>
          <w:sz w:val="24"/>
          <w:vertAlign w:val="subscript"/>
        </w:rPr>
        <w:t>i</w:t>
      </w:r>
      <w:r>
        <w:rPr>
          <w:snapToGrid w:val="0"/>
          <w:color w:val="auto"/>
          <w:kern w:val="0"/>
          <w:sz w:val="24"/>
        </w:rPr>
        <w:t>—第i个水质因子的标准指数，无量纲；</w:t>
      </w:r>
    </w:p>
    <w:p>
      <w:pPr>
        <w:spacing w:line="360" w:lineRule="auto"/>
        <w:ind w:firstLine="720" w:firstLineChars="300"/>
        <w:rPr>
          <w:snapToGrid w:val="0"/>
          <w:color w:val="auto"/>
          <w:kern w:val="0"/>
          <w:sz w:val="24"/>
        </w:rPr>
      </w:pPr>
      <w:r>
        <w:rPr>
          <w:snapToGrid w:val="0"/>
          <w:color w:val="auto"/>
          <w:kern w:val="0"/>
          <w:sz w:val="24"/>
        </w:rPr>
        <w:t xml:space="preserve">     C</w:t>
      </w:r>
      <w:r>
        <w:rPr>
          <w:snapToGrid w:val="0"/>
          <w:color w:val="auto"/>
          <w:kern w:val="0"/>
          <w:sz w:val="24"/>
          <w:vertAlign w:val="subscript"/>
        </w:rPr>
        <w:t>i</w:t>
      </w:r>
      <w:r>
        <w:rPr>
          <w:snapToGrid w:val="0"/>
          <w:color w:val="auto"/>
          <w:kern w:val="0"/>
          <w:sz w:val="24"/>
        </w:rPr>
        <w:t>—第i个水质因子的监测质量浓度值，mg/L；</w:t>
      </w:r>
    </w:p>
    <w:p>
      <w:pPr>
        <w:spacing w:line="360" w:lineRule="auto"/>
        <w:ind w:firstLine="720" w:firstLineChars="300"/>
        <w:rPr>
          <w:snapToGrid w:val="0"/>
          <w:color w:val="auto"/>
          <w:kern w:val="0"/>
          <w:sz w:val="24"/>
        </w:rPr>
      </w:pPr>
      <w:r>
        <w:rPr>
          <w:snapToGrid w:val="0"/>
          <w:color w:val="auto"/>
          <w:kern w:val="0"/>
          <w:sz w:val="24"/>
        </w:rPr>
        <w:t>C</w:t>
      </w:r>
      <w:r>
        <w:rPr>
          <w:snapToGrid w:val="0"/>
          <w:color w:val="auto"/>
          <w:kern w:val="0"/>
          <w:sz w:val="24"/>
          <w:vertAlign w:val="subscript"/>
        </w:rPr>
        <w:t>si</w:t>
      </w:r>
      <w:r>
        <w:rPr>
          <w:snapToGrid w:val="0"/>
          <w:color w:val="auto"/>
          <w:kern w:val="0"/>
          <w:sz w:val="24"/>
        </w:rPr>
        <w:t>—第i个水质因子的标准质量浓度值，mg/L。</w:t>
      </w:r>
    </w:p>
    <w:p>
      <w:pPr>
        <w:autoSpaceDE w:val="0"/>
        <w:autoSpaceDN w:val="0"/>
        <w:spacing w:line="360" w:lineRule="auto"/>
        <w:jc w:val="center"/>
        <w:rPr>
          <w:color w:val="auto"/>
          <w:sz w:val="24"/>
          <w:lang w:val="zh-CN"/>
        </w:rPr>
      </w:pPr>
      <w:r>
        <w:rPr>
          <w:color w:val="auto"/>
          <w:position w:val="-28"/>
          <w:sz w:val="24"/>
        </w:rPr>
        <w:object>
          <v:shape id="_x0000_i1032" o:spt="75" type="#_x0000_t75" style="height:31.5pt;width:74.25pt;" o:ole="t" filled="f" coordsize="21600,21600">
            <v:path/>
            <v:fill on="f" focussize="0,0"/>
            <v:stroke/>
            <v:imagedata r:id="rId48" o:title=""/>
            <o:lock v:ext="edit" aspectratio="t"/>
            <w10:wrap type="none"/>
            <w10:anchorlock/>
          </v:shape>
          <o:OLEObject Type="Embed" ProgID="Equation.DSMT4" ShapeID="_x0000_i1032" DrawAspect="Content" ObjectID="_1468075732" r:id="rId47">
            <o:LockedField>false</o:LockedField>
          </o:OLEObject>
        </w:object>
      </w:r>
      <w:r>
        <w:rPr>
          <w:color w:val="auto"/>
          <w:sz w:val="24"/>
          <w:lang w:val="zh-CN"/>
        </w:rPr>
        <w:t xml:space="preserve">          pH≤7.0时</w:t>
      </w:r>
    </w:p>
    <w:p>
      <w:pPr>
        <w:autoSpaceDE w:val="0"/>
        <w:autoSpaceDN w:val="0"/>
        <w:spacing w:line="360" w:lineRule="auto"/>
        <w:jc w:val="center"/>
        <w:rPr>
          <w:color w:val="auto"/>
          <w:sz w:val="24"/>
          <w:lang w:val="zh-CN"/>
        </w:rPr>
      </w:pPr>
      <w:r>
        <w:rPr>
          <w:color w:val="auto"/>
          <w:position w:val="-28"/>
          <w:sz w:val="24"/>
        </w:rPr>
        <w:object>
          <v:shape id="_x0000_i1033" o:spt="75" type="#_x0000_t75" style="height:31.5pt;width:74.25pt;" o:ole="t" filled="f" coordsize="21600,21600">
            <v:path/>
            <v:fill on="f" focussize="0,0"/>
            <v:stroke/>
            <v:imagedata r:id="rId50" o:title=""/>
            <o:lock v:ext="edit" aspectratio="t"/>
            <w10:wrap type="none"/>
            <w10:anchorlock/>
          </v:shape>
          <o:OLEObject Type="Embed" ProgID="Equation.DSMT4" ShapeID="_x0000_i1033" DrawAspect="Content" ObjectID="_1468075733" r:id="rId49">
            <o:LockedField>false</o:LockedField>
          </o:OLEObject>
        </w:object>
      </w:r>
      <w:r>
        <w:rPr>
          <w:color w:val="auto"/>
          <w:sz w:val="24"/>
          <w:lang w:val="zh-CN"/>
        </w:rPr>
        <w:t xml:space="preserve">            pH＞7.0时</w:t>
      </w:r>
    </w:p>
    <w:p>
      <w:pPr>
        <w:autoSpaceDE w:val="0"/>
        <w:autoSpaceDN w:val="0"/>
        <w:spacing w:line="360" w:lineRule="auto"/>
        <w:rPr>
          <w:color w:val="auto"/>
          <w:sz w:val="24"/>
          <w:lang w:val="zh-CN"/>
        </w:rPr>
      </w:pPr>
      <w:r>
        <w:rPr>
          <w:color w:val="auto"/>
          <w:sz w:val="24"/>
          <w:lang w:val="zh-CN"/>
        </w:rPr>
        <w:t>式中：P</w:t>
      </w:r>
      <w:r>
        <w:rPr>
          <w:color w:val="auto"/>
          <w:sz w:val="24"/>
          <w:vertAlign w:val="subscript"/>
          <w:lang w:val="zh-CN"/>
        </w:rPr>
        <w:t>pH</w:t>
      </w:r>
      <w:r>
        <w:rPr>
          <w:color w:val="auto"/>
          <w:sz w:val="24"/>
          <w:lang w:val="zh-CN"/>
        </w:rPr>
        <w:t>——pH的标准指数，量纲为一；</w:t>
      </w:r>
    </w:p>
    <w:p>
      <w:pPr>
        <w:autoSpaceDE w:val="0"/>
        <w:autoSpaceDN w:val="0"/>
        <w:spacing w:line="360" w:lineRule="auto"/>
        <w:rPr>
          <w:color w:val="auto"/>
          <w:sz w:val="24"/>
          <w:lang w:val="zh-CN"/>
        </w:rPr>
      </w:pPr>
      <w:r>
        <w:rPr>
          <w:color w:val="auto"/>
          <w:sz w:val="24"/>
          <w:lang w:val="zh-CN"/>
        </w:rPr>
        <w:t xml:space="preserve">      pH——pH监测值；</w:t>
      </w:r>
    </w:p>
    <w:p>
      <w:pPr>
        <w:autoSpaceDE w:val="0"/>
        <w:autoSpaceDN w:val="0"/>
        <w:spacing w:line="360" w:lineRule="auto"/>
        <w:rPr>
          <w:color w:val="auto"/>
          <w:sz w:val="24"/>
          <w:lang w:val="zh-CN"/>
        </w:rPr>
      </w:pPr>
      <w:r>
        <w:rPr>
          <w:color w:val="auto"/>
          <w:sz w:val="24"/>
          <w:lang w:val="zh-CN"/>
        </w:rPr>
        <w:t xml:space="preserve">      pH</w:t>
      </w:r>
      <w:r>
        <w:rPr>
          <w:color w:val="auto"/>
          <w:sz w:val="24"/>
          <w:vertAlign w:val="subscript"/>
          <w:lang w:val="zh-CN"/>
        </w:rPr>
        <w:t>su</w:t>
      </w:r>
      <w:r>
        <w:rPr>
          <w:color w:val="auto"/>
          <w:sz w:val="24"/>
          <w:lang w:val="zh-CN"/>
        </w:rPr>
        <w:t>——标准中pH的上限值；</w:t>
      </w:r>
    </w:p>
    <w:p>
      <w:pPr>
        <w:autoSpaceDE w:val="0"/>
        <w:autoSpaceDN w:val="0"/>
        <w:spacing w:line="360" w:lineRule="auto"/>
        <w:rPr>
          <w:color w:val="auto"/>
          <w:sz w:val="24"/>
          <w:lang w:val="zh-CN"/>
        </w:rPr>
      </w:pPr>
      <w:r>
        <w:rPr>
          <w:color w:val="auto"/>
          <w:sz w:val="24"/>
          <w:lang w:val="zh-CN"/>
        </w:rPr>
        <w:t xml:space="preserve">      pH</w:t>
      </w:r>
      <w:r>
        <w:rPr>
          <w:color w:val="auto"/>
          <w:sz w:val="24"/>
          <w:vertAlign w:val="subscript"/>
          <w:lang w:val="zh-CN"/>
        </w:rPr>
        <w:t>sd</w:t>
      </w:r>
      <w:r>
        <w:rPr>
          <w:color w:val="auto"/>
          <w:sz w:val="24"/>
          <w:lang w:val="zh-CN"/>
        </w:rPr>
        <w:t>——标准中pH的下限值。</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color w:val="auto"/>
          <w:sz w:val="24"/>
          <w:lang w:val="zh-CN"/>
        </w:rPr>
      </w:pPr>
      <w:r>
        <w:rPr>
          <w:color w:val="auto"/>
          <w:sz w:val="24"/>
          <w:lang w:val="zh-CN"/>
        </w:rPr>
        <w:t>当标准指数＞1时，表示该水质参数所表征的污染物已满足不了标准要求，水体已受到污染；反之，则满足标准要求。</w:t>
      </w:r>
    </w:p>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b/>
          <w:color w:val="auto"/>
          <w:sz w:val="24"/>
        </w:rPr>
      </w:pPr>
      <w:r>
        <w:rPr>
          <w:b/>
          <w:color w:val="auto"/>
          <w:sz w:val="24"/>
        </w:rPr>
        <w:t>表4-2-</w:t>
      </w:r>
      <w:r>
        <w:rPr>
          <w:rFonts w:hint="eastAsia"/>
          <w:b/>
          <w:color w:val="auto"/>
          <w:sz w:val="24"/>
        </w:rPr>
        <w:t>9</w:t>
      </w:r>
      <w:r>
        <w:rPr>
          <w:b/>
          <w:color w:val="auto"/>
          <w:sz w:val="24"/>
        </w:rPr>
        <w:t>地下水质现状评价结果</w:t>
      </w:r>
    </w:p>
    <w:tbl>
      <w:tblPr>
        <w:tblStyle w:val="46"/>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61"/>
        <w:gridCol w:w="1906"/>
        <w:gridCol w:w="1888"/>
        <w:gridCol w:w="1965"/>
        <w:gridCol w:w="150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9" w:hRule="atLeast"/>
          <w:jc w:val="center"/>
        </w:trPr>
        <w:tc>
          <w:tcPr>
            <w:tcW w:w="740" w:type="pct"/>
            <w:vMerge w:val="restart"/>
            <w:vAlign w:val="center"/>
          </w:tcPr>
          <w:p>
            <w:pPr>
              <w:widowControl/>
              <w:spacing w:line="0" w:lineRule="atLeast"/>
              <w:contextualSpacing/>
              <w:jc w:val="center"/>
              <w:rPr>
                <w:color w:val="auto"/>
                <w:szCs w:val="21"/>
              </w:rPr>
            </w:pPr>
            <w:bookmarkStart w:id="167" w:name="OLE_LINK3"/>
            <w:r>
              <w:rPr>
                <w:color w:val="auto"/>
                <w:szCs w:val="21"/>
              </w:rPr>
              <w:t>序号</w:t>
            </w:r>
          </w:p>
        </w:tc>
        <w:tc>
          <w:tcPr>
            <w:tcW w:w="1118" w:type="pct"/>
            <w:vMerge w:val="restart"/>
            <w:vAlign w:val="center"/>
          </w:tcPr>
          <w:p>
            <w:pPr>
              <w:widowControl/>
              <w:spacing w:line="0" w:lineRule="atLeast"/>
              <w:contextualSpacing/>
              <w:jc w:val="center"/>
              <w:rPr>
                <w:color w:val="auto"/>
                <w:szCs w:val="21"/>
              </w:rPr>
            </w:pPr>
            <w:r>
              <w:rPr>
                <w:color w:val="auto"/>
                <w:szCs w:val="21"/>
              </w:rPr>
              <w:t>监测项目</w:t>
            </w:r>
          </w:p>
        </w:tc>
        <w:tc>
          <w:tcPr>
            <w:tcW w:w="1108" w:type="pct"/>
            <w:vAlign w:val="center"/>
          </w:tcPr>
          <w:p>
            <w:pPr>
              <w:widowControl/>
              <w:spacing w:line="0" w:lineRule="atLeast"/>
              <w:contextualSpacing/>
              <w:jc w:val="center"/>
              <w:rPr>
                <w:rFonts w:hint="eastAsia" w:eastAsia="宋体"/>
                <w:color w:val="auto"/>
                <w:szCs w:val="21"/>
                <w:lang w:val="en-US" w:eastAsia="zh-CN"/>
              </w:rPr>
            </w:pPr>
            <w:r>
              <w:rPr>
                <w:color w:val="auto"/>
                <w:szCs w:val="21"/>
              </w:rPr>
              <w:t>1</w:t>
            </w:r>
            <w:r>
              <w:rPr>
                <w:rFonts w:hint="eastAsia"/>
                <w:color w:val="auto"/>
                <w:szCs w:val="21"/>
                <w:lang w:val="en-US" w:eastAsia="zh-CN"/>
              </w:rPr>
              <w:t>#</w:t>
            </w:r>
          </w:p>
        </w:tc>
        <w:tc>
          <w:tcPr>
            <w:tcW w:w="1153" w:type="pct"/>
            <w:vAlign w:val="center"/>
          </w:tcPr>
          <w:p>
            <w:pPr>
              <w:widowControl/>
              <w:spacing w:line="0" w:lineRule="atLeast"/>
              <w:contextualSpacing/>
              <w:jc w:val="center"/>
              <w:rPr>
                <w:color w:val="auto"/>
                <w:szCs w:val="21"/>
              </w:rPr>
            </w:pPr>
            <w:r>
              <w:rPr>
                <w:color w:val="auto"/>
                <w:szCs w:val="21"/>
              </w:rPr>
              <w:t>2</w:t>
            </w:r>
            <w:r>
              <w:rPr>
                <w:rFonts w:hint="eastAsia"/>
                <w:color w:val="auto"/>
                <w:szCs w:val="21"/>
                <w:lang w:val="en-US" w:eastAsia="zh-CN"/>
              </w:rPr>
              <w:t>#</w:t>
            </w:r>
          </w:p>
        </w:tc>
        <w:tc>
          <w:tcPr>
            <w:tcW w:w="881" w:type="pct"/>
            <w:vAlign w:val="center"/>
          </w:tcPr>
          <w:p>
            <w:pPr>
              <w:widowControl/>
              <w:spacing w:line="0" w:lineRule="atLeast"/>
              <w:contextualSpacing/>
              <w:jc w:val="center"/>
              <w:rPr>
                <w:color w:val="auto"/>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0" w:type="auto"/>
            <w:vMerge w:val="continue"/>
            <w:vAlign w:val="center"/>
          </w:tcPr>
          <w:p>
            <w:pPr>
              <w:widowControl/>
              <w:spacing w:line="0" w:lineRule="atLeast"/>
              <w:contextualSpacing/>
              <w:jc w:val="center"/>
              <w:rPr>
                <w:color w:val="auto"/>
                <w:szCs w:val="21"/>
              </w:rPr>
            </w:pPr>
          </w:p>
        </w:tc>
        <w:tc>
          <w:tcPr>
            <w:tcW w:w="0" w:type="auto"/>
            <w:vMerge w:val="continue"/>
            <w:vAlign w:val="center"/>
          </w:tcPr>
          <w:p>
            <w:pPr>
              <w:widowControl/>
              <w:spacing w:line="0" w:lineRule="atLeast"/>
              <w:contextualSpacing/>
              <w:jc w:val="center"/>
              <w:rPr>
                <w:color w:val="auto"/>
                <w:szCs w:val="21"/>
              </w:rPr>
            </w:pPr>
          </w:p>
        </w:tc>
        <w:tc>
          <w:tcPr>
            <w:tcW w:w="1108" w:type="pct"/>
            <w:vAlign w:val="center"/>
          </w:tcPr>
          <w:p>
            <w:pPr>
              <w:widowControl/>
              <w:spacing w:line="0" w:lineRule="atLeast"/>
              <w:contextualSpacing/>
              <w:jc w:val="center"/>
              <w:rPr>
                <w:color w:val="auto"/>
                <w:szCs w:val="21"/>
              </w:rPr>
            </w:pPr>
            <w:r>
              <w:rPr>
                <w:color w:val="auto"/>
                <w:szCs w:val="21"/>
              </w:rPr>
              <w:t>Pi</w:t>
            </w:r>
          </w:p>
        </w:tc>
        <w:tc>
          <w:tcPr>
            <w:tcW w:w="1153" w:type="pct"/>
            <w:vAlign w:val="center"/>
          </w:tcPr>
          <w:p>
            <w:pPr>
              <w:widowControl/>
              <w:spacing w:line="0" w:lineRule="atLeast"/>
              <w:contextualSpacing/>
              <w:jc w:val="center"/>
              <w:rPr>
                <w:color w:val="auto"/>
                <w:szCs w:val="21"/>
              </w:rPr>
            </w:pPr>
            <w:r>
              <w:rPr>
                <w:color w:val="auto"/>
                <w:szCs w:val="21"/>
              </w:rPr>
              <w:t>Pi</w:t>
            </w:r>
          </w:p>
        </w:tc>
        <w:tc>
          <w:tcPr>
            <w:tcW w:w="881" w:type="pct"/>
            <w:vAlign w:val="center"/>
          </w:tcPr>
          <w:p>
            <w:pPr>
              <w:widowControl/>
              <w:spacing w:line="0" w:lineRule="atLeast"/>
              <w:contextualSpacing/>
              <w:jc w:val="center"/>
              <w:rPr>
                <w:color w:val="auto"/>
                <w:szCs w:val="21"/>
              </w:rPr>
            </w:pPr>
            <w:r>
              <w:rPr>
                <w:color w:val="auto"/>
                <w:szCs w:val="21"/>
              </w:rPr>
              <w:t>Pi</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40" w:type="pct"/>
            <w:vAlign w:val="center"/>
          </w:tcPr>
          <w:p>
            <w:pPr>
              <w:widowControl/>
              <w:spacing w:line="0" w:lineRule="atLeast"/>
              <w:contextualSpacing/>
              <w:jc w:val="center"/>
              <w:rPr>
                <w:color w:val="auto"/>
                <w:szCs w:val="21"/>
              </w:rPr>
            </w:pPr>
            <w:r>
              <w:rPr>
                <w:color w:val="auto"/>
                <w:szCs w:val="21"/>
              </w:rPr>
              <w:t>1</w:t>
            </w:r>
          </w:p>
        </w:tc>
        <w:tc>
          <w:tcPr>
            <w:tcW w:w="1118" w:type="pct"/>
            <w:vAlign w:val="center"/>
          </w:tcPr>
          <w:p>
            <w:pPr>
              <w:widowControl/>
              <w:spacing w:line="0" w:lineRule="atLeast"/>
              <w:contextualSpacing/>
              <w:jc w:val="center"/>
              <w:rPr>
                <w:color w:val="auto"/>
                <w:kern w:val="0"/>
                <w:szCs w:val="21"/>
              </w:rPr>
            </w:pPr>
            <w:r>
              <w:rPr>
                <w:color w:val="auto"/>
                <w:szCs w:val="21"/>
              </w:rPr>
              <w:t>pH值</w:t>
            </w:r>
          </w:p>
        </w:tc>
        <w:tc>
          <w:tcPr>
            <w:tcW w:w="1888" w:type="dxa"/>
            <w:vAlign w:val="center"/>
          </w:tcPr>
          <w:p>
            <w:pPr>
              <w:keepNext w:val="0"/>
              <w:keepLines w:val="0"/>
              <w:widowControl/>
              <w:suppressLineNumbers w:val="0"/>
              <w:jc w:val="center"/>
              <w:textAlignment w:val="center"/>
              <w:rPr>
                <w:rFonts w:hint="default" w:ascii="Times New Roman" w:hAnsi="Times New Roman" w:cs="Times New Roman"/>
                <w:color w:val="auto"/>
                <w:szCs w:val="21"/>
                <w:lang w:val="en-US"/>
              </w:rPr>
            </w:pPr>
            <w:r>
              <w:rPr>
                <w:rFonts w:hint="default" w:ascii="Times New Roman" w:hAnsi="Times New Roman" w:eastAsia="宋体" w:cs="Times New Roman"/>
                <w:i w:val="0"/>
                <w:iCs w:val="0"/>
                <w:color w:val="auto"/>
                <w:kern w:val="0"/>
                <w:sz w:val="21"/>
                <w:szCs w:val="21"/>
                <w:u w:val="none"/>
                <w:lang w:val="en-US" w:eastAsia="zh-CN" w:bidi="ar"/>
              </w:rPr>
              <w:t>0.06</w:t>
            </w:r>
            <w:r>
              <w:rPr>
                <w:rFonts w:hint="eastAsia" w:ascii="Times New Roman" w:hAnsi="Times New Roman" w:eastAsia="宋体" w:cs="Times New Roman"/>
                <w:i w:val="0"/>
                <w:iCs w:val="0"/>
                <w:color w:val="auto"/>
                <w:kern w:val="0"/>
                <w:sz w:val="21"/>
                <w:szCs w:val="21"/>
                <w:u w:val="none"/>
                <w:lang w:val="en-US" w:eastAsia="zh-CN" w:bidi="ar"/>
              </w:rPr>
              <w:t>7</w:t>
            </w:r>
          </w:p>
        </w:tc>
        <w:tc>
          <w:tcPr>
            <w:tcW w:w="1965"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0.133</w:t>
            </w:r>
          </w:p>
        </w:tc>
        <w:tc>
          <w:tcPr>
            <w:tcW w:w="1502"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40" w:type="pct"/>
            <w:vAlign w:val="center"/>
          </w:tcPr>
          <w:p>
            <w:pPr>
              <w:widowControl/>
              <w:spacing w:line="0" w:lineRule="atLeast"/>
              <w:contextualSpacing/>
              <w:jc w:val="center"/>
              <w:rPr>
                <w:color w:val="auto"/>
                <w:szCs w:val="21"/>
              </w:rPr>
            </w:pPr>
            <w:r>
              <w:rPr>
                <w:rFonts w:hint="eastAsia"/>
                <w:color w:val="auto"/>
                <w:szCs w:val="21"/>
              </w:rPr>
              <w:t>2</w:t>
            </w:r>
          </w:p>
        </w:tc>
        <w:tc>
          <w:tcPr>
            <w:tcW w:w="1118" w:type="pct"/>
            <w:vAlign w:val="center"/>
          </w:tcPr>
          <w:p>
            <w:pPr>
              <w:widowControl/>
              <w:spacing w:line="0" w:lineRule="atLeast"/>
              <w:contextualSpacing/>
              <w:jc w:val="center"/>
              <w:rPr>
                <w:color w:val="auto"/>
                <w:szCs w:val="21"/>
              </w:rPr>
            </w:pPr>
            <w:r>
              <w:rPr>
                <w:color w:val="auto"/>
                <w:szCs w:val="21"/>
              </w:rPr>
              <w:t>总硬度</w:t>
            </w:r>
          </w:p>
        </w:tc>
        <w:tc>
          <w:tcPr>
            <w:tcW w:w="1888"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0.404</w:t>
            </w:r>
          </w:p>
        </w:tc>
        <w:tc>
          <w:tcPr>
            <w:tcW w:w="1965"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0.209</w:t>
            </w:r>
          </w:p>
        </w:tc>
        <w:tc>
          <w:tcPr>
            <w:tcW w:w="1502"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0.112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40" w:type="pct"/>
            <w:vAlign w:val="center"/>
          </w:tcPr>
          <w:p>
            <w:pPr>
              <w:widowControl/>
              <w:spacing w:line="0" w:lineRule="atLeast"/>
              <w:contextualSpacing/>
              <w:jc w:val="center"/>
              <w:rPr>
                <w:color w:val="auto"/>
                <w:szCs w:val="21"/>
              </w:rPr>
            </w:pPr>
            <w:r>
              <w:rPr>
                <w:rFonts w:hint="eastAsia"/>
                <w:color w:val="auto"/>
                <w:szCs w:val="21"/>
              </w:rPr>
              <w:t>3</w:t>
            </w:r>
          </w:p>
        </w:tc>
        <w:tc>
          <w:tcPr>
            <w:tcW w:w="1118" w:type="pct"/>
            <w:vAlign w:val="center"/>
          </w:tcPr>
          <w:p>
            <w:pPr>
              <w:widowControl/>
              <w:spacing w:line="0" w:lineRule="atLeast"/>
              <w:contextualSpacing/>
              <w:jc w:val="center"/>
              <w:rPr>
                <w:color w:val="auto"/>
                <w:kern w:val="0"/>
                <w:szCs w:val="21"/>
              </w:rPr>
            </w:pPr>
            <w:r>
              <w:rPr>
                <w:color w:val="auto"/>
                <w:szCs w:val="21"/>
              </w:rPr>
              <w:t>溶解性总固体</w:t>
            </w:r>
          </w:p>
        </w:tc>
        <w:tc>
          <w:tcPr>
            <w:tcW w:w="1888"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0.231</w:t>
            </w:r>
          </w:p>
        </w:tc>
        <w:tc>
          <w:tcPr>
            <w:tcW w:w="1965"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0.133</w:t>
            </w:r>
          </w:p>
        </w:tc>
        <w:tc>
          <w:tcPr>
            <w:tcW w:w="1502"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0.076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40" w:type="pct"/>
            <w:vAlign w:val="center"/>
          </w:tcPr>
          <w:p>
            <w:pPr>
              <w:widowControl/>
              <w:spacing w:line="0" w:lineRule="atLeast"/>
              <w:contextualSpacing/>
              <w:jc w:val="center"/>
              <w:rPr>
                <w:color w:val="auto"/>
                <w:szCs w:val="21"/>
              </w:rPr>
            </w:pPr>
            <w:r>
              <w:rPr>
                <w:rFonts w:hint="eastAsia"/>
                <w:color w:val="auto"/>
                <w:szCs w:val="21"/>
              </w:rPr>
              <w:t>4</w:t>
            </w:r>
          </w:p>
        </w:tc>
        <w:tc>
          <w:tcPr>
            <w:tcW w:w="1118" w:type="pct"/>
            <w:vAlign w:val="center"/>
          </w:tcPr>
          <w:p>
            <w:pPr>
              <w:widowControl/>
              <w:spacing w:line="0" w:lineRule="atLeast"/>
              <w:contextualSpacing/>
              <w:jc w:val="center"/>
              <w:rPr>
                <w:color w:val="auto"/>
                <w:szCs w:val="21"/>
              </w:rPr>
            </w:pPr>
            <w:r>
              <w:rPr>
                <w:color w:val="auto"/>
                <w:szCs w:val="21"/>
              </w:rPr>
              <w:t>硫酸盐</w:t>
            </w:r>
          </w:p>
        </w:tc>
        <w:tc>
          <w:tcPr>
            <w:tcW w:w="1888"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0.0128</w:t>
            </w:r>
          </w:p>
        </w:tc>
        <w:tc>
          <w:tcPr>
            <w:tcW w:w="1965"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0.0616</w:t>
            </w:r>
          </w:p>
        </w:tc>
        <w:tc>
          <w:tcPr>
            <w:tcW w:w="1502"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0.0170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40" w:type="pct"/>
            <w:vAlign w:val="center"/>
          </w:tcPr>
          <w:p>
            <w:pPr>
              <w:widowControl/>
              <w:spacing w:line="0" w:lineRule="atLeast"/>
              <w:contextualSpacing/>
              <w:jc w:val="center"/>
              <w:rPr>
                <w:color w:val="auto"/>
                <w:szCs w:val="21"/>
              </w:rPr>
            </w:pPr>
            <w:r>
              <w:rPr>
                <w:rFonts w:hint="eastAsia"/>
                <w:color w:val="auto"/>
                <w:szCs w:val="21"/>
              </w:rPr>
              <w:t>5</w:t>
            </w:r>
          </w:p>
        </w:tc>
        <w:tc>
          <w:tcPr>
            <w:tcW w:w="1118" w:type="pct"/>
            <w:vAlign w:val="center"/>
          </w:tcPr>
          <w:p>
            <w:pPr>
              <w:widowControl/>
              <w:spacing w:line="0" w:lineRule="atLeast"/>
              <w:contextualSpacing/>
              <w:jc w:val="center"/>
              <w:rPr>
                <w:color w:val="auto"/>
                <w:szCs w:val="21"/>
              </w:rPr>
            </w:pPr>
            <w:r>
              <w:rPr>
                <w:color w:val="auto"/>
                <w:szCs w:val="21"/>
              </w:rPr>
              <w:t>氯化物</w:t>
            </w:r>
          </w:p>
        </w:tc>
        <w:tc>
          <w:tcPr>
            <w:tcW w:w="1888"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0.2264</w:t>
            </w:r>
          </w:p>
        </w:tc>
        <w:tc>
          <w:tcPr>
            <w:tcW w:w="1965"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0.0317</w:t>
            </w:r>
          </w:p>
        </w:tc>
        <w:tc>
          <w:tcPr>
            <w:tcW w:w="1502"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0.0088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40" w:type="pct"/>
            <w:vAlign w:val="center"/>
          </w:tcPr>
          <w:p>
            <w:pPr>
              <w:widowControl/>
              <w:spacing w:line="0" w:lineRule="atLeast"/>
              <w:contextualSpacing/>
              <w:jc w:val="center"/>
              <w:rPr>
                <w:color w:val="auto"/>
                <w:szCs w:val="21"/>
              </w:rPr>
            </w:pPr>
            <w:r>
              <w:rPr>
                <w:rFonts w:hint="eastAsia"/>
                <w:color w:val="auto"/>
                <w:szCs w:val="21"/>
              </w:rPr>
              <w:t>6</w:t>
            </w:r>
          </w:p>
        </w:tc>
        <w:tc>
          <w:tcPr>
            <w:tcW w:w="1118" w:type="pct"/>
            <w:vAlign w:val="center"/>
          </w:tcPr>
          <w:p>
            <w:pPr>
              <w:widowControl/>
              <w:spacing w:line="0" w:lineRule="atLeast"/>
              <w:contextualSpacing/>
              <w:jc w:val="center"/>
              <w:rPr>
                <w:color w:val="auto"/>
                <w:kern w:val="0"/>
                <w:szCs w:val="21"/>
              </w:rPr>
            </w:pPr>
            <w:r>
              <w:rPr>
                <w:color w:val="auto"/>
                <w:szCs w:val="21"/>
              </w:rPr>
              <w:t>挥发酚</w:t>
            </w:r>
          </w:p>
        </w:tc>
        <w:tc>
          <w:tcPr>
            <w:tcW w:w="1888"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965"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502"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40" w:type="pct"/>
            <w:vAlign w:val="center"/>
          </w:tcPr>
          <w:p>
            <w:pPr>
              <w:widowControl/>
              <w:spacing w:line="0" w:lineRule="atLeast"/>
              <w:contextualSpacing/>
              <w:jc w:val="center"/>
              <w:rPr>
                <w:color w:val="auto"/>
                <w:szCs w:val="21"/>
              </w:rPr>
            </w:pPr>
            <w:r>
              <w:rPr>
                <w:rFonts w:hint="eastAsia"/>
                <w:color w:val="auto"/>
                <w:szCs w:val="21"/>
              </w:rPr>
              <w:t>7</w:t>
            </w:r>
          </w:p>
        </w:tc>
        <w:tc>
          <w:tcPr>
            <w:tcW w:w="1118" w:type="pct"/>
            <w:vAlign w:val="center"/>
          </w:tcPr>
          <w:p>
            <w:pPr>
              <w:widowControl/>
              <w:spacing w:line="0" w:lineRule="atLeast"/>
              <w:contextualSpacing/>
              <w:jc w:val="center"/>
              <w:rPr>
                <w:color w:val="auto"/>
                <w:kern w:val="0"/>
                <w:szCs w:val="21"/>
              </w:rPr>
            </w:pPr>
            <w:r>
              <w:rPr>
                <w:color w:val="auto"/>
                <w:szCs w:val="21"/>
              </w:rPr>
              <w:t>耗氧量</w:t>
            </w:r>
          </w:p>
        </w:tc>
        <w:tc>
          <w:tcPr>
            <w:tcW w:w="1888"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0.833</w:t>
            </w:r>
          </w:p>
        </w:tc>
        <w:tc>
          <w:tcPr>
            <w:tcW w:w="1965"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0.4</w:t>
            </w:r>
          </w:p>
        </w:tc>
        <w:tc>
          <w:tcPr>
            <w:tcW w:w="1502" w:type="dxa"/>
            <w:vAlign w:val="bottom"/>
          </w:tcPr>
          <w:p>
            <w:pPr>
              <w:keepNext w:val="0"/>
              <w:keepLines w:val="0"/>
              <w:widowControl/>
              <w:suppressLineNumbers w:val="0"/>
              <w:jc w:val="center"/>
              <w:textAlignment w:val="bottom"/>
              <w:rPr>
                <w:rFonts w:hint="default" w:ascii="Times New Roman" w:hAnsi="Times New Roman" w:cs="Times New Roman"/>
                <w:color w:val="auto"/>
                <w:szCs w:val="21"/>
                <w:lang w:val="en-US"/>
              </w:rPr>
            </w:pPr>
            <w:r>
              <w:rPr>
                <w:rFonts w:hint="default" w:ascii="Times New Roman" w:hAnsi="Times New Roman" w:eastAsia="宋体" w:cs="Times New Roman"/>
                <w:i w:val="0"/>
                <w:iCs w:val="0"/>
                <w:color w:val="auto"/>
                <w:kern w:val="0"/>
                <w:sz w:val="21"/>
                <w:szCs w:val="21"/>
                <w:u w:val="none"/>
                <w:lang w:val="en-US" w:eastAsia="zh-CN" w:bidi="ar"/>
              </w:rPr>
              <w:t>0.26</w:t>
            </w:r>
            <w:r>
              <w:rPr>
                <w:rFonts w:hint="eastAsia" w:ascii="Times New Roman" w:hAnsi="Times New Roman" w:eastAsia="宋体" w:cs="Times New Roman"/>
                <w:i w:val="0"/>
                <w:iCs w:val="0"/>
                <w:color w:val="auto"/>
                <w:kern w:val="0"/>
                <w:sz w:val="21"/>
                <w:szCs w:val="21"/>
                <w:u w:val="none"/>
                <w:lang w:val="en-US" w:eastAsia="zh-CN" w:bidi="ar"/>
              </w:rPr>
              <w:t>7</w:t>
            </w:r>
          </w:p>
        </w:tc>
      </w:tr>
      <w:tr>
        <w:tblPrEx>
          <w:tblCellMar>
            <w:top w:w="0" w:type="dxa"/>
            <w:left w:w="108" w:type="dxa"/>
            <w:bottom w:w="0" w:type="dxa"/>
            <w:right w:w="108" w:type="dxa"/>
          </w:tblCellMar>
        </w:tblPrEx>
        <w:trPr>
          <w:trHeight w:val="310" w:hRule="atLeast"/>
          <w:jc w:val="center"/>
        </w:trPr>
        <w:tc>
          <w:tcPr>
            <w:tcW w:w="740" w:type="pct"/>
            <w:vAlign w:val="center"/>
          </w:tcPr>
          <w:p>
            <w:pPr>
              <w:widowControl/>
              <w:spacing w:line="0" w:lineRule="atLeast"/>
              <w:contextualSpacing/>
              <w:jc w:val="center"/>
              <w:rPr>
                <w:color w:val="auto"/>
                <w:szCs w:val="21"/>
              </w:rPr>
            </w:pPr>
            <w:r>
              <w:rPr>
                <w:rFonts w:hint="eastAsia"/>
                <w:color w:val="auto"/>
                <w:szCs w:val="21"/>
              </w:rPr>
              <w:t>8</w:t>
            </w:r>
          </w:p>
        </w:tc>
        <w:tc>
          <w:tcPr>
            <w:tcW w:w="1118" w:type="pct"/>
            <w:vAlign w:val="center"/>
          </w:tcPr>
          <w:p>
            <w:pPr>
              <w:widowControl/>
              <w:spacing w:line="0" w:lineRule="atLeast"/>
              <w:contextualSpacing/>
              <w:jc w:val="center"/>
              <w:rPr>
                <w:color w:val="auto"/>
                <w:kern w:val="0"/>
                <w:szCs w:val="21"/>
              </w:rPr>
            </w:pPr>
            <w:r>
              <w:rPr>
                <w:color w:val="auto"/>
                <w:szCs w:val="21"/>
              </w:rPr>
              <w:t>硝酸盐</w:t>
            </w:r>
          </w:p>
        </w:tc>
        <w:tc>
          <w:tcPr>
            <w:tcW w:w="1888"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0.98</w:t>
            </w:r>
          </w:p>
        </w:tc>
        <w:tc>
          <w:tcPr>
            <w:tcW w:w="1965"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0.062</w:t>
            </w:r>
          </w:p>
        </w:tc>
        <w:tc>
          <w:tcPr>
            <w:tcW w:w="1502"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0.160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40" w:type="pct"/>
            <w:vAlign w:val="center"/>
          </w:tcPr>
          <w:p>
            <w:pPr>
              <w:widowControl/>
              <w:spacing w:line="0" w:lineRule="atLeast"/>
              <w:contextualSpacing/>
              <w:jc w:val="center"/>
              <w:rPr>
                <w:color w:val="auto"/>
                <w:szCs w:val="21"/>
              </w:rPr>
            </w:pPr>
            <w:r>
              <w:rPr>
                <w:rFonts w:hint="eastAsia"/>
                <w:color w:val="auto"/>
                <w:szCs w:val="21"/>
              </w:rPr>
              <w:t>9</w:t>
            </w:r>
          </w:p>
        </w:tc>
        <w:tc>
          <w:tcPr>
            <w:tcW w:w="1118" w:type="pct"/>
            <w:vAlign w:val="center"/>
          </w:tcPr>
          <w:p>
            <w:pPr>
              <w:widowControl/>
              <w:spacing w:line="0" w:lineRule="atLeast"/>
              <w:contextualSpacing/>
              <w:jc w:val="center"/>
              <w:rPr>
                <w:color w:val="auto"/>
                <w:kern w:val="0"/>
                <w:szCs w:val="21"/>
              </w:rPr>
            </w:pPr>
            <w:r>
              <w:rPr>
                <w:color w:val="auto"/>
                <w:szCs w:val="21"/>
              </w:rPr>
              <w:t>亚硝酸盐</w:t>
            </w:r>
          </w:p>
        </w:tc>
        <w:tc>
          <w:tcPr>
            <w:tcW w:w="1888" w:type="dxa"/>
            <w:vAlign w:val="center"/>
          </w:tcPr>
          <w:p>
            <w:pPr>
              <w:keepNext w:val="0"/>
              <w:keepLines w:val="0"/>
              <w:widowControl/>
              <w:suppressLineNumbers w:val="0"/>
              <w:jc w:val="center"/>
              <w:textAlignment w:val="center"/>
              <w:rPr>
                <w:rFonts w:hint="default" w:ascii="Times New Roman" w:hAnsi="Times New Roman" w:cs="Times New Roman"/>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965" w:type="dxa"/>
            <w:vAlign w:val="center"/>
          </w:tcPr>
          <w:p>
            <w:pPr>
              <w:keepNext w:val="0"/>
              <w:keepLines w:val="0"/>
              <w:widowControl/>
              <w:suppressLineNumbers w:val="0"/>
              <w:jc w:val="center"/>
              <w:textAlignment w:val="center"/>
              <w:rPr>
                <w:rFonts w:hint="default" w:ascii="Times New Roman" w:hAnsi="Times New Roman" w:cs="Times New Roman"/>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502" w:type="dxa"/>
            <w:vAlign w:val="center"/>
          </w:tcPr>
          <w:p>
            <w:pPr>
              <w:keepNext w:val="0"/>
              <w:keepLines w:val="0"/>
              <w:widowControl/>
              <w:suppressLineNumbers w:val="0"/>
              <w:jc w:val="center"/>
              <w:textAlignment w:val="center"/>
              <w:rPr>
                <w:rFonts w:hint="default" w:ascii="Times New Roman" w:hAnsi="Times New Roman" w:cs="Times New Roman"/>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4" w:hRule="atLeast"/>
          <w:jc w:val="center"/>
        </w:trPr>
        <w:tc>
          <w:tcPr>
            <w:tcW w:w="740" w:type="pct"/>
            <w:vAlign w:val="center"/>
          </w:tcPr>
          <w:p>
            <w:pPr>
              <w:widowControl/>
              <w:spacing w:line="0" w:lineRule="atLeast"/>
              <w:contextualSpacing/>
              <w:jc w:val="center"/>
              <w:rPr>
                <w:color w:val="auto"/>
                <w:szCs w:val="21"/>
              </w:rPr>
            </w:pPr>
            <w:r>
              <w:rPr>
                <w:rFonts w:hint="eastAsia"/>
                <w:color w:val="auto"/>
                <w:szCs w:val="21"/>
              </w:rPr>
              <w:t>10</w:t>
            </w:r>
          </w:p>
        </w:tc>
        <w:tc>
          <w:tcPr>
            <w:tcW w:w="1118" w:type="pct"/>
            <w:vAlign w:val="center"/>
          </w:tcPr>
          <w:p>
            <w:pPr>
              <w:widowControl/>
              <w:spacing w:line="0" w:lineRule="atLeast"/>
              <w:contextualSpacing/>
              <w:jc w:val="center"/>
              <w:rPr>
                <w:color w:val="auto"/>
                <w:kern w:val="0"/>
                <w:szCs w:val="21"/>
              </w:rPr>
            </w:pPr>
            <w:r>
              <w:rPr>
                <w:color w:val="auto"/>
                <w:szCs w:val="21"/>
              </w:rPr>
              <w:t>氨氮</w:t>
            </w:r>
          </w:p>
        </w:tc>
        <w:tc>
          <w:tcPr>
            <w:tcW w:w="1888"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0.21</w:t>
            </w:r>
          </w:p>
        </w:tc>
        <w:tc>
          <w:tcPr>
            <w:tcW w:w="1965"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0.424</w:t>
            </w:r>
          </w:p>
        </w:tc>
        <w:tc>
          <w:tcPr>
            <w:tcW w:w="1502"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0.804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40" w:type="pct"/>
            <w:vAlign w:val="center"/>
          </w:tcPr>
          <w:p>
            <w:pPr>
              <w:widowControl/>
              <w:spacing w:line="0" w:lineRule="atLeast"/>
              <w:contextualSpacing/>
              <w:jc w:val="center"/>
              <w:rPr>
                <w:color w:val="auto"/>
                <w:szCs w:val="21"/>
              </w:rPr>
            </w:pPr>
            <w:r>
              <w:rPr>
                <w:rFonts w:hint="eastAsia"/>
                <w:color w:val="auto"/>
                <w:szCs w:val="21"/>
              </w:rPr>
              <w:t>11</w:t>
            </w:r>
          </w:p>
        </w:tc>
        <w:tc>
          <w:tcPr>
            <w:tcW w:w="1118" w:type="pct"/>
            <w:vAlign w:val="center"/>
          </w:tcPr>
          <w:p>
            <w:pPr>
              <w:widowControl/>
              <w:spacing w:line="0" w:lineRule="atLeast"/>
              <w:contextualSpacing/>
              <w:jc w:val="center"/>
              <w:rPr>
                <w:color w:val="auto"/>
                <w:kern w:val="0"/>
                <w:szCs w:val="21"/>
              </w:rPr>
            </w:pPr>
            <w:r>
              <w:rPr>
                <w:color w:val="auto"/>
                <w:szCs w:val="21"/>
              </w:rPr>
              <w:t>六价铬</w:t>
            </w:r>
          </w:p>
        </w:tc>
        <w:tc>
          <w:tcPr>
            <w:tcW w:w="1888"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965"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502"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40" w:type="pct"/>
            <w:vAlign w:val="center"/>
          </w:tcPr>
          <w:p>
            <w:pPr>
              <w:widowControl/>
              <w:spacing w:line="0" w:lineRule="atLeast"/>
              <w:contextualSpacing/>
              <w:jc w:val="center"/>
              <w:rPr>
                <w:color w:val="auto"/>
                <w:szCs w:val="21"/>
                <w:lang w:val="zh-CN"/>
              </w:rPr>
            </w:pPr>
            <w:r>
              <w:rPr>
                <w:rFonts w:hint="eastAsia"/>
                <w:color w:val="auto"/>
                <w:szCs w:val="21"/>
                <w:lang w:val="zh-CN"/>
              </w:rPr>
              <w:t>12</w:t>
            </w:r>
          </w:p>
        </w:tc>
        <w:tc>
          <w:tcPr>
            <w:tcW w:w="1118" w:type="pct"/>
            <w:vAlign w:val="center"/>
          </w:tcPr>
          <w:p>
            <w:pPr>
              <w:widowControl/>
              <w:spacing w:line="0" w:lineRule="atLeast"/>
              <w:contextualSpacing/>
              <w:jc w:val="center"/>
              <w:rPr>
                <w:color w:val="auto"/>
                <w:kern w:val="0"/>
                <w:szCs w:val="21"/>
              </w:rPr>
            </w:pPr>
            <w:r>
              <w:rPr>
                <w:color w:val="auto"/>
                <w:szCs w:val="21"/>
              </w:rPr>
              <w:t>氟化物</w:t>
            </w:r>
          </w:p>
        </w:tc>
        <w:tc>
          <w:tcPr>
            <w:tcW w:w="1888"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0.258</w:t>
            </w:r>
          </w:p>
        </w:tc>
        <w:tc>
          <w:tcPr>
            <w:tcW w:w="1965"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0.14</w:t>
            </w:r>
          </w:p>
        </w:tc>
        <w:tc>
          <w:tcPr>
            <w:tcW w:w="1502"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0.644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40" w:type="pct"/>
            <w:vAlign w:val="center"/>
          </w:tcPr>
          <w:p>
            <w:pPr>
              <w:widowControl/>
              <w:spacing w:line="0" w:lineRule="atLeast"/>
              <w:contextualSpacing/>
              <w:jc w:val="center"/>
              <w:rPr>
                <w:color w:val="auto"/>
                <w:szCs w:val="21"/>
                <w:lang w:val="zh-CN"/>
              </w:rPr>
            </w:pPr>
            <w:r>
              <w:rPr>
                <w:rFonts w:hint="eastAsia"/>
                <w:color w:val="auto"/>
                <w:szCs w:val="21"/>
                <w:lang w:val="zh-CN"/>
              </w:rPr>
              <w:t>13</w:t>
            </w:r>
          </w:p>
        </w:tc>
        <w:tc>
          <w:tcPr>
            <w:tcW w:w="1118" w:type="pct"/>
            <w:vAlign w:val="center"/>
          </w:tcPr>
          <w:p>
            <w:pPr>
              <w:widowControl/>
              <w:spacing w:line="0" w:lineRule="atLeast"/>
              <w:contextualSpacing/>
              <w:jc w:val="center"/>
              <w:rPr>
                <w:color w:val="auto"/>
                <w:kern w:val="0"/>
                <w:szCs w:val="21"/>
              </w:rPr>
            </w:pPr>
            <w:r>
              <w:rPr>
                <w:color w:val="auto"/>
                <w:szCs w:val="21"/>
              </w:rPr>
              <w:t>氰化物</w:t>
            </w:r>
          </w:p>
        </w:tc>
        <w:tc>
          <w:tcPr>
            <w:tcW w:w="1888"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965"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502"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40" w:type="pct"/>
            <w:vAlign w:val="center"/>
          </w:tcPr>
          <w:p>
            <w:pPr>
              <w:widowControl/>
              <w:spacing w:line="0" w:lineRule="atLeast"/>
              <w:contextualSpacing/>
              <w:jc w:val="center"/>
              <w:rPr>
                <w:color w:val="auto"/>
                <w:szCs w:val="21"/>
                <w:lang w:val="zh-CN"/>
              </w:rPr>
            </w:pPr>
            <w:r>
              <w:rPr>
                <w:rFonts w:hint="eastAsia"/>
                <w:color w:val="auto"/>
                <w:szCs w:val="21"/>
                <w:lang w:val="zh-CN"/>
              </w:rPr>
              <w:t>14</w:t>
            </w:r>
          </w:p>
        </w:tc>
        <w:tc>
          <w:tcPr>
            <w:tcW w:w="1118" w:type="pct"/>
            <w:vAlign w:val="center"/>
          </w:tcPr>
          <w:p>
            <w:pPr>
              <w:widowControl/>
              <w:spacing w:line="0" w:lineRule="atLeast"/>
              <w:contextualSpacing/>
              <w:jc w:val="center"/>
              <w:rPr>
                <w:color w:val="auto"/>
                <w:kern w:val="0"/>
                <w:szCs w:val="21"/>
              </w:rPr>
            </w:pPr>
            <w:r>
              <w:rPr>
                <w:color w:val="auto"/>
                <w:szCs w:val="21"/>
              </w:rPr>
              <w:t>总大肠菌群</w:t>
            </w:r>
          </w:p>
        </w:tc>
        <w:tc>
          <w:tcPr>
            <w:tcW w:w="1888"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0.6</w:t>
            </w:r>
            <w:r>
              <w:rPr>
                <w:rFonts w:hint="eastAsia" w:ascii="Times New Roman" w:hAnsi="Times New Roman" w:eastAsia="宋体" w:cs="Times New Roman"/>
                <w:i w:val="0"/>
                <w:iCs w:val="0"/>
                <w:color w:val="auto"/>
                <w:kern w:val="0"/>
                <w:sz w:val="21"/>
                <w:szCs w:val="21"/>
                <w:u w:val="none"/>
                <w:lang w:val="en-US" w:eastAsia="zh-CN" w:bidi="ar"/>
              </w:rPr>
              <w:t>7</w:t>
            </w:r>
          </w:p>
        </w:tc>
        <w:tc>
          <w:tcPr>
            <w:tcW w:w="1965"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0.6</w:t>
            </w:r>
            <w:r>
              <w:rPr>
                <w:rFonts w:hint="eastAsia" w:ascii="Times New Roman" w:hAnsi="Times New Roman" w:eastAsia="宋体" w:cs="Times New Roman"/>
                <w:i w:val="0"/>
                <w:iCs w:val="0"/>
                <w:color w:val="auto"/>
                <w:kern w:val="0"/>
                <w:sz w:val="21"/>
                <w:szCs w:val="21"/>
                <w:u w:val="none"/>
                <w:lang w:val="en-US" w:eastAsia="zh-CN" w:bidi="ar"/>
              </w:rPr>
              <w:t>7</w:t>
            </w:r>
          </w:p>
        </w:tc>
        <w:tc>
          <w:tcPr>
            <w:tcW w:w="1502"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0.6</w:t>
            </w:r>
            <w:r>
              <w:rPr>
                <w:rFonts w:hint="eastAsia" w:ascii="Times New Roman" w:hAnsi="Times New Roman" w:eastAsia="宋体" w:cs="Times New Roman"/>
                <w:i w:val="0"/>
                <w:iCs w:val="0"/>
                <w:color w:val="auto"/>
                <w:kern w:val="0"/>
                <w:sz w:val="21"/>
                <w:szCs w:val="21"/>
                <w:u w:val="none"/>
                <w:lang w:val="en-US" w:eastAsia="zh-CN" w:bidi="ar"/>
              </w:rPr>
              <w:t>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40" w:type="pct"/>
            <w:vAlign w:val="center"/>
          </w:tcPr>
          <w:p>
            <w:pPr>
              <w:widowControl/>
              <w:spacing w:line="0" w:lineRule="atLeast"/>
              <w:contextualSpacing/>
              <w:jc w:val="center"/>
              <w:rPr>
                <w:color w:val="auto"/>
                <w:szCs w:val="21"/>
                <w:lang w:val="zh-CN"/>
              </w:rPr>
            </w:pPr>
            <w:r>
              <w:rPr>
                <w:rFonts w:hint="eastAsia"/>
                <w:color w:val="auto"/>
                <w:szCs w:val="21"/>
                <w:lang w:val="zh-CN"/>
              </w:rPr>
              <w:t>15</w:t>
            </w:r>
          </w:p>
        </w:tc>
        <w:tc>
          <w:tcPr>
            <w:tcW w:w="1118" w:type="pct"/>
            <w:vAlign w:val="center"/>
          </w:tcPr>
          <w:p>
            <w:pPr>
              <w:widowControl/>
              <w:spacing w:line="0" w:lineRule="atLeast"/>
              <w:contextualSpacing/>
              <w:jc w:val="center"/>
              <w:rPr>
                <w:color w:val="auto"/>
                <w:kern w:val="0"/>
                <w:szCs w:val="21"/>
              </w:rPr>
            </w:pPr>
            <w:r>
              <w:rPr>
                <w:color w:val="auto"/>
                <w:szCs w:val="21"/>
              </w:rPr>
              <w:t>菌落总数</w:t>
            </w:r>
          </w:p>
        </w:tc>
        <w:tc>
          <w:tcPr>
            <w:tcW w:w="1888"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0.71</w:t>
            </w:r>
          </w:p>
        </w:tc>
        <w:tc>
          <w:tcPr>
            <w:tcW w:w="1965"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0.65</w:t>
            </w:r>
          </w:p>
        </w:tc>
        <w:tc>
          <w:tcPr>
            <w:tcW w:w="1502"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40" w:type="pct"/>
            <w:vAlign w:val="center"/>
          </w:tcPr>
          <w:p>
            <w:pPr>
              <w:widowControl/>
              <w:spacing w:line="0" w:lineRule="atLeast"/>
              <w:contextualSpacing/>
              <w:jc w:val="center"/>
              <w:rPr>
                <w:color w:val="auto"/>
                <w:szCs w:val="21"/>
                <w:lang w:val="zh-CN"/>
              </w:rPr>
            </w:pPr>
            <w:r>
              <w:rPr>
                <w:rFonts w:hint="eastAsia"/>
                <w:color w:val="auto"/>
                <w:szCs w:val="21"/>
                <w:lang w:val="zh-CN"/>
              </w:rPr>
              <w:t>16</w:t>
            </w:r>
          </w:p>
        </w:tc>
        <w:tc>
          <w:tcPr>
            <w:tcW w:w="1118" w:type="pct"/>
            <w:vAlign w:val="center"/>
          </w:tcPr>
          <w:p>
            <w:pPr>
              <w:widowControl/>
              <w:spacing w:line="0" w:lineRule="atLeast"/>
              <w:contextualSpacing/>
              <w:jc w:val="center"/>
              <w:rPr>
                <w:color w:val="auto"/>
                <w:kern w:val="0"/>
                <w:szCs w:val="21"/>
              </w:rPr>
            </w:pPr>
            <w:r>
              <w:rPr>
                <w:color w:val="auto"/>
                <w:szCs w:val="21"/>
              </w:rPr>
              <w:t>铁</w:t>
            </w:r>
          </w:p>
        </w:tc>
        <w:tc>
          <w:tcPr>
            <w:tcW w:w="1888"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0.4</w:t>
            </w:r>
          </w:p>
        </w:tc>
        <w:tc>
          <w:tcPr>
            <w:tcW w:w="1965"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0.4</w:t>
            </w:r>
            <w:r>
              <w:rPr>
                <w:rFonts w:hint="eastAsia" w:ascii="Times New Roman" w:hAnsi="Times New Roman" w:eastAsia="宋体" w:cs="Times New Roman"/>
                <w:i w:val="0"/>
                <w:iCs w:val="0"/>
                <w:color w:val="auto"/>
                <w:kern w:val="0"/>
                <w:sz w:val="21"/>
                <w:szCs w:val="21"/>
                <w:u w:val="none"/>
                <w:lang w:val="en-US" w:eastAsia="zh-CN" w:bidi="ar"/>
              </w:rPr>
              <w:t>7</w:t>
            </w:r>
          </w:p>
        </w:tc>
        <w:tc>
          <w:tcPr>
            <w:tcW w:w="1502"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0.53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40" w:type="pct"/>
            <w:vAlign w:val="center"/>
          </w:tcPr>
          <w:p>
            <w:pPr>
              <w:widowControl/>
              <w:spacing w:line="0" w:lineRule="atLeast"/>
              <w:contextualSpacing/>
              <w:jc w:val="center"/>
              <w:rPr>
                <w:color w:val="auto"/>
                <w:szCs w:val="21"/>
                <w:lang w:val="zh-CN"/>
              </w:rPr>
            </w:pPr>
            <w:r>
              <w:rPr>
                <w:rFonts w:hint="eastAsia"/>
                <w:color w:val="auto"/>
                <w:szCs w:val="21"/>
                <w:lang w:val="zh-CN"/>
              </w:rPr>
              <w:t>17</w:t>
            </w:r>
          </w:p>
        </w:tc>
        <w:tc>
          <w:tcPr>
            <w:tcW w:w="1118" w:type="pct"/>
            <w:vAlign w:val="center"/>
          </w:tcPr>
          <w:p>
            <w:pPr>
              <w:widowControl/>
              <w:spacing w:line="0" w:lineRule="atLeast"/>
              <w:contextualSpacing/>
              <w:jc w:val="center"/>
              <w:rPr>
                <w:color w:val="auto"/>
                <w:kern w:val="0"/>
                <w:szCs w:val="21"/>
              </w:rPr>
            </w:pPr>
            <w:r>
              <w:rPr>
                <w:color w:val="auto"/>
                <w:kern w:val="0"/>
                <w:szCs w:val="21"/>
              </w:rPr>
              <w:t>锰</w:t>
            </w:r>
          </w:p>
        </w:tc>
        <w:tc>
          <w:tcPr>
            <w:tcW w:w="1888"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965" w:type="dxa"/>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0.8</w:t>
            </w:r>
          </w:p>
        </w:tc>
        <w:tc>
          <w:tcPr>
            <w:tcW w:w="1502"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40" w:type="pct"/>
            <w:vAlign w:val="center"/>
          </w:tcPr>
          <w:p>
            <w:pPr>
              <w:widowControl/>
              <w:spacing w:line="0" w:lineRule="atLeast"/>
              <w:contextualSpacing/>
              <w:jc w:val="center"/>
              <w:rPr>
                <w:color w:val="auto"/>
                <w:szCs w:val="21"/>
                <w:lang w:val="zh-CN"/>
              </w:rPr>
            </w:pPr>
            <w:r>
              <w:rPr>
                <w:rFonts w:hint="eastAsia"/>
                <w:color w:val="auto"/>
                <w:szCs w:val="21"/>
                <w:lang w:val="zh-CN"/>
              </w:rPr>
              <w:t>18</w:t>
            </w:r>
          </w:p>
        </w:tc>
        <w:tc>
          <w:tcPr>
            <w:tcW w:w="1118" w:type="pct"/>
            <w:vAlign w:val="center"/>
          </w:tcPr>
          <w:p>
            <w:pPr>
              <w:widowControl/>
              <w:spacing w:line="0" w:lineRule="atLeast"/>
              <w:contextualSpacing/>
              <w:jc w:val="center"/>
              <w:rPr>
                <w:color w:val="auto"/>
                <w:kern w:val="0"/>
                <w:szCs w:val="21"/>
              </w:rPr>
            </w:pPr>
            <w:r>
              <w:rPr>
                <w:color w:val="auto"/>
                <w:szCs w:val="21"/>
              </w:rPr>
              <w:t>砷</w:t>
            </w:r>
          </w:p>
        </w:tc>
        <w:tc>
          <w:tcPr>
            <w:tcW w:w="1888"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965"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502"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40" w:type="pct"/>
            <w:vAlign w:val="center"/>
          </w:tcPr>
          <w:p>
            <w:pPr>
              <w:widowControl/>
              <w:spacing w:line="0" w:lineRule="atLeast"/>
              <w:contextualSpacing/>
              <w:jc w:val="center"/>
              <w:rPr>
                <w:color w:val="auto"/>
                <w:szCs w:val="21"/>
                <w:lang w:val="zh-CN"/>
              </w:rPr>
            </w:pPr>
            <w:r>
              <w:rPr>
                <w:rFonts w:hint="eastAsia"/>
                <w:color w:val="auto"/>
                <w:szCs w:val="21"/>
                <w:lang w:val="zh-CN"/>
              </w:rPr>
              <w:t>19</w:t>
            </w:r>
          </w:p>
        </w:tc>
        <w:tc>
          <w:tcPr>
            <w:tcW w:w="1118" w:type="pct"/>
            <w:vAlign w:val="center"/>
          </w:tcPr>
          <w:p>
            <w:pPr>
              <w:widowControl/>
              <w:spacing w:line="0" w:lineRule="atLeast"/>
              <w:contextualSpacing/>
              <w:jc w:val="center"/>
              <w:rPr>
                <w:color w:val="auto"/>
                <w:kern w:val="0"/>
                <w:szCs w:val="21"/>
              </w:rPr>
            </w:pPr>
            <w:r>
              <w:rPr>
                <w:color w:val="auto"/>
                <w:szCs w:val="21"/>
              </w:rPr>
              <w:t>汞</w:t>
            </w:r>
          </w:p>
        </w:tc>
        <w:tc>
          <w:tcPr>
            <w:tcW w:w="1888"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965"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502"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40" w:type="pct"/>
            <w:vAlign w:val="center"/>
          </w:tcPr>
          <w:p>
            <w:pPr>
              <w:widowControl/>
              <w:spacing w:line="0" w:lineRule="atLeast"/>
              <w:contextualSpacing/>
              <w:jc w:val="center"/>
              <w:rPr>
                <w:color w:val="auto"/>
                <w:szCs w:val="21"/>
                <w:lang w:val="zh-CN"/>
              </w:rPr>
            </w:pPr>
            <w:r>
              <w:rPr>
                <w:rFonts w:hint="eastAsia"/>
                <w:color w:val="auto"/>
                <w:szCs w:val="21"/>
                <w:lang w:val="zh-CN"/>
              </w:rPr>
              <w:t>20</w:t>
            </w:r>
          </w:p>
        </w:tc>
        <w:tc>
          <w:tcPr>
            <w:tcW w:w="1118" w:type="pct"/>
            <w:vAlign w:val="center"/>
          </w:tcPr>
          <w:p>
            <w:pPr>
              <w:widowControl/>
              <w:spacing w:line="0" w:lineRule="atLeast"/>
              <w:contextualSpacing/>
              <w:jc w:val="center"/>
              <w:rPr>
                <w:color w:val="auto"/>
                <w:kern w:val="0"/>
                <w:szCs w:val="21"/>
              </w:rPr>
            </w:pPr>
            <w:r>
              <w:rPr>
                <w:color w:val="auto"/>
                <w:szCs w:val="21"/>
              </w:rPr>
              <w:t>铅</w:t>
            </w:r>
          </w:p>
        </w:tc>
        <w:tc>
          <w:tcPr>
            <w:tcW w:w="1888"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965"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502"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40" w:type="pct"/>
            <w:vAlign w:val="center"/>
          </w:tcPr>
          <w:p>
            <w:pPr>
              <w:widowControl/>
              <w:spacing w:line="0" w:lineRule="atLeast"/>
              <w:contextualSpacing/>
              <w:jc w:val="center"/>
              <w:rPr>
                <w:color w:val="auto"/>
                <w:szCs w:val="21"/>
                <w:lang w:val="zh-CN"/>
              </w:rPr>
            </w:pPr>
            <w:r>
              <w:rPr>
                <w:rFonts w:hint="eastAsia"/>
                <w:color w:val="auto"/>
                <w:szCs w:val="21"/>
                <w:lang w:val="zh-CN"/>
              </w:rPr>
              <w:t>21</w:t>
            </w:r>
          </w:p>
        </w:tc>
        <w:tc>
          <w:tcPr>
            <w:tcW w:w="1118" w:type="pct"/>
            <w:vAlign w:val="center"/>
          </w:tcPr>
          <w:p>
            <w:pPr>
              <w:widowControl/>
              <w:spacing w:line="0" w:lineRule="atLeast"/>
              <w:contextualSpacing/>
              <w:jc w:val="center"/>
              <w:rPr>
                <w:color w:val="auto"/>
                <w:kern w:val="0"/>
                <w:szCs w:val="21"/>
              </w:rPr>
            </w:pPr>
            <w:r>
              <w:rPr>
                <w:color w:val="auto"/>
                <w:szCs w:val="21"/>
              </w:rPr>
              <w:t>镉</w:t>
            </w:r>
          </w:p>
        </w:tc>
        <w:tc>
          <w:tcPr>
            <w:tcW w:w="1888"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965"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502" w:type="dxa"/>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未检出</w:t>
            </w:r>
          </w:p>
        </w:tc>
      </w:tr>
      <w:bookmarkEnd w:id="167"/>
    </w:tbl>
    <w:p>
      <w:pPr>
        <w:spacing w:line="360" w:lineRule="auto"/>
        <w:ind w:firstLine="480" w:firstLineChars="200"/>
        <w:rPr>
          <w:color w:val="auto"/>
          <w:sz w:val="24"/>
        </w:rPr>
      </w:pPr>
      <w:r>
        <w:rPr>
          <w:rFonts w:hint="eastAsia" w:ascii="宋体" w:hAnsi="宋体" w:cs="宋体"/>
          <w:color w:val="auto"/>
          <w:sz w:val="24"/>
        </w:rPr>
        <w:t>②</w:t>
      </w:r>
      <w:r>
        <w:rPr>
          <w:color w:val="auto"/>
          <w:sz w:val="24"/>
        </w:rPr>
        <w:t>地下水化学类型</w:t>
      </w:r>
    </w:p>
    <w:p>
      <w:pPr>
        <w:spacing w:line="360" w:lineRule="auto"/>
        <w:ind w:firstLine="480" w:firstLineChars="200"/>
        <w:rPr>
          <w:color w:val="auto"/>
          <w:sz w:val="24"/>
        </w:rPr>
      </w:pPr>
      <w:r>
        <w:rPr>
          <w:color w:val="auto"/>
          <w:sz w:val="24"/>
        </w:rPr>
        <w:t>用舒卡列夫分类法对地下水化学类型进行评价。地下水化学类型的舒卡列夫分类是根据地下水中6种主要离子（Na</w:t>
      </w:r>
      <w:r>
        <w:rPr>
          <w:color w:val="auto"/>
          <w:sz w:val="24"/>
          <w:vertAlign w:val="superscript"/>
        </w:rPr>
        <w:t>+</w:t>
      </w:r>
      <w:r>
        <w:rPr>
          <w:color w:val="auto"/>
          <w:sz w:val="24"/>
        </w:rPr>
        <w:t>、Ca</w:t>
      </w:r>
      <w:r>
        <w:rPr>
          <w:color w:val="auto"/>
          <w:sz w:val="24"/>
          <w:vertAlign w:val="superscript"/>
        </w:rPr>
        <w:t>2+</w:t>
      </w:r>
      <w:r>
        <w:rPr>
          <w:color w:val="auto"/>
          <w:sz w:val="24"/>
        </w:rPr>
        <w:t>、Mg</w:t>
      </w:r>
      <w:r>
        <w:rPr>
          <w:color w:val="auto"/>
          <w:sz w:val="24"/>
          <w:vertAlign w:val="superscript"/>
        </w:rPr>
        <w:t>2+</w:t>
      </w:r>
      <w:r>
        <w:rPr>
          <w:color w:val="auto"/>
          <w:sz w:val="24"/>
        </w:rPr>
        <w:t>、HCO</w:t>
      </w:r>
      <w:r>
        <w:rPr>
          <w:color w:val="auto"/>
          <w:sz w:val="24"/>
          <w:vertAlign w:val="subscript"/>
        </w:rPr>
        <w:t>3</w:t>
      </w:r>
      <w:r>
        <w:rPr>
          <w:color w:val="auto"/>
          <w:sz w:val="24"/>
          <w:vertAlign w:val="superscript"/>
        </w:rPr>
        <w:t>-</w:t>
      </w:r>
      <w:r>
        <w:rPr>
          <w:color w:val="auto"/>
          <w:sz w:val="24"/>
        </w:rPr>
        <w:t>、SO</w:t>
      </w:r>
      <w:r>
        <w:rPr>
          <w:color w:val="auto"/>
          <w:sz w:val="24"/>
          <w:vertAlign w:val="subscript"/>
        </w:rPr>
        <w:t>4</w:t>
      </w:r>
      <w:r>
        <w:rPr>
          <w:color w:val="auto"/>
          <w:sz w:val="24"/>
          <w:vertAlign w:val="superscript"/>
        </w:rPr>
        <w:t>2-</w:t>
      </w:r>
      <w:r>
        <w:rPr>
          <w:color w:val="auto"/>
          <w:sz w:val="24"/>
        </w:rPr>
        <w:t>、Cl</w:t>
      </w:r>
      <w:r>
        <w:rPr>
          <w:color w:val="auto"/>
          <w:sz w:val="24"/>
          <w:vertAlign w:val="superscript"/>
        </w:rPr>
        <w:t>-</w:t>
      </w:r>
      <w:r>
        <w:rPr>
          <w:color w:val="auto"/>
          <w:sz w:val="24"/>
        </w:rPr>
        <w:t>，K</w:t>
      </w:r>
      <w:r>
        <w:rPr>
          <w:color w:val="auto"/>
          <w:sz w:val="24"/>
          <w:vertAlign w:val="superscript"/>
        </w:rPr>
        <w:t>+</w:t>
      </w:r>
      <w:r>
        <w:rPr>
          <w:color w:val="auto"/>
          <w:sz w:val="24"/>
        </w:rPr>
        <w:t>合并于Na</w:t>
      </w:r>
      <w:r>
        <w:rPr>
          <w:color w:val="auto"/>
          <w:sz w:val="24"/>
          <w:vertAlign w:val="superscript"/>
        </w:rPr>
        <w:t>+</w:t>
      </w:r>
      <w:r>
        <w:rPr>
          <w:color w:val="auto"/>
          <w:sz w:val="24"/>
        </w:rPr>
        <w:t>）。具体步骤如下：</w:t>
      </w:r>
    </w:p>
    <w:p>
      <w:pPr>
        <w:spacing w:line="360" w:lineRule="auto"/>
        <w:ind w:firstLine="480" w:firstLineChars="200"/>
        <w:rPr>
          <w:color w:val="auto"/>
        </w:rPr>
      </w:pPr>
      <w:r>
        <w:rPr>
          <w:color w:val="auto"/>
          <w:sz w:val="24"/>
        </w:rPr>
        <w:t>将6种主要离子中含量大于25％毫克当量的阴离子和阳离子进行组合，可组合出49型水，并将每型用一个阿拉伯数字作为代号，见表4-2-1</w:t>
      </w:r>
      <w:r>
        <w:rPr>
          <w:rFonts w:hint="eastAsia"/>
          <w:color w:val="auto"/>
          <w:sz w:val="24"/>
        </w:rPr>
        <w:t>0</w:t>
      </w:r>
      <w:r>
        <w:rPr>
          <w:color w:val="auto"/>
        </w:rPr>
        <w:t>。</w:t>
      </w:r>
    </w:p>
    <w:p>
      <w:pPr>
        <w:spacing w:line="360" w:lineRule="auto"/>
        <w:ind w:firstLine="374"/>
        <w:jc w:val="center"/>
        <w:rPr>
          <w:b/>
          <w:color w:val="FF0000"/>
          <w:sz w:val="24"/>
        </w:rPr>
      </w:pPr>
    </w:p>
    <w:p>
      <w:pPr>
        <w:spacing w:line="360" w:lineRule="auto"/>
        <w:ind w:firstLine="374"/>
        <w:jc w:val="center"/>
        <w:rPr>
          <w:b/>
          <w:color w:val="FF0000"/>
          <w:sz w:val="24"/>
        </w:rPr>
      </w:pPr>
    </w:p>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b/>
          <w:color w:val="auto"/>
          <w:sz w:val="24"/>
        </w:rPr>
      </w:pPr>
      <w:r>
        <w:rPr>
          <w:b/>
          <w:color w:val="auto"/>
          <w:sz w:val="24"/>
        </w:rPr>
        <w:t>表4-2-1</w:t>
      </w:r>
      <w:r>
        <w:rPr>
          <w:rFonts w:hint="eastAsia"/>
          <w:b/>
          <w:color w:val="auto"/>
          <w:sz w:val="24"/>
        </w:rPr>
        <w:t>0</w:t>
      </w:r>
      <w:r>
        <w:rPr>
          <w:b/>
          <w:color w:val="auto"/>
          <w:sz w:val="24"/>
        </w:rPr>
        <w:t>舒卡列夫分类表</w:t>
      </w:r>
    </w:p>
    <w:tbl>
      <w:tblPr>
        <w:tblStyle w:val="46"/>
        <w:tblW w:w="4942"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04"/>
        <w:gridCol w:w="777"/>
        <w:gridCol w:w="1124"/>
        <w:gridCol w:w="1004"/>
        <w:gridCol w:w="1004"/>
        <w:gridCol w:w="1004"/>
        <w:gridCol w:w="1004"/>
        <w:gridCol w:w="100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5" w:hRule="atLeast"/>
        </w:trPr>
        <w:tc>
          <w:tcPr>
            <w:tcW w:w="842" w:type="pct"/>
            <w:tcBorders>
              <w:top w:val="single" w:color="auto" w:sz="12" w:space="0"/>
              <w:left w:val="nil"/>
              <w:bottom w:val="single" w:color="auto" w:sz="6" w:space="0"/>
              <w:right w:val="single" w:color="auto" w:sz="6" w:space="0"/>
            </w:tcBorders>
            <w:vAlign w:val="center"/>
          </w:tcPr>
          <w:p>
            <w:pPr>
              <w:adjustRightInd w:val="0"/>
              <w:snapToGrid w:val="0"/>
              <w:jc w:val="center"/>
              <w:rPr>
                <w:rFonts w:eastAsiaTheme="minorEastAsia"/>
                <w:color w:val="auto"/>
                <w:szCs w:val="21"/>
              </w:rPr>
            </w:pPr>
            <w:r>
              <w:rPr>
                <w:rFonts w:hAnsiTheme="minorEastAsia" w:eastAsiaTheme="minorEastAsia"/>
                <w:color w:val="auto"/>
                <w:szCs w:val="21"/>
              </w:rPr>
              <w:t>超过</w:t>
            </w:r>
            <w:r>
              <w:rPr>
                <w:rFonts w:eastAsiaTheme="minorEastAsia"/>
                <w:color w:val="auto"/>
                <w:szCs w:val="21"/>
              </w:rPr>
              <w:t>25%</w:t>
            </w:r>
            <w:r>
              <w:rPr>
                <w:rFonts w:hAnsiTheme="minorEastAsia" w:eastAsiaTheme="minorEastAsia"/>
                <w:color w:val="auto"/>
                <w:szCs w:val="21"/>
              </w:rPr>
              <w:t>毫克当量的离子</w:t>
            </w:r>
          </w:p>
        </w:tc>
        <w:tc>
          <w:tcPr>
            <w:tcW w:w="435" w:type="pct"/>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eastAsiaTheme="minorEastAsia"/>
                <w:color w:val="auto"/>
                <w:szCs w:val="21"/>
              </w:rPr>
            </w:pPr>
            <w:r>
              <w:rPr>
                <w:rFonts w:eastAsiaTheme="minorEastAsia"/>
                <w:color w:val="auto"/>
                <w:szCs w:val="21"/>
              </w:rPr>
              <w:t>HCO</w:t>
            </w:r>
            <w:r>
              <w:rPr>
                <w:rFonts w:eastAsiaTheme="minorEastAsia"/>
                <w:color w:val="auto"/>
                <w:szCs w:val="21"/>
                <w:vertAlign w:val="subscript"/>
              </w:rPr>
              <w:t>3</w:t>
            </w:r>
            <w:r>
              <w:rPr>
                <w:rFonts w:eastAsiaTheme="minorEastAsia"/>
                <w:color w:val="auto"/>
                <w:szCs w:val="21"/>
                <w:vertAlign w:val="superscript"/>
              </w:rPr>
              <w:t>-</w:t>
            </w:r>
          </w:p>
        </w:tc>
        <w:tc>
          <w:tcPr>
            <w:tcW w:w="629" w:type="pct"/>
            <w:tcBorders>
              <w:top w:val="single" w:color="auto" w:sz="12"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HCO</w:t>
            </w:r>
            <w:r>
              <w:rPr>
                <w:rFonts w:eastAsiaTheme="minorEastAsia"/>
                <w:color w:val="auto"/>
                <w:szCs w:val="21"/>
                <w:vertAlign w:val="subscript"/>
              </w:rPr>
              <w:t>3</w:t>
            </w:r>
            <w:r>
              <w:rPr>
                <w:rFonts w:eastAsiaTheme="minorEastAsia"/>
                <w:color w:val="auto"/>
                <w:szCs w:val="21"/>
                <w:vertAlign w:val="superscript"/>
              </w:rPr>
              <w:t>-</w:t>
            </w:r>
            <w:r>
              <w:rPr>
                <w:rFonts w:eastAsiaTheme="minorEastAsia"/>
                <w:color w:val="auto"/>
                <w:szCs w:val="21"/>
              </w:rPr>
              <w:t>- SO</w:t>
            </w:r>
            <w:r>
              <w:rPr>
                <w:rFonts w:eastAsiaTheme="minorEastAsia"/>
                <w:color w:val="auto"/>
                <w:szCs w:val="21"/>
                <w:vertAlign w:val="subscript"/>
              </w:rPr>
              <w:t>4</w:t>
            </w:r>
            <w:r>
              <w:rPr>
                <w:rFonts w:eastAsiaTheme="minorEastAsia"/>
                <w:color w:val="auto"/>
                <w:szCs w:val="21"/>
                <w:vertAlign w:val="superscript"/>
              </w:rPr>
              <w:t>2-</w:t>
            </w:r>
          </w:p>
        </w:tc>
        <w:tc>
          <w:tcPr>
            <w:tcW w:w="562" w:type="pct"/>
            <w:tcBorders>
              <w:top w:val="single" w:color="auto" w:sz="12"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HCO</w:t>
            </w:r>
            <w:r>
              <w:rPr>
                <w:rFonts w:eastAsiaTheme="minorEastAsia"/>
                <w:color w:val="auto"/>
                <w:szCs w:val="21"/>
                <w:vertAlign w:val="subscript"/>
              </w:rPr>
              <w:t>3</w:t>
            </w:r>
            <w:r>
              <w:rPr>
                <w:rFonts w:eastAsiaTheme="minorEastAsia"/>
                <w:color w:val="auto"/>
                <w:szCs w:val="21"/>
                <w:vertAlign w:val="superscript"/>
              </w:rPr>
              <w:t>-</w:t>
            </w:r>
            <w:r>
              <w:rPr>
                <w:rFonts w:eastAsiaTheme="minorEastAsia"/>
                <w:color w:val="auto"/>
                <w:szCs w:val="21"/>
              </w:rPr>
              <w:t>- SO</w:t>
            </w:r>
            <w:r>
              <w:rPr>
                <w:rFonts w:eastAsiaTheme="minorEastAsia"/>
                <w:color w:val="auto"/>
                <w:szCs w:val="21"/>
                <w:vertAlign w:val="subscript"/>
              </w:rPr>
              <w:t>4</w:t>
            </w:r>
            <w:r>
              <w:rPr>
                <w:rFonts w:eastAsiaTheme="minorEastAsia"/>
                <w:color w:val="auto"/>
                <w:szCs w:val="21"/>
                <w:vertAlign w:val="superscript"/>
              </w:rPr>
              <w:t>2-</w:t>
            </w:r>
            <w:r>
              <w:rPr>
                <w:rFonts w:eastAsiaTheme="minorEastAsia"/>
                <w:color w:val="auto"/>
                <w:szCs w:val="21"/>
              </w:rPr>
              <w:t>- Cl</w:t>
            </w:r>
            <w:r>
              <w:rPr>
                <w:rFonts w:eastAsiaTheme="minorEastAsia"/>
                <w:color w:val="auto"/>
                <w:szCs w:val="21"/>
                <w:vertAlign w:val="superscript"/>
              </w:rPr>
              <w:t>-</w:t>
            </w:r>
          </w:p>
        </w:tc>
        <w:tc>
          <w:tcPr>
            <w:tcW w:w="562" w:type="pct"/>
            <w:tcBorders>
              <w:top w:val="single" w:color="auto" w:sz="12"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HCO</w:t>
            </w:r>
            <w:r>
              <w:rPr>
                <w:rFonts w:eastAsiaTheme="minorEastAsia"/>
                <w:color w:val="auto"/>
                <w:szCs w:val="21"/>
                <w:vertAlign w:val="subscript"/>
              </w:rPr>
              <w:t>3</w:t>
            </w:r>
            <w:r>
              <w:rPr>
                <w:rFonts w:eastAsiaTheme="minorEastAsia"/>
                <w:color w:val="auto"/>
                <w:szCs w:val="21"/>
                <w:vertAlign w:val="superscript"/>
              </w:rPr>
              <w:t>-</w:t>
            </w:r>
            <w:r>
              <w:rPr>
                <w:rFonts w:eastAsiaTheme="minorEastAsia"/>
                <w:color w:val="auto"/>
                <w:szCs w:val="21"/>
              </w:rPr>
              <w:t>- Cl</w:t>
            </w:r>
            <w:r>
              <w:rPr>
                <w:rFonts w:eastAsiaTheme="minorEastAsia"/>
                <w:color w:val="auto"/>
                <w:szCs w:val="21"/>
                <w:vertAlign w:val="superscript"/>
              </w:rPr>
              <w:t>-</w:t>
            </w:r>
          </w:p>
        </w:tc>
        <w:tc>
          <w:tcPr>
            <w:tcW w:w="562" w:type="pct"/>
            <w:tcBorders>
              <w:top w:val="single" w:color="auto" w:sz="12"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SO</w:t>
            </w:r>
            <w:r>
              <w:rPr>
                <w:rFonts w:eastAsiaTheme="minorEastAsia"/>
                <w:color w:val="auto"/>
                <w:szCs w:val="21"/>
                <w:vertAlign w:val="subscript"/>
              </w:rPr>
              <w:t>4</w:t>
            </w:r>
            <w:r>
              <w:rPr>
                <w:rFonts w:eastAsiaTheme="minorEastAsia"/>
                <w:color w:val="auto"/>
                <w:szCs w:val="21"/>
                <w:vertAlign w:val="superscript"/>
              </w:rPr>
              <w:t>2-</w:t>
            </w:r>
          </w:p>
        </w:tc>
        <w:tc>
          <w:tcPr>
            <w:tcW w:w="562" w:type="pct"/>
            <w:tcBorders>
              <w:top w:val="single" w:color="auto" w:sz="12"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SO</w:t>
            </w:r>
            <w:r>
              <w:rPr>
                <w:rFonts w:eastAsiaTheme="minorEastAsia"/>
                <w:color w:val="auto"/>
                <w:szCs w:val="21"/>
                <w:vertAlign w:val="subscript"/>
              </w:rPr>
              <w:t>4</w:t>
            </w:r>
            <w:r>
              <w:rPr>
                <w:rFonts w:eastAsiaTheme="minorEastAsia"/>
                <w:color w:val="auto"/>
                <w:szCs w:val="21"/>
                <w:vertAlign w:val="superscript"/>
              </w:rPr>
              <w:t>2-</w:t>
            </w:r>
            <w:r>
              <w:rPr>
                <w:rFonts w:eastAsiaTheme="minorEastAsia"/>
                <w:color w:val="auto"/>
                <w:szCs w:val="21"/>
              </w:rPr>
              <w:t>- Cl</w:t>
            </w:r>
            <w:r>
              <w:rPr>
                <w:rFonts w:eastAsiaTheme="minorEastAsia"/>
                <w:color w:val="auto"/>
                <w:szCs w:val="21"/>
                <w:vertAlign w:val="superscript"/>
              </w:rPr>
              <w:t>-</w:t>
            </w:r>
          </w:p>
        </w:tc>
        <w:tc>
          <w:tcPr>
            <w:tcW w:w="561" w:type="pct"/>
            <w:tcBorders>
              <w:top w:val="single" w:color="auto" w:sz="12" w:space="0"/>
              <w:left w:val="single" w:color="auto" w:sz="6" w:space="0"/>
              <w:bottom w:val="single" w:color="auto" w:sz="6" w:space="0"/>
              <w:right w:val="nil"/>
            </w:tcBorders>
            <w:vAlign w:val="center"/>
          </w:tcPr>
          <w:p>
            <w:pPr>
              <w:jc w:val="center"/>
              <w:rPr>
                <w:rFonts w:eastAsiaTheme="minorEastAsia"/>
                <w:color w:val="auto"/>
                <w:szCs w:val="21"/>
              </w:rPr>
            </w:pPr>
            <w:r>
              <w:rPr>
                <w:rFonts w:eastAsiaTheme="minorEastAsia"/>
                <w:color w:val="auto"/>
                <w:szCs w:val="21"/>
              </w:rPr>
              <w:t>Cl</w:t>
            </w:r>
            <w:r>
              <w:rPr>
                <w:rFonts w:eastAsiaTheme="minorEastAsia"/>
                <w:color w:val="auto"/>
                <w:szCs w:val="21"/>
                <w:vertAlign w:val="superscript"/>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1" w:hRule="atLeast"/>
        </w:trPr>
        <w:tc>
          <w:tcPr>
            <w:tcW w:w="842" w:type="pct"/>
            <w:tcBorders>
              <w:top w:val="single" w:color="auto" w:sz="6" w:space="0"/>
              <w:left w:val="nil"/>
              <w:bottom w:val="single" w:color="auto" w:sz="6" w:space="0"/>
              <w:right w:val="single" w:color="auto" w:sz="6" w:space="0"/>
            </w:tcBorders>
            <w:vAlign w:val="center"/>
          </w:tcPr>
          <w:p>
            <w:pPr>
              <w:adjustRightInd w:val="0"/>
              <w:snapToGrid w:val="0"/>
              <w:jc w:val="center"/>
              <w:rPr>
                <w:rFonts w:eastAsiaTheme="minorEastAsia"/>
                <w:color w:val="auto"/>
                <w:szCs w:val="21"/>
              </w:rPr>
            </w:pPr>
            <w:r>
              <w:rPr>
                <w:rFonts w:eastAsiaTheme="minorEastAsia"/>
                <w:color w:val="auto"/>
                <w:szCs w:val="21"/>
              </w:rPr>
              <w:t>Ca</w:t>
            </w:r>
            <w:r>
              <w:rPr>
                <w:rFonts w:eastAsiaTheme="minorEastAsia"/>
                <w:color w:val="auto"/>
                <w:szCs w:val="21"/>
                <w:vertAlign w:val="superscript"/>
              </w:rPr>
              <w:t>2+</w:t>
            </w:r>
          </w:p>
        </w:tc>
        <w:tc>
          <w:tcPr>
            <w:tcW w:w="43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eastAsiaTheme="minorEastAsia"/>
                <w:color w:val="auto"/>
                <w:szCs w:val="21"/>
              </w:rPr>
            </w:pPr>
            <w:r>
              <w:rPr>
                <w:rFonts w:eastAsiaTheme="minorEastAsia"/>
                <w:color w:val="auto"/>
                <w:szCs w:val="21"/>
              </w:rPr>
              <w:t>1</w:t>
            </w:r>
          </w:p>
        </w:tc>
        <w:tc>
          <w:tcPr>
            <w:tcW w:w="629"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eastAsiaTheme="minorEastAsia"/>
                <w:color w:val="auto"/>
                <w:szCs w:val="21"/>
              </w:rPr>
            </w:pPr>
            <w:r>
              <w:rPr>
                <w:rFonts w:eastAsiaTheme="minorEastAsia"/>
                <w:color w:val="auto"/>
                <w:szCs w:val="21"/>
              </w:rPr>
              <w:t>8</w:t>
            </w:r>
          </w:p>
        </w:tc>
        <w:tc>
          <w:tcPr>
            <w:tcW w:w="562"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eastAsiaTheme="minorEastAsia"/>
                <w:color w:val="auto"/>
                <w:szCs w:val="21"/>
              </w:rPr>
            </w:pPr>
            <w:r>
              <w:rPr>
                <w:rFonts w:eastAsiaTheme="minorEastAsia"/>
                <w:color w:val="auto"/>
                <w:szCs w:val="21"/>
              </w:rPr>
              <w:t>15</w:t>
            </w:r>
          </w:p>
        </w:tc>
        <w:tc>
          <w:tcPr>
            <w:tcW w:w="562"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eastAsiaTheme="minorEastAsia"/>
                <w:color w:val="auto"/>
                <w:szCs w:val="21"/>
              </w:rPr>
            </w:pPr>
            <w:r>
              <w:rPr>
                <w:rFonts w:eastAsiaTheme="minorEastAsia"/>
                <w:color w:val="auto"/>
                <w:szCs w:val="21"/>
              </w:rPr>
              <w:t>22</w:t>
            </w:r>
          </w:p>
        </w:tc>
        <w:tc>
          <w:tcPr>
            <w:tcW w:w="562"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eastAsiaTheme="minorEastAsia"/>
                <w:color w:val="auto"/>
                <w:szCs w:val="21"/>
              </w:rPr>
            </w:pPr>
            <w:r>
              <w:rPr>
                <w:rFonts w:eastAsiaTheme="minorEastAsia"/>
                <w:color w:val="auto"/>
                <w:szCs w:val="21"/>
              </w:rPr>
              <w:t>29</w:t>
            </w:r>
          </w:p>
        </w:tc>
        <w:tc>
          <w:tcPr>
            <w:tcW w:w="562"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eastAsiaTheme="minorEastAsia"/>
                <w:color w:val="auto"/>
                <w:szCs w:val="21"/>
              </w:rPr>
            </w:pPr>
            <w:r>
              <w:rPr>
                <w:rFonts w:eastAsiaTheme="minorEastAsia"/>
                <w:color w:val="auto"/>
                <w:szCs w:val="21"/>
              </w:rPr>
              <w:t>36</w:t>
            </w:r>
          </w:p>
        </w:tc>
        <w:tc>
          <w:tcPr>
            <w:tcW w:w="561" w:type="pct"/>
            <w:tcBorders>
              <w:top w:val="single" w:color="auto" w:sz="6" w:space="0"/>
              <w:left w:val="single" w:color="auto" w:sz="6" w:space="0"/>
              <w:bottom w:val="single" w:color="auto" w:sz="6" w:space="0"/>
              <w:right w:val="nil"/>
            </w:tcBorders>
            <w:vAlign w:val="center"/>
          </w:tcPr>
          <w:p>
            <w:pPr>
              <w:adjustRightInd w:val="0"/>
              <w:snapToGrid w:val="0"/>
              <w:jc w:val="center"/>
              <w:rPr>
                <w:rFonts w:eastAsiaTheme="minorEastAsia"/>
                <w:color w:val="auto"/>
                <w:szCs w:val="21"/>
              </w:rPr>
            </w:pPr>
            <w:r>
              <w:rPr>
                <w:rFonts w:eastAsiaTheme="minorEastAsia"/>
                <w:color w:val="auto"/>
                <w:szCs w:val="21"/>
              </w:rPr>
              <w:t>43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1" w:hRule="atLeast"/>
        </w:trPr>
        <w:tc>
          <w:tcPr>
            <w:tcW w:w="842" w:type="pct"/>
            <w:tcBorders>
              <w:top w:val="single" w:color="auto" w:sz="6" w:space="0"/>
              <w:left w:val="nil"/>
              <w:bottom w:val="single" w:color="auto" w:sz="6" w:space="0"/>
              <w:right w:val="single" w:color="auto" w:sz="6" w:space="0"/>
            </w:tcBorders>
            <w:vAlign w:val="center"/>
          </w:tcPr>
          <w:p>
            <w:pPr>
              <w:tabs>
                <w:tab w:val="left" w:pos="454"/>
                <w:tab w:val="center" w:pos="508"/>
              </w:tabs>
              <w:adjustRightInd w:val="0"/>
              <w:snapToGrid w:val="0"/>
              <w:jc w:val="center"/>
              <w:rPr>
                <w:rFonts w:eastAsiaTheme="minorEastAsia"/>
                <w:color w:val="auto"/>
                <w:szCs w:val="21"/>
              </w:rPr>
            </w:pPr>
            <w:r>
              <w:rPr>
                <w:rFonts w:eastAsiaTheme="minorEastAsia"/>
                <w:color w:val="auto"/>
                <w:szCs w:val="21"/>
              </w:rPr>
              <w:t>Ca</w:t>
            </w:r>
            <w:r>
              <w:rPr>
                <w:rFonts w:eastAsiaTheme="minorEastAsia"/>
                <w:color w:val="auto"/>
                <w:szCs w:val="21"/>
                <w:vertAlign w:val="superscript"/>
              </w:rPr>
              <w:t>2+</w:t>
            </w:r>
            <w:r>
              <w:rPr>
                <w:rFonts w:eastAsiaTheme="minorEastAsia"/>
                <w:color w:val="auto"/>
                <w:szCs w:val="21"/>
              </w:rPr>
              <w:t>-Mg</w:t>
            </w:r>
            <w:r>
              <w:rPr>
                <w:rFonts w:eastAsiaTheme="minorEastAsia"/>
                <w:color w:val="auto"/>
                <w:szCs w:val="21"/>
                <w:vertAlign w:val="superscript"/>
              </w:rPr>
              <w:t>2+</w:t>
            </w:r>
          </w:p>
        </w:tc>
        <w:tc>
          <w:tcPr>
            <w:tcW w:w="435" w:type="pct"/>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eastAsiaTheme="minorEastAsia"/>
                <w:color w:val="auto"/>
                <w:kern w:val="0"/>
                <w:szCs w:val="21"/>
                <w:lang w:val="zh-CN"/>
              </w:rPr>
            </w:pPr>
            <w:r>
              <w:rPr>
                <w:rFonts w:eastAsiaTheme="minorEastAsia"/>
                <w:color w:val="auto"/>
                <w:kern w:val="0"/>
                <w:szCs w:val="21"/>
              </w:rPr>
              <w:t>2</w:t>
            </w:r>
          </w:p>
        </w:tc>
        <w:tc>
          <w:tcPr>
            <w:tcW w:w="629" w:type="pct"/>
            <w:tcBorders>
              <w:top w:val="single" w:color="auto" w:sz="6"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9</w:t>
            </w:r>
          </w:p>
        </w:tc>
        <w:tc>
          <w:tcPr>
            <w:tcW w:w="562" w:type="pct"/>
            <w:tcBorders>
              <w:top w:val="single" w:color="auto" w:sz="6" w:space="0"/>
              <w:left w:val="single" w:color="auto" w:sz="6" w:space="0"/>
              <w:bottom w:val="single" w:color="auto" w:sz="6" w:space="0"/>
              <w:right w:val="single" w:color="auto" w:sz="6" w:space="0"/>
            </w:tcBorders>
            <w:vAlign w:val="center"/>
          </w:tcPr>
          <w:p>
            <w:pPr>
              <w:widowControl/>
              <w:jc w:val="center"/>
              <w:rPr>
                <w:rFonts w:eastAsiaTheme="minorEastAsia"/>
                <w:color w:val="auto"/>
                <w:kern w:val="0"/>
                <w:szCs w:val="21"/>
              </w:rPr>
            </w:pPr>
            <w:r>
              <w:rPr>
                <w:rFonts w:eastAsiaTheme="minorEastAsia"/>
                <w:color w:val="auto"/>
                <w:kern w:val="0"/>
                <w:szCs w:val="21"/>
              </w:rPr>
              <w:t>16</w:t>
            </w:r>
          </w:p>
        </w:tc>
        <w:tc>
          <w:tcPr>
            <w:tcW w:w="562" w:type="pct"/>
            <w:tcBorders>
              <w:top w:val="single" w:color="auto" w:sz="6"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23</w:t>
            </w:r>
          </w:p>
        </w:tc>
        <w:tc>
          <w:tcPr>
            <w:tcW w:w="562" w:type="pct"/>
            <w:tcBorders>
              <w:top w:val="single" w:color="auto" w:sz="6"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30</w:t>
            </w:r>
          </w:p>
        </w:tc>
        <w:tc>
          <w:tcPr>
            <w:tcW w:w="562" w:type="pct"/>
            <w:tcBorders>
              <w:top w:val="single" w:color="auto" w:sz="6"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37</w:t>
            </w:r>
          </w:p>
        </w:tc>
        <w:tc>
          <w:tcPr>
            <w:tcW w:w="561" w:type="pct"/>
            <w:tcBorders>
              <w:top w:val="single" w:color="auto" w:sz="6" w:space="0"/>
              <w:left w:val="single" w:color="auto" w:sz="6" w:space="0"/>
              <w:bottom w:val="single" w:color="auto" w:sz="6" w:space="0"/>
              <w:right w:val="nil"/>
            </w:tcBorders>
            <w:vAlign w:val="center"/>
          </w:tcPr>
          <w:p>
            <w:pPr>
              <w:jc w:val="center"/>
              <w:rPr>
                <w:rFonts w:eastAsiaTheme="minorEastAsia"/>
                <w:color w:val="auto"/>
                <w:szCs w:val="21"/>
              </w:rPr>
            </w:pPr>
            <w:r>
              <w:rPr>
                <w:rFonts w:eastAsiaTheme="minorEastAsia"/>
                <w:color w:val="auto"/>
                <w:szCs w:val="21"/>
              </w:rPr>
              <w:t>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1" w:hRule="atLeast"/>
        </w:trPr>
        <w:tc>
          <w:tcPr>
            <w:tcW w:w="842" w:type="pct"/>
            <w:tcBorders>
              <w:top w:val="single" w:color="auto" w:sz="6" w:space="0"/>
              <w:left w:val="nil"/>
              <w:bottom w:val="single" w:color="auto" w:sz="6" w:space="0"/>
              <w:right w:val="single" w:color="auto" w:sz="6" w:space="0"/>
            </w:tcBorders>
            <w:vAlign w:val="center"/>
          </w:tcPr>
          <w:p>
            <w:pPr>
              <w:adjustRightInd w:val="0"/>
              <w:snapToGrid w:val="0"/>
              <w:jc w:val="center"/>
              <w:rPr>
                <w:rFonts w:eastAsiaTheme="minorEastAsia"/>
                <w:color w:val="auto"/>
                <w:szCs w:val="21"/>
              </w:rPr>
            </w:pPr>
            <w:r>
              <w:rPr>
                <w:rFonts w:eastAsiaTheme="minorEastAsia"/>
                <w:color w:val="auto"/>
                <w:szCs w:val="21"/>
              </w:rPr>
              <w:t>Mg</w:t>
            </w:r>
            <w:r>
              <w:rPr>
                <w:rFonts w:eastAsiaTheme="minorEastAsia"/>
                <w:color w:val="auto"/>
                <w:szCs w:val="21"/>
                <w:vertAlign w:val="superscript"/>
              </w:rPr>
              <w:t>2+</w:t>
            </w:r>
          </w:p>
        </w:tc>
        <w:tc>
          <w:tcPr>
            <w:tcW w:w="435" w:type="pct"/>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eastAsiaTheme="minorEastAsia"/>
                <w:color w:val="auto"/>
                <w:kern w:val="0"/>
                <w:szCs w:val="21"/>
                <w:lang w:val="zh-CN"/>
              </w:rPr>
            </w:pPr>
            <w:r>
              <w:rPr>
                <w:rFonts w:eastAsiaTheme="minorEastAsia"/>
                <w:color w:val="auto"/>
                <w:kern w:val="0"/>
                <w:szCs w:val="21"/>
                <w:lang w:val="zh-CN"/>
              </w:rPr>
              <w:t>3</w:t>
            </w:r>
          </w:p>
        </w:tc>
        <w:tc>
          <w:tcPr>
            <w:tcW w:w="629" w:type="pct"/>
            <w:tcBorders>
              <w:top w:val="single" w:color="auto" w:sz="6"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10</w:t>
            </w:r>
          </w:p>
        </w:tc>
        <w:tc>
          <w:tcPr>
            <w:tcW w:w="562" w:type="pct"/>
            <w:tcBorders>
              <w:top w:val="single" w:color="auto" w:sz="6" w:space="0"/>
              <w:left w:val="single" w:color="auto" w:sz="6" w:space="0"/>
              <w:bottom w:val="single" w:color="auto" w:sz="6" w:space="0"/>
              <w:right w:val="single" w:color="auto" w:sz="6" w:space="0"/>
            </w:tcBorders>
            <w:vAlign w:val="center"/>
          </w:tcPr>
          <w:p>
            <w:pPr>
              <w:widowControl/>
              <w:jc w:val="center"/>
              <w:rPr>
                <w:rFonts w:eastAsiaTheme="minorEastAsia"/>
                <w:color w:val="auto"/>
                <w:kern w:val="0"/>
                <w:szCs w:val="21"/>
              </w:rPr>
            </w:pPr>
            <w:r>
              <w:rPr>
                <w:rFonts w:eastAsiaTheme="minorEastAsia"/>
                <w:color w:val="auto"/>
                <w:kern w:val="0"/>
                <w:szCs w:val="21"/>
              </w:rPr>
              <w:t>17</w:t>
            </w:r>
          </w:p>
        </w:tc>
        <w:tc>
          <w:tcPr>
            <w:tcW w:w="562" w:type="pct"/>
            <w:tcBorders>
              <w:top w:val="single" w:color="auto" w:sz="6"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24</w:t>
            </w:r>
          </w:p>
        </w:tc>
        <w:tc>
          <w:tcPr>
            <w:tcW w:w="562" w:type="pct"/>
            <w:tcBorders>
              <w:top w:val="single" w:color="auto" w:sz="6"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31</w:t>
            </w:r>
          </w:p>
        </w:tc>
        <w:tc>
          <w:tcPr>
            <w:tcW w:w="562" w:type="pct"/>
            <w:tcBorders>
              <w:top w:val="single" w:color="auto" w:sz="6"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38</w:t>
            </w:r>
          </w:p>
        </w:tc>
        <w:tc>
          <w:tcPr>
            <w:tcW w:w="561" w:type="pct"/>
            <w:tcBorders>
              <w:top w:val="single" w:color="auto" w:sz="6" w:space="0"/>
              <w:left w:val="single" w:color="auto" w:sz="6" w:space="0"/>
              <w:bottom w:val="single" w:color="auto" w:sz="6" w:space="0"/>
              <w:right w:val="nil"/>
            </w:tcBorders>
            <w:vAlign w:val="center"/>
          </w:tcPr>
          <w:p>
            <w:pPr>
              <w:jc w:val="center"/>
              <w:rPr>
                <w:rFonts w:eastAsiaTheme="minorEastAsia"/>
                <w:color w:val="auto"/>
                <w:szCs w:val="21"/>
              </w:rPr>
            </w:pPr>
            <w:r>
              <w:rPr>
                <w:rFonts w:eastAsiaTheme="minorEastAsia"/>
                <w:color w:val="auto"/>
                <w:szCs w:val="21"/>
              </w:rPr>
              <w:t>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1" w:hRule="atLeast"/>
        </w:trPr>
        <w:tc>
          <w:tcPr>
            <w:tcW w:w="842" w:type="pct"/>
            <w:tcBorders>
              <w:top w:val="single" w:color="auto" w:sz="6" w:space="0"/>
              <w:left w:val="nil"/>
              <w:bottom w:val="single" w:color="auto" w:sz="6" w:space="0"/>
              <w:right w:val="single" w:color="auto" w:sz="6" w:space="0"/>
            </w:tcBorders>
            <w:vAlign w:val="center"/>
          </w:tcPr>
          <w:p>
            <w:pPr>
              <w:adjustRightInd w:val="0"/>
              <w:snapToGrid w:val="0"/>
              <w:jc w:val="center"/>
              <w:rPr>
                <w:rFonts w:eastAsiaTheme="minorEastAsia"/>
                <w:color w:val="auto"/>
                <w:szCs w:val="21"/>
              </w:rPr>
            </w:pPr>
            <w:r>
              <w:rPr>
                <w:rFonts w:eastAsiaTheme="minorEastAsia"/>
                <w:color w:val="auto"/>
                <w:szCs w:val="21"/>
              </w:rPr>
              <w:t>Na</w:t>
            </w:r>
            <w:r>
              <w:rPr>
                <w:rFonts w:eastAsiaTheme="minorEastAsia"/>
                <w:color w:val="auto"/>
                <w:szCs w:val="21"/>
                <w:vertAlign w:val="superscript"/>
              </w:rPr>
              <w:t>+</w:t>
            </w:r>
            <w:r>
              <w:rPr>
                <w:rFonts w:eastAsiaTheme="minorEastAsia"/>
                <w:color w:val="auto"/>
                <w:szCs w:val="21"/>
              </w:rPr>
              <w:t>-Ca</w:t>
            </w:r>
            <w:r>
              <w:rPr>
                <w:rFonts w:eastAsiaTheme="minorEastAsia"/>
                <w:color w:val="auto"/>
                <w:szCs w:val="21"/>
                <w:vertAlign w:val="superscript"/>
              </w:rPr>
              <w:t>2+</w:t>
            </w:r>
          </w:p>
        </w:tc>
        <w:tc>
          <w:tcPr>
            <w:tcW w:w="435" w:type="pct"/>
            <w:tcBorders>
              <w:top w:val="single" w:color="auto" w:sz="6"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4</w:t>
            </w:r>
          </w:p>
        </w:tc>
        <w:tc>
          <w:tcPr>
            <w:tcW w:w="629" w:type="pct"/>
            <w:tcBorders>
              <w:top w:val="single" w:color="auto" w:sz="6"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11</w:t>
            </w:r>
          </w:p>
        </w:tc>
        <w:tc>
          <w:tcPr>
            <w:tcW w:w="562" w:type="pct"/>
            <w:tcBorders>
              <w:top w:val="single" w:color="auto" w:sz="6" w:space="0"/>
              <w:left w:val="single" w:color="auto" w:sz="6" w:space="0"/>
              <w:bottom w:val="single" w:color="auto" w:sz="6" w:space="0"/>
              <w:right w:val="single" w:color="auto" w:sz="6" w:space="0"/>
            </w:tcBorders>
            <w:vAlign w:val="center"/>
          </w:tcPr>
          <w:p>
            <w:pPr>
              <w:widowControl/>
              <w:jc w:val="center"/>
              <w:rPr>
                <w:rFonts w:eastAsiaTheme="minorEastAsia"/>
                <w:color w:val="auto"/>
                <w:kern w:val="0"/>
                <w:szCs w:val="21"/>
              </w:rPr>
            </w:pPr>
            <w:r>
              <w:rPr>
                <w:rFonts w:eastAsiaTheme="minorEastAsia"/>
                <w:color w:val="auto"/>
                <w:kern w:val="0"/>
                <w:szCs w:val="21"/>
              </w:rPr>
              <w:t>18</w:t>
            </w:r>
          </w:p>
        </w:tc>
        <w:tc>
          <w:tcPr>
            <w:tcW w:w="562" w:type="pct"/>
            <w:tcBorders>
              <w:top w:val="single" w:color="auto" w:sz="6"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25</w:t>
            </w:r>
          </w:p>
        </w:tc>
        <w:tc>
          <w:tcPr>
            <w:tcW w:w="562" w:type="pct"/>
            <w:tcBorders>
              <w:top w:val="single" w:color="auto" w:sz="6"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32</w:t>
            </w:r>
          </w:p>
        </w:tc>
        <w:tc>
          <w:tcPr>
            <w:tcW w:w="562" w:type="pct"/>
            <w:tcBorders>
              <w:top w:val="single" w:color="auto" w:sz="6"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39</w:t>
            </w:r>
          </w:p>
        </w:tc>
        <w:tc>
          <w:tcPr>
            <w:tcW w:w="561" w:type="pct"/>
            <w:tcBorders>
              <w:top w:val="single" w:color="auto" w:sz="6" w:space="0"/>
              <w:left w:val="single" w:color="auto" w:sz="6" w:space="0"/>
              <w:bottom w:val="single" w:color="auto" w:sz="6" w:space="0"/>
              <w:right w:val="nil"/>
            </w:tcBorders>
            <w:vAlign w:val="center"/>
          </w:tcPr>
          <w:p>
            <w:pPr>
              <w:jc w:val="center"/>
              <w:rPr>
                <w:rFonts w:eastAsiaTheme="minorEastAsia"/>
                <w:color w:val="auto"/>
                <w:szCs w:val="21"/>
              </w:rPr>
            </w:pPr>
            <w:r>
              <w:rPr>
                <w:rFonts w:eastAsiaTheme="minorEastAsia"/>
                <w:color w:val="auto"/>
                <w:szCs w:val="21"/>
              </w:rPr>
              <w:t>46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1" w:hRule="atLeast"/>
        </w:trPr>
        <w:tc>
          <w:tcPr>
            <w:tcW w:w="842" w:type="pct"/>
            <w:tcBorders>
              <w:top w:val="single" w:color="auto" w:sz="6" w:space="0"/>
              <w:left w:val="nil"/>
              <w:bottom w:val="single" w:color="auto" w:sz="6" w:space="0"/>
              <w:right w:val="single" w:color="auto" w:sz="6" w:space="0"/>
            </w:tcBorders>
            <w:vAlign w:val="center"/>
          </w:tcPr>
          <w:p>
            <w:pPr>
              <w:adjustRightInd w:val="0"/>
              <w:snapToGrid w:val="0"/>
              <w:jc w:val="center"/>
              <w:rPr>
                <w:rFonts w:eastAsiaTheme="minorEastAsia"/>
                <w:color w:val="auto"/>
                <w:szCs w:val="21"/>
              </w:rPr>
            </w:pPr>
            <w:r>
              <w:rPr>
                <w:rFonts w:eastAsiaTheme="minorEastAsia"/>
                <w:color w:val="auto"/>
                <w:szCs w:val="21"/>
              </w:rPr>
              <w:t>Na</w:t>
            </w:r>
            <w:r>
              <w:rPr>
                <w:rFonts w:eastAsiaTheme="minorEastAsia"/>
                <w:color w:val="auto"/>
                <w:szCs w:val="21"/>
                <w:vertAlign w:val="superscript"/>
              </w:rPr>
              <w:t>+</w:t>
            </w:r>
            <w:r>
              <w:rPr>
                <w:rFonts w:eastAsiaTheme="minorEastAsia"/>
                <w:color w:val="auto"/>
                <w:szCs w:val="21"/>
              </w:rPr>
              <w:t>-Ca</w:t>
            </w:r>
            <w:r>
              <w:rPr>
                <w:rFonts w:eastAsiaTheme="minorEastAsia"/>
                <w:color w:val="auto"/>
                <w:szCs w:val="21"/>
                <w:vertAlign w:val="superscript"/>
              </w:rPr>
              <w:t>2+</w:t>
            </w:r>
            <w:r>
              <w:rPr>
                <w:rFonts w:eastAsiaTheme="minorEastAsia"/>
                <w:color w:val="auto"/>
                <w:szCs w:val="21"/>
              </w:rPr>
              <w:t>-Mg</w:t>
            </w:r>
            <w:r>
              <w:rPr>
                <w:rFonts w:eastAsiaTheme="minorEastAsia"/>
                <w:color w:val="auto"/>
                <w:szCs w:val="21"/>
                <w:vertAlign w:val="superscript"/>
              </w:rPr>
              <w:t>2+</w:t>
            </w:r>
          </w:p>
        </w:tc>
        <w:tc>
          <w:tcPr>
            <w:tcW w:w="435" w:type="pct"/>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eastAsiaTheme="minorEastAsia"/>
                <w:color w:val="auto"/>
                <w:kern w:val="0"/>
                <w:szCs w:val="21"/>
                <w:lang w:val="zh-CN"/>
              </w:rPr>
            </w:pPr>
            <w:r>
              <w:rPr>
                <w:rFonts w:eastAsiaTheme="minorEastAsia"/>
                <w:color w:val="auto"/>
                <w:kern w:val="0"/>
                <w:szCs w:val="21"/>
                <w:lang w:val="zh-CN"/>
              </w:rPr>
              <w:t>5</w:t>
            </w:r>
          </w:p>
        </w:tc>
        <w:tc>
          <w:tcPr>
            <w:tcW w:w="629" w:type="pct"/>
            <w:tcBorders>
              <w:top w:val="single" w:color="auto" w:sz="6"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12</w:t>
            </w:r>
          </w:p>
        </w:tc>
        <w:tc>
          <w:tcPr>
            <w:tcW w:w="562" w:type="pct"/>
            <w:tcBorders>
              <w:top w:val="single" w:color="auto" w:sz="6" w:space="0"/>
              <w:left w:val="single" w:color="auto" w:sz="6" w:space="0"/>
              <w:bottom w:val="single" w:color="auto" w:sz="6" w:space="0"/>
              <w:right w:val="single" w:color="auto" w:sz="6" w:space="0"/>
            </w:tcBorders>
            <w:vAlign w:val="center"/>
          </w:tcPr>
          <w:p>
            <w:pPr>
              <w:widowControl/>
              <w:jc w:val="center"/>
              <w:rPr>
                <w:rFonts w:eastAsiaTheme="minorEastAsia"/>
                <w:color w:val="auto"/>
                <w:kern w:val="0"/>
                <w:szCs w:val="21"/>
              </w:rPr>
            </w:pPr>
            <w:r>
              <w:rPr>
                <w:rFonts w:eastAsiaTheme="minorEastAsia"/>
                <w:color w:val="auto"/>
                <w:kern w:val="0"/>
                <w:szCs w:val="21"/>
              </w:rPr>
              <w:t>19</w:t>
            </w:r>
          </w:p>
        </w:tc>
        <w:tc>
          <w:tcPr>
            <w:tcW w:w="562" w:type="pct"/>
            <w:tcBorders>
              <w:top w:val="single" w:color="auto" w:sz="6"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26</w:t>
            </w:r>
          </w:p>
        </w:tc>
        <w:tc>
          <w:tcPr>
            <w:tcW w:w="562" w:type="pct"/>
            <w:tcBorders>
              <w:top w:val="single" w:color="auto" w:sz="6"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33</w:t>
            </w:r>
          </w:p>
        </w:tc>
        <w:tc>
          <w:tcPr>
            <w:tcW w:w="562" w:type="pct"/>
            <w:tcBorders>
              <w:top w:val="single" w:color="auto" w:sz="6"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40</w:t>
            </w:r>
          </w:p>
        </w:tc>
        <w:tc>
          <w:tcPr>
            <w:tcW w:w="561" w:type="pct"/>
            <w:tcBorders>
              <w:top w:val="single" w:color="auto" w:sz="6" w:space="0"/>
              <w:left w:val="single" w:color="auto" w:sz="6" w:space="0"/>
              <w:bottom w:val="single" w:color="auto" w:sz="6" w:space="0"/>
              <w:right w:val="nil"/>
            </w:tcBorders>
            <w:vAlign w:val="center"/>
          </w:tcPr>
          <w:p>
            <w:pPr>
              <w:jc w:val="center"/>
              <w:rPr>
                <w:rFonts w:eastAsiaTheme="minorEastAsia"/>
                <w:color w:val="auto"/>
                <w:szCs w:val="21"/>
              </w:rPr>
            </w:pPr>
            <w:r>
              <w:rPr>
                <w:rFonts w:eastAsiaTheme="minorEastAsia"/>
                <w:color w:val="auto"/>
                <w:szCs w:val="21"/>
              </w:rPr>
              <w:t>47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7" w:hRule="atLeast"/>
        </w:trPr>
        <w:tc>
          <w:tcPr>
            <w:tcW w:w="842" w:type="pct"/>
            <w:tcBorders>
              <w:top w:val="single" w:color="auto" w:sz="6" w:space="0"/>
              <w:left w:val="nil"/>
              <w:bottom w:val="single" w:color="auto" w:sz="6" w:space="0"/>
              <w:right w:val="single" w:color="auto" w:sz="6" w:space="0"/>
            </w:tcBorders>
            <w:vAlign w:val="center"/>
          </w:tcPr>
          <w:p>
            <w:pPr>
              <w:adjustRightInd w:val="0"/>
              <w:snapToGrid w:val="0"/>
              <w:jc w:val="center"/>
              <w:rPr>
                <w:rFonts w:eastAsiaTheme="minorEastAsia"/>
                <w:color w:val="auto"/>
                <w:szCs w:val="21"/>
              </w:rPr>
            </w:pPr>
            <w:r>
              <w:rPr>
                <w:rFonts w:eastAsiaTheme="minorEastAsia"/>
                <w:color w:val="auto"/>
                <w:szCs w:val="21"/>
              </w:rPr>
              <w:t>Na</w:t>
            </w:r>
            <w:r>
              <w:rPr>
                <w:rFonts w:eastAsiaTheme="minorEastAsia"/>
                <w:color w:val="auto"/>
                <w:szCs w:val="21"/>
                <w:vertAlign w:val="superscript"/>
              </w:rPr>
              <w:t>+</w:t>
            </w:r>
            <w:r>
              <w:rPr>
                <w:rFonts w:eastAsiaTheme="minorEastAsia"/>
                <w:color w:val="auto"/>
                <w:szCs w:val="21"/>
              </w:rPr>
              <w:t>-Mg</w:t>
            </w:r>
            <w:r>
              <w:rPr>
                <w:rFonts w:eastAsiaTheme="minorEastAsia"/>
                <w:color w:val="auto"/>
                <w:szCs w:val="21"/>
                <w:vertAlign w:val="superscript"/>
              </w:rPr>
              <w:t>2</w:t>
            </w:r>
          </w:p>
        </w:tc>
        <w:tc>
          <w:tcPr>
            <w:tcW w:w="435" w:type="pct"/>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eastAsiaTheme="minorEastAsia"/>
                <w:color w:val="auto"/>
                <w:kern w:val="0"/>
                <w:szCs w:val="21"/>
                <w:lang w:val="zh-CN"/>
              </w:rPr>
            </w:pPr>
            <w:r>
              <w:rPr>
                <w:rFonts w:eastAsiaTheme="minorEastAsia"/>
                <w:color w:val="auto"/>
                <w:kern w:val="0"/>
                <w:szCs w:val="21"/>
                <w:lang w:val="zh-CN"/>
              </w:rPr>
              <w:t>6</w:t>
            </w:r>
          </w:p>
        </w:tc>
        <w:tc>
          <w:tcPr>
            <w:tcW w:w="629" w:type="pct"/>
            <w:tcBorders>
              <w:top w:val="single" w:color="auto" w:sz="6"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13</w:t>
            </w:r>
          </w:p>
        </w:tc>
        <w:tc>
          <w:tcPr>
            <w:tcW w:w="562" w:type="pct"/>
            <w:tcBorders>
              <w:top w:val="single" w:color="auto" w:sz="6" w:space="0"/>
              <w:left w:val="single" w:color="auto" w:sz="6" w:space="0"/>
              <w:bottom w:val="single" w:color="auto" w:sz="6" w:space="0"/>
              <w:right w:val="single" w:color="auto" w:sz="6" w:space="0"/>
            </w:tcBorders>
            <w:vAlign w:val="center"/>
          </w:tcPr>
          <w:p>
            <w:pPr>
              <w:widowControl/>
              <w:jc w:val="center"/>
              <w:rPr>
                <w:rFonts w:eastAsiaTheme="minorEastAsia"/>
                <w:color w:val="auto"/>
                <w:kern w:val="0"/>
                <w:szCs w:val="21"/>
              </w:rPr>
            </w:pPr>
            <w:r>
              <w:rPr>
                <w:rFonts w:eastAsiaTheme="minorEastAsia"/>
                <w:color w:val="auto"/>
                <w:kern w:val="0"/>
                <w:szCs w:val="21"/>
              </w:rPr>
              <w:t>20</w:t>
            </w:r>
          </w:p>
        </w:tc>
        <w:tc>
          <w:tcPr>
            <w:tcW w:w="562" w:type="pct"/>
            <w:tcBorders>
              <w:top w:val="single" w:color="auto" w:sz="6"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27</w:t>
            </w:r>
          </w:p>
        </w:tc>
        <w:tc>
          <w:tcPr>
            <w:tcW w:w="562" w:type="pct"/>
            <w:tcBorders>
              <w:top w:val="single" w:color="auto" w:sz="6"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34</w:t>
            </w:r>
          </w:p>
        </w:tc>
        <w:tc>
          <w:tcPr>
            <w:tcW w:w="562" w:type="pct"/>
            <w:tcBorders>
              <w:top w:val="single" w:color="auto" w:sz="6" w:space="0"/>
              <w:left w:val="single" w:color="auto" w:sz="6" w:space="0"/>
              <w:bottom w:val="single" w:color="auto" w:sz="6" w:space="0"/>
              <w:right w:val="single" w:color="auto" w:sz="6" w:space="0"/>
            </w:tcBorders>
            <w:vAlign w:val="center"/>
          </w:tcPr>
          <w:p>
            <w:pPr>
              <w:jc w:val="center"/>
              <w:rPr>
                <w:rFonts w:eastAsiaTheme="minorEastAsia"/>
                <w:color w:val="auto"/>
                <w:szCs w:val="21"/>
              </w:rPr>
            </w:pPr>
            <w:r>
              <w:rPr>
                <w:rFonts w:eastAsiaTheme="minorEastAsia"/>
                <w:color w:val="auto"/>
                <w:szCs w:val="21"/>
              </w:rPr>
              <w:t>41</w:t>
            </w:r>
          </w:p>
        </w:tc>
        <w:tc>
          <w:tcPr>
            <w:tcW w:w="561" w:type="pct"/>
            <w:tcBorders>
              <w:top w:val="single" w:color="auto" w:sz="6" w:space="0"/>
              <w:left w:val="single" w:color="auto" w:sz="6" w:space="0"/>
              <w:bottom w:val="single" w:color="auto" w:sz="6" w:space="0"/>
              <w:right w:val="nil"/>
            </w:tcBorders>
            <w:vAlign w:val="center"/>
          </w:tcPr>
          <w:p>
            <w:pPr>
              <w:jc w:val="center"/>
              <w:rPr>
                <w:rFonts w:eastAsiaTheme="minorEastAsia"/>
                <w:color w:val="auto"/>
                <w:szCs w:val="21"/>
              </w:rPr>
            </w:pPr>
            <w:r>
              <w:rPr>
                <w:rFonts w:eastAsiaTheme="minorEastAsia"/>
                <w:color w:val="auto"/>
                <w:szCs w:val="21"/>
              </w:rPr>
              <w:t>48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1" w:hRule="atLeast"/>
        </w:trPr>
        <w:tc>
          <w:tcPr>
            <w:tcW w:w="842" w:type="pct"/>
            <w:tcBorders>
              <w:top w:val="single" w:color="auto" w:sz="6" w:space="0"/>
              <w:left w:val="nil"/>
              <w:bottom w:val="single" w:color="auto" w:sz="12" w:space="0"/>
              <w:right w:val="single" w:color="auto" w:sz="6" w:space="0"/>
            </w:tcBorders>
            <w:vAlign w:val="center"/>
          </w:tcPr>
          <w:p>
            <w:pPr>
              <w:adjustRightInd w:val="0"/>
              <w:snapToGrid w:val="0"/>
              <w:jc w:val="center"/>
              <w:rPr>
                <w:rFonts w:eastAsiaTheme="minorEastAsia"/>
                <w:color w:val="auto"/>
                <w:szCs w:val="21"/>
              </w:rPr>
            </w:pPr>
            <w:r>
              <w:rPr>
                <w:rFonts w:eastAsiaTheme="minorEastAsia"/>
                <w:color w:val="auto"/>
                <w:szCs w:val="21"/>
              </w:rPr>
              <w:t>Na</w:t>
            </w:r>
            <w:r>
              <w:rPr>
                <w:rFonts w:eastAsiaTheme="minorEastAsia"/>
                <w:color w:val="auto"/>
                <w:szCs w:val="21"/>
                <w:vertAlign w:val="superscript"/>
              </w:rPr>
              <w:t>+</w:t>
            </w:r>
          </w:p>
        </w:tc>
        <w:tc>
          <w:tcPr>
            <w:tcW w:w="435" w:type="pct"/>
            <w:tcBorders>
              <w:top w:val="single" w:color="auto" w:sz="6" w:space="0"/>
              <w:left w:val="single" w:color="auto" w:sz="6" w:space="0"/>
              <w:bottom w:val="single" w:color="auto" w:sz="12" w:space="0"/>
              <w:right w:val="single" w:color="auto" w:sz="6" w:space="0"/>
            </w:tcBorders>
            <w:vAlign w:val="center"/>
          </w:tcPr>
          <w:p>
            <w:pPr>
              <w:autoSpaceDE w:val="0"/>
              <w:autoSpaceDN w:val="0"/>
              <w:adjustRightInd w:val="0"/>
              <w:jc w:val="center"/>
              <w:rPr>
                <w:rFonts w:eastAsiaTheme="minorEastAsia"/>
                <w:color w:val="auto"/>
                <w:kern w:val="0"/>
                <w:szCs w:val="21"/>
                <w:lang w:val="zh-CN"/>
              </w:rPr>
            </w:pPr>
            <w:r>
              <w:rPr>
                <w:rFonts w:eastAsiaTheme="minorEastAsia"/>
                <w:color w:val="auto"/>
                <w:kern w:val="0"/>
                <w:szCs w:val="21"/>
                <w:lang w:val="zh-CN"/>
              </w:rPr>
              <w:t>7</w:t>
            </w:r>
          </w:p>
        </w:tc>
        <w:tc>
          <w:tcPr>
            <w:tcW w:w="629" w:type="pct"/>
            <w:tcBorders>
              <w:top w:val="single" w:color="auto" w:sz="6" w:space="0"/>
              <w:left w:val="single" w:color="auto" w:sz="6" w:space="0"/>
              <w:bottom w:val="single" w:color="auto" w:sz="12" w:space="0"/>
              <w:right w:val="single" w:color="auto" w:sz="6" w:space="0"/>
            </w:tcBorders>
            <w:vAlign w:val="center"/>
          </w:tcPr>
          <w:p>
            <w:pPr>
              <w:jc w:val="center"/>
              <w:rPr>
                <w:rFonts w:eastAsiaTheme="minorEastAsia"/>
                <w:color w:val="auto"/>
                <w:szCs w:val="21"/>
              </w:rPr>
            </w:pPr>
            <w:r>
              <w:rPr>
                <w:rFonts w:eastAsiaTheme="minorEastAsia"/>
                <w:color w:val="auto"/>
                <w:szCs w:val="21"/>
              </w:rPr>
              <w:t>14</w:t>
            </w:r>
          </w:p>
        </w:tc>
        <w:tc>
          <w:tcPr>
            <w:tcW w:w="562" w:type="pct"/>
            <w:tcBorders>
              <w:top w:val="single" w:color="auto" w:sz="6" w:space="0"/>
              <w:left w:val="single" w:color="auto" w:sz="6" w:space="0"/>
              <w:bottom w:val="single" w:color="auto" w:sz="12" w:space="0"/>
              <w:right w:val="single" w:color="auto" w:sz="6" w:space="0"/>
            </w:tcBorders>
            <w:vAlign w:val="center"/>
          </w:tcPr>
          <w:p>
            <w:pPr>
              <w:widowControl/>
              <w:jc w:val="center"/>
              <w:rPr>
                <w:rFonts w:eastAsiaTheme="minorEastAsia"/>
                <w:color w:val="auto"/>
                <w:kern w:val="0"/>
                <w:szCs w:val="21"/>
              </w:rPr>
            </w:pPr>
            <w:r>
              <w:rPr>
                <w:rFonts w:eastAsiaTheme="minorEastAsia"/>
                <w:color w:val="auto"/>
                <w:kern w:val="0"/>
                <w:szCs w:val="21"/>
              </w:rPr>
              <w:t>21</w:t>
            </w:r>
          </w:p>
        </w:tc>
        <w:tc>
          <w:tcPr>
            <w:tcW w:w="562" w:type="pct"/>
            <w:tcBorders>
              <w:top w:val="single" w:color="auto" w:sz="6" w:space="0"/>
              <w:left w:val="single" w:color="auto" w:sz="6" w:space="0"/>
              <w:bottom w:val="single" w:color="auto" w:sz="12" w:space="0"/>
              <w:right w:val="single" w:color="auto" w:sz="6" w:space="0"/>
            </w:tcBorders>
            <w:vAlign w:val="center"/>
          </w:tcPr>
          <w:p>
            <w:pPr>
              <w:jc w:val="center"/>
              <w:rPr>
                <w:rFonts w:eastAsiaTheme="minorEastAsia"/>
                <w:color w:val="auto"/>
                <w:szCs w:val="21"/>
              </w:rPr>
            </w:pPr>
            <w:r>
              <w:rPr>
                <w:rFonts w:eastAsiaTheme="minorEastAsia"/>
                <w:color w:val="auto"/>
                <w:szCs w:val="21"/>
              </w:rPr>
              <w:t>28</w:t>
            </w:r>
          </w:p>
        </w:tc>
        <w:tc>
          <w:tcPr>
            <w:tcW w:w="562" w:type="pct"/>
            <w:tcBorders>
              <w:top w:val="single" w:color="auto" w:sz="6" w:space="0"/>
              <w:left w:val="single" w:color="auto" w:sz="6" w:space="0"/>
              <w:bottom w:val="single" w:color="auto" w:sz="12" w:space="0"/>
              <w:right w:val="single" w:color="auto" w:sz="6" w:space="0"/>
            </w:tcBorders>
            <w:vAlign w:val="center"/>
          </w:tcPr>
          <w:p>
            <w:pPr>
              <w:jc w:val="center"/>
              <w:rPr>
                <w:rFonts w:eastAsiaTheme="minorEastAsia"/>
                <w:color w:val="auto"/>
                <w:szCs w:val="21"/>
              </w:rPr>
            </w:pPr>
            <w:r>
              <w:rPr>
                <w:rFonts w:eastAsiaTheme="minorEastAsia"/>
                <w:color w:val="auto"/>
                <w:szCs w:val="21"/>
              </w:rPr>
              <w:t>35</w:t>
            </w:r>
          </w:p>
        </w:tc>
        <w:tc>
          <w:tcPr>
            <w:tcW w:w="562" w:type="pct"/>
            <w:tcBorders>
              <w:top w:val="single" w:color="auto" w:sz="6" w:space="0"/>
              <w:left w:val="single" w:color="auto" w:sz="6" w:space="0"/>
              <w:bottom w:val="single" w:color="auto" w:sz="12" w:space="0"/>
              <w:right w:val="single" w:color="auto" w:sz="6" w:space="0"/>
            </w:tcBorders>
            <w:vAlign w:val="center"/>
          </w:tcPr>
          <w:p>
            <w:pPr>
              <w:jc w:val="center"/>
              <w:rPr>
                <w:rFonts w:eastAsiaTheme="minorEastAsia"/>
                <w:color w:val="auto"/>
                <w:szCs w:val="21"/>
              </w:rPr>
            </w:pPr>
            <w:r>
              <w:rPr>
                <w:rFonts w:eastAsiaTheme="minorEastAsia"/>
                <w:color w:val="auto"/>
                <w:szCs w:val="21"/>
              </w:rPr>
              <w:t>42</w:t>
            </w:r>
          </w:p>
        </w:tc>
        <w:tc>
          <w:tcPr>
            <w:tcW w:w="561" w:type="pct"/>
            <w:tcBorders>
              <w:top w:val="single" w:color="auto" w:sz="6" w:space="0"/>
              <w:left w:val="single" w:color="auto" w:sz="6" w:space="0"/>
              <w:bottom w:val="single" w:color="auto" w:sz="12" w:space="0"/>
              <w:right w:val="nil"/>
            </w:tcBorders>
            <w:vAlign w:val="center"/>
          </w:tcPr>
          <w:p>
            <w:pPr>
              <w:jc w:val="center"/>
              <w:rPr>
                <w:rFonts w:eastAsiaTheme="minorEastAsia"/>
                <w:color w:val="auto"/>
                <w:szCs w:val="21"/>
              </w:rPr>
            </w:pPr>
            <w:r>
              <w:rPr>
                <w:rFonts w:eastAsiaTheme="minorEastAsia"/>
                <w:color w:val="auto"/>
                <w:szCs w:val="21"/>
              </w:rPr>
              <w:t>49</w:t>
            </w:r>
          </w:p>
        </w:tc>
      </w:tr>
    </w:tbl>
    <w:p>
      <w:pPr>
        <w:spacing w:line="360" w:lineRule="auto"/>
        <w:ind w:firstLine="480" w:firstLineChars="200"/>
        <w:rPr>
          <w:color w:val="auto"/>
          <w:sz w:val="24"/>
        </w:rPr>
      </w:pPr>
      <w:r>
        <w:rPr>
          <w:rFonts w:hint="eastAsia" w:ascii="宋体" w:hAnsi="宋体" w:cs="宋体"/>
          <w:color w:val="auto"/>
          <w:sz w:val="24"/>
        </w:rPr>
        <w:t>③</w:t>
      </w:r>
      <w:r>
        <w:rPr>
          <w:color w:val="auto"/>
          <w:sz w:val="24"/>
        </w:rPr>
        <w:t>矿化度</w:t>
      </w:r>
    </w:p>
    <w:p>
      <w:pPr>
        <w:spacing w:line="360" w:lineRule="auto"/>
        <w:rPr>
          <w:color w:val="auto"/>
          <w:sz w:val="24"/>
        </w:rPr>
      </w:pPr>
      <w:r>
        <w:rPr>
          <w:color w:val="auto"/>
          <w:sz w:val="24"/>
        </w:rPr>
        <w:t>按矿化度（M）的大小划分为4组。</w:t>
      </w:r>
    </w:p>
    <w:p>
      <w:pPr>
        <w:spacing w:line="360" w:lineRule="auto"/>
        <w:rPr>
          <w:color w:val="auto"/>
          <w:sz w:val="24"/>
        </w:rPr>
      </w:pPr>
      <w:r>
        <w:rPr>
          <w:color w:val="auto"/>
          <w:sz w:val="24"/>
        </w:rPr>
        <w:t xml:space="preserve">    A组——M≤1.5g/L；B组——1.5＜M≤10g/L；</w:t>
      </w:r>
    </w:p>
    <w:p>
      <w:pPr>
        <w:spacing w:line="360" w:lineRule="auto"/>
        <w:rPr>
          <w:color w:val="auto"/>
          <w:sz w:val="24"/>
        </w:rPr>
      </w:pPr>
      <w:r>
        <w:rPr>
          <w:color w:val="auto"/>
          <w:sz w:val="24"/>
        </w:rPr>
        <w:t xml:space="preserve">    C组——10＜M≤40g/L；D组——M＞40g/L</w:t>
      </w:r>
    </w:p>
    <w:p>
      <w:pPr>
        <w:spacing w:line="360" w:lineRule="auto"/>
        <w:rPr>
          <w:color w:val="auto"/>
          <w:sz w:val="24"/>
        </w:rPr>
      </w:pPr>
      <w:r>
        <w:rPr>
          <w:color w:val="auto"/>
          <w:sz w:val="24"/>
        </w:rPr>
        <w:t>矿化度的计算采用《用主要阴离子含量计算水的矿化度》（高仁先.山东省水利科学研究院），计算方法如下：</w:t>
      </w:r>
    </w:p>
    <w:p>
      <w:pPr>
        <w:spacing w:line="360" w:lineRule="auto"/>
        <w:rPr>
          <w:color w:val="auto"/>
          <w:sz w:val="24"/>
          <w:vertAlign w:val="subscript"/>
        </w:rPr>
      </w:pPr>
      <w:r>
        <w:rPr>
          <w:color w:val="auto"/>
          <w:sz w:val="24"/>
        </w:rPr>
        <w:t>矿化度（g/L）=C（∑A）×M</w:t>
      </w:r>
      <w:r>
        <w:rPr>
          <w:color w:val="auto"/>
          <w:sz w:val="24"/>
          <w:vertAlign w:val="subscript"/>
        </w:rPr>
        <w:t>S</w:t>
      </w:r>
    </w:p>
    <w:p>
      <w:pPr>
        <w:spacing w:line="360" w:lineRule="auto"/>
        <w:rPr>
          <w:color w:val="auto"/>
          <w:sz w:val="24"/>
        </w:rPr>
      </w:pPr>
      <w:r>
        <w:rPr>
          <w:color w:val="auto"/>
          <w:sz w:val="24"/>
        </w:rPr>
        <w:t xml:space="preserve">    SB=</w:t>
      </w:r>
      <m:oMath>
        <m:f>
          <m:fPr>
            <m:ctrlPr>
              <w:rPr>
                <w:rFonts w:ascii="Cambria Math" w:hAnsi="Cambria Math"/>
                <w:color w:val="auto"/>
                <w:sz w:val="24"/>
              </w:rPr>
            </m:ctrlPr>
          </m:fPr>
          <m:num>
            <m:r>
              <m:rPr>
                <m:sty m:val="p"/>
              </m:rPr>
              <w:rPr>
                <w:rFonts w:ascii="Cambria Math"/>
                <w:color w:val="auto"/>
                <w:sz w:val="24"/>
              </w:rPr>
              <m:t>C</m:t>
            </m:r>
            <m:r>
              <m:rPr>
                <m:sty m:val="p"/>
              </m:rPr>
              <w:rPr>
                <w:rFonts w:ascii="Cambria Math" w:hAnsi="Cambria Math"/>
                <w:color w:val="auto"/>
                <w:sz w:val="24"/>
              </w:rPr>
              <m:t>（</m:t>
            </m:r>
            <m:f>
              <m:fPr>
                <m:type m:val="skw"/>
                <m:ctrlPr>
                  <w:rPr>
                    <w:rFonts w:ascii="Cambria Math" w:hAnsi="Cambria Math"/>
                    <w:color w:val="auto"/>
                    <w:sz w:val="24"/>
                  </w:rPr>
                </m:ctrlPr>
              </m:fPr>
              <m:num>
                <m:r>
                  <m:rPr>
                    <m:sty m:val="p"/>
                  </m:rPr>
                  <w:rPr>
                    <w:rFonts w:ascii="Cambria Math"/>
                    <w:color w:val="auto"/>
                    <w:sz w:val="24"/>
                  </w:rPr>
                  <m:t>1</m:t>
                </m:r>
                <m:ctrlPr>
                  <w:rPr>
                    <w:rFonts w:ascii="Cambria Math" w:hAnsi="Cambria Math"/>
                    <w:color w:val="auto"/>
                    <w:sz w:val="24"/>
                  </w:rPr>
                </m:ctrlPr>
              </m:num>
              <m:den>
                <m:r>
                  <m:rPr>
                    <m:sty m:val="p"/>
                  </m:rPr>
                  <w:rPr>
                    <w:rFonts w:ascii="Cambria Math"/>
                    <w:color w:val="auto"/>
                    <w:sz w:val="24"/>
                  </w:rPr>
                  <m:t>2</m:t>
                </m:r>
                <m:ctrlPr>
                  <w:rPr>
                    <w:rFonts w:ascii="Cambria Math" w:hAnsi="Cambria Math"/>
                    <w:color w:val="auto"/>
                    <w:sz w:val="24"/>
                  </w:rPr>
                </m:ctrlPr>
              </m:den>
            </m:f>
            <m:sSubSup>
              <m:sSubSupPr>
                <m:ctrlPr>
                  <w:rPr>
                    <w:rFonts w:ascii="Cambria Math" w:hAnsi="Cambria Math"/>
                    <w:color w:val="auto"/>
                    <w:sz w:val="24"/>
                  </w:rPr>
                </m:ctrlPr>
              </m:sSubSupPr>
              <m:e>
                <m:r>
                  <m:rPr>
                    <m:sty m:val="p"/>
                  </m:rPr>
                  <w:rPr>
                    <w:rFonts w:ascii="Cambria Math"/>
                    <w:color w:val="auto"/>
                    <w:sz w:val="24"/>
                  </w:rPr>
                  <m:t>SO</m:t>
                </m:r>
                <m:ctrlPr>
                  <w:rPr>
                    <w:rFonts w:ascii="Cambria Math" w:hAnsi="Cambria Math"/>
                    <w:color w:val="auto"/>
                    <w:sz w:val="24"/>
                  </w:rPr>
                </m:ctrlPr>
              </m:e>
              <m:sub>
                <m:r>
                  <m:rPr>
                    <m:sty m:val="p"/>
                  </m:rPr>
                  <w:rPr>
                    <w:rFonts w:ascii="Cambria Math"/>
                    <w:color w:val="auto"/>
                    <w:sz w:val="24"/>
                  </w:rPr>
                  <m:t>4</m:t>
                </m:r>
                <m:ctrlPr>
                  <w:rPr>
                    <w:rFonts w:ascii="Cambria Math" w:hAnsi="Cambria Math"/>
                    <w:color w:val="auto"/>
                    <w:sz w:val="24"/>
                  </w:rPr>
                </m:ctrlPr>
              </m:sub>
              <m:sup>
                <m:r>
                  <m:rPr>
                    <m:sty m:val="p"/>
                  </m:rPr>
                  <w:rPr>
                    <w:rFonts w:ascii="Cambria Math"/>
                    <w:color w:val="auto"/>
                    <w:sz w:val="24"/>
                  </w:rPr>
                  <m:t>2</m:t>
                </m:r>
                <m:r>
                  <m:rPr>
                    <m:sty m:val="p"/>
                  </m:rPr>
                  <w:rPr>
                    <w:rFonts w:ascii="Cambria Math" w:hAnsi="Cambria Math"/>
                    <w:color w:val="auto"/>
                    <w:sz w:val="24"/>
                  </w:rPr>
                  <m:t>−</m:t>
                </m:r>
                <m:ctrlPr>
                  <w:rPr>
                    <w:rFonts w:ascii="Cambria Math" w:hAnsi="Cambria Math"/>
                    <w:color w:val="auto"/>
                    <w:sz w:val="24"/>
                  </w:rPr>
                </m:ctrlPr>
              </m:sup>
            </m:sSubSup>
            <m:r>
              <m:rPr>
                <m:sty m:val="p"/>
              </m:rPr>
              <w:rPr>
                <w:rFonts w:ascii="Cambria Math" w:hAnsi="Cambria Math"/>
                <w:color w:val="auto"/>
                <w:sz w:val="24"/>
              </w:rPr>
              <m:t>）</m:t>
            </m:r>
            <m:ctrlPr>
              <w:rPr>
                <w:rFonts w:ascii="Cambria Math" w:hAnsi="Cambria Math"/>
                <w:color w:val="auto"/>
                <w:sz w:val="24"/>
              </w:rPr>
            </m:ctrlPr>
          </m:num>
          <m:den>
            <m:r>
              <m:rPr>
                <m:sty m:val="p"/>
              </m:rPr>
              <w:rPr>
                <w:rFonts w:ascii="Cambria Math"/>
                <w:color w:val="auto"/>
                <w:sz w:val="24"/>
              </w:rPr>
              <m:t>C(∑A)</m:t>
            </m:r>
            <m:ctrlPr>
              <w:rPr>
                <w:rFonts w:ascii="Cambria Math" w:hAnsi="Cambria Math"/>
                <w:color w:val="auto"/>
                <w:sz w:val="24"/>
              </w:rPr>
            </m:ctrlPr>
          </m:den>
        </m:f>
      </m:oMath>
      <w:r>
        <w:rPr>
          <w:color w:val="auto"/>
          <w:sz w:val="24"/>
        </w:rPr>
        <w:t>或</w:t>
      </w:r>
      <m:oMath>
        <m:f>
          <m:fPr>
            <m:ctrlPr>
              <w:rPr>
                <w:rFonts w:ascii="Cambria Math" w:hAnsi="Cambria Math"/>
                <w:color w:val="auto"/>
                <w:sz w:val="24"/>
              </w:rPr>
            </m:ctrlPr>
          </m:fPr>
          <m:num>
            <m:r>
              <m:rPr>
                <m:sty m:val="p"/>
              </m:rPr>
              <w:rPr>
                <w:rFonts w:ascii="Cambria Math"/>
                <w:color w:val="auto"/>
                <w:sz w:val="24"/>
              </w:rPr>
              <m:t>C</m:t>
            </m:r>
            <m:d>
              <m:dPr>
                <m:ctrlPr>
                  <w:rPr>
                    <w:rFonts w:ascii="Cambria Math" w:hAnsi="Cambria Math"/>
                    <w:color w:val="auto"/>
                    <w:sz w:val="24"/>
                  </w:rPr>
                </m:ctrlPr>
              </m:dPr>
              <m:e>
                <m:r>
                  <m:rPr>
                    <m:sty m:val="p"/>
                  </m:rPr>
                  <w:rPr>
                    <w:rFonts w:ascii="Cambria Math"/>
                    <w:color w:val="auto"/>
                    <w:sz w:val="24"/>
                  </w:rPr>
                  <m:t>∑H</m:t>
                </m:r>
                <m:ctrlPr>
                  <w:rPr>
                    <w:rFonts w:ascii="Cambria Math" w:hAnsi="Cambria Math"/>
                    <w:color w:val="auto"/>
                    <w:sz w:val="24"/>
                  </w:rPr>
                </m:ctrlPr>
              </m:e>
            </m:d>
            <m:r>
              <m:rPr>
                <m:sty m:val="p"/>
              </m:rPr>
              <w:rPr>
                <w:rFonts w:ascii="Cambria Math" w:hAnsi="Cambria Math"/>
                <w:color w:val="auto"/>
                <w:sz w:val="24"/>
              </w:rPr>
              <m:t>−</m:t>
            </m:r>
            <m:r>
              <m:rPr>
                <m:sty m:val="p"/>
              </m:rPr>
              <w:rPr>
                <w:rFonts w:ascii="Cambria Math"/>
                <w:color w:val="auto"/>
                <w:sz w:val="24"/>
              </w:rPr>
              <m:t>C(</m:t>
            </m:r>
            <m:sSup>
              <m:sSupPr>
                <m:ctrlPr>
                  <w:rPr>
                    <w:rFonts w:ascii="Cambria Math" w:hAnsi="Cambria Math"/>
                    <w:color w:val="auto"/>
                    <w:sz w:val="24"/>
                  </w:rPr>
                </m:ctrlPr>
              </m:sSupPr>
              <m:e>
                <m:r>
                  <m:rPr>
                    <m:sty m:val="p"/>
                  </m:rPr>
                  <w:rPr>
                    <w:rFonts w:ascii="Cambria Math"/>
                    <w:color w:val="auto"/>
                    <w:sz w:val="24"/>
                  </w:rPr>
                  <m:t>Cl</m:t>
                </m:r>
                <m:ctrlPr>
                  <w:rPr>
                    <w:rFonts w:ascii="Cambria Math" w:hAnsi="Cambria Math"/>
                    <w:color w:val="auto"/>
                    <w:sz w:val="24"/>
                  </w:rPr>
                </m:ctrlPr>
              </m:e>
              <m:sup>
                <m:r>
                  <m:rPr>
                    <m:sty m:val="p"/>
                  </m:rPr>
                  <w:rPr>
                    <w:rFonts w:ascii="Cambria Math" w:hAnsi="Cambria Math"/>
                    <w:color w:val="auto"/>
                    <w:sz w:val="24"/>
                  </w:rPr>
                  <m:t>−</m:t>
                </m:r>
                <m:ctrlPr>
                  <w:rPr>
                    <w:rFonts w:ascii="Cambria Math" w:hAnsi="Cambria Math"/>
                    <w:color w:val="auto"/>
                    <w:sz w:val="24"/>
                  </w:rPr>
                </m:ctrlPr>
              </m:sup>
            </m:sSup>
            <m:r>
              <m:rPr>
                <m:sty m:val="p"/>
              </m:rPr>
              <w:rPr>
                <w:rFonts w:ascii="Cambria Math"/>
                <w:color w:val="auto"/>
                <w:sz w:val="24"/>
              </w:rPr>
              <m:t>)</m:t>
            </m:r>
            <m:ctrlPr>
              <w:rPr>
                <w:rFonts w:ascii="Cambria Math" w:hAnsi="Cambria Math"/>
                <w:color w:val="auto"/>
                <w:sz w:val="24"/>
              </w:rPr>
            </m:ctrlPr>
          </m:num>
          <m:den>
            <m:r>
              <m:rPr>
                <m:sty m:val="p"/>
              </m:rPr>
              <w:rPr>
                <w:rFonts w:ascii="Cambria Math"/>
                <w:color w:val="auto"/>
                <w:sz w:val="24"/>
              </w:rPr>
              <m:t>C(∑A)</m:t>
            </m:r>
            <m:ctrlPr>
              <w:rPr>
                <w:rFonts w:ascii="Cambria Math" w:hAnsi="Cambria Math"/>
                <w:color w:val="auto"/>
                <w:sz w:val="24"/>
              </w:rPr>
            </m:ctrlPr>
          </m:den>
        </m:f>
      </m:oMath>
    </w:p>
    <w:p>
      <w:pPr>
        <w:spacing w:line="360" w:lineRule="auto"/>
        <w:rPr>
          <w:color w:val="auto"/>
          <w:sz w:val="24"/>
        </w:rPr>
      </w:pPr>
      <w:r>
        <w:rPr>
          <w:color w:val="auto"/>
          <w:sz w:val="24"/>
        </w:rPr>
        <w:t xml:space="preserve">    HCB=</w:t>
      </w:r>
      <m:oMath>
        <m:f>
          <m:fPr>
            <m:ctrlPr>
              <w:rPr>
                <w:rFonts w:ascii="Cambria Math" w:hAnsi="Cambria Math"/>
                <w:color w:val="auto"/>
                <w:sz w:val="24"/>
              </w:rPr>
            </m:ctrlPr>
          </m:fPr>
          <m:num>
            <m:r>
              <m:rPr>
                <m:sty m:val="p"/>
              </m:rPr>
              <w:rPr>
                <w:rFonts w:ascii="Cambria Math"/>
                <w:color w:val="auto"/>
                <w:sz w:val="24"/>
              </w:rPr>
              <m:t>C(</m:t>
            </m:r>
            <m:sSubSup>
              <m:sSubSupPr>
                <m:ctrlPr>
                  <w:rPr>
                    <w:rFonts w:ascii="Cambria Math" w:hAnsi="Cambria Math"/>
                    <w:color w:val="auto"/>
                    <w:sz w:val="24"/>
                  </w:rPr>
                </m:ctrlPr>
              </m:sSubSupPr>
              <m:e>
                <m:r>
                  <m:rPr>
                    <m:sty m:val="p"/>
                  </m:rPr>
                  <w:rPr>
                    <w:rFonts w:ascii="Cambria Math"/>
                    <w:color w:val="auto"/>
                    <w:sz w:val="24"/>
                  </w:rPr>
                  <m:t>HCO</m:t>
                </m:r>
                <m:ctrlPr>
                  <w:rPr>
                    <w:rFonts w:ascii="Cambria Math" w:hAnsi="Cambria Math"/>
                    <w:color w:val="auto"/>
                    <w:sz w:val="24"/>
                  </w:rPr>
                </m:ctrlPr>
              </m:e>
              <m:sub>
                <m:r>
                  <m:rPr>
                    <m:sty m:val="p"/>
                  </m:rPr>
                  <w:rPr>
                    <w:rFonts w:ascii="Cambria Math"/>
                    <w:color w:val="auto"/>
                    <w:sz w:val="24"/>
                  </w:rPr>
                  <m:t>3</m:t>
                </m:r>
                <m:ctrlPr>
                  <w:rPr>
                    <w:rFonts w:ascii="Cambria Math" w:hAnsi="Cambria Math"/>
                    <w:color w:val="auto"/>
                    <w:sz w:val="24"/>
                  </w:rPr>
                </m:ctrlPr>
              </m:sub>
              <m:sup>
                <m:r>
                  <m:rPr>
                    <m:sty m:val="p"/>
                  </m:rPr>
                  <w:rPr>
                    <w:rFonts w:ascii="Cambria Math" w:hAnsi="Cambria Math"/>
                    <w:color w:val="auto"/>
                    <w:sz w:val="24"/>
                  </w:rPr>
                  <m:t>−</m:t>
                </m:r>
                <m:ctrlPr>
                  <w:rPr>
                    <w:rFonts w:ascii="Cambria Math" w:hAnsi="Cambria Math"/>
                    <w:color w:val="auto"/>
                    <w:sz w:val="24"/>
                  </w:rPr>
                </m:ctrlPr>
              </m:sup>
            </m:sSubSup>
            <m:r>
              <m:rPr>
                <m:sty m:val="p"/>
              </m:rPr>
              <w:rPr>
                <w:rFonts w:ascii="Cambria Math"/>
                <w:color w:val="auto"/>
                <w:sz w:val="24"/>
              </w:rPr>
              <m:t>)</m:t>
            </m:r>
            <m:ctrlPr>
              <w:rPr>
                <w:rFonts w:ascii="Cambria Math" w:hAnsi="Cambria Math"/>
                <w:color w:val="auto"/>
                <w:sz w:val="24"/>
              </w:rPr>
            </m:ctrlPr>
          </m:num>
          <m:den>
            <m:r>
              <m:rPr>
                <m:sty m:val="p"/>
              </m:rPr>
              <w:rPr>
                <w:rFonts w:ascii="Cambria Math"/>
                <w:color w:val="auto"/>
                <w:sz w:val="24"/>
              </w:rPr>
              <m:t>C</m:t>
            </m:r>
            <m:d>
              <m:dPr>
                <m:ctrlPr>
                  <w:rPr>
                    <w:rFonts w:ascii="Cambria Math" w:hAnsi="Cambria Math"/>
                    <w:color w:val="auto"/>
                    <w:sz w:val="24"/>
                  </w:rPr>
                </m:ctrlPr>
              </m:dPr>
              <m:e>
                <m:f>
                  <m:fPr>
                    <m:type m:val="skw"/>
                    <m:ctrlPr>
                      <w:rPr>
                        <w:rFonts w:ascii="Cambria Math" w:hAnsi="Cambria Math"/>
                        <w:color w:val="auto"/>
                        <w:sz w:val="24"/>
                      </w:rPr>
                    </m:ctrlPr>
                  </m:fPr>
                  <m:num>
                    <m:r>
                      <m:rPr>
                        <m:sty m:val="p"/>
                      </m:rPr>
                      <w:rPr>
                        <w:rFonts w:ascii="Cambria Math"/>
                        <w:color w:val="auto"/>
                        <w:sz w:val="24"/>
                      </w:rPr>
                      <m:t>1</m:t>
                    </m:r>
                    <m:ctrlPr>
                      <w:rPr>
                        <w:rFonts w:ascii="Cambria Math" w:hAnsi="Cambria Math"/>
                        <w:color w:val="auto"/>
                        <w:sz w:val="24"/>
                      </w:rPr>
                    </m:ctrlPr>
                  </m:num>
                  <m:den>
                    <m:r>
                      <m:rPr>
                        <m:sty m:val="p"/>
                      </m:rPr>
                      <w:rPr>
                        <w:rFonts w:ascii="Cambria Math"/>
                        <w:color w:val="auto"/>
                        <w:sz w:val="24"/>
                      </w:rPr>
                      <m:t>2</m:t>
                    </m:r>
                    <m:ctrlPr>
                      <w:rPr>
                        <w:rFonts w:ascii="Cambria Math" w:hAnsi="Cambria Math"/>
                        <w:color w:val="auto"/>
                        <w:sz w:val="24"/>
                      </w:rPr>
                    </m:ctrlPr>
                  </m:den>
                </m:f>
                <m:sSubSup>
                  <m:sSubSupPr>
                    <m:ctrlPr>
                      <w:rPr>
                        <w:rFonts w:ascii="Cambria Math" w:hAnsi="Cambria Math"/>
                        <w:color w:val="auto"/>
                        <w:sz w:val="24"/>
                      </w:rPr>
                    </m:ctrlPr>
                  </m:sSubSupPr>
                  <m:e>
                    <m:r>
                      <m:rPr>
                        <m:sty m:val="p"/>
                      </m:rPr>
                      <w:rPr>
                        <w:rFonts w:ascii="Cambria Math"/>
                        <w:color w:val="auto"/>
                        <w:sz w:val="24"/>
                      </w:rPr>
                      <m:t>CO</m:t>
                    </m:r>
                    <m:ctrlPr>
                      <w:rPr>
                        <w:rFonts w:ascii="Cambria Math" w:hAnsi="Cambria Math"/>
                        <w:color w:val="auto"/>
                        <w:sz w:val="24"/>
                      </w:rPr>
                    </m:ctrlPr>
                  </m:e>
                  <m:sub>
                    <m:r>
                      <m:rPr>
                        <m:sty m:val="p"/>
                      </m:rPr>
                      <w:rPr>
                        <w:rFonts w:ascii="Cambria Math"/>
                        <w:color w:val="auto"/>
                        <w:sz w:val="24"/>
                      </w:rPr>
                      <m:t>3</m:t>
                    </m:r>
                    <m:ctrlPr>
                      <w:rPr>
                        <w:rFonts w:ascii="Cambria Math" w:hAnsi="Cambria Math"/>
                        <w:color w:val="auto"/>
                        <w:sz w:val="24"/>
                      </w:rPr>
                    </m:ctrlPr>
                  </m:sub>
                  <m:sup>
                    <m:r>
                      <m:rPr>
                        <m:sty m:val="p"/>
                      </m:rPr>
                      <w:rPr>
                        <w:rFonts w:ascii="Cambria Math"/>
                        <w:color w:val="auto"/>
                        <w:sz w:val="24"/>
                      </w:rPr>
                      <m:t>2</m:t>
                    </m:r>
                    <m:r>
                      <m:rPr>
                        <m:sty m:val="p"/>
                      </m:rPr>
                      <w:rPr>
                        <w:rFonts w:ascii="Cambria Math" w:hAnsi="Cambria Math"/>
                        <w:color w:val="auto"/>
                        <w:sz w:val="24"/>
                      </w:rPr>
                      <m:t>−</m:t>
                    </m:r>
                    <m:ctrlPr>
                      <w:rPr>
                        <w:rFonts w:ascii="Cambria Math" w:hAnsi="Cambria Math"/>
                        <w:color w:val="auto"/>
                        <w:sz w:val="24"/>
                      </w:rPr>
                    </m:ctrlPr>
                  </m:sup>
                </m:sSubSup>
                <m:ctrlPr>
                  <w:rPr>
                    <w:rFonts w:ascii="Cambria Math" w:hAnsi="Cambria Math"/>
                    <w:color w:val="auto"/>
                    <w:sz w:val="24"/>
                  </w:rPr>
                </m:ctrlPr>
              </m:e>
            </m:d>
            <m:r>
              <m:rPr>
                <m:sty m:val="p"/>
              </m:rPr>
              <w:rPr>
                <w:rFonts w:ascii="Cambria Math"/>
                <w:color w:val="auto"/>
                <w:sz w:val="24"/>
              </w:rPr>
              <m:t>+C(</m:t>
            </m:r>
            <m:sSup>
              <m:sSupPr>
                <m:ctrlPr>
                  <w:rPr>
                    <w:rFonts w:ascii="Cambria Math" w:hAnsi="Cambria Math"/>
                    <w:color w:val="auto"/>
                    <w:sz w:val="24"/>
                  </w:rPr>
                </m:ctrlPr>
              </m:sSupPr>
              <m:e>
                <m:r>
                  <m:rPr>
                    <m:sty m:val="p"/>
                  </m:rPr>
                  <w:rPr>
                    <w:rFonts w:ascii="Cambria Math"/>
                    <w:color w:val="auto"/>
                    <w:sz w:val="24"/>
                  </w:rPr>
                  <m:t>Cl</m:t>
                </m:r>
                <m:ctrlPr>
                  <w:rPr>
                    <w:rFonts w:ascii="Cambria Math" w:hAnsi="Cambria Math"/>
                    <w:color w:val="auto"/>
                    <w:sz w:val="24"/>
                  </w:rPr>
                </m:ctrlPr>
              </m:e>
              <m:sup>
                <m:r>
                  <m:rPr>
                    <m:sty m:val="p"/>
                  </m:rPr>
                  <w:rPr>
                    <w:rFonts w:ascii="Cambria Math" w:hAnsi="Cambria Math"/>
                    <w:color w:val="auto"/>
                    <w:sz w:val="24"/>
                  </w:rPr>
                  <m:t>−</m:t>
                </m:r>
                <m:ctrlPr>
                  <w:rPr>
                    <w:rFonts w:ascii="Cambria Math" w:hAnsi="Cambria Math"/>
                    <w:color w:val="auto"/>
                    <w:sz w:val="24"/>
                  </w:rPr>
                </m:ctrlPr>
              </m:sup>
            </m:sSup>
            <m:r>
              <m:rPr>
                <m:sty m:val="p"/>
              </m:rPr>
              <w:rPr>
                <w:rFonts w:ascii="Cambria Math"/>
                <w:color w:val="auto"/>
                <w:sz w:val="24"/>
              </w:rPr>
              <m:t>)</m:t>
            </m:r>
            <m:ctrlPr>
              <w:rPr>
                <w:rFonts w:ascii="Cambria Math" w:hAnsi="Cambria Math"/>
                <w:color w:val="auto"/>
                <w:sz w:val="24"/>
              </w:rPr>
            </m:ctrlPr>
          </m:den>
        </m:f>
      </m:oMath>
    </w:p>
    <w:p>
      <w:pPr>
        <w:spacing w:line="360" w:lineRule="auto"/>
        <w:rPr>
          <w:color w:val="auto"/>
          <w:sz w:val="24"/>
        </w:rPr>
      </w:pPr>
      <w:r>
        <w:rPr>
          <w:color w:val="auto"/>
          <w:sz w:val="24"/>
        </w:rPr>
        <w:t>注：Ms是在计算出SB值和HCB值后查表4-2-11中查得。</w:t>
      </w:r>
    </w:p>
    <w:p>
      <w:pPr>
        <w:spacing w:line="360" w:lineRule="auto"/>
        <w:ind w:firstLine="374"/>
        <w:jc w:val="center"/>
        <w:rPr>
          <w:b/>
          <w:color w:val="auto"/>
          <w:sz w:val="24"/>
        </w:rPr>
      </w:pPr>
      <w:r>
        <w:rPr>
          <w:b/>
          <w:color w:val="auto"/>
          <w:sz w:val="24"/>
        </w:rPr>
        <w:t>表4-2-1</w:t>
      </w:r>
      <w:r>
        <w:rPr>
          <w:rFonts w:hint="eastAsia"/>
          <w:b/>
          <w:color w:val="auto"/>
          <w:sz w:val="24"/>
        </w:rPr>
        <w:t>1</w:t>
      </w:r>
      <w:r>
        <w:rPr>
          <w:b/>
          <w:color w:val="auto"/>
          <w:sz w:val="24"/>
        </w:rPr>
        <w:t xml:space="preserve">  SB、HCB、Ms关系表</w:t>
      </w:r>
    </w:p>
    <w:p>
      <w:pPr>
        <w:jc w:val="center"/>
        <w:rPr>
          <w:color w:val="FF0000"/>
          <w:sz w:val="24"/>
        </w:rPr>
      </w:pPr>
      <w:r>
        <w:rPr>
          <w:color w:val="FF0000"/>
        </w:rPr>
        <w:drawing>
          <wp:inline distT="0" distB="0" distL="0" distR="0">
            <wp:extent cx="5189220" cy="2927985"/>
            <wp:effectExtent l="19050" t="0" r="0" b="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noChangeArrowheads="1"/>
                    </pic:cNvPicPr>
                  </pic:nvPicPr>
                  <pic:blipFill>
                    <a:blip r:embed="rId51" cstate="print"/>
                    <a:srcRect/>
                    <a:stretch>
                      <a:fillRect/>
                    </a:stretch>
                  </pic:blipFill>
                  <pic:spPr>
                    <a:xfrm>
                      <a:off x="0" y="0"/>
                      <a:ext cx="5194045" cy="2931117"/>
                    </a:xfrm>
                    <a:prstGeom prst="rect">
                      <a:avLst/>
                    </a:prstGeom>
                    <a:noFill/>
                    <a:ln w="9525">
                      <a:noFill/>
                      <a:miter lim="800000"/>
                      <a:headEnd/>
                      <a:tailEnd/>
                    </a:ln>
                  </pic:spPr>
                </pic:pic>
              </a:graphicData>
            </a:graphic>
          </wp:inline>
        </w:drawing>
      </w:r>
    </w:p>
    <w:p>
      <w:pPr>
        <w:spacing w:line="360" w:lineRule="auto"/>
        <w:ind w:firstLine="480" w:firstLineChars="200"/>
        <w:rPr>
          <w:color w:val="auto"/>
          <w:sz w:val="24"/>
        </w:rPr>
      </w:pPr>
      <w:r>
        <w:rPr>
          <w:color w:val="auto"/>
          <w:sz w:val="24"/>
        </w:rPr>
        <w:t>第三步，将地下水化学类型用阿拉伯数字（1～49）与字母（A、B、C或D）组合在一起的表达式表示。</w:t>
      </w:r>
    </w:p>
    <w:p>
      <w:pPr>
        <w:spacing w:line="360" w:lineRule="auto"/>
        <w:ind w:firstLine="480" w:firstLineChars="200"/>
        <w:rPr>
          <w:color w:val="auto"/>
          <w:sz w:val="24"/>
        </w:rPr>
      </w:pPr>
      <w:r>
        <w:rPr>
          <w:color w:val="auto"/>
          <w:sz w:val="24"/>
        </w:rPr>
        <w:t>（2）地下水化学类型评价结果</w:t>
      </w:r>
    </w:p>
    <w:p>
      <w:pPr>
        <w:spacing w:line="360" w:lineRule="auto"/>
        <w:ind w:firstLine="480" w:firstLineChars="200"/>
        <w:rPr>
          <w:color w:val="auto"/>
          <w:sz w:val="24"/>
        </w:rPr>
      </w:pPr>
      <w:r>
        <w:rPr>
          <w:color w:val="auto"/>
          <w:sz w:val="24"/>
        </w:rPr>
        <w:t>首先对水文资料进行整理，换算毫克/升为毫克当量/升及毫克当量百分数；知道了离子在水中的毫克当量数以后，根据计算公式计算其毫克当量百分数。</w:t>
      </w:r>
    </w:p>
    <w:p>
      <w:pPr>
        <w:spacing w:line="360" w:lineRule="auto"/>
        <w:ind w:firstLine="480" w:firstLineChars="200"/>
        <w:rPr>
          <w:color w:val="auto"/>
          <w:sz w:val="24"/>
        </w:rPr>
      </w:pPr>
      <w:r>
        <w:rPr>
          <w:color w:val="auto"/>
          <w:sz w:val="24"/>
        </w:rPr>
        <w:t>本次监测换算结果见表4-2-1</w:t>
      </w:r>
      <w:r>
        <w:rPr>
          <w:rFonts w:hint="eastAsia"/>
          <w:color w:val="auto"/>
          <w:sz w:val="24"/>
        </w:rPr>
        <w:t>2</w:t>
      </w:r>
      <w:r>
        <w:rPr>
          <w:color w:val="auto"/>
          <w:sz w:val="24"/>
        </w:rPr>
        <w:t>。</w:t>
      </w:r>
    </w:p>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b/>
          <w:color w:val="auto"/>
          <w:sz w:val="24"/>
        </w:rPr>
      </w:pPr>
      <w:r>
        <w:rPr>
          <w:b/>
          <w:color w:val="auto"/>
          <w:sz w:val="24"/>
        </w:rPr>
        <w:t>表4-2-1</w:t>
      </w:r>
      <w:r>
        <w:rPr>
          <w:rFonts w:hint="eastAsia"/>
          <w:b/>
          <w:color w:val="auto"/>
          <w:sz w:val="24"/>
        </w:rPr>
        <w:t>2</w:t>
      </w:r>
      <w:r>
        <w:rPr>
          <w:b/>
          <w:color w:val="auto"/>
          <w:sz w:val="24"/>
        </w:rPr>
        <w:t>监测换算结果表</w:t>
      </w:r>
    </w:p>
    <w:tbl>
      <w:tblPr>
        <w:tblStyle w:val="4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1"/>
        <w:gridCol w:w="1706"/>
        <w:gridCol w:w="1703"/>
        <w:gridCol w:w="1704"/>
        <w:gridCol w:w="17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99"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kern w:val="0"/>
                <w:sz w:val="21"/>
                <w:szCs w:val="21"/>
                <w:highlight w:val="none"/>
              </w:rPr>
              <w:t>1#</w:t>
            </w:r>
            <w:r>
              <w:rPr>
                <w:rFonts w:ascii="Times New Roman" w:hAnsi="Times New Roman"/>
                <w:color w:val="auto"/>
                <w:sz w:val="21"/>
                <w:szCs w:val="21"/>
                <w:highlight w:val="none"/>
              </w:rPr>
              <w:t>离子</w:t>
            </w:r>
          </w:p>
        </w:tc>
        <w:tc>
          <w:tcPr>
            <w:tcW w:w="9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mg/L</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meq/L</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meq%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9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阳离子</w:t>
            </w: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K</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0.027</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1.01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 w:hRule="atLeast"/>
        </w:trPr>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Times New Roman" w:cs="Times New Roman"/>
                <w:color w:val="auto"/>
                <w:sz w:val="21"/>
                <w:szCs w:val="21"/>
                <w:highlight w:val="none"/>
                <w:lang w:val="en-US" w:eastAsia="zh-CN" w:bidi="ar-SA"/>
              </w:rPr>
            </w:pPr>
            <w:r>
              <w:rPr>
                <w:rFonts w:ascii="Times New Roman" w:hAnsi="Times New Roman"/>
                <w:color w:val="auto"/>
                <w:sz w:val="21"/>
                <w:szCs w:val="21"/>
                <w:highlight w:val="none"/>
              </w:rPr>
              <w:t>Na</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20.4</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bidi="ar-SA"/>
              </w:rPr>
            </w:pPr>
            <w:r>
              <w:rPr>
                <w:rFonts w:hint="eastAsia" w:eastAsia="宋体" w:cs="Times New Roman"/>
                <w:color w:val="auto"/>
                <w:sz w:val="21"/>
                <w:szCs w:val="21"/>
                <w:highlight w:val="none"/>
                <w:lang w:val="en-US" w:eastAsia="zh-CN" w:bidi="ar-SA"/>
              </w:rPr>
              <w:t>0.887</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32.99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Ca</w:t>
            </w:r>
            <w:r>
              <w:rPr>
                <w:rFonts w:ascii="Times New Roman" w:hAnsi="Times New Roman"/>
                <w:color w:val="auto"/>
                <w:sz w:val="21"/>
                <w:szCs w:val="21"/>
                <w:highlight w:val="none"/>
                <w:vertAlign w:val="superscript"/>
              </w:rPr>
              <w:t>2+</w:t>
            </w:r>
          </w:p>
        </w:tc>
        <w:tc>
          <w:tcPr>
            <w:tcW w:w="1703" w:type="dxa"/>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51</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1.275</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47.41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Mg</w:t>
            </w:r>
            <w:r>
              <w:rPr>
                <w:rFonts w:ascii="Times New Roman" w:hAnsi="Times New Roman"/>
                <w:color w:val="auto"/>
                <w:sz w:val="21"/>
                <w:szCs w:val="21"/>
                <w:highlight w:val="none"/>
                <w:vertAlign w:val="superscript"/>
              </w:rPr>
              <w:t>2+</w:t>
            </w:r>
          </w:p>
        </w:tc>
        <w:tc>
          <w:tcPr>
            <w:tcW w:w="1703" w:type="dxa"/>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0.5</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18.59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总计</w:t>
            </w:r>
          </w:p>
        </w:tc>
        <w:tc>
          <w:tcPr>
            <w:tcW w:w="1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84.46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2.689</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阴离子</w:t>
            </w: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HCO</w:t>
            </w:r>
            <w:r>
              <w:rPr>
                <w:rFonts w:ascii="Times New Roman" w:hAnsi="Times New Roman"/>
                <w:color w:val="auto"/>
                <w:sz w:val="21"/>
                <w:szCs w:val="21"/>
                <w:highlight w:val="none"/>
                <w:vertAlign w:val="subscript"/>
              </w:rPr>
              <w:t>3</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1.785</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52.3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Cl</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56.6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1.594</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46.72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SO</w:t>
            </w:r>
            <w:r>
              <w:rPr>
                <w:rFonts w:ascii="Times New Roman" w:hAnsi="Times New Roman"/>
                <w:color w:val="auto"/>
                <w:sz w:val="21"/>
                <w:szCs w:val="21"/>
                <w:highlight w:val="none"/>
                <w:vertAlign w:val="subscript"/>
              </w:rPr>
              <w:t>4</w:t>
            </w:r>
            <w:r>
              <w:rPr>
                <w:rFonts w:ascii="Times New Roman" w:hAnsi="Times New Roman"/>
                <w:color w:val="auto"/>
                <w:sz w:val="21"/>
                <w:szCs w:val="21"/>
                <w:highlight w:val="none"/>
                <w:vertAlign w:val="superscript"/>
              </w:rPr>
              <w:t>2-</w:t>
            </w:r>
          </w:p>
        </w:tc>
        <w:tc>
          <w:tcPr>
            <w:tcW w:w="1703" w:type="dxa"/>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3.2</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0.033</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0.98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总计</w:t>
            </w:r>
          </w:p>
        </w:tc>
        <w:tc>
          <w:tcPr>
            <w:tcW w:w="1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175.8</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3.412</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99"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hint="eastAsia" w:ascii="Times New Roman" w:hAnsi="Times New Roman"/>
                <w:color w:val="auto"/>
                <w:kern w:val="0"/>
                <w:sz w:val="21"/>
                <w:szCs w:val="21"/>
                <w:highlight w:val="none"/>
              </w:rPr>
              <w:t>2</w:t>
            </w:r>
            <w:r>
              <w:rPr>
                <w:rFonts w:ascii="Times New Roman" w:hAnsi="Times New Roman"/>
                <w:color w:val="auto"/>
                <w:kern w:val="0"/>
                <w:sz w:val="21"/>
                <w:szCs w:val="21"/>
                <w:highlight w:val="none"/>
              </w:rPr>
              <w:t>#</w:t>
            </w:r>
            <w:r>
              <w:rPr>
                <w:rFonts w:ascii="Times New Roman" w:hAnsi="Times New Roman"/>
                <w:color w:val="auto"/>
                <w:sz w:val="21"/>
                <w:szCs w:val="21"/>
                <w:highlight w:val="none"/>
              </w:rPr>
              <w:t>离子</w:t>
            </w:r>
          </w:p>
        </w:tc>
        <w:tc>
          <w:tcPr>
            <w:tcW w:w="9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mg/L</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meq/L</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meq%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trPr>
        <w:tc>
          <w:tcPr>
            <w:tcW w:w="99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阳离子</w:t>
            </w: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K</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0.95</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0.024</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1.43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Times New Roman" w:cs="Times New Roman"/>
                <w:color w:val="auto"/>
                <w:sz w:val="21"/>
                <w:szCs w:val="21"/>
                <w:highlight w:val="none"/>
                <w:lang w:val="en-US" w:eastAsia="zh-CN" w:bidi="ar-SA"/>
              </w:rPr>
            </w:pPr>
            <w:r>
              <w:rPr>
                <w:rFonts w:ascii="Times New Roman" w:hAnsi="Times New Roman"/>
                <w:color w:val="auto"/>
                <w:sz w:val="21"/>
                <w:szCs w:val="21"/>
                <w:highlight w:val="none"/>
              </w:rPr>
              <w:t>Na</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18.7</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0.813</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47.88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Ca</w:t>
            </w:r>
            <w:r>
              <w:rPr>
                <w:rFonts w:ascii="Times New Roman" w:hAnsi="Times New Roman"/>
                <w:color w:val="auto"/>
                <w:sz w:val="21"/>
                <w:szCs w:val="21"/>
                <w:highlight w:val="none"/>
                <w:vertAlign w:val="superscript"/>
              </w:rPr>
              <w:t>2+</w:t>
            </w:r>
          </w:p>
        </w:tc>
        <w:tc>
          <w:tcPr>
            <w:tcW w:w="1703" w:type="dxa"/>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25.5</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0.638</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37.54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Mg</w:t>
            </w:r>
            <w:r>
              <w:rPr>
                <w:rFonts w:ascii="Times New Roman" w:hAnsi="Times New Roman"/>
                <w:color w:val="auto"/>
                <w:sz w:val="21"/>
                <w:szCs w:val="21"/>
                <w:highlight w:val="none"/>
                <w:vertAlign w:val="superscript"/>
              </w:rPr>
              <w:t>2+</w:t>
            </w:r>
          </w:p>
        </w:tc>
        <w:tc>
          <w:tcPr>
            <w:tcW w:w="1703" w:type="dxa"/>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5.36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0.223</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13.15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总计</w:t>
            </w:r>
          </w:p>
        </w:tc>
        <w:tc>
          <w:tcPr>
            <w:tcW w:w="1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50.51</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1.698</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阴离子</w:t>
            </w: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HCO</w:t>
            </w:r>
            <w:r>
              <w:rPr>
                <w:rFonts w:ascii="Times New Roman" w:hAnsi="Times New Roman"/>
                <w:color w:val="auto"/>
                <w:sz w:val="21"/>
                <w:szCs w:val="21"/>
                <w:highlight w:val="none"/>
                <w:vertAlign w:val="subscript"/>
              </w:rPr>
              <w:t>3</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136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2.092</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84.49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Cl</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7.94</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0.224</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9.03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SO</w:t>
            </w:r>
            <w:r>
              <w:rPr>
                <w:rFonts w:ascii="Times New Roman" w:hAnsi="Times New Roman"/>
                <w:color w:val="auto"/>
                <w:sz w:val="21"/>
                <w:szCs w:val="21"/>
                <w:highlight w:val="none"/>
                <w:vertAlign w:val="subscript"/>
              </w:rPr>
              <w:t>4</w:t>
            </w:r>
            <w:r>
              <w:rPr>
                <w:rFonts w:ascii="Times New Roman" w:hAnsi="Times New Roman"/>
                <w:color w:val="auto"/>
                <w:sz w:val="21"/>
                <w:szCs w:val="21"/>
                <w:highlight w:val="none"/>
                <w:vertAlign w:val="superscript"/>
              </w:rPr>
              <w:t>2-</w:t>
            </w:r>
          </w:p>
        </w:tc>
        <w:tc>
          <w:tcPr>
            <w:tcW w:w="1703" w:type="dxa"/>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15.4</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0.16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6.48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总计</w:t>
            </w:r>
          </w:p>
        </w:tc>
        <w:tc>
          <w:tcPr>
            <w:tcW w:w="1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159.34</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2.476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99"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hint="eastAsia" w:ascii="Times New Roman" w:hAnsi="Times New Roman"/>
                <w:color w:val="auto"/>
                <w:kern w:val="0"/>
                <w:sz w:val="21"/>
                <w:szCs w:val="21"/>
                <w:highlight w:val="none"/>
              </w:rPr>
              <w:t>3</w:t>
            </w:r>
            <w:r>
              <w:rPr>
                <w:rFonts w:ascii="Times New Roman" w:hAnsi="Times New Roman"/>
                <w:color w:val="auto"/>
                <w:kern w:val="0"/>
                <w:sz w:val="21"/>
                <w:szCs w:val="21"/>
                <w:highlight w:val="none"/>
              </w:rPr>
              <w:t>#</w:t>
            </w:r>
            <w:r>
              <w:rPr>
                <w:rFonts w:ascii="Times New Roman" w:hAnsi="Times New Roman"/>
                <w:color w:val="auto"/>
                <w:sz w:val="21"/>
                <w:szCs w:val="21"/>
                <w:highlight w:val="none"/>
              </w:rPr>
              <w:t>离子</w:t>
            </w:r>
          </w:p>
        </w:tc>
        <w:tc>
          <w:tcPr>
            <w:tcW w:w="9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mg/L</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meq/L</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meq%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99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阳离子</w:t>
            </w: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K</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0.48</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0.012</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1.37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 w:hRule="atLeast"/>
        </w:trPr>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Times New Roman" w:cs="Times New Roman"/>
                <w:color w:val="auto"/>
                <w:sz w:val="21"/>
                <w:szCs w:val="21"/>
                <w:highlight w:val="none"/>
                <w:lang w:val="en-US" w:eastAsia="zh-CN" w:bidi="ar-SA"/>
              </w:rPr>
            </w:pPr>
            <w:r>
              <w:rPr>
                <w:rFonts w:ascii="Times New Roman" w:hAnsi="Times New Roman"/>
                <w:color w:val="auto"/>
                <w:sz w:val="21"/>
                <w:szCs w:val="21"/>
                <w:highlight w:val="none"/>
              </w:rPr>
              <w:t>Na</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9.1</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0.396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45.21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Ca</w:t>
            </w:r>
            <w:r>
              <w:rPr>
                <w:rFonts w:ascii="Times New Roman" w:hAnsi="Times New Roman"/>
                <w:color w:val="auto"/>
                <w:sz w:val="21"/>
                <w:szCs w:val="21"/>
                <w:highlight w:val="none"/>
                <w:vertAlign w:val="superscript"/>
              </w:rPr>
              <w:t>2+</w:t>
            </w:r>
          </w:p>
        </w:tc>
        <w:tc>
          <w:tcPr>
            <w:tcW w:w="1703" w:type="dxa"/>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13.8</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0.345</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39.38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Mg</w:t>
            </w:r>
            <w:r>
              <w:rPr>
                <w:rFonts w:ascii="Times New Roman" w:hAnsi="Times New Roman"/>
                <w:color w:val="auto"/>
                <w:sz w:val="21"/>
                <w:szCs w:val="21"/>
                <w:highlight w:val="none"/>
                <w:vertAlign w:val="superscript"/>
              </w:rPr>
              <w:t>2+</w:t>
            </w:r>
          </w:p>
        </w:tc>
        <w:tc>
          <w:tcPr>
            <w:tcW w:w="1703" w:type="dxa"/>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2.96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0.123</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14.04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总计</w:t>
            </w:r>
          </w:p>
        </w:tc>
        <w:tc>
          <w:tcPr>
            <w:tcW w:w="1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26.34</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0.876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阴离子</w:t>
            </w: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HCO</w:t>
            </w:r>
            <w:r>
              <w:rPr>
                <w:rFonts w:ascii="Times New Roman" w:hAnsi="Times New Roman"/>
                <w:color w:val="auto"/>
                <w:sz w:val="21"/>
                <w:szCs w:val="21"/>
                <w:highlight w:val="none"/>
                <w:vertAlign w:val="subscript"/>
              </w:rPr>
              <w:t>3</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71.2</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1.095</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91.13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Cl</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2.21</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0.062</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5.18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SO</w:t>
            </w:r>
            <w:r>
              <w:rPr>
                <w:rFonts w:ascii="Times New Roman" w:hAnsi="Times New Roman"/>
                <w:color w:val="auto"/>
                <w:sz w:val="21"/>
                <w:szCs w:val="21"/>
                <w:highlight w:val="none"/>
                <w:vertAlign w:val="subscript"/>
              </w:rPr>
              <w:t>4</w:t>
            </w:r>
            <w:r>
              <w:rPr>
                <w:rFonts w:ascii="Times New Roman" w:hAnsi="Times New Roman"/>
                <w:color w:val="auto"/>
                <w:sz w:val="21"/>
                <w:szCs w:val="21"/>
                <w:highlight w:val="none"/>
                <w:vertAlign w:val="superscript"/>
              </w:rPr>
              <w:t>2-</w:t>
            </w:r>
          </w:p>
        </w:tc>
        <w:tc>
          <w:tcPr>
            <w:tcW w:w="1703" w:type="dxa"/>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4.26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0.044</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3.69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总计</w:t>
            </w:r>
          </w:p>
        </w:tc>
        <w:tc>
          <w:tcPr>
            <w:tcW w:w="170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77.67</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eastAsia="宋体"/>
                <w:color w:val="auto"/>
                <w:sz w:val="21"/>
                <w:szCs w:val="21"/>
                <w:highlight w:val="none"/>
                <w:lang w:val="en-US" w:eastAsia="zh-CN"/>
              </w:rPr>
              <w:t>1.201</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100</w:t>
            </w:r>
          </w:p>
        </w:tc>
      </w:tr>
    </w:tbl>
    <w:p>
      <w:pPr>
        <w:spacing w:line="360" w:lineRule="auto"/>
        <w:ind w:firstLine="372"/>
        <w:rPr>
          <w:rFonts w:hint="default" w:ascii="Times New Roman" w:hAnsi="Times New Roman" w:cs="Times New Roman"/>
          <w:color w:val="auto"/>
          <w:sz w:val="24"/>
        </w:rPr>
      </w:pPr>
      <w:r>
        <w:rPr>
          <w:rFonts w:hint="default" w:ascii="Times New Roman" w:hAnsi="Times New Roman" w:cs="Times New Roman"/>
          <w:color w:val="auto"/>
          <w:sz w:val="24"/>
          <w:lang w:eastAsia="zh-CN"/>
        </w:rPr>
        <w:t>1#</w:t>
      </w:r>
      <w:r>
        <w:rPr>
          <w:rFonts w:hint="default" w:ascii="Times New Roman" w:hAnsi="Times New Roman" w:cs="Times New Roman"/>
          <w:color w:val="auto"/>
          <w:sz w:val="24"/>
        </w:rPr>
        <w:t>水质矿化度计算过程：</w:t>
      </w:r>
    </w:p>
    <w:p>
      <w:pPr>
        <w:spacing w:line="360" w:lineRule="auto"/>
        <w:ind w:firstLine="480" w:firstLineChars="200"/>
        <w:contextualSpacing/>
        <w:rPr>
          <w:rFonts w:hint="default" w:ascii="Times New Roman" w:hAnsi="Times New Roman" w:cs="Times New Roman"/>
          <w:color w:val="auto"/>
          <w:sz w:val="24"/>
        </w:rPr>
      </w:pPr>
      <w:r>
        <w:rPr>
          <w:rFonts w:hint="default" w:ascii="Times New Roman" w:hAnsi="Times New Roman" w:cs="Times New Roman"/>
          <w:color w:val="auto"/>
          <w:sz w:val="24"/>
        </w:rPr>
        <w:t>应先将阴离子的mg/L数换算成mmol/L数。它们的摩尔质量—mg/mmol数分别采用：M（</w:t>
      </w:r>
      <m:oMath>
        <m:f>
          <m:fPr>
            <m:type m:val="skw"/>
            <m:ctrlPr>
              <w:rPr>
                <w:rFonts w:hint="default" w:ascii="Cambria Math" w:hAnsi="Cambria Math" w:cs="Times New Roman"/>
                <w:color w:val="auto"/>
                <w:sz w:val="24"/>
              </w:rPr>
            </m:ctrlPr>
          </m:fPr>
          <m:num>
            <m:r>
              <m:rPr>
                <m:sty m:val="p"/>
              </m:rPr>
              <w:rPr>
                <w:rFonts w:hint="default" w:ascii="Cambria Math" w:hAnsi="Cambria Math" w:cs="Times New Roman"/>
                <w:color w:val="auto"/>
              </w:rPr>
              <m:t>1</m:t>
            </m:r>
            <m:ctrlPr>
              <w:rPr>
                <w:rFonts w:hint="default" w:ascii="Cambria Math" w:hAnsi="Cambria Math" w:cs="Times New Roman"/>
                <w:color w:val="auto"/>
                <w:sz w:val="24"/>
              </w:rPr>
            </m:ctrlPr>
          </m:num>
          <m:den>
            <m:r>
              <m:rPr>
                <m:sty m:val="p"/>
              </m:rPr>
              <w:rPr>
                <w:rFonts w:hint="default" w:ascii="Cambria Math" w:hAnsi="Cambria Math" w:cs="Times New Roman"/>
                <w:color w:val="auto"/>
              </w:rPr>
              <m:t>2</m:t>
            </m:r>
            <m:ctrlPr>
              <w:rPr>
                <w:rFonts w:hint="default" w:ascii="Cambria Math" w:hAnsi="Cambria Math" w:cs="Times New Roman"/>
                <w:color w:val="auto"/>
                <w:sz w:val="24"/>
              </w:rPr>
            </m:ctrlPr>
          </m:den>
        </m:f>
        <m:sSubSup>
          <m:sSubSupPr>
            <m:ctrlPr>
              <w:rPr>
                <w:rFonts w:hint="default" w:ascii="Cambria Math" w:hAnsi="Cambria Math" w:cs="Times New Roman"/>
                <w:color w:val="auto"/>
                <w:sz w:val="24"/>
              </w:rPr>
            </m:ctrlPr>
          </m:sSubSupPr>
          <m:e>
            <m:r>
              <m:rPr>
                <m:sty m:val="p"/>
              </m:rPr>
              <w:rPr>
                <w:rFonts w:hint="default" w:ascii="Cambria Math" w:hAnsi="Cambria Math" w:cs="Times New Roman"/>
                <w:color w:val="auto"/>
              </w:rPr>
              <m:t>CO</m:t>
            </m:r>
            <m:ctrlPr>
              <w:rPr>
                <w:rFonts w:hint="default" w:ascii="Cambria Math" w:hAnsi="Cambria Math" w:cs="Times New Roman"/>
                <w:color w:val="auto"/>
                <w:sz w:val="24"/>
              </w:rPr>
            </m:ctrlPr>
          </m:e>
          <m:sub>
            <m:r>
              <m:rPr>
                <m:sty m:val="p"/>
              </m:rPr>
              <w:rPr>
                <w:rFonts w:hint="default" w:ascii="Cambria Math" w:hAnsi="Cambria Math" w:cs="Times New Roman"/>
                <w:color w:val="auto"/>
              </w:rPr>
              <m:t>3</m:t>
            </m:r>
            <m:ctrlPr>
              <w:rPr>
                <w:rFonts w:hint="default" w:ascii="Cambria Math" w:hAnsi="Cambria Math" w:cs="Times New Roman"/>
                <w:color w:val="auto"/>
                <w:sz w:val="24"/>
              </w:rPr>
            </m:ctrlPr>
          </m:sub>
          <m:sup>
            <m:r>
              <m:rPr>
                <m:sty m:val="p"/>
              </m:rPr>
              <w:rPr>
                <w:rFonts w:hint="default" w:ascii="Cambria Math" w:hAnsi="Cambria Math" w:cs="Times New Roman"/>
                <w:color w:val="auto"/>
              </w:rPr>
              <m:t>2−</m:t>
            </m:r>
            <m:ctrlPr>
              <w:rPr>
                <w:rFonts w:hint="default" w:ascii="Cambria Math" w:hAnsi="Cambria Math" w:cs="Times New Roman"/>
                <w:color w:val="auto"/>
                <w:sz w:val="24"/>
              </w:rPr>
            </m:ctrlPr>
          </m:sup>
        </m:sSubSup>
      </m:oMath>
      <w:r>
        <w:rPr>
          <w:rFonts w:hint="default" w:ascii="Times New Roman" w:hAnsi="Times New Roman" w:cs="Times New Roman"/>
          <w:color w:val="auto"/>
          <w:sz w:val="24"/>
        </w:rPr>
        <w:t>）是30，M（</w:t>
      </w:r>
      <m:oMath>
        <m:r>
          <m:rPr>
            <m:sty m:val="p"/>
          </m:rPr>
          <w:rPr>
            <w:rFonts w:hint="default" w:ascii="Cambria Math" w:hAnsi="Cambria Math" w:cs="Times New Roman"/>
            <w:color w:val="auto"/>
          </w:rPr>
          <m:t>H</m:t>
        </m:r>
        <m:sSubSup>
          <m:sSubSupPr>
            <m:ctrlPr>
              <w:rPr>
                <w:rFonts w:hint="default" w:ascii="Cambria Math" w:hAnsi="Cambria Math" w:cs="Times New Roman"/>
                <w:color w:val="auto"/>
                <w:sz w:val="24"/>
              </w:rPr>
            </m:ctrlPr>
          </m:sSubSupPr>
          <m:e>
            <m:r>
              <m:rPr>
                <m:sty m:val="p"/>
              </m:rPr>
              <w:rPr>
                <w:rFonts w:hint="default" w:ascii="Cambria Math" w:hAnsi="Cambria Math" w:cs="Times New Roman"/>
                <w:color w:val="auto"/>
              </w:rPr>
              <m:t>CO</m:t>
            </m:r>
            <m:ctrlPr>
              <w:rPr>
                <w:rFonts w:hint="default" w:ascii="Cambria Math" w:hAnsi="Cambria Math" w:cs="Times New Roman"/>
                <w:color w:val="auto"/>
                <w:sz w:val="24"/>
              </w:rPr>
            </m:ctrlPr>
          </m:e>
          <m:sub>
            <m:r>
              <m:rPr>
                <m:sty m:val="p"/>
              </m:rPr>
              <w:rPr>
                <w:rFonts w:hint="default" w:ascii="Cambria Math" w:hAnsi="Cambria Math" w:cs="Times New Roman"/>
                <w:color w:val="auto"/>
              </w:rPr>
              <m:t>3</m:t>
            </m:r>
            <m:ctrlPr>
              <w:rPr>
                <w:rFonts w:hint="default" w:ascii="Cambria Math" w:hAnsi="Cambria Math" w:cs="Times New Roman"/>
                <w:color w:val="auto"/>
                <w:sz w:val="24"/>
              </w:rPr>
            </m:ctrlPr>
          </m:sub>
          <m:sup>
            <m:r>
              <m:rPr>
                <m:sty m:val="p"/>
              </m:rPr>
              <w:rPr>
                <w:rFonts w:hint="default" w:ascii="Cambria Math" w:hAnsi="Cambria Math" w:cs="Times New Roman"/>
                <w:color w:val="auto"/>
              </w:rPr>
              <m:t>−</m:t>
            </m:r>
            <m:ctrlPr>
              <w:rPr>
                <w:rFonts w:hint="default" w:ascii="Cambria Math" w:hAnsi="Cambria Math" w:cs="Times New Roman"/>
                <w:color w:val="auto"/>
                <w:sz w:val="24"/>
              </w:rPr>
            </m:ctrlPr>
          </m:sup>
        </m:sSubSup>
      </m:oMath>
      <w:r>
        <w:rPr>
          <w:rFonts w:hint="default" w:ascii="Times New Roman" w:hAnsi="Times New Roman" w:cs="Times New Roman"/>
          <w:color w:val="auto"/>
          <w:sz w:val="24"/>
        </w:rPr>
        <w:t>）是61，M（Cl</w:t>
      </w:r>
      <w:r>
        <w:rPr>
          <w:rFonts w:hint="default" w:ascii="Times New Roman" w:hAnsi="Times New Roman" w:cs="Times New Roman"/>
          <w:color w:val="auto"/>
          <w:sz w:val="24"/>
          <w:vertAlign w:val="superscript"/>
        </w:rPr>
        <w:t>-</w:t>
      </w:r>
      <w:r>
        <w:rPr>
          <w:rFonts w:hint="default" w:ascii="Times New Roman" w:hAnsi="Times New Roman" w:cs="Times New Roman"/>
          <w:color w:val="auto"/>
          <w:sz w:val="24"/>
        </w:rPr>
        <w:t>）是35.5，M（</w:t>
      </w:r>
      <m:oMath>
        <m:f>
          <m:fPr>
            <m:type m:val="skw"/>
            <m:ctrlPr>
              <w:rPr>
                <w:rFonts w:hint="default" w:ascii="Cambria Math" w:hAnsi="Cambria Math" w:cs="Times New Roman"/>
                <w:color w:val="auto"/>
                <w:sz w:val="24"/>
              </w:rPr>
            </m:ctrlPr>
          </m:fPr>
          <m:num>
            <m:r>
              <m:rPr>
                <m:sty m:val="p"/>
              </m:rPr>
              <w:rPr>
                <w:rFonts w:hint="default" w:ascii="Cambria Math" w:hAnsi="Cambria Math" w:cs="Times New Roman"/>
                <w:color w:val="auto"/>
              </w:rPr>
              <m:t>1</m:t>
            </m:r>
            <m:ctrlPr>
              <w:rPr>
                <w:rFonts w:hint="default" w:ascii="Cambria Math" w:hAnsi="Cambria Math" w:cs="Times New Roman"/>
                <w:color w:val="auto"/>
                <w:sz w:val="24"/>
              </w:rPr>
            </m:ctrlPr>
          </m:num>
          <m:den>
            <m:r>
              <m:rPr>
                <m:sty m:val="p"/>
              </m:rPr>
              <w:rPr>
                <w:rFonts w:hint="default" w:ascii="Cambria Math" w:hAnsi="Cambria Math" w:cs="Times New Roman"/>
                <w:color w:val="auto"/>
              </w:rPr>
              <m:t>2</m:t>
            </m:r>
            <m:ctrlPr>
              <w:rPr>
                <w:rFonts w:hint="default" w:ascii="Cambria Math" w:hAnsi="Cambria Math" w:cs="Times New Roman"/>
                <w:color w:val="auto"/>
                <w:sz w:val="24"/>
              </w:rPr>
            </m:ctrlPr>
          </m:den>
        </m:f>
        <m:r>
          <m:rPr>
            <m:sty m:val="p"/>
          </m:rPr>
          <w:rPr>
            <w:rFonts w:hint="default" w:ascii="Cambria Math" w:hAnsi="Cambria Math" w:cs="Times New Roman"/>
            <w:color w:val="auto"/>
          </w:rPr>
          <m:t>H</m:t>
        </m:r>
        <m:sSubSup>
          <m:sSubSupPr>
            <m:ctrlPr>
              <w:rPr>
                <w:rFonts w:hint="default" w:ascii="Cambria Math" w:hAnsi="Cambria Math" w:cs="Times New Roman"/>
                <w:color w:val="auto"/>
                <w:sz w:val="24"/>
              </w:rPr>
            </m:ctrlPr>
          </m:sSubSupPr>
          <m:e>
            <m:r>
              <m:rPr>
                <m:sty m:val="p"/>
              </m:rPr>
              <w:rPr>
                <w:rFonts w:hint="default" w:ascii="Cambria Math" w:hAnsi="Cambria Math" w:cs="Times New Roman"/>
                <w:color w:val="auto"/>
              </w:rPr>
              <m:t>SO</m:t>
            </m:r>
            <m:ctrlPr>
              <w:rPr>
                <w:rFonts w:hint="default" w:ascii="Cambria Math" w:hAnsi="Cambria Math" w:cs="Times New Roman"/>
                <w:color w:val="auto"/>
                <w:sz w:val="24"/>
              </w:rPr>
            </m:ctrlPr>
          </m:e>
          <m:sub>
            <m:r>
              <m:rPr>
                <m:sty m:val="p"/>
              </m:rPr>
              <w:rPr>
                <w:rFonts w:hint="default" w:ascii="Cambria Math" w:hAnsi="Cambria Math" w:cs="Times New Roman"/>
                <w:color w:val="auto"/>
              </w:rPr>
              <m:t>4</m:t>
            </m:r>
            <m:ctrlPr>
              <w:rPr>
                <w:rFonts w:hint="default" w:ascii="Cambria Math" w:hAnsi="Cambria Math" w:cs="Times New Roman"/>
                <w:color w:val="auto"/>
                <w:sz w:val="24"/>
              </w:rPr>
            </m:ctrlPr>
          </m:sub>
          <m:sup>
            <m:r>
              <m:rPr>
                <m:sty m:val="p"/>
              </m:rPr>
              <w:rPr>
                <w:rFonts w:hint="default" w:ascii="Cambria Math" w:hAnsi="Cambria Math" w:cs="Times New Roman"/>
                <w:color w:val="auto"/>
              </w:rPr>
              <m:t>2−</m:t>
            </m:r>
            <m:ctrlPr>
              <w:rPr>
                <w:rFonts w:hint="default" w:ascii="Cambria Math" w:hAnsi="Cambria Math" w:cs="Times New Roman"/>
                <w:color w:val="auto"/>
                <w:sz w:val="24"/>
              </w:rPr>
            </m:ctrlPr>
          </m:sup>
        </m:sSubSup>
      </m:oMath>
      <w:r>
        <w:rPr>
          <w:rFonts w:hint="default" w:ascii="Times New Roman" w:hAnsi="Times New Roman" w:cs="Times New Roman"/>
          <w:color w:val="auto"/>
          <w:sz w:val="24"/>
        </w:rPr>
        <w:t>）是48。</w:t>
      </w:r>
    </w:p>
    <w:p>
      <w:pPr>
        <w:spacing w:line="360" w:lineRule="auto"/>
        <w:rPr>
          <w:rFonts w:hint="default" w:eastAsia="宋体"/>
          <w:color w:val="auto"/>
          <w:sz w:val="24"/>
          <w:lang w:val="en-US" w:eastAsia="zh-CN"/>
        </w:rPr>
      </w:pPr>
      <w:r>
        <w:rPr>
          <w:color w:val="auto"/>
          <w:sz w:val="24"/>
        </w:rPr>
        <w:t>所以，C（</w:t>
      </w:r>
      <m:oMath>
        <m:r>
          <m:rPr>
            <m:sty m:val="p"/>
          </m:rPr>
          <w:rPr>
            <w:rFonts w:ascii="Cambria Math"/>
            <w:color w:val="auto"/>
          </w:rPr>
          <m:t>H</m:t>
        </m:r>
        <m:sSubSup>
          <m:sSubSupPr>
            <m:ctrlPr>
              <w:rPr>
                <w:rFonts w:ascii="Cambria Math" w:hAnsi="Cambria Math"/>
                <w:color w:val="auto"/>
                <w:sz w:val="24"/>
              </w:rPr>
            </m:ctrlPr>
          </m:sSubSupPr>
          <m:e>
            <m:r>
              <m:rPr>
                <m:sty m:val="p"/>
              </m:rPr>
              <w:rPr>
                <w:rFonts w:ascii="Cambria Math"/>
                <w:color w:val="auto"/>
              </w:rPr>
              <m:t>CO</m:t>
            </m:r>
            <m:ctrlPr>
              <w:rPr>
                <w:rFonts w:ascii="Cambria Math" w:hAnsi="Cambria Math"/>
                <w:color w:val="auto"/>
                <w:sz w:val="24"/>
              </w:rPr>
            </m:ctrlPr>
          </m:e>
          <m:sub>
            <m:r>
              <m:rPr>
                <m:sty m:val="p"/>
              </m:rPr>
              <w:rPr>
                <w:rFonts w:ascii="Cambria Math"/>
                <w:color w:val="auto"/>
              </w:rPr>
              <m:t>3</m:t>
            </m:r>
            <m:ctrlPr>
              <w:rPr>
                <w:rFonts w:ascii="Cambria Math" w:hAnsi="Cambria Math"/>
                <w:color w:val="auto"/>
                <w:sz w:val="24"/>
              </w:rPr>
            </m:ctrlPr>
          </m:sub>
          <m:sup>
            <m:r>
              <m:rPr>
                <m:sty m:val="p"/>
              </m:rPr>
              <w:rPr>
                <w:rFonts w:ascii="Cambria Math" w:hAnsi="Cambria Math"/>
                <w:color w:val="auto"/>
              </w:rPr>
              <m:t>−</m:t>
            </m:r>
            <m:ctrlPr>
              <w:rPr>
                <w:rFonts w:ascii="Cambria Math" w:hAnsi="Cambria Math"/>
                <w:color w:val="auto"/>
                <w:sz w:val="24"/>
              </w:rPr>
            </m:ctrlPr>
          </m:sup>
        </m:sSubSup>
      </m:oMath>
      <w:r>
        <w:rPr>
          <w:color w:val="auto"/>
          <w:sz w:val="24"/>
        </w:rPr>
        <w:t>）=</w:t>
      </w:r>
      <w:r>
        <w:rPr>
          <w:color w:val="auto"/>
          <w:sz w:val="24"/>
        </w:rPr>
        <w:softHyphen/>
      </w:r>
      <m:oMath>
        <m:f>
          <m:fPr>
            <m:ctrlPr>
              <w:rPr>
                <w:rFonts w:ascii="Cambria Math" w:hAnsi="Cambria Math"/>
                <w:color w:val="auto"/>
                <w:sz w:val="24"/>
              </w:rPr>
            </m:ctrlPr>
          </m:fPr>
          <m:num>
            <m:r>
              <m:rPr>
                <m:sty m:val="p"/>
              </m:rPr>
              <w:rPr>
                <w:rFonts w:hint="default" w:ascii="Cambria Math" w:hAnsi="Cambria Math"/>
                <w:color w:val="auto"/>
                <w:sz w:val="24"/>
                <w:lang w:val="en-US" w:eastAsia="zh-CN"/>
              </w:rPr>
              <m:t>116</m:t>
            </m:r>
            <m:ctrlPr>
              <w:rPr>
                <w:rFonts w:ascii="Cambria Math" w:hAnsi="Cambria Math"/>
                <w:color w:val="auto"/>
                <w:sz w:val="24"/>
              </w:rPr>
            </m:ctrlPr>
          </m:num>
          <m:den>
            <m:r>
              <m:rPr>
                <m:sty m:val="p"/>
              </m:rPr>
              <w:rPr>
                <w:rFonts w:ascii="Cambria Math"/>
                <w:color w:val="auto"/>
                <w:sz w:val="24"/>
              </w:rPr>
              <m:t>61</m:t>
            </m:r>
            <m:ctrlPr>
              <w:rPr>
                <w:rFonts w:ascii="Cambria Math" w:hAnsi="Cambria Math"/>
                <w:color w:val="auto"/>
                <w:sz w:val="24"/>
              </w:rPr>
            </m:ctrlPr>
          </m:den>
        </m:f>
      </m:oMath>
      <w:r>
        <w:rPr>
          <w:color w:val="auto"/>
          <w:sz w:val="24"/>
        </w:rPr>
        <w:fldChar w:fldCharType="begin"/>
      </w:r>
      <w:r>
        <w:rPr>
          <w:color w:val="auto"/>
          <w:sz w:val="24"/>
        </w:rPr>
        <w:instrText xml:space="preserve"> QUOTE </w:instrText>
      </w:r>
      <m:oMath>
        <m:f>
          <m:fPr>
            <m:ctrlPr>
              <w:rPr>
                <w:rFonts w:ascii="Cambria Math" w:hAnsi="Cambria Math"/>
                <w:color w:val="auto"/>
                <w:sz w:val="24"/>
              </w:rPr>
            </m:ctrlPr>
          </m:fPr>
          <m:num>
            <m:r>
              <m:rPr>
                <m:sty m:val="p"/>
              </m:rPr>
              <w:rPr>
                <w:rFonts w:ascii="Cambria Math"/>
                <w:color w:val="auto"/>
              </w:rPr>
              <m:t xml:space="preserve">231</m:t>
            </m:r>
            <m:ctrlPr>
              <w:rPr>
                <w:rFonts w:ascii="Cambria Math" w:hAnsi="Cambria Math"/>
                <w:color w:val="auto"/>
                <w:sz w:val="24"/>
              </w:rPr>
            </m:ctrlPr>
          </m:num>
          <m:den>
            <m:r>
              <m:rPr>
                <m:sty m:val="p"/>
              </m:rPr>
              <w:rPr>
                <w:rFonts w:ascii="Cambria Math"/>
                <w:color w:val="auto"/>
              </w:rPr>
              <m:t xml:space="preserve">61</m:t>
            </m:r>
            <m:ctrlPr>
              <w:rPr>
                <w:rFonts w:ascii="Cambria Math" w:hAnsi="Cambria Math"/>
                <w:color w:val="auto"/>
                <w:sz w:val="24"/>
              </w:rPr>
            </m:ctrlPr>
          </m:den>
        </m:f>
      </m:oMath>
      <w:r>
        <w:rPr>
          <w:color w:val="auto"/>
          <w:sz w:val="24"/>
        </w:rPr>
        <w:fldChar w:fldCharType="end"/>
      </w:r>
      <w:r>
        <w:rPr>
          <w:color w:val="auto"/>
          <w:sz w:val="24"/>
        </w:rPr>
        <w:t>=</w:t>
      </w:r>
      <w:r>
        <w:rPr>
          <w:rFonts w:hint="eastAsia"/>
          <w:color w:val="auto"/>
          <w:sz w:val="24"/>
          <w:lang w:val="en-US" w:eastAsia="zh-CN"/>
        </w:rPr>
        <w:t>1.9</w:t>
      </w:r>
    </w:p>
    <w:p>
      <w:pPr>
        <w:spacing w:line="360" w:lineRule="auto"/>
        <w:rPr>
          <w:rFonts w:hint="default" w:eastAsia="宋体"/>
          <w:color w:val="auto"/>
          <w:sz w:val="24"/>
          <w:lang w:val="en-US" w:eastAsia="zh-CN"/>
        </w:rPr>
      </w:pPr>
      <w:r>
        <w:rPr>
          <w:color w:val="auto"/>
          <w:sz w:val="24"/>
        </w:rPr>
        <w:t xml:space="preserve">      C（Cl</w:t>
      </w:r>
      <w:r>
        <w:rPr>
          <w:color w:val="auto"/>
          <w:sz w:val="24"/>
          <w:vertAlign w:val="superscript"/>
        </w:rPr>
        <w:t>-</w:t>
      </w:r>
      <w:r>
        <w:rPr>
          <w:color w:val="auto"/>
          <w:sz w:val="24"/>
        </w:rPr>
        <w:t>）=</w:t>
      </w:r>
      <m:oMath>
        <m:f>
          <m:fPr>
            <m:ctrlPr>
              <w:rPr>
                <w:rFonts w:ascii="Cambria Math" w:hAnsi="Cambria Math"/>
                <w:color w:val="auto"/>
                <w:sz w:val="24"/>
              </w:rPr>
            </m:ctrlPr>
          </m:fPr>
          <m:num>
            <m:r>
              <m:rPr>
                <m:sty m:val="p"/>
              </m:rPr>
              <w:rPr>
                <w:rFonts w:hint="default" w:ascii="Cambria Math"/>
                <w:color w:val="auto"/>
                <w:sz w:val="24"/>
                <w:lang w:val="en-US" w:eastAsia="zh-CN"/>
              </w:rPr>
              <m:t>56.6</m:t>
            </m:r>
            <m:ctrlPr>
              <w:rPr>
                <w:rFonts w:ascii="Cambria Math" w:hAnsi="Cambria Math"/>
                <w:color w:val="auto"/>
                <w:sz w:val="24"/>
              </w:rPr>
            </m:ctrlPr>
          </m:num>
          <m:den>
            <m:r>
              <m:rPr>
                <m:sty m:val="p"/>
              </m:rPr>
              <w:rPr>
                <w:rFonts w:ascii="Cambria Math"/>
                <w:color w:val="auto"/>
              </w:rPr>
              <m:t>35.5</m:t>
            </m:r>
            <m:ctrlPr>
              <w:rPr>
                <w:rFonts w:ascii="Cambria Math" w:hAnsi="Cambria Math"/>
                <w:color w:val="auto"/>
                <w:sz w:val="24"/>
              </w:rPr>
            </m:ctrlPr>
          </m:den>
        </m:f>
      </m:oMath>
      <w:r>
        <w:rPr>
          <w:color w:val="auto"/>
          <w:sz w:val="24"/>
        </w:rPr>
        <w:t>=</w:t>
      </w:r>
      <w:r>
        <w:rPr>
          <w:rFonts w:hint="eastAsia"/>
          <w:color w:val="auto"/>
          <w:sz w:val="24"/>
          <w:lang w:val="en-US" w:eastAsia="zh-CN"/>
        </w:rPr>
        <w:t>1.59</w:t>
      </w:r>
    </w:p>
    <w:p>
      <w:pPr>
        <w:spacing w:line="360" w:lineRule="auto"/>
        <w:rPr>
          <w:rFonts w:hint="eastAsia" w:eastAsia="宋体"/>
          <w:color w:val="auto"/>
          <w:sz w:val="24"/>
          <w:lang w:eastAsia="zh-CN"/>
        </w:rPr>
      </w:pPr>
      <w:r>
        <w:rPr>
          <w:color w:val="auto"/>
          <w:sz w:val="24"/>
        </w:rPr>
        <w:t xml:space="preserve">      C（</w:t>
      </w:r>
      <m:oMath>
        <m:f>
          <m:fPr>
            <m:type m:val="skw"/>
            <m:ctrlPr>
              <w:rPr>
                <w:rFonts w:ascii="Cambria Math" w:hAnsi="Cambria Math"/>
                <w:color w:val="auto"/>
                <w:sz w:val="24"/>
              </w:rPr>
            </m:ctrlPr>
          </m:fPr>
          <m:num>
            <m:r>
              <m:rPr>
                <m:sty m:val="p"/>
              </m:rPr>
              <w:rPr>
                <w:rFonts w:ascii="Cambria Math"/>
                <w:color w:val="auto"/>
              </w:rPr>
              <m:t>1</m:t>
            </m:r>
            <m:ctrlPr>
              <w:rPr>
                <w:rFonts w:ascii="Cambria Math" w:hAnsi="Cambria Math"/>
                <w:color w:val="auto"/>
                <w:sz w:val="24"/>
              </w:rPr>
            </m:ctrlPr>
          </m:num>
          <m:den>
            <m:r>
              <m:rPr>
                <m:sty m:val="p"/>
              </m:rPr>
              <w:rPr>
                <w:rFonts w:ascii="Cambria Math"/>
                <w:color w:val="auto"/>
              </w:rPr>
              <m:t>2</m:t>
            </m:r>
            <m:ctrlPr>
              <w:rPr>
                <w:rFonts w:ascii="Cambria Math" w:hAnsi="Cambria Math"/>
                <w:color w:val="auto"/>
                <w:sz w:val="24"/>
              </w:rPr>
            </m:ctrlPr>
          </m:den>
        </m:f>
        <m:sSubSup>
          <m:sSubSupPr>
            <m:ctrlPr>
              <w:rPr>
                <w:rFonts w:ascii="Cambria Math" w:hAnsi="Cambria Math"/>
                <w:color w:val="auto"/>
                <w:sz w:val="24"/>
              </w:rPr>
            </m:ctrlPr>
          </m:sSubSupPr>
          <m:e>
            <m:r>
              <m:rPr>
                <m:sty m:val="p"/>
              </m:rPr>
              <w:rPr>
                <w:rFonts w:ascii="Cambria Math"/>
                <w:color w:val="auto"/>
              </w:rPr>
              <m:t>SO</m:t>
            </m:r>
            <m:ctrlPr>
              <w:rPr>
                <w:rFonts w:ascii="Cambria Math" w:hAnsi="Cambria Math"/>
                <w:color w:val="auto"/>
                <w:sz w:val="24"/>
              </w:rPr>
            </m:ctrlPr>
          </m:e>
          <m:sub>
            <m:r>
              <m:rPr>
                <m:sty m:val="p"/>
              </m:rPr>
              <w:rPr>
                <w:rFonts w:ascii="Cambria Math"/>
                <w:color w:val="auto"/>
              </w:rPr>
              <m:t>4</m:t>
            </m:r>
            <m:ctrlPr>
              <w:rPr>
                <w:rFonts w:ascii="Cambria Math" w:hAnsi="Cambria Math"/>
                <w:color w:val="auto"/>
                <w:sz w:val="24"/>
              </w:rPr>
            </m:ctrlPr>
          </m:sub>
          <m:sup>
            <m:r>
              <m:rPr>
                <m:sty m:val="p"/>
              </m:rPr>
              <w:rPr>
                <w:rFonts w:ascii="Cambria Math"/>
                <w:color w:val="auto"/>
              </w:rPr>
              <m:t>2</m:t>
            </m:r>
            <m:r>
              <m:rPr>
                <m:sty m:val="p"/>
              </m:rPr>
              <w:rPr>
                <w:rFonts w:ascii="Cambria Math" w:hAnsi="Cambria Math"/>
                <w:color w:val="auto"/>
              </w:rPr>
              <m:t>−</m:t>
            </m:r>
            <m:ctrlPr>
              <w:rPr>
                <w:rFonts w:ascii="Cambria Math" w:hAnsi="Cambria Math"/>
                <w:color w:val="auto"/>
                <w:sz w:val="24"/>
              </w:rPr>
            </m:ctrlPr>
          </m:sup>
        </m:sSubSup>
      </m:oMath>
      <w:r>
        <w:rPr>
          <w:color w:val="auto"/>
          <w:sz w:val="24"/>
        </w:rPr>
        <w:t>）=</w:t>
      </w:r>
      <m:oMath>
        <m:f>
          <m:fPr>
            <m:ctrlPr>
              <w:rPr>
                <w:rFonts w:ascii="Cambria Math" w:hAnsi="Cambria Math"/>
                <w:color w:val="auto"/>
                <w:sz w:val="24"/>
              </w:rPr>
            </m:ctrlPr>
          </m:fPr>
          <m:num>
            <m:r>
              <m:rPr>
                <m:sty m:val="p"/>
              </m:rPr>
              <w:rPr>
                <w:rFonts w:ascii="Cambria Math"/>
                <w:color w:val="auto"/>
                <w:sz w:val="24"/>
              </w:rPr>
              <m:t>3.</m:t>
            </m:r>
            <m:r>
              <m:rPr>
                <m:sty m:val="p"/>
              </m:rPr>
              <w:rPr>
                <w:rFonts w:hint="default" w:ascii="Cambria Math"/>
                <w:color w:val="auto"/>
                <w:sz w:val="24"/>
                <w:lang w:val="en-US" w:eastAsia="zh-CN"/>
              </w:rPr>
              <m:t>2</m:t>
            </m:r>
            <m:ctrlPr>
              <w:rPr>
                <w:rFonts w:ascii="Cambria Math" w:hAnsi="Cambria Math"/>
                <w:color w:val="auto"/>
                <w:sz w:val="24"/>
              </w:rPr>
            </m:ctrlPr>
          </m:num>
          <m:den>
            <m:r>
              <m:rPr>
                <m:sty m:val="p"/>
              </m:rPr>
              <w:rPr>
                <w:rFonts w:ascii="Cambria Math"/>
                <w:color w:val="auto"/>
              </w:rPr>
              <m:t>48</m:t>
            </m:r>
            <m:ctrlPr>
              <w:rPr>
                <w:rFonts w:ascii="Cambria Math" w:hAnsi="Cambria Math"/>
                <w:color w:val="auto"/>
                <w:sz w:val="24"/>
              </w:rPr>
            </m:ctrlPr>
          </m:den>
        </m:f>
      </m:oMath>
      <w:r>
        <w:rPr>
          <w:color w:val="auto"/>
          <w:sz w:val="24"/>
        </w:rPr>
        <w:t>=0.0</w:t>
      </w:r>
      <w:r>
        <w:rPr>
          <w:rFonts w:hint="eastAsia"/>
          <w:color w:val="auto"/>
          <w:sz w:val="24"/>
          <w:lang w:val="en-US" w:eastAsia="zh-CN"/>
        </w:rPr>
        <w:t>7</w:t>
      </w:r>
    </w:p>
    <w:p>
      <w:pPr>
        <w:spacing w:line="360" w:lineRule="auto"/>
        <w:rPr>
          <w:rFonts w:hint="default" w:eastAsia="宋体"/>
          <w:color w:val="auto"/>
          <w:sz w:val="24"/>
          <w:lang w:val="en-US" w:eastAsia="zh-CN"/>
        </w:rPr>
      </w:pPr>
      <w:r>
        <w:rPr>
          <w:color w:val="auto"/>
          <w:sz w:val="24"/>
        </w:rPr>
        <w:t>则：C（∑A）=</w:t>
      </w:r>
      <w:r>
        <w:rPr>
          <w:rFonts w:hint="eastAsia"/>
          <w:color w:val="auto"/>
          <w:sz w:val="24"/>
          <w:lang w:val="en-US" w:eastAsia="zh-CN"/>
        </w:rPr>
        <w:t>1.9</w:t>
      </w:r>
      <w:r>
        <w:rPr>
          <w:color w:val="auto"/>
          <w:sz w:val="24"/>
        </w:rPr>
        <w:t>+</w:t>
      </w:r>
      <w:r>
        <w:rPr>
          <w:rFonts w:hint="eastAsia"/>
          <w:color w:val="auto"/>
          <w:sz w:val="24"/>
          <w:lang w:val="en-US" w:eastAsia="zh-CN"/>
        </w:rPr>
        <w:t>1.59</w:t>
      </w:r>
      <w:r>
        <w:rPr>
          <w:color w:val="auto"/>
          <w:sz w:val="24"/>
        </w:rPr>
        <w:t>+0.0</w:t>
      </w:r>
      <w:r>
        <w:rPr>
          <w:rFonts w:hint="eastAsia"/>
          <w:color w:val="auto"/>
          <w:sz w:val="24"/>
          <w:lang w:val="en-US" w:eastAsia="zh-CN"/>
        </w:rPr>
        <w:t>7</w:t>
      </w:r>
      <w:r>
        <w:rPr>
          <w:color w:val="auto"/>
          <w:sz w:val="24"/>
        </w:rPr>
        <w:t>=</w:t>
      </w:r>
      <w:r>
        <w:rPr>
          <w:rFonts w:hint="eastAsia"/>
          <w:color w:val="auto"/>
          <w:sz w:val="24"/>
          <w:lang w:val="en-US" w:eastAsia="zh-CN"/>
        </w:rPr>
        <w:t>3.56</w:t>
      </w:r>
    </w:p>
    <w:p>
      <w:pPr>
        <w:spacing w:line="360" w:lineRule="auto"/>
        <w:jc w:val="left"/>
        <w:rPr>
          <w:color w:val="auto"/>
          <w:sz w:val="24"/>
        </w:rPr>
      </w:pPr>
      <w:r>
        <w:rPr>
          <w:color w:val="auto"/>
          <w:sz w:val="24"/>
        </w:rPr>
        <w:t>SB=</w:t>
      </w:r>
      <m:oMath>
        <m:f>
          <m:fPr>
            <m:ctrlPr>
              <w:rPr>
                <w:rFonts w:ascii="Cambria Math" w:hAnsi="Cambria Math"/>
                <w:color w:val="auto"/>
                <w:sz w:val="24"/>
              </w:rPr>
            </m:ctrlPr>
          </m:fPr>
          <m:num>
            <m:r>
              <m:rPr>
                <m:sty m:val="p"/>
              </m:rPr>
              <w:rPr>
                <w:rFonts w:ascii="Cambria Math" w:hAnsi="Cambria Math"/>
                <w:color w:val="auto"/>
                <w:sz w:val="24"/>
              </w:rPr>
              <m:t>0.0</m:t>
            </m:r>
            <m:r>
              <m:rPr>
                <m:sty m:val="p"/>
              </m:rPr>
              <w:rPr>
                <w:rFonts w:hint="default" w:ascii="Cambria Math" w:hAnsi="Cambria Math"/>
                <w:color w:val="auto"/>
                <w:sz w:val="24"/>
                <w:lang w:val="en-US" w:eastAsia="zh-CN"/>
              </w:rPr>
              <m:t>7</m:t>
            </m:r>
            <m:ctrlPr>
              <w:rPr>
                <w:rFonts w:ascii="Cambria Math" w:hAnsi="Cambria Math"/>
                <w:color w:val="auto"/>
                <w:sz w:val="24"/>
              </w:rPr>
            </m:ctrlPr>
          </m:num>
          <m:den>
            <m:r>
              <m:rPr>
                <m:sty m:val="p"/>
              </m:rPr>
              <w:rPr>
                <w:rFonts w:ascii="Cambria Math" w:hAnsi="Cambria Math"/>
                <w:color w:val="auto"/>
                <w:sz w:val="24"/>
              </w:rPr>
              <m:t>3.</m:t>
            </m:r>
            <m:r>
              <m:rPr>
                <m:sty m:val="p"/>
              </m:rPr>
              <w:rPr>
                <w:rFonts w:hint="default" w:ascii="Cambria Math" w:hAnsi="Cambria Math"/>
                <w:color w:val="auto"/>
                <w:sz w:val="24"/>
                <w:lang w:val="en-US" w:eastAsia="zh-CN"/>
              </w:rPr>
              <m:t>56</m:t>
            </m:r>
            <m:ctrlPr>
              <w:rPr>
                <w:rFonts w:ascii="Cambria Math" w:hAnsi="Cambria Math"/>
                <w:color w:val="auto"/>
                <w:sz w:val="24"/>
              </w:rPr>
            </m:ctrlPr>
          </m:den>
        </m:f>
      </m:oMath>
      <w:r>
        <w:rPr>
          <w:color w:val="auto"/>
          <w:sz w:val="24"/>
        </w:rPr>
        <w:t>=0.</w:t>
      </w:r>
      <w:r>
        <w:rPr>
          <w:rFonts w:hint="eastAsia"/>
          <w:color w:val="auto"/>
          <w:sz w:val="24"/>
        </w:rPr>
        <w:t>02</w:t>
      </w:r>
    </w:p>
    <w:p>
      <w:pPr>
        <w:spacing w:line="360" w:lineRule="auto"/>
        <w:rPr>
          <w:rFonts w:hint="default" w:eastAsia="宋体"/>
          <w:color w:val="auto"/>
          <w:sz w:val="24"/>
          <w:lang w:val="en-US" w:eastAsia="zh-CN"/>
        </w:rPr>
      </w:pPr>
      <w:r>
        <w:rPr>
          <w:color w:val="auto"/>
          <w:sz w:val="24"/>
        </w:rPr>
        <w:t>HCB=</w:t>
      </w:r>
      <m:oMath>
        <m:f>
          <m:fPr>
            <m:ctrlPr>
              <w:rPr>
                <w:rFonts w:ascii="Cambria Math" w:hAnsi="Cambria Math"/>
                <w:color w:val="auto"/>
                <w:sz w:val="24"/>
              </w:rPr>
            </m:ctrlPr>
          </m:fPr>
          <m:num>
            <m:r>
              <m:rPr>
                <m:sty m:val="p"/>
              </m:rPr>
              <w:rPr>
                <w:rFonts w:hint="default" w:ascii="Cambria Math" w:hAnsi="Cambria Math"/>
                <w:color w:val="auto"/>
                <w:sz w:val="24"/>
                <w:lang w:val="en-US" w:eastAsia="zh-CN"/>
              </w:rPr>
              <m:t>1.9</m:t>
            </m:r>
            <m:ctrlPr>
              <w:rPr>
                <w:rFonts w:ascii="Cambria Math" w:hAnsi="Cambria Math"/>
                <w:color w:val="auto"/>
                <w:sz w:val="24"/>
              </w:rPr>
            </m:ctrlPr>
          </m:num>
          <m:den>
            <m:r>
              <m:rPr>
                <m:sty m:val="p"/>
              </m:rPr>
              <w:rPr>
                <w:rFonts w:hint="default" w:ascii="Cambria Math" w:hAnsi="Cambria Math"/>
                <w:color w:val="auto"/>
                <w:sz w:val="24"/>
                <w:lang w:val="en-US" w:eastAsia="zh-CN"/>
              </w:rPr>
              <m:t>1.59</m:t>
            </m:r>
            <m:ctrlPr>
              <w:rPr>
                <w:rFonts w:ascii="Cambria Math" w:hAnsi="Cambria Math"/>
                <w:color w:val="auto"/>
                <w:sz w:val="24"/>
              </w:rPr>
            </m:ctrlPr>
          </m:den>
        </m:f>
      </m:oMath>
      <w:r>
        <w:rPr>
          <w:color w:val="auto"/>
          <w:sz w:val="24"/>
        </w:rPr>
        <w:t>=</w:t>
      </w:r>
      <w:r>
        <w:rPr>
          <w:rFonts w:hint="eastAsia"/>
          <w:color w:val="auto"/>
          <w:sz w:val="24"/>
          <w:lang w:val="en-US" w:eastAsia="zh-CN"/>
        </w:rPr>
        <w:t>1.19</w:t>
      </w:r>
    </w:p>
    <w:p>
      <w:pPr>
        <w:spacing w:line="360" w:lineRule="auto"/>
        <w:rPr>
          <w:rFonts w:hint="default" w:eastAsia="宋体"/>
          <w:color w:val="auto"/>
          <w:sz w:val="24"/>
          <w:lang w:val="en-US" w:eastAsia="zh-CN"/>
        </w:rPr>
      </w:pPr>
      <w:r>
        <w:rPr>
          <w:color w:val="auto"/>
          <w:sz w:val="24"/>
        </w:rPr>
        <w:t>经查表4-2-13得Ms为</w:t>
      </w:r>
      <w:r>
        <w:rPr>
          <w:rFonts w:hint="eastAsia"/>
          <w:color w:val="auto"/>
          <w:sz w:val="24"/>
          <w:lang w:val="en-US" w:eastAsia="zh-CN"/>
        </w:rPr>
        <w:t>0.068</w:t>
      </w:r>
    </w:p>
    <w:p>
      <w:pPr>
        <w:spacing w:line="360" w:lineRule="auto"/>
        <w:ind w:firstLine="480" w:firstLineChars="200"/>
        <w:rPr>
          <w:color w:val="auto"/>
          <w:sz w:val="24"/>
        </w:rPr>
      </w:pPr>
      <w:r>
        <w:rPr>
          <w:color w:val="auto"/>
          <w:sz w:val="24"/>
        </w:rPr>
        <w:t>矿化度（g/L）=</w:t>
      </w:r>
      <w:r>
        <w:rPr>
          <w:rFonts w:hint="eastAsia"/>
          <w:color w:val="auto"/>
          <w:sz w:val="24"/>
          <w:lang w:val="en-US" w:eastAsia="zh-CN"/>
        </w:rPr>
        <w:t>3.56</w:t>
      </w:r>
      <w:r>
        <w:rPr>
          <w:color w:val="auto"/>
          <w:sz w:val="24"/>
        </w:rPr>
        <w:t>×0.0</w:t>
      </w:r>
      <w:r>
        <w:rPr>
          <w:rFonts w:hint="eastAsia"/>
          <w:color w:val="auto"/>
          <w:sz w:val="24"/>
          <w:lang w:val="en-US" w:eastAsia="zh-CN"/>
        </w:rPr>
        <w:t>68</w:t>
      </w:r>
      <w:r>
        <w:rPr>
          <w:color w:val="auto"/>
          <w:sz w:val="24"/>
        </w:rPr>
        <w:t>=</w:t>
      </w:r>
      <w:r>
        <w:rPr>
          <w:rFonts w:hint="eastAsia"/>
          <w:color w:val="auto"/>
          <w:sz w:val="24"/>
        </w:rPr>
        <w:t>0.31</w:t>
      </w:r>
      <w:r>
        <w:rPr>
          <w:color w:val="auto"/>
          <w:sz w:val="24"/>
        </w:rPr>
        <w:t>，所以1矿化度处于A组，其它监测点位参考以上方法计算，水质矿化度计算结果见表4-2-1</w:t>
      </w:r>
      <w:r>
        <w:rPr>
          <w:rFonts w:hint="eastAsia"/>
          <w:color w:val="auto"/>
          <w:sz w:val="24"/>
        </w:rPr>
        <w:t>3</w:t>
      </w:r>
      <w:r>
        <w:rPr>
          <w:color w:val="auto"/>
          <w:sz w:val="24"/>
        </w:rPr>
        <w:t>。</w:t>
      </w:r>
    </w:p>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b/>
          <w:color w:val="auto"/>
          <w:sz w:val="24"/>
        </w:rPr>
      </w:pPr>
      <w:r>
        <w:rPr>
          <w:b/>
          <w:color w:val="auto"/>
          <w:sz w:val="24"/>
        </w:rPr>
        <w:t>表4-2-1</w:t>
      </w:r>
      <w:r>
        <w:rPr>
          <w:rFonts w:hint="eastAsia"/>
          <w:b/>
          <w:color w:val="auto"/>
          <w:sz w:val="24"/>
        </w:rPr>
        <w:t>3</w:t>
      </w:r>
      <w:r>
        <w:rPr>
          <w:b/>
          <w:color w:val="auto"/>
          <w:sz w:val="24"/>
        </w:rPr>
        <w:t>水质矿化度</w:t>
      </w:r>
    </w:p>
    <w:tbl>
      <w:tblPr>
        <w:tblStyle w:val="4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tcBorders>
              <w:top w:val="single" w:color="auto" w:sz="12" w:space="0"/>
              <w:left w:val="nil"/>
              <w:bottom w:val="single" w:color="auto" w:sz="4" w:space="0"/>
              <w:right w:val="single" w:color="auto" w:sz="4" w:space="0"/>
              <w:tl2br w:val="single" w:color="000000" w:sz="12" w:space="0"/>
            </w:tcBorders>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编号</w:t>
            </w:r>
          </w:p>
          <w:p>
            <w:pPr>
              <w:rPr>
                <w:rFonts w:hint="default" w:ascii="Times New Roman" w:hAnsi="Times New Roman" w:cs="Times New Roman"/>
                <w:color w:val="auto"/>
                <w:kern w:val="0"/>
              </w:rPr>
            </w:pPr>
            <w:r>
              <w:rPr>
                <w:rFonts w:hint="default" w:ascii="Times New Roman" w:hAnsi="Times New Roman" w:cs="Times New Roman"/>
                <w:color w:val="auto"/>
                <w:kern w:val="0"/>
              </w:rPr>
              <w:t>项目</w:t>
            </w:r>
          </w:p>
        </w:tc>
        <w:tc>
          <w:tcPr>
            <w:tcW w:w="1250" w:type="pct"/>
            <w:tcBorders>
              <w:top w:val="single" w:color="auto" w:sz="12" w:space="0"/>
              <w:left w:val="single" w:color="auto" w:sz="4" w:space="0"/>
              <w:bottom w:val="single" w:color="auto" w:sz="4" w:space="0"/>
              <w:right w:val="single" w:color="auto" w:sz="4" w:space="0"/>
            </w:tcBorders>
            <w:vAlign w:val="center"/>
          </w:tcPr>
          <w:p>
            <w:pPr>
              <w:widowControl/>
              <w:adjustRightInd w:val="0"/>
              <w:snapToGrid w:val="0"/>
              <w:jc w:val="center"/>
              <w:rPr>
                <w:rFonts w:hint="default" w:ascii="Times New Roman" w:hAnsi="Times New Roman" w:eastAsia="宋体" w:cs="Times New Roman"/>
                <w:color w:val="auto"/>
                <w:kern w:val="0"/>
                <w:szCs w:val="21"/>
                <w:lang w:eastAsia="zh-CN"/>
              </w:rPr>
            </w:pPr>
            <w:r>
              <w:rPr>
                <w:rFonts w:hint="default" w:ascii="Times New Roman" w:hAnsi="Times New Roman" w:cs="Times New Roman"/>
                <w:color w:val="auto"/>
                <w:szCs w:val="21"/>
                <w:lang w:eastAsia="zh-CN"/>
              </w:rPr>
              <w:t>1#</w:t>
            </w:r>
          </w:p>
        </w:tc>
        <w:tc>
          <w:tcPr>
            <w:tcW w:w="1250" w:type="pct"/>
            <w:tcBorders>
              <w:top w:val="single" w:color="auto" w:sz="12" w:space="0"/>
              <w:left w:val="single" w:color="auto" w:sz="4" w:space="0"/>
              <w:bottom w:val="single" w:color="auto" w:sz="4" w:space="0"/>
              <w:right w:val="single" w:color="auto" w:sz="4" w:space="0"/>
            </w:tcBorders>
            <w:vAlign w:val="center"/>
          </w:tcPr>
          <w:p>
            <w:pPr>
              <w:widowControl/>
              <w:adjustRightInd w:val="0"/>
              <w:snapToGrid w:val="0"/>
              <w:jc w:val="center"/>
              <w:rPr>
                <w:rFonts w:hint="default" w:ascii="Times New Roman" w:hAnsi="Times New Roman" w:eastAsia="宋体" w:cs="Times New Roman"/>
                <w:color w:val="auto"/>
                <w:kern w:val="0"/>
                <w:szCs w:val="21"/>
                <w:lang w:eastAsia="zh-CN"/>
              </w:rPr>
            </w:pPr>
            <w:r>
              <w:rPr>
                <w:rFonts w:hint="default" w:ascii="Times New Roman" w:hAnsi="Times New Roman" w:cs="Times New Roman"/>
                <w:color w:val="auto"/>
                <w:szCs w:val="21"/>
                <w:lang w:eastAsia="zh-CN"/>
              </w:rPr>
              <w:t>2#</w:t>
            </w:r>
          </w:p>
        </w:tc>
        <w:tc>
          <w:tcPr>
            <w:tcW w:w="1250" w:type="pct"/>
            <w:tcBorders>
              <w:top w:val="single" w:color="auto" w:sz="12" w:space="0"/>
              <w:left w:val="single" w:color="auto" w:sz="4" w:space="0"/>
              <w:bottom w:val="single" w:color="auto" w:sz="4" w:space="0"/>
              <w:right w:val="nil"/>
            </w:tcBorders>
            <w:vAlign w:val="center"/>
          </w:tcPr>
          <w:p>
            <w:pPr>
              <w:widowControl/>
              <w:adjustRightInd w:val="0"/>
              <w:snapToGrid w:val="0"/>
              <w:jc w:val="center"/>
              <w:rPr>
                <w:rFonts w:hint="default" w:ascii="Times New Roman" w:hAnsi="Times New Roman" w:eastAsia="宋体" w:cs="Times New Roman"/>
                <w:color w:val="auto"/>
                <w:kern w:val="0"/>
                <w:szCs w:val="21"/>
                <w:lang w:eastAsia="zh-CN"/>
              </w:rPr>
            </w:pPr>
            <w:r>
              <w:rPr>
                <w:rFonts w:hint="default" w:ascii="Times New Roman" w:hAnsi="Times New Roman" w:cs="Times New Roman"/>
                <w:color w:val="auto"/>
                <w:szCs w:val="21"/>
                <w:lang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矿化度（M）</w:t>
            </w:r>
          </w:p>
        </w:tc>
        <w:tc>
          <w:tcPr>
            <w:tcW w:w="1250"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kern w:val="0"/>
                <w:lang w:val="en-US" w:eastAsia="zh-CN"/>
              </w:rPr>
            </w:pPr>
            <w:r>
              <w:rPr>
                <w:rFonts w:hint="eastAsia" w:ascii="Times New Roman" w:hAnsi="Times New Roman" w:cs="Times New Roman"/>
                <w:color w:val="auto"/>
                <w:kern w:val="0"/>
                <w:lang w:val="en-US" w:eastAsia="zh-CN"/>
              </w:rPr>
              <w:t>0.24</w:t>
            </w:r>
          </w:p>
        </w:tc>
        <w:tc>
          <w:tcPr>
            <w:tcW w:w="1250"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kern w:val="0"/>
                <w:lang w:val="en-US" w:eastAsia="zh-CN"/>
              </w:rPr>
            </w:pPr>
            <w:r>
              <w:rPr>
                <w:rFonts w:hint="eastAsia" w:ascii="Times New Roman" w:hAnsi="Times New Roman" w:cs="Times New Roman"/>
                <w:color w:val="auto"/>
                <w:kern w:val="0"/>
                <w:lang w:val="en-US" w:eastAsia="zh-CN"/>
              </w:rPr>
              <w:t>0.22</w:t>
            </w:r>
          </w:p>
        </w:tc>
        <w:tc>
          <w:tcPr>
            <w:tcW w:w="1250" w:type="pct"/>
            <w:tcBorders>
              <w:top w:val="single" w:color="auto" w:sz="4" w:space="0"/>
              <w:left w:val="single" w:color="auto" w:sz="4" w:space="0"/>
              <w:bottom w:val="single" w:color="auto" w:sz="4" w:space="0"/>
              <w:right w:val="nil"/>
            </w:tcBorders>
            <w:vAlign w:val="center"/>
          </w:tcPr>
          <w:p>
            <w:pPr>
              <w:jc w:val="center"/>
              <w:rPr>
                <w:rFonts w:hint="default" w:ascii="Times New Roman" w:hAnsi="Times New Roman" w:eastAsia="宋体" w:cs="Times New Roman"/>
                <w:color w:val="auto"/>
                <w:kern w:val="0"/>
                <w:lang w:val="en-US" w:eastAsia="zh-CN"/>
              </w:rPr>
            </w:pPr>
            <w:r>
              <w:rPr>
                <w:rFonts w:hint="eastAsia" w:ascii="Times New Roman" w:hAnsi="Times New Roman" w:cs="Times New Roman"/>
                <w:color w:val="auto"/>
                <w:kern w:val="0"/>
                <w:lang w:val="en-US" w:eastAsia="zh-CN"/>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tcBorders>
              <w:top w:val="single" w:color="auto" w:sz="4" w:space="0"/>
              <w:left w:val="nil"/>
              <w:bottom w:val="single" w:color="auto" w:sz="12" w:space="0"/>
              <w:right w:val="single" w:color="auto" w:sz="4" w:space="0"/>
            </w:tcBorders>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矿化度分组</w:t>
            </w:r>
          </w:p>
        </w:tc>
        <w:tc>
          <w:tcPr>
            <w:tcW w:w="1250" w:type="pct"/>
            <w:tcBorders>
              <w:top w:val="single" w:color="auto" w:sz="4" w:space="0"/>
              <w:left w:val="single" w:color="auto" w:sz="4" w:space="0"/>
              <w:bottom w:val="single" w:color="auto" w:sz="12" w:space="0"/>
              <w:right w:val="single" w:color="auto" w:sz="4" w:space="0"/>
            </w:tcBorders>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A</w:t>
            </w:r>
          </w:p>
        </w:tc>
        <w:tc>
          <w:tcPr>
            <w:tcW w:w="1250" w:type="pct"/>
            <w:tcBorders>
              <w:top w:val="single" w:color="auto" w:sz="4" w:space="0"/>
              <w:left w:val="single" w:color="auto" w:sz="4" w:space="0"/>
              <w:bottom w:val="single" w:color="auto" w:sz="12" w:space="0"/>
              <w:right w:val="single" w:color="auto" w:sz="4" w:space="0"/>
            </w:tcBorders>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A</w:t>
            </w:r>
          </w:p>
        </w:tc>
        <w:tc>
          <w:tcPr>
            <w:tcW w:w="1250" w:type="pct"/>
            <w:tcBorders>
              <w:top w:val="single" w:color="auto" w:sz="4" w:space="0"/>
              <w:left w:val="single" w:color="auto" w:sz="4" w:space="0"/>
              <w:bottom w:val="single" w:color="auto" w:sz="12" w:space="0"/>
              <w:right w:val="nil"/>
            </w:tcBorders>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A</w:t>
            </w:r>
          </w:p>
        </w:tc>
      </w:tr>
    </w:tbl>
    <w:p>
      <w:pPr>
        <w:spacing w:line="360" w:lineRule="auto"/>
        <w:rPr>
          <w:color w:val="auto"/>
          <w:sz w:val="24"/>
        </w:rPr>
      </w:pPr>
      <w:r>
        <w:rPr>
          <w:color w:val="auto"/>
          <w:sz w:val="24"/>
        </w:rPr>
        <w:t>综上所述，项目区矿化度小于1.5g/L。</w:t>
      </w:r>
    </w:p>
    <w:p>
      <w:pPr>
        <w:spacing w:line="360" w:lineRule="auto"/>
        <w:ind w:firstLine="504" w:firstLineChars="210"/>
        <w:rPr>
          <w:rFonts w:hint="default" w:ascii="Times New Roman" w:hAnsi="Times New Roman" w:cs="Times New Roman"/>
          <w:color w:val="auto"/>
          <w:sz w:val="24"/>
          <w:lang w:val="zh-CN"/>
        </w:rPr>
      </w:pPr>
      <w:r>
        <w:rPr>
          <w:rFonts w:hint="default" w:ascii="Times New Roman" w:hAnsi="Times New Roman" w:cs="Times New Roman"/>
          <w:color w:val="auto"/>
          <w:sz w:val="24"/>
          <w:lang w:val="zh-CN"/>
        </w:rPr>
        <w:t>（3）现状评价结论</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eastAsia="zh-CN"/>
        </w:rPr>
        <w:t>1#</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2#</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3#</w:t>
      </w:r>
      <w:r>
        <w:rPr>
          <w:rFonts w:hint="default" w:ascii="Times New Roman" w:hAnsi="Times New Roman" w:cs="Times New Roman"/>
          <w:color w:val="auto"/>
          <w:sz w:val="24"/>
        </w:rPr>
        <w:t>监测点</w:t>
      </w:r>
      <w:r>
        <w:rPr>
          <w:rFonts w:hint="default" w:ascii="Times New Roman" w:hAnsi="Times New Roman" w:cs="Times New Roman"/>
          <w:color w:val="auto"/>
          <w:sz w:val="24"/>
          <w:lang w:val="en-US" w:eastAsia="zh-CN"/>
        </w:rPr>
        <w:t>各</w:t>
      </w:r>
      <w:r>
        <w:rPr>
          <w:rFonts w:hint="default" w:ascii="Times New Roman" w:hAnsi="Times New Roman" w:cs="Times New Roman"/>
          <w:color w:val="auto"/>
          <w:sz w:val="24"/>
        </w:rPr>
        <w:t>监测因子均符合《地下水质量标准》（GB/T14848-2017）中Ⅲ类标准，</w:t>
      </w:r>
      <w:bookmarkStart w:id="168" w:name="_Toc477954567"/>
      <w:r>
        <w:rPr>
          <w:rFonts w:hint="eastAsia" w:cs="Times New Roman"/>
          <w:color w:val="auto"/>
          <w:sz w:val="24"/>
          <w:lang w:val="en-US" w:eastAsia="zh-CN"/>
        </w:rPr>
        <w:t>监测点</w:t>
      </w:r>
      <w:r>
        <w:rPr>
          <w:rFonts w:hint="default" w:ascii="Times New Roman" w:hAnsi="Times New Roman" w:eastAsia="宋体" w:cs="Times New Roman"/>
          <w:smallCaps w:val="0"/>
          <w:snapToGrid w:val="0"/>
          <w:color w:val="auto"/>
          <w:kern w:val="2"/>
          <w:sz w:val="24"/>
          <w:szCs w:val="24"/>
          <w:lang w:val="en-US" w:eastAsia="zh-CN" w:bidi="ar-SA"/>
        </w:rPr>
        <w:t>1#处地下水为25-A型，</w:t>
      </w:r>
      <w:r>
        <w:rPr>
          <w:rFonts w:hint="default" w:ascii="Times New Roman" w:hAnsi="Times New Roman" w:cs="Times New Roman"/>
          <w:color w:val="auto"/>
          <w:sz w:val="24"/>
        </w:rPr>
        <w:t>表示矿化度小于1.5g/L的HCO</w:t>
      </w:r>
      <w:r>
        <w:rPr>
          <w:rFonts w:hint="default" w:ascii="Times New Roman" w:hAnsi="Times New Roman" w:cs="Times New Roman"/>
          <w:color w:val="auto"/>
          <w:sz w:val="24"/>
          <w:vertAlign w:val="subscript"/>
        </w:rPr>
        <w:t>3</w:t>
      </w:r>
      <w:r>
        <w:rPr>
          <w:rFonts w:hint="default" w:ascii="Times New Roman" w:hAnsi="Times New Roman" w:cs="Times New Roman"/>
          <w:color w:val="auto"/>
          <w:sz w:val="24"/>
          <w:vertAlign w:val="superscript"/>
        </w:rPr>
        <w:t>-</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Cl</w:t>
      </w:r>
      <w:r>
        <w:rPr>
          <w:rFonts w:hint="default" w:ascii="Times New Roman" w:hAnsi="Times New Roman" w:cs="Times New Roman"/>
          <w:color w:val="auto"/>
          <w:sz w:val="24"/>
          <w:vertAlign w:val="superscript"/>
          <w:lang w:val="en-US" w:eastAsia="zh-CN"/>
        </w:rPr>
        <w:t>-</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Ca</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-Na</w:t>
      </w:r>
      <w:r>
        <w:rPr>
          <w:rFonts w:hint="default" w:ascii="Times New Roman" w:hAnsi="Times New Roman" w:cs="Times New Roman"/>
          <w:color w:val="auto"/>
          <w:sz w:val="24"/>
          <w:vertAlign w:val="superscript"/>
          <w:lang w:val="en-US" w:eastAsia="zh-CN"/>
        </w:rPr>
        <w:t>+</w:t>
      </w:r>
      <w:r>
        <w:rPr>
          <w:rFonts w:hint="default" w:ascii="Times New Roman" w:hAnsi="Times New Roman" w:cs="Times New Roman"/>
          <w:color w:val="auto"/>
          <w:sz w:val="24"/>
        </w:rPr>
        <w:t>型水</w:t>
      </w:r>
      <w:r>
        <w:rPr>
          <w:rFonts w:hint="default" w:ascii="Times New Roman" w:hAnsi="Times New Roman" w:cs="Times New Roman"/>
          <w:color w:val="auto"/>
          <w:sz w:val="24"/>
          <w:lang w:eastAsia="zh-CN"/>
        </w:rPr>
        <w:t>，</w:t>
      </w:r>
      <w:r>
        <w:rPr>
          <w:rFonts w:hint="eastAsia" w:cs="Times New Roman"/>
          <w:color w:val="auto"/>
          <w:sz w:val="24"/>
          <w:lang w:val="en-US" w:eastAsia="zh-CN"/>
        </w:rPr>
        <w:t>监测点</w:t>
      </w:r>
      <w:r>
        <w:rPr>
          <w:rFonts w:hint="default" w:ascii="Times New Roman" w:hAnsi="Times New Roman" w:eastAsia="宋体" w:cs="Times New Roman"/>
          <w:smallCaps w:val="0"/>
          <w:snapToGrid w:val="0"/>
          <w:color w:val="auto"/>
          <w:kern w:val="2"/>
          <w:sz w:val="24"/>
          <w:szCs w:val="24"/>
          <w:lang w:val="en-US" w:eastAsia="zh-CN" w:bidi="ar-SA"/>
        </w:rPr>
        <w:t>2#~3#处地下水为4-A型，</w:t>
      </w:r>
      <w:r>
        <w:rPr>
          <w:rFonts w:hint="default" w:ascii="Times New Roman" w:hAnsi="Times New Roman" w:cs="Times New Roman"/>
          <w:color w:val="auto"/>
          <w:sz w:val="24"/>
        </w:rPr>
        <w:t>表示矿化度小于1.5g/L的HCO</w:t>
      </w:r>
      <w:r>
        <w:rPr>
          <w:rFonts w:hint="default" w:ascii="Times New Roman" w:hAnsi="Times New Roman" w:cs="Times New Roman"/>
          <w:color w:val="auto"/>
          <w:sz w:val="24"/>
          <w:vertAlign w:val="subscript"/>
        </w:rPr>
        <w:t>3</w:t>
      </w:r>
      <w:r>
        <w:rPr>
          <w:rFonts w:hint="default" w:ascii="Times New Roman" w:hAnsi="Times New Roman" w:cs="Times New Roman"/>
          <w:color w:val="auto"/>
          <w:sz w:val="24"/>
          <w:vertAlign w:val="superscript"/>
        </w:rPr>
        <w:t>-</w:t>
      </w:r>
      <w:r>
        <w:rPr>
          <w:rFonts w:hint="default" w:ascii="Times New Roman" w:hAnsi="Times New Roman" w:cs="Times New Roman"/>
          <w:color w:val="auto"/>
          <w:sz w:val="24"/>
          <w:lang w:val="en-US" w:eastAsia="zh-CN"/>
        </w:rPr>
        <w:t>-Na</w:t>
      </w:r>
      <w:r>
        <w:rPr>
          <w:rFonts w:hint="default" w:ascii="Times New Roman" w:hAnsi="Times New Roman" w:cs="Times New Roman"/>
          <w:color w:val="auto"/>
          <w:sz w:val="24"/>
          <w:vertAlign w:val="superscript"/>
          <w:lang w:val="en-US" w:eastAsia="zh-CN"/>
        </w:rPr>
        <w:t>+</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Ca</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型水。</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4.2.4声环境质量现状评价</w:t>
      </w:r>
      <w:bookmarkEnd w:id="168"/>
    </w:p>
    <w:p>
      <w:pPr>
        <w:spacing w:line="360" w:lineRule="auto"/>
        <w:outlineLvl w:val="3"/>
        <w:rPr>
          <w:b/>
          <w:color w:val="auto"/>
          <w:sz w:val="24"/>
        </w:rPr>
      </w:pPr>
      <w:r>
        <w:rPr>
          <w:b/>
          <w:color w:val="auto"/>
          <w:sz w:val="24"/>
        </w:rPr>
        <w:t>4.2.4.1声环境现状监测</w:t>
      </w:r>
    </w:p>
    <w:p>
      <w:pPr>
        <w:spacing w:line="360" w:lineRule="auto"/>
        <w:ind w:firstLine="504" w:firstLineChars="210"/>
        <w:rPr>
          <w:color w:val="auto"/>
          <w:sz w:val="24"/>
          <w:lang w:val="zh-CN"/>
        </w:rPr>
      </w:pPr>
      <w:r>
        <w:rPr>
          <w:color w:val="auto"/>
          <w:sz w:val="24"/>
          <w:lang w:val="zh-CN"/>
        </w:rPr>
        <w:t>（1）数据来源</w:t>
      </w:r>
    </w:p>
    <w:p>
      <w:pPr>
        <w:autoSpaceDE w:val="0"/>
        <w:autoSpaceDN w:val="0"/>
        <w:spacing w:line="360" w:lineRule="auto"/>
        <w:ind w:firstLine="480" w:firstLineChars="200"/>
        <w:rPr>
          <w:color w:val="auto"/>
          <w:sz w:val="24"/>
        </w:rPr>
      </w:pPr>
      <w:r>
        <w:rPr>
          <w:color w:val="auto"/>
          <w:sz w:val="24"/>
          <w:lang w:val="zh-CN"/>
        </w:rPr>
        <w:t>本项目声环境质量现状监测数据来自</w:t>
      </w:r>
      <w:r>
        <w:rPr>
          <w:rFonts w:hint="eastAsia"/>
          <w:color w:val="auto"/>
          <w:sz w:val="24"/>
          <w:lang w:eastAsia="zh-CN"/>
        </w:rPr>
        <w:t>黑龙江克巽检测技术有限公司</w:t>
      </w:r>
      <w:r>
        <w:rPr>
          <w:color w:val="auto"/>
          <w:sz w:val="24"/>
        </w:rPr>
        <w:t>，详细情况见附件。</w:t>
      </w:r>
    </w:p>
    <w:p>
      <w:pPr>
        <w:spacing w:line="360" w:lineRule="auto"/>
        <w:ind w:firstLine="504" w:firstLineChars="210"/>
        <w:rPr>
          <w:color w:val="auto"/>
          <w:sz w:val="24"/>
          <w:lang w:val="zh-CN"/>
        </w:rPr>
      </w:pPr>
      <w:r>
        <w:rPr>
          <w:color w:val="auto"/>
          <w:sz w:val="24"/>
          <w:lang w:val="zh-CN"/>
        </w:rPr>
        <w:t>（2）监测点位</w:t>
      </w:r>
    </w:p>
    <w:p>
      <w:pPr>
        <w:spacing w:line="360" w:lineRule="auto"/>
        <w:ind w:firstLine="480" w:firstLineChars="200"/>
        <w:rPr>
          <w:color w:val="auto"/>
          <w:sz w:val="24"/>
        </w:rPr>
      </w:pPr>
      <w:r>
        <w:rPr>
          <w:color w:val="auto"/>
          <w:sz w:val="24"/>
        </w:rPr>
        <w:t>本项目声环境现状监测点位布置具体见表4-2-1</w:t>
      </w:r>
      <w:r>
        <w:rPr>
          <w:rFonts w:hint="eastAsia"/>
          <w:color w:val="auto"/>
          <w:sz w:val="24"/>
        </w:rPr>
        <w:t>4</w:t>
      </w:r>
      <w:r>
        <w:rPr>
          <w:color w:val="auto"/>
          <w:sz w:val="24"/>
        </w:rPr>
        <w:t>和图4-2-</w:t>
      </w:r>
      <w:r>
        <w:rPr>
          <w:rFonts w:hint="eastAsia"/>
          <w:color w:val="auto"/>
          <w:sz w:val="24"/>
          <w:lang w:val="en-US" w:eastAsia="zh-CN"/>
        </w:rPr>
        <w:t>3</w:t>
      </w:r>
      <w:r>
        <w:rPr>
          <w:color w:val="auto"/>
          <w:sz w:val="24"/>
        </w:rPr>
        <w:t>。</w:t>
      </w:r>
    </w:p>
    <w:p>
      <w:pPr>
        <w:spacing w:line="360" w:lineRule="auto"/>
        <w:ind w:firstLine="374"/>
        <w:jc w:val="center"/>
        <w:rPr>
          <w:b/>
          <w:color w:val="auto"/>
          <w:sz w:val="24"/>
        </w:rPr>
      </w:pPr>
      <w:r>
        <w:rPr>
          <w:b/>
          <w:color w:val="auto"/>
          <w:sz w:val="24"/>
        </w:rPr>
        <w:t>表4-2-1</w:t>
      </w:r>
      <w:r>
        <w:rPr>
          <w:rFonts w:hint="eastAsia"/>
          <w:b/>
          <w:color w:val="auto"/>
          <w:sz w:val="24"/>
        </w:rPr>
        <w:t>4</w:t>
      </w:r>
      <w:r>
        <w:rPr>
          <w:b/>
          <w:color w:val="auto"/>
          <w:sz w:val="24"/>
        </w:rPr>
        <w:t>声环境现状监测点位表</w:t>
      </w:r>
    </w:p>
    <w:tbl>
      <w:tblPr>
        <w:tblStyle w:val="46"/>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902"/>
        <w:gridCol w:w="561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3" w:hRule="atLeast"/>
          <w:jc w:val="center"/>
        </w:trPr>
        <w:tc>
          <w:tcPr>
            <w:tcW w:w="1703" w:type="pct"/>
            <w:vAlign w:val="center"/>
          </w:tcPr>
          <w:p>
            <w:pPr>
              <w:jc w:val="center"/>
              <w:rPr>
                <w:color w:val="auto"/>
                <w:szCs w:val="21"/>
              </w:rPr>
            </w:pPr>
            <w:r>
              <w:rPr>
                <w:color w:val="auto"/>
                <w:szCs w:val="21"/>
              </w:rPr>
              <w:t>序号</w:t>
            </w:r>
          </w:p>
        </w:tc>
        <w:tc>
          <w:tcPr>
            <w:tcW w:w="3296" w:type="pct"/>
            <w:vAlign w:val="center"/>
          </w:tcPr>
          <w:p>
            <w:pPr>
              <w:jc w:val="center"/>
              <w:rPr>
                <w:color w:val="auto"/>
                <w:szCs w:val="21"/>
              </w:rPr>
            </w:pPr>
            <w:r>
              <w:rPr>
                <w:color w:val="auto"/>
                <w:szCs w:val="21"/>
              </w:rPr>
              <w:t>监测点名称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3" w:hRule="atLeast"/>
          <w:jc w:val="center"/>
        </w:trPr>
        <w:tc>
          <w:tcPr>
            <w:tcW w:w="1703" w:type="pct"/>
            <w:vAlign w:val="center"/>
          </w:tcPr>
          <w:p>
            <w:pPr>
              <w:jc w:val="center"/>
              <w:rPr>
                <w:color w:val="auto"/>
                <w:szCs w:val="21"/>
              </w:rPr>
            </w:pPr>
            <w:r>
              <w:rPr>
                <w:rFonts w:ascii="Cambria Math" w:hAnsi="Cambria Math" w:cs="Cambria Math"/>
                <w:color w:val="auto"/>
                <w:szCs w:val="21"/>
              </w:rPr>
              <w:t>△</w:t>
            </w:r>
            <w:r>
              <w:rPr>
                <w:color w:val="auto"/>
                <w:szCs w:val="21"/>
              </w:rPr>
              <w:t>1</w:t>
            </w:r>
          </w:p>
        </w:tc>
        <w:tc>
          <w:tcPr>
            <w:tcW w:w="3296" w:type="pct"/>
            <w:vAlign w:val="center"/>
          </w:tcPr>
          <w:p>
            <w:pPr>
              <w:jc w:val="center"/>
              <w:rPr>
                <w:color w:val="auto"/>
                <w:szCs w:val="21"/>
              </w:rPr>
            </w:pPr>
            <w:r>
              <w:rPr>
                <w:color w:val="auto"/>
                <w:szCs w:val="21"/>
              </w:rPr>
              <w:t>厂区东</w:t>
            </w:r>
            <w:r>
              <w:rPr>
                <w:rFonts w:hint="eastAsia"/>
                <w:color w:val="auto"/>
                <w:szCs w:val="21"/>
                <w:lang w:val="en-US" w:eastAsia="zh-CN"/>
              </w:rPr>
              <w:t>北</w:t>
            </w:r>
            <w:r>
              <w:rPr>
                <w:color w:val="auto"/>
                <w:szCs w:val="21"/>
              </w:rPr>
              <w:t>侧厂界外1m处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3" w:hRule="atLeast"/>
          <w:jc w:val="center"/>
        </w:trPr>
        <w:tc>
          <w:tcPr>
            <w:tcW w:w="1703" w:type="pct"/>
            <w:vAlign w:val="center"/>
          </w:tcPr>
          <w:p>
            <w:pPr>
              <w:jc w:val="center"/>
              <w:rPr>
                <w:color w:val="auto"/>
                <w:szCs w:val="21"/>
              </w:rPr>
            </w:pPr>
            <w:r>
              <w:rPr>
                <w:rFonts w:ascii="Cambria Math" w:hAnsi="Cambria Math" w:cs="Cambria Math"/>
                <w:color w:val="auto"/>
                <w:szCs w:val="21"/>
              </w:rPr>
              <w:t>△</w:t>
            </w:r>
            <w:r>
              <w:rPr>
                <w:color w:val="auto"/>
                <w:szCs w:val="21"/>
              </w:rPr>
              <w:t>2</w:t>
            </w:r>
          </w:p>
        </w:tc>
        <w:tc>
          <w:tcPr>
            <w:tcW w:w="3296" w:type="pct"/>
          </w:tcPr>
          <w:p>
            <w:pPr>
              <w:jc w:val="center"/>
              <w:rPr>
                <w:color w:val="auto"/>
                <w:szCs w:val="21"/>
              </w:rPr>
            </w:pPr>
            <w:r>
              <w:rPr>
                <w:color w:val="auto"/>
                <w:szCs w:val="21"/>
              </w:rPr>
              <w:t>厂区</w:t>
            </w:r>
            <w:r>
              <w:rPr>
                <w:rFonts w:hint="eastAsia"/>
                <w:color w:val="auto"/>
                <w:szCs w:val="21"/>
                <w:lang w:val="en-US" w:eastAsia="zh-CN"/>
              </w:rPr>
              <w:t>东</w:t>
            </w:r>
            <w:r>
              <w:rPr>
                <w:color w:val="auto"/>
                <w:szCs w:val="21"/>
              </w:rPr>
              <w:t>南侧厂界外1m处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3" w:hRule="atLeast"/>
          <w:jc w:val="center"/>
        </w:trPr>
        <w:tc>
          <w:tcPr>
            <w:tcW w:w="1703" w:type="pct"/>
            <w:vAlign w:val="center"/>
          </w:tcPr>
          <w:p>
            <w:pPr>
              <w:jc w:val="center"/>
              <w:rPr>
                <w:color w:val="auto"/>
                <w:szCs w:val="21"/>
              </w:rPr>
            </w:pPr>
            <w:r>
              <w:rPr>
                <w:rFonts w:ascii="Cambria Math" w:hAnsi="Cambria Math" w:cs="Cambria Math"/>
                <w:color w:val="auto"/>
                <w:szCs w:val="21"/>
              </w:rPr>
              <w:t>△</w:t>
            </w:r>
            <w:r>
              <w:rPr>
                <w:color w:val="auto"/>
                <w:szCs w:val="21"/>
              </w:rPr>
              <w:t>3</w:t>
            </w:r>
          </w:p>
        </w:tc>
        <w:tc>
          <w:tcPr>
            <w:tcW w:w="3296" w:type="pct"/>
          </w:tcPr>
          <w:p>
            <w:pPr>
              <w:jc w:val="center"/>
              <w:rPr>
                <w:color w:val="auto"/>
                <w:szCs w:val="21"/>
              </w:rPr>
            </w:pPr>
            <w:r>
              <w:rPr>
                <w:color w:val="auto"/>
                <w:szCs w:val="21"/>
              </w:rPr>
              <w:t>厂区西</w:t>
            </w:r>
            <w:r>
              <w:rPr>
                <w:rFonts w:hint="eastAsia"/>
                <w:color w:val="auto"/>
                <w:szCs w:val="21"/>
                <w:lang w:val="en-US" w:eastAsia="zh-CN"/>
              </w:rPr>
              <w:t>南</w:t>
            </w:r>
            <w:r>
              <w:rPr>
                <w:color w:val="auto"/>
                <w:szCs w:val="21"/>
              </w:rPr>
              <w:t>侧厂界外1m处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2" w:hRule="atLeast"/>
          <w:jc w:val="center"/>
        </w:trPr>
        <w:tc>
          <w:tcPr>
            <w:tcW w:w="1703" w:type="pct"/>
            <w:vAlign w:val="center"/>
          </w:tcPr>
          <w:p>
            <w:pPr>
              <w:jc w:val="center"/>
              <w:rPr>
                <w:color w:val="auto"/>
                <w:szCs w:val="21"/>
              </w:rPr>
            </w:pPr>
            <w:r>
              <w:rPr>
                <w:rFonts w:ascii="Cambria Math" w:hAnsi="Cambria Math" w:cs="Cambria Math"/>
                <w:color w:val="auto"/>
                <w:szCs w:val="21"/>
              </w:rPr>
              <w:t>△</w:t>
            </w:r>
            <w:r>
              <w:rPr>
                <w:color w:val="auto"/>
                <w:szCs w:val="21"/>
              </w:rPr>
              <w:t>4</w:t>
            </w:r>
          </w:p>
        </w:tc>
        <w:tc>
          <w:tcPr>
            <w:tcW w:w="3296" w:type="pct"/>
          </w:tcPr>
          <w:p>
            <w:pPr>
              <w:jc w:val="center"/>
              <w:rPr>
                <w:color w:val="auto"/>
                <w:szCs w:val="21"/>
              </w:rPr>
            </w:pPr>
            <w:r>
              <w:rPr>
                <w:color w:val="auto"/>
                <w:szCs w:val="21"/>
              </w:rPr>
              <w:t>厂区</w:t>
            </w:r>
            <w:r>
              <w:rPr>
                <w:rFonts w:hint="eastAsia"/>
                <w:color w:val="auto"/>
                <w:szCs w:val="21"/>
                <w:lang w:val="en-US" w:eastAsia="zh-CN"/>
              </w:rPr>
              <w:t>西</w:t>
            </w:r>
            <w:r>
              <w:rPr>
                <w:color w:val="auto"/>
                <w:szCs w:val="21"/>
              </w:rPr>
              <w:t>北侧厂界外1m处</w:t>
            </w:r>
          </w:p>
        </w:tc>
      </w:tr>
    </w:tbl>
    <w:p>
      <w:pPr>
        <w:keepNext w:val="0"/>
        <w:keepLines w:val="0"/>
        <w:pageBreakBefore w:val="0"/>
        <w:widowControl w:val="0"/>
        <w:kinsoku/>
        <w:wordWrap/>
        <w:overflowPunct/>
        <w:topLinePunct w:val="0"/>
        <w:autoSpaceDE/>
        <w:autoSpaceDN/>
        <w:bidi w:val="0"/>
        <w:adjustRightInd/>
        <w:snapToGrid/>
        <w:jc w:val="center"/>
        <w:textAlignment w:val="auto"/>
        <w:rPr>
          <w:color w:val="auto"/>
          <w:sz w:val="24"/>
          <w:lang w:val="zh-CN"/>
        </w:rPr>
      </w:pPr>
      <w:r>
        <w:rPr>
          <w:color w:val="auto"/>
        </w:rPr>
        <w:drawing>
          <wp:inline distT="0" distB="0" distL="114300" distR="114300">
            <wp:extent cx="5269230" cy="3656330"/>
            <wp:effectExtent l="0" t="0" r="7620" b="1270"/>
            <wp:docPr id="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9"/>
                    <pic:cNvPicPr>
                      <a:picLocks noChangeAspect="1"/>
                    </pic:cNvPicPr>
                  </pic:nvPicPr>
                  <pic:blipFill>
                    <a:blip r:embed="rId52"/>
                    <a:stretch>
                      <a:fillRect/>
                    </a:stretch>
                  </pic:blipFill>
                  <pic:spPr>
                    <a:xfrm>
                      <a:off x="0" y="0"/>
                      <a:ext cx="5269230" cy="3656330"/>
                    </a:xfrm>
                    <a:prstGeom prst="rect">
                      <a:avLst/>
                    </a:prstGeom>
                    <a:noFill/>
                    <a:ln>
                      <a:noFill/>
                    </a:ln>
                  </pic:spPr>
                </pic:pic>
              </a:graphicData>
            </a:graphic>
          </wp:inline>
        </w:drawing>
      </w:r>
    </w:p>
    <w:p>
      <w:pPr>
        <w:tabs>
          <w:tab w:val="center" w:pos="4153"/>
          <w:tab w:val="right" w:pos="8306"/>
        </w:tabs>
        <w:snapToGrid w:val="0"/>
        <w:ind w:firstLine="482" w:firstLineChars="200"/>
        <w:jc w:val="center"/>
        <w:rPr>
          <w:b/>
          <w:color w:val="auto"/>
          <w:sz w:val="24"/>
        </w:rPr>
      </w:pPr>
      <w:r>
        <w:rPr>
          <w:b/>
          <w:color w:val="auto"/>
          <w:sz w:val="24"/>
        </w:rPr>
        <w:t>图4-2</w:t>
      </w:r>
      <w:r>
        <w:rPr>
          <w:rFonts w:hint="eastAsia"/>
          <w:b/>
          <w:color w:val="auto"/>
          <w:sz w:val="24"/>
        </w:rPr>
        <w:t>-</w:t>
      </w:r>
      <w:r>
        <w:rPr>
          <w:rFonts w:hint="eastAsia"/>
          <w:b/>
          <w:color w:val="auto"/>
          <w:sz w:val="24"/>
          <w:lang w:val="en-US" w:eastAsia="zh-CN"/>
        </w:rPr>
        <w:t>3</w:t>
      </w:r>
      <w:r>
        <w:rPr>
          <w:b/>
          <w:color w:val="auto"/>
          <w:sz w:val="24"/>
        </w:rPr>
        <w:t>声环境监测点位</w:t>
      </w:r>
    </w:p>
    <w:p>
      <w:pPr>
        <w:spacing w:line="500" w:lineRule="exact"/>
        <w:ind w:firstLine="504" w:firstLineChars="210"/>
        <w:rPr>
          <w:color w:val="auto"/>
          <w:sz w:val="24"/>
          <w:lang w:val="zh-CN"/>
        </w:rPr>
      </w:pPr>
      <w:r>
        <w:rPr>
          <w:color w:val="auto"/>
          <w:sz w:val="24"/>
          <w:lang w:val="zh-CN"/>
        </w:rPr>
        <w:t>（3）监测时间</w:t>
      </w:r>
    </w:p>
    <w:p>
      <w:pPr>
        <w:spacing w:line="500" w:lineRule="exact"/>
        <w:ind w:firstLine="504" w:firstLineChars="210"/>
        <w:rPr>
          <w:color w:val="auto"/>
          <w:sz w:val="24"/>
          <w:lang w:val="zh-CN"/>
        </w:rPr>
      </w:pPr>
      <w:r>
        <w:rPr>
          <w:color w:val="auto"/>
          <w:sz w:val="24"/>
          <w:lang w:val="zh-CN"/>
        </w:rPr>
        <w:t>202</w:t>
      </w:r>
      <w:r>
        <w:rPr>
          <w:rFonts w:hint="eastAsia"/>
          <w:color w:val="auto"/>
          <w:sz w:val="24"/>
          <w:lang w:val="zh-CN"/>
        </w:rPr>
        <w:t>3</w:t>
      </w:r>
      <w:r>
        <w:rPr>
          <w:color w:val="auto"/>
          <w:sz w:val="24"/>
          <w:lang w:val="zh-CN"/>
        </w:rPr>
        <w:t>年</w:t>
      </w:r>
      <w:r>
        <w:rPr>
          <w:rFonts w:hint="eastAsia"/>
          <w:color w:val="auto"/>
          <w:sz w:val="24"/>
          <w:lang w:val="en-US" w:eastAsia="zh-CN"/>
        </w:rPr>
        <w:t>08</w:t>
      </w:r>
      <w:r>
        <w:rPr>
          <w:color w:val="auto"/>
          <w:sz w:val="24"/>
          <w:lang w:val="zh-CN"/>
        </w:rPr>
        <w:t>月</w:t>
      </w:r>
      <w:r>
        <w:rPr>
          <w:rFonts w:hint="eastAsia"/>
          <w:color w:val="auto"/>
          <w:sz w:val="24"/>
          <w:lang w:val="en-US" w:eastAsia="zh-CN"/>
        </w:rPr>
        <w:t>29</w:t>
      </w:r>
      <w:r>
        <w:rPr>
          <w:color w:val="auto"/>
          <w:sz w:val="24"/>
          <w:lang w:val="zh-CN"/>
        </w:rPr>
        <w:t>日~</w:t>
      </w:r>
      <w:r>
        <w:rPr>
          <w:rFonts w:hint="eastAsia"/>
          <w:color w:val="auto"/>
          <w:sz w:val="24"/>
          <w:lang w:val="en-US" w:eastAsia="zh-CN"/>
        </w:rPr>
        <w:t>30</w:t>
      </w:r>
      <w:r>
        <w:rPr>
          <w:color w:val="auto"/>
          <w:sz w:val="24"/>
          <w:lang w:val="zh-CN"/>
        </w:rPr>
        <w:t>日，连续两天。</w:t>
      </w:r>
    </w:p>
    <w:p>
      <w:pPr>
        <w:spacing w:line="500" w:lineRule="exact"/>
        <w:ind w:firstLine="504" w:firstLineChars="210"/>
        <w:rPr>
          <w:color w:val="auto"/>
          <w:sz w:val="24"/>
          <w:lang w:val="zh-CN"/>
        </w:rPr>
      </w:pPr>
      <w:r>
        <w:rPr>
          <w:color w:val="auto"/>
          <w:sz w:val="24"/>
          <w:lang w:val="zh-CN"/>
        </w:rPr>
        <w:t>（4）监测结果</w:t>
      </w:r>
    </w:p>
    <w:p>
      <w:pPr>
        <w:spacing w:line="500" w:lineRule="exact"/>
        <w:ind w:firstLine="504" w:firstLineChars="210"/>
        <w:rPr>
          <w:color w:val="auto"/>
          <w:sz w:val="24"/>
          <w:lang w:val="zh-CN"/>
        </w:rPr>
      </w:pPr>
      <w:r>
        <w:rPr>
          <w:color w:val="auto"/>
          <w:sz w:val="24"/>
          <w:lang w:val="zh-CN"/>
        </w:rPr>
        <w:t>监测结果见表4-2-1</w:t>
      </w:r>
      <w:r>
        <w:rPr>
          <w:rFonts w:hint="eastAsia"/>
          <w:color w:val="auto"/>
          <w:sz w:val="24"/>
          <w:lang w:val="zh-CN"/>
        </w:rPr>
        <w:t>5</w:t>
      </w:r>
      <w:r>
        <w:rPr>
          <w:color w:val="auto"/>
          <w:sz w:val="24"/>
          <w:lang w:val="zh-CN"/>
        </w:rPr>
        <w:t>。</w:t>
      </w:r>
    </w:p>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b/>
          <w:color w:val="auto"/>
          <w:sz w:val="24"/>
        </w:rPr>
      </w:pPr>
      <w:r>
        <w:rPr>
          <w:b/>
          <w:color w:val="auto"/>
          <w:sz w:val="24"/>
        </w:rPr>
        <w:t>表4-2-1</w:t>
      </w:r>
      <w:r>
        <w:rPr>
          <w:rFonts w:hint="eastAsia"/>
          <w:b/>
          <w:color w:val="auto"/>
          <w:sz w:val="24"/>
        </w:rPr>
        <w:t>5</w:t>
      </w:r>
      <w:r>
        <w:rPr>
          <w:b/>
          <w:color w:val="auto"/>
          <w:sz w:val="24"/>
        </w:rPr>
        <w:t>声环境现状监测结果</w:t>
      </w:r>
    </w:p>
    <w:tbl>
      <w:tblPr>
        <w:tblStyle w:val="46"/>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54"/>
        <w:gridCol w:w="1551"/>
        <w:gridCol w:w="1561"/>
        <w:gridCol w:w="1478"/>
        <w:gridCol w:w="1352"/>
        <w:gridCol w:w="122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6" w:hRule="atLeast"/>
          <w:jc w:val="center"/>
        </w:trPr>
        <w:tc>
          <w:tcPr>
            <w:tcW w:w="795" w:type="pct"/>
            <w:vMerge w:val="restart"/>
            <w:tcBorders>
              <w:top w:val="single" w:color="auto" w:sz="12" w:space="0"/>
              <w:left w:val="nil"/>
              <w:bottom w:val="single" w:color="auto" w:sz="6" w:space="0"/>
              <w:right w:val="single" w:color="auto" w:sz="6" w:space="0"/>
            </w:tcBorders>
            <w:vAlign w:val="center"/>
          </w:tcPr>
          <w:p>
            <w:pPr>
              <w:jc w:val="center"/>
              <w:rPr>
                <w:color w:val="auto"/>
                <w:szCs w:val="21"/>
              </w:rPr>
            </w:pPr>
            <w:r>
              <w:rPr>
                <w:color w:val="auto"/>
                <w:szCs w:val="21"/>
              </w:rPr>
              <w:t>监测点位</w:t>
            </w:r>
          </w:p>
        </w:tc>
        <w:tc>
          <w:tcPr>
            <w:tcW w:w="1826" w:type="pct"/>
            <w:gridSpan w:val="2"/>
            <w:tcBorders>
              <w:top w:val="single" w:color="auto" w:sz="12" w:space="0"/>
              <w:left w:val="single" w:color="auto" w:sz="6" w:space="0"/>
              <w:bottom w:val="single" w:color="auto" w:sz="6" w:space="0"/>
              <w:right w:val="single" w:color="auto" w:sz="6" w:space="0"/>
            </w:tcBorders>
            <w:vAlign w:val="center"/>
          </w:tcPr>
          <w:p>
            <w:pPr>
              <w:widowControl/>
              <w:jc w:val="center"/>
              <w:rPr>
                <w:rFonts w:hint="default" w:eastAsia="宋体"/>
                <w:color w:val="auto"/>
                <w:szCs w:val="21"/>
                <w:lang w:val="en-US" w:eastAsia="zh-CN"/>
              </w:rPr>
            </w:pPr>
            <w:r>
              <w:rPr>
                <w:rFonts w:hint="eastAsia"/>
                <w:color w:val="auto"/>
              </w:rPr>
              <w:t>2023.</w:t>
            </w:r>
            <w:r>
              <w:rPr>
                <w:rFonts w:hint="eastAsia"/>
                <w:color w:val="auto"/>
                <w:lang w:val="en-US" w:eastAsia="zh-CN"/>
              </w:rPr>
              <w:t>08.29</w:t>
            </w:r>
          </w:p>
        </w:tc>
        <w:tc>
          <w:tcPr>
            <w:tcW w:w="1660" w:type="pct"/>
            <w:gridSpan w:val="2"/>
            <w:tcBorders>
              <w:top w:val="single" w:color="auto" w:sz="12" w:space="0"/>
              <w:left w:val="single" w:color="auto" w:sz="6" w:space="0"/>
              <w:bottom w:val="single" w:color="auto" w:sz="6" w:space="0"/>
              <w:right w:val="single" w:color="auto" w:sz="6" w:space="0"/>
            </w:tcBorders>
            <w:vAlign w:val="center"/>
          </w:tcPr>
          <w:p>
            <w:pPr>
              <w:widowControl/>
              <w:jc w:val="center"/>
              <w:rPr>
                <w:rFonts w:hint="default" w:eastAsia="宋体"/>
                <w:color w:val="auto"/>
                <w:szCs w:val="21"/>
                <w:lang w:val="en-US" w:eastAsia="zh-CN"/>
              </w:rPr>
            </w:pPr>
            <w:r>
              <w:rPr>
                <w:rFonts w:hint="eastAsia"/>
                <w:color w:val="auto"/>
              </w:rPr>
              <w:t>2023.</w:t>
            </w:r>
            <w:r>
              <w:rPr>
                <w:rFonts w:hint="eastAsia"/>
                <w:color w:val="auto"/>
                <w:lang w:val="en-US" w:eastAsia="zh-CN"/>
              </w:rPr>
              <w:t>08.30</w:t>
            </w:r>
          </w:p>
        </w:tc>
        <w:tc>
          <w:tcPr>
            <w:tcW w:w="718" w:type="pct"/>
            <w:vMerge w:val="restart"/>
            <w:tcBorders>
              <w:top w:val="single" w:color="auto" w:sz="12" w:space="0"/>
              <w:left w:val="single" w:color="auto" w:sz="6" w:space="0"/>
              <w:bottom w:val="single" w:color="auto" w:sz="6" w:space="0"/>
              <w:right w:val="nil"/>
            </w:tcBorders>
            <w:vAlign w:val="center"/>
          </w:tcPr>
          <w:p>
            <w:pPr>
              <w:widowControl/>
              <w:jc w:val="center"/>
              <w:rPr>
                <w:color w:val="auto"/>
                <w:szCs w:val="21"/>
              </w:rPr>
            </w:pPr>
            <w:r>
              <w:rPr>
                <w:color w:val="auto"/>
                <w:szCs w:val="21"/>
              </w:rPr>
              <w:t>单位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6" w:hRule="atLeast"/>
          <w:jc w:val="center"/>
        </w:trPr>
        <w:tc>
          <w:tcPr>
            <w:tcW w:w="795" w:type="pct"/>
            <w:vMerge w:val="continue"/>
            <w:tcBorders>
              <w:top w:val="single" w:color="auto" w:sz="12" w:space="0"/>
              <w:left w:val="nil"/>
              <w:bottom w:val="single" w:color="auto" w:sz="6" w:space="0"/>
              <w:right w:val="single" w:color="auto" w:sz="6" w:space="0"/>
            </w:tcBorders>
            <w:vAlign w:val="center"/>
          </w:tcPr>
          <w:p>
            <w:pPr>
              <w:widowControl/>
              <w:jc w:val="left"/>
              <w:rPr>
                <w:color w:val="auto"/>
                <w:szCs w:val="21"/>
              </w:rPr>
            </w:pPr>
          </w:p>
        </w:tc>
        <w:tc>
          <w:tcPr>
            <w:tcW w:w="910" w:type="pct"/>
            <w:tcBorders>
              <w:top w:val="single" w:color="auto" w:sz="6" w:space="0"/>
              <w:left w:val="single" w:color="auto" w:sz="6" w:space="0"/>
              <w:bottom w:val="single" w:color="auto" w:sz="6" w:space="0"/>
              <w:right w:val="single" w:color="auto" w:sz="6" w:space="0"/>
            </w:tcBorders>
            <w:vAlign w:val="center"/>
          </w:tcPr>
          <w:p>
            <w:pPr>
              <w:jc w:val="center"/>
              <w:rPr>
                <w:color w:val="auto"/>
                <w:szCs w:val="21"/>
              </w:rPr>
            </w:pPr>
            <w:r>
              <w:rPr>
                <w:color w:val="auto"/>
                <w:szCs w:val="21"/>
              </w:rPr>
              <w:t>昼间</w:t>
            </w:r>
          </w:p>
        </w:tc>
        <w:tc>
          <w:tcPr>
            <w:tcW w:w="915" w:type="pct"/>
            <w:tcBorders>
              <w:top w:val="single" w:color="auto" w:sz="6" w:space="0"/>
              <w:left w:val="single" w:color="auto" w:sz="6" w:space="0"/>
              <w:bottom w:val="single" w:color="auto" w:sz="6" w:space="0"/>
              <w:right w:val="single" w:color="auto" w:sz="6" w:space="0"/>
            </w:tcBorders>
            <w:vAlign w:val="center"/>
          </w:tcPr>
          <w:p>
            <w:pPr>
              <w:jc w:val="center"/>
              <w:rPr>
                <w:color w:val="auto"/>
                <w:szCs w:val="21"/>
              </w:rPr>
            </w:pPr>
            <w:r>
              <w:rPr>
                <w:color w:val="auto"/>
                <w:szCs w:val="21"/>
              </w:rPr>
              <w:t>夜间</w:t>
            </w:r>
          </w:p>
        </w:tc>
        <w:tc>
          <w:tcPr>
            <w:tcW w:w="867" w:type="pct"/>
            <w:tcBorders>
              <w:top w:val="single" w:color="auto" w:sz="6" w:space="0"/>
              <w:left w:val="single" w:color="auto" w:sz="6" w:space="0"/>
              <w:bottom w:val="single" w:color="auto" w:sz="6" w:space="0"/>
              <w:right w:val="single" w:color="auto" w:sz="6" w:space="0"/>
            </w:tcBorders>
            <w:vAlign w:val="center"/>
          </w:tcPr>
          <w:p>
            <w:pPr>
              <w:jc w:val="center"/>
              <w:rPr>
                <w:color w:val="auto"/>
                <w:szCs w:val="21"/>
              </w:rPr>
            </w:pPr>
            <w:r>
              <w:rPr>
                <w:color w:val="auto"/>
                <w:szCs w:val="21"/>
              </w:rPr>
              <w:t>昼间</w:t>
            </w:r>
          </w:p>
        </w:tc>
        <w:tc>
          <w:tcPr>
            <w:tcW w:w="792" w:type="pct"/>
            <w:tcBorders>
              <w:top w:val="single" w:color="auto" w:sz="6" w:space="0"/>
              <w:left w:val="single" w:color="auto" w:sz="6" w:space="0"/>
              <w:bottom w:val="single" w:color="auto" w:sz="6" w:space="0"/>
              <w:right w:val="single" w:color="auto" w:sz="6" w:space="0"/>
            </w:tcBorders>
            <w:vAlign w:val="center"/>
          </w:tcPr>
          <w:p>
            <w:pPr>
              <w:jc w:val="center"/>
              <w:rPr>
                <w:color w:val="auto"/>
                <w:szCs w:val="21"/>
              </w:rPr>
            </w:pPr>
            <w:r>
              <w:rPr>
                <w:color w:val="auto"/>
                <w:szCs w:val="21"/>
              </w:rPr>
              <w:t>夜间</w:t>
            </w:r>
          </w:p>
        </w:tc>
        <w:tc>
          <w:tcPr>
            <w:tcW w:w="718" w:type="pct"/>
            <w:vMerge w:val="continue"/>
            <w:tcBorders>
              <w:top w:val="single" w:color="auto" w:sz="12" w:space="0"/>
              <w:left w:val="single" w:color="auto" w:sz="6" w:space="0"/>
              <w:bottom w:val="single" w:color="auto" w:sz="6" w:space="0"/>
              <w:right w:val="nil"/>
            </w:tcBorders>
            <w:vAlign w:val="center"/>
          </w:tcPr>
          <w:p>
            <w:pPr>
              <w:widowControl/>
              <w:jc w:val="left"/>
              <w:rPr>
                <w:color w:val="auto"/>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6" w:hRule="atLeast"/>
          <w:jc w:val="center"/>
        </w:trPr>
        <w:tc>
          <w:tcPr>
            <w:tcW w:w="795" w:type="pct"/>
            <w:tcBorders>
              <w:top w:val="single" w:color="auto" w:sz="6" w:space="0"/>
              <w:left w:val="nil"/>
              <w:bottom w:val="single" w:color="auto" w:sz="6" w:space="0"/>
              <w:right w:val="single" w:color="auto" w:sz="6" w:space="0"/>
            </w:tcBorders>
            <w:vAlign w:val="center"/>
          </w:tcPr>
          <w:p>
            <w:pPr>
              <w:jc w:val="center"/>
              <w:rPr>
                <w:color w:val="auto"/>
                <w:szCs w:val="21"/>
              </w:rPr>
            </w:pPr>
            <w:r>
              <w:rPr>
                <w:rFonts w:ascii="Cambria Math" w:hAnsi="Cambria Math" w:cs="Cambria Math"/>
                <w:color w:val="auto"/>
                <w:szCs w:val="21"/>
              </w:rPr>
              <w:t>△</w:t>
            </w:r>
            <w:r>
              <w:rPr>
                <w:color w:val="auto"/>
                <w:szCs w:val="21"/>
              </w:rPr>
              <w:t>1</w:t>
            </w:r>
          </w:p>
        </w:tc>
        <w:tc>
          <w:tcPr>
            <w:tcW w:w="1551" w:type="dxa"/>
            <w:tcBorders>
              <w:top w:val="single" w:color="auto" w:sz="6" w:space="0"/>
              <w:left w:val="single" w:color="auto" w:sz="6" w:space="0"/>
              <w:bottom w:val="single" w:color="auto" w:sz="6" w:space="0"/>
              <w:right w:val="single" w:color="auto" w:sz="6" w:space="0"/>
            </w:tcBorders>
            <w:vAlign w:val="center"/>
          </w:tcPr>
          <w:p>
            <w:pPr>
              <w:pStyle w:val="58"/>
              <w:jc w:val="center"/>
              <w:rPr>
                <w:color w:val="auto"/>
                <w:kern w:val="0"/>
              </w:rPr>
            </w:pPr>
            <w:r>
              <w:rPr>
                <w:rFonts w:hint="eastAsia" w:ascii="Times New Roman" w:eastAsia="宋体"/>
                <w:color w:val="auto"/>
                <w:sz w:val="21"/>
                <w:szCs w:val="21"/>
                <w:lang w:val="en-US" w:eastAsia="zh-CN"/>
              </w:rPr>
              <w:t>55</w:t>
            </w:r>
          </w:p>
        </w:tc>
        <w:tc>
          <w:tcPr>
            <w:tcW w:w="1561" w:type="dxa"/>
            <w:tcBorders>
              <w:top w:val="single" w:color="auto" w:sz="6" w:space="0"/>
              <w:left w:val="single" w:color="auto" w:sz="6" w:space="0"/>
              <w:bottom w:val="single" w:color="auto" w:sz="6" w:space="0"/>
              <w:right w:val="single" w:color="auto" w:sz="6" w:space="0"/>
            </w:tcBorders>
            <w:vAlign w:val="center"/>
          </w:tcPr>
          <w:p>
            <w:pPr>
              <w:pStyle w:val="58"/>
              <w:jc w:val="center"/>
              <w:rPr>
                <w:rFonts w:ascii="Times New Roman" w:hAnsi="Times New Roman" w:cs="Times New Roman"/>
                <w:color w:val="auto"/>
                <w:sz w:val="21"/>
              </w:rPr>
            </w:pPr>
            <w:r>
              <w:rPr>
                <w:rFonts w:hint="eastAsia" w:ascii="Times New Roman" w:eastAsia="宋体"/>
                <w:color w:val="auto"/>
                <w:sz w:val="21"/>
                <w:szCs w:val="21"/>
                <w:lang w:val="en-US" w:eastAsia="zh-CN"/>
              </w:rPr>
              <w:t>44</w:t>
            </w:r>
          </w:p>
        </w:tc>
        <w:tc>
          <w:tcPr>
            <w:tcW w:w="1478" w:type="dxa"/>
            <w:tcBorders>
              <w:top w:val="single" w:color="auto" w:sz="6" w:space="0"/>
              <w:left w:val="single" w:color="auto" w:sz="6" w:space="0"/>
              <w:bottom w:val="single" w:color="auto" w:sz="6" w:space="0"/>
              <w:right w:val="single" w:color="auto" w:sz="6" w:space="0"/>
            </w:tcBorders>
            <w:vAlign w:val="center"/>
          </w:tcPr>
          <w:p>
            <w:pPr>
              <w:pStyle w:val="58"/>
              <w:jc w:val="center"/>
              <w:rPr>
                <w:color w:val="auto"/>
                <w:kern w:val="0"/>
              </w:rPr>
            </w:pPr>
            <w:r>
              <w:rPr>
                <w:rFonts w:hint="eastAsia" w:ascii="Times New Roman" w:eastAsia="宋体"/>
                <w:color w:val="auto"/>
                <w:sz w:val="21"/>
                <w:szCs w:val="21"/>
                <w:lang w:val="en-US" w:eastAsia="zh-CN"/>
              </w:rPr>
              <w:t>56</w:t>
            </w:r>
          </w:p>
        </w:tc>
        <w:tc>
          <w:tcPr>
            <w:tcW w:w="1352" w:type="dxa"/>
            <w:tcBorders>
              <w:top w:val="single" w:color="auto" w:sz="6" w:space="0"/>
              <w:left w:val="single" w:color="auto" w:sz="6" w:space="0"/>
              <w:bottom w:val="single" w:color="auto" w:sz="6" w:space="0"/>
              <w:right w:val="single" w:color="auto" w:sz="6" w:space="0"/>
            </w:tcBorders>
            <w:vAlign w:val="center"/>
          </w:tcPr>
          <w:p>
            <w:pPr>
              <w:pStyle w:val="58"/>
              <w:jc w:val="center"/>
              <w:rPr>
                <w:rFonts w:ascii="Times New Roman" w:hAnsi="Times New Roman" w:cs="Times New Roman"/>
                <w:color w:val="auto"/>
                <w:sz w:val="21"/>
              </w:rPr>
            </w:pPr>
            <w:r>
              <w:rPr>
                <w:rFonts w:hint="eastAsia" w:ascii="Times New Roman" w:eastAsia="宋体"/>
                <w:color w:val="auto"/>
                <w:sz w:val="21"/>
                <w:szCs w:val="21"/>
                <w:lang w:val="en-US" w:eastAsia="zh-CN"/>
              </w:rPr>
              <w:t>43</w:t>
            </w:r>
          </w:p>
        </w:tc>
        <w:tc>
          <w:tcPr>
            <w:tcW w:w="718" w:type="pct"/>
            <w:vMerge w:val="restart"/>
            <w:tcBorders>
              <w:top w:val="single" w:color="auto" w:sz="6" w:space="0"/>
              <w:left w:val="single" w:color="auto" w:sz="6" w:space="0"/>
              <w:right w:val="nil"/>
            </w:tcBorders>
            <w:vAlign w:val="center"/>
          </w:tcPr>
          <w:p>
            <w:pPr>
              <w:widowControl/>
              <w:jc w:val="center"/>
              <w:rPr>
                <w:color w:val="auto"/>
                <w:szCs w:val="21"/>
              </w:rPr>
            </w:pPr>
            <w:r>
              <w:rPr>
                <w:color w:val="auto"/>
                <w:szCs w:val="21"/>
              </w:rPr>
              <w:t>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6" w:hRule="atLeast"/>
          <w:jc w:val="center"/>
        </w:trPr>
        <w:tc>
          <w:tcPr>
            <w:tcW w:w="795" w:type="pct"/>
            <w:tcBorders>
              <w:top w:val="single" w:color="auto" w:sz="6" w:space="0"/>
              <w:left w:val="nil"/>
              <w:bottom w:val="single" w:color="auto" w:sz="6" w:space="0"/>
              <w:right w:val="single" w:color="auto" w:sz="6" w:space="0"/>
            </w:tcBorders>
            <w:vAlign w:val="center"/>
          </w:tcPr>
          <w:p>
            <w:pPr>
              <w:jc w:val="center"/>
              <w:rPr>
                <w:color w:val="auto"/>
                <w:szCs w:val="21"/>
              </w:rPr>
            </w:pPr>
            <w:r>
              <w:rPr>
                <w:rFonts w:ascii="Cambria Math" w:hAnsi="Cambria Math" w:cs="Cambria Math"/>
                <w:color w:val="auto"/>
                <w:szCs w:val="21"/>
              </w:rPr>
              <w:t>△</w:t>
            </w:r>
            <w:r>
              <w:rPr>
                <w:color w:val="auto"/>
                <w:szCs w:val="21"/>
              </w:rPr>
              <w:t>2</w:t>
            </w:r>
          </w:p>
        </w:tc>
        <w:tc>
          <w:tcPr>
            <w:tcW w:w="1551" w:type="dxa"/>
            <w:tcBorders>
              <w:top w:val="single" w:color="auto" w:sz="6" w:space="0"/>
              <w:left w:val="single" w:color="auto" w:sz="6" w:space="0"/>
              <w:bottom w:val="single" w:color="auto" w:sz="6" w:space="0"/>
              <w:right w:val="single" w:color="auto" w:sz="6" w:space="0"/>
            </w:tcBorders>
            <w:vAlign w:val="center"/>
          </w:tcPr>
          <w:p>
            <w:pPr>
              <w:pStyle w:val="58"/>
              <w:jc w:val="center"/>
              <w:rPr>
                <w:color w:val="FF0000"/>
                <w:kern w:val="0"/>
              </w:rPr>
            </w:pPr>
            <w:r>
              <w:rPr>
                <w:rFonts w:hint="eastAsia" w:ascii="Times New Roman" w:eastAsia="宋体"/>
                <w:color w:val="auto"/>
                <w:sz w:val="21"/>
                <w:szCs w:val="21"/>
                <w:lang w:val="en-US" w:eastAsia="zh-CN"/>
              </w:rPr>
              <w:t>56</w:t>
            </w:r>
          </w:p>
        </w:tc>
        <w:tc>
          <w:tcPr>
            <w:tcW w:w="1561" w:type="dxa"/>
            <w:tcBorders>
              <w:top w:val="single" w:color="auto" w:sz="6" w:space="0"/>
              <w:left w:val="single" w:color="auto" w:sz="6" w:space="0"/>
              <w:bottom w:val="single" w:color="auto" w:sz="6" w:space="0"/>
              <w:right w:val="single" w:color="auto" w:sz="6" w:space="0"/>
            </w:tcBorders>
            <w:vAlign w:val="center"/>
          </w:tcPr>
          <w:p>
            <w:pPr>
              <w:pStyle w:val="58"/>
              <w:jc w:val="center"/>
              <w:rPr>
                <w:rFonts w:ascii="Times New Roman" w:hAnsi="Times New Roman" w:cs="Times New Roman"/>
                <w:color w:val="FF0000"/>
                <w:sz w:val="21"/>
              </w:rPr>
            </w:pPr>
            <w:r>
              <w:rPr>
                <w:rFonts w:hint="eastAsia" w:ascii="Times New Roman" w:eastAsia="宋体"/>
                <w:color w:val="auto"/>
                <w:sz w:val="21"/>
                <w:szCs w:val="21"/>
                <w:lang w:val="en-US" w:eastAsia="zh-CN"/>
              </w:rPr>
              <w:t>45</w:t>
            </w:r>
          </w:p>
        </w:tc>
        <w:tc>
          <w:tcPr>
            <w:tcW w:w="1478" w:type="dxa"/>
            <w:tcBorders>
              <w:top w:val="single" w:color="auto" w:sz="6" w:space="0"/>
              <w:left w:val="single" w:color="auto" w:sz="6" w:space="0"/>
              <w:bottom w:val="single" w:color="auto" w:sz="6" w:space="0"/>
              <w:right w:val="single" w:color="auto" w:sz="6" w:space="0"/>
            </w:tcBorders>
            <w:vAlign w:val="center"/>
          </w:tcPr>
          <w:p>
            <w:pPr>
              <w:pStyle w:val="58"/>
              <w:jc w:val="center"/>
              <w:rPr>
                <w:color w:val="FF0000"/>
                <w:kern w:val="0"/>
              </w:rPr>
            </w:pPr>
            <w:r>
              <w:rPr>
                <w:rFonts w:hint="eastAsia" w:ascii="Times New Roman" w:eastAsia="宋体"/>
                <w:color w:val="auto"/>
                <w:sz w:val="21"/>
                <w:szCs w:val="21"/>
                <w:lang w:val="en-US" w:eastAsia="zh-CN"/>
              </w:rPr>
              <w:t>57</w:t>
            </w:r>
          </w:p>
        </w:tc>
        <w:tc>
          <w:tcPr>
            <w:tcW w:w="1352" w:type="dxa"/>
            <w:tcBorders>
              <w:top w:val="single" w:color="auto" w:sz="6" w:space="0"/>
              <w:left w:val="single" w:color="auto" w:sz="6" w:space="0"/>
              <w:bottom w:val="single" w:color="auto" w:sz="6" w:space="0"/>
              <w:right w:val="single" w:color="auto" w:sz="6" w:space="0"/>
            </w:tcBorders>
            <w:vAlign w:val="center"/>
          </w:tcPr>
          <w:p>
            <w:pPr>
              <w:pStyle w:val="58"/>
              <w:jc w:val="center"/>
              <w:rPr>
                <w:rFonts w:ascii="Times New Roman" w:hAnsi="Times New Roman" w:cs="Times New Roman"/>
                <w:color w:val="FF0000"/>
                <w:sz w:val="21"/>
              </w:rPr>
            </w:pPr>
            <w:r>
              <w:rPr>
                <w:rFonts w:hint="eastAsia" w:ascii="Times New Roman" w:eastAsia="宋体"/>
                <w:color w:val="auto"/>
                <w:sz w:val="21"/>
                <w:szCs w:val="21"/>
                <w:lang w:val="en-US" w:eastAsia="zh-CN"/>
              </w:rPr>
              <w:t>44</w:t>
            </w:r>
          </w:p>
        </w:tc>
        <w:tc>
          <w:tcPr>
            <w:tcW w:w="718" w:type="pct"/>
            <w:vMerge w:val="continue"/>
            <w:tcBorders>
              <w:left w:val="single" w:color="auto" w:sz="6" w:space="0"/>
              <w:right w:val="nil"/>
            </w:tcBorders>
            <w:vAlign w:val="center"/>
          </w:tcPr>
          <w:p>
            <w:pPr>
              <w:widowControl/>
              <w:jc w:val="left"/>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6" w:hRule="atLeast"/>
          <w:jc w:val="center"/>
        </w:trPr>
        <w:tc>
          <w:tcPr>
            <w:tcW w:w="795" w:type="pct"/>
            <w:tcBorders>
              <w:top w:val="single" w:color="auto" w:sz="6" w:space="0"/>
              <w:left w:val="nil"/>
              <w:bottom w:val="single" w:color="auto" w:sz="6" w:space="0"/>
              <w:right w:val="single" w:color="auto" w:sz="6" w:space="0"/>
            </w:tcBorders>
            <w:vAlign w:val="center"/>
          </w:tcPr>
          <w:p>
            <w:pPr>
              <w:jc w:val="center"/>
              <w:rPr>
                <w:color w:val="auto"/>
                <w:szCs w:val="21"/>
              </w:rPr>
            </w:pPr>
            <w:r>
              <w:rPr>
                <w:rFonts w:ascii="Cambria Math" w:hAnsi="Cambria Math" w:cs="Cambria Math"/>
                <w:color w:val="auto"/>
                <w:szCs w:val="21"/>
              </w:rPr>
              <w:t>△</w:t>
            </w:r>
            <w:r>
              <w:rPr>
                <w:color w:val="auto"/>
                <w:szCs w:val="21"/>
              </w:rPr>
              <w:t>3</w:t>
            </w:r>
          </w:p>
        </w:tc>
        <w:tc>
          <w:tcPr>
            <w:tcW w:w="1551" w:type="dxa"/>
            <w:tcBorders>
              <w:top w:val="single" w:color="auto" w:sz="6" w:space="0"/>
              <w:left w:val="single" w:color="auto" w:sz="6" w:space="0"/>
              <w:bottom w:val="single" w:color="auto" w:sz="6" w:space="0"/>
              <w:right w:val="single" w:color="auto" w:sz="6" w:space="0"/>
            </w:tcBorders>
            <w:vAlign w:val="center"/>
          </w:tcPr>
          <w:p>
            <w:pPr>
              <w:pStyle w:val="58"/>
              <w:jc w:val="center"/>
              <w:rPr>
                <w:color w:val="FF0000"/>
                <w:kern w:val="0"/>
              </w:rPr>
            </w:pPr>
            <w:r>
              <w:rPr>
                <w:rFonts w:hint="eastAsia" w:ascii="Times New Roman" w:eastAsia="宋体"/>
                <w:color w:val="auto"/>
                <w:sz w:val="21"/>
                <w:szCs w:val="21"/>
                <w:lang w:val="en-US" w:eastAsia="zh-CN"/>
              </w:rPr>
              <w:t>57</w:t>
            </w:r>
          </w:p>
        </w:tc>
        <w:tc>
          <w:tcPr>
            <w:tcW w:w="1561" w:type="dxa"/>
            <w:tcBorders>
              <w:top w:val="single" w:color="auto" w:sz="6" w:space="0"/>
              <w:left w:val="single" w:color="auto" w:sz="6" w:space="0"/>
              <w:bottom w:val="single" w:color="auto" w:sz="6" w:space="0"/>
              <w:right w:val="single" w:color="auto" w:sz="6" w:space="0"/>
            </w:tcBorders>
            <w:vAlign w:val="center"/>
          </w:tcPr>
          <w:p>
            <w:pPr>
              <w:pStyle w:val="58"/>
              <w:jc w:val="center"/>
              <w:rPr>
                <w:rFonts w:ascii="Times New Roman" w:hAnsi="Times New Roman" w:cs="Times New Roman"/>
                <w:color w:val="FF0000"/>
                <w:sz w:val="21"/>
              </w:rPr>
            </w:pPr>
            <w:r>
              <w:rPr>
                <w:rFonts w:hint="eastAsia" w:ascii="Times New Roman" w:eastAsia="宋体"/>
                <w:color w:val="auto"/>
                <w:sz w:val="21"/>
                <w:szCs w:val="21"/>
                <w:lang w:val="en-US" w:eastAsia="zh-CN"/>
              </w:rPr>
              <w:t>44</w:t>
            </w:r>
          </w:p>
        </w:tc>
        <w:tc>
          <w:tcPr>
            <w:tcW w:w="1478" w:type="dxa"/>
            <w:tcBorders>
              <w:top w:val="single" w:color="auto" w:sz="6" w:space="0"/>
              <w:left w:val="single" w:color="auto" w:sz="6" w:space="0"/>
              <w:bottom w:val="single" w:color="auto" w:sz="6" w:space="0"/>
              <w:right w:val="single" w:color="auto" w:sz="6" w:space="0"/>
            </w:tcBorders>
            <w:vAlign w:val="center"/>
          </w:tcPr>
          <w:p>
            <w:pPr>
              <w:pStyle w:val="58"/>
              <w:jc w:val="center"/>
              <w:rPr>
                <w:color w:val="FF0000"/>
                <w:kern w:val="0"/>
              </w:rPr>
            </w:pPr>
            <w:r>
              <w:rPr>
                <w:rFonts w:hint="eastAsia" w:ascii="Times New Roman" w:eastAsia="宋体"/>
                <w:color w:val="auto"/>
                <w:sz w:val="21"/>
                <w:szCs w:val="21"/>
                <w:lang w:val="en-US" w:eastAsia="zh-CN"/>
              </w:rPr>
              <w:t>55</w:t>
            </w:r>
          </w:p>
        </w:tc>
        <w:tc>
          <w:tcPr>
            <w:tcW w:w="1352" w:type="dxa"/>
            <w:tcBorders>
              <w:top w:val="single" w:color="auto" w:sz="6" w:space="0"/>
              <w:left w:val="single" w:color="auto" w:sz="6" w:space="0"/>
              <w:bottom w:val="single" w:color="auto" w:sz="6" w:space="0"/>
              <w:right w:val="single" w:color="auto" w:sz="6" w:space="0"/>
            </w:tcBorders>
            <w:vAlign w:val="center"/>
          </w:tcPr>
          <w:p>
            <w:pPr>
              <w:pStyle w:val="58"/>
              <w:jc w:val="center"/>
              <w:rPr>
                <w:rFonts w:ascii="Times New Roman" w:hAnsi="Times New Roman" w:cs="Times New Roman"/>
                <w:color w:val="FF0000"/>
                <w:sz w:val="21"/>
              </w:rPr>
            </w:pPr>
            <w:r>
              <w:rPr>
                <w:rFonts w:hint="eastAsia" w:ascii="Times New Roman" w:eastAsia="宋体"/>
                <w:color w:val="auto"/>
                <w:sz w:val="21"/>
                <w:szCs w:val="21"/>
                <w:lang w:val="en-US" w:eastAsia="zh-CN"/>
              </w:rPr>
              <w:t>43</w:t>
            </w:r>
          </w:p>
        </w:tc>
        <w:tc>
          <w:tcPr>
            <w:tcW w:w="718" w:type="pct"/>
            <w:vMerge w:val="continue"/>
            <w:tcBorders>
              <w:left w:val="single" w:color="auto" w:sz="6" w:space="0"/>
              <w:right w:val="nil"/>
            </w:tcBorders>
            <w:vAlign w:val="center"/>
          </w:tcPr>
          <w:p>
            <w:pPr>
              <w:widowControl/>
              <w:jc w:val="left"/>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6" w:hRule="atLeast"/>
          <w:jc w:val="center"/>
        </w:trPr>
        <w:tc>
          <w:tcPr>
            <w:tcW w:w="795" w:type="pct"/>
            <w:tcBorders>
              <w:top w:val="single" w:color="auto" w:sz="6" w:space="0"/>
              <w:left w:val="nil"/>
              <w:bottom w:val="single" w:color="auto" w:sz="12" w:space="0"/>
              <w:right w:val="single" w:color="auto" w:sz="6" w:space="0"/>
            </w:tcBorders>
            <w:vAlign w:val="center"/>
          </w:tcPr>
          <w:p>
            <w:pPr>
              <w:jc w:val="center"/>
              <w:rPr>
                <w:color w:val="auto"/>
                <w:szCs w:val="21"/>
              </w:rPr>
            </w:pPr>
            <w:r>
              <w:rPr>
                <w:rFonts w:ascii="Cambria Math" w:hAnsi="Cambria Math" w:cs="Cambria Math"/>
                <w:color w:val="auto"/>
                <w:szCs w:val="21"/>
              </w:rPr>
              <w:t>△</w:t>
            </w:r>
            <w:r>
              <w:rPr>
                <w:color w:val="auto"/>
                <w:szCs w:val="21"/>
              </w:rPr>
              <w:t>4</w:t>
            </w:r>
          </w:p>
        </w:tc>
        <w:tc>
          <w:tcPr>
            <w:tcW w:w="1551" w:type="dxa"/>
            <w:tcBorders>
              <w:top w:val="single" w:color="auto" w:sz="6" w:space="0"/>
              <w:left w:val="single" w:color="auto" w:sz="6" w:space="0"/>
              <w:bottom w:val="single" w:color="auto" w:sz="12" w:space="0"/>
              <w:right w:val="single" w:color="auto" w:sz="6" w:space="0"/>
            </w:tcBorders>
            <w:vAlign w:val="center"/>
          </w:tcPr>
          <w:p>
            <w:pPr>
              <w:pStyle w:val="58"/>
              <w:jc w:val="center"/>
              <w:rPr>
                <w:color w:val="FF0000"/>
                <w:kern w:val="0"/>
              </w:rPr>
            </w:pPr>
            <w:r>
              <w:rPr>
                <w:rFonts w:hint="eastAsia" w:ascii="Times New Roman" w:eastAsia="宋体"/>
                <w:color w:val="auto"/>
                <w:sz w:val="21"/>
                <w:szCs w:val="21"/>
                <w:lang w:val="en-US" w:eastAsia="zh-CN"/>
              </w:rPr>
              <w:t>56</w:t>
            </w:r>
          </w:p>
        </w:tc>
        <w:tc>
          <w:tcPr>
            <w:tcW w:w="1561" w:type="dxa"/>
            <w:tcBorders>
              <w:top w:val="single" w:color="auto" w:sz="6" w:space="0"/>
              <w:left w:val="single" w:color="auto" w:sz="6" w:space="0"/>
              <w:bottom w:val="single" w:color="auto" w:sz="12" w:space="0"/>
              <w:right w:val="single" w:color="auto" w:sz="6" w:space="0"/>
            </w:tcBorders>
            <w:vAlign w:val="center"/>
          </w:tcPr>
          <w:p>
            <w:pPr>
              <w:pStyle w:val="58"/>
              <w:jc w:val="center"/>
              <w:rPr>
                <w:rFonts w:ascii="Times New Roman" w:hAnsi="Times New Roman" w:cs="Times New Roman"/>
                <w:color w:val="FF0000"/>
                <w:sz w:val="21"/>
              </w:rPr>
            </w:pPr>
            <w:r>
              <w:rPr>
                <w:rFonts w:hint="eastAsia" w:ascii="Times New Roman" w:eastAsia="宋体"/>
                <w:color w:val="auto"/>
                <w:sz w:val="21"/>
                <w:szCs w:val="21"/>
                <w:lang w:val="en-US" w:eastAsia="zh-CN"/>
              </w:rPr>
              <w:t>43</w:t>
            </w:r>
          </w:p>
        </w:tc>
        <w:tc>
          <w:tcPr>
            <w:tcW w:w="1478" w:type="dxa"/>
            <w:tcBorders>
              <w:top w:val="single" w:color="auto" w:sz="6" w:space="0"/>
              <w:left w:val="single" w:color="auto" w:sz="6" w:space="0"/>
              <w:bottom w:val="single" w:color="auto" w:sz="12" w:space="0"/>
              <w:right w:val="single" w:color="auto" w:sz="6" w:space="0"/>
            </w:tcBorders>
            <w:vAlign w:val="center"/>
          </w:tcPr>
          <w:p>
            <w:pPr>
              <w:pStyle w:val="58"/>
              <w:jc w:val="center"/>
              <w:rPr>
                <w:color w:val="FF0000"/>
                <w:kern w:val="0"/>
              </w:rPr>
            </w:pPr>
            <w:r>
              <w:rPr>
                <w:rFonts w:hint="eastAsia" w:ascii="Times New Roman" w:eastAsia="宋体"/>
                <w:color w:val="auto"/>
                <w:sz w:val="21"/>
                <w:szCs w:val="21"/>
                <w:lang w:val="en-US" w:eastAsia="zh-CN"/>
              </w:rPr>
              <w:t>58</w:t>
            </w:r>
          </w:p>
        </w:tc>
        <w:tc>
          <w:tcPr>
            <w:tcW w:w="1352" w:type="dxa"/>
            <w:tcBorders>
              <w:top w:val="single" w:color="auto" w:sz="6" w:space="0"/>
              <w:left w:val="single" w:color="auto" w:sz="6" w:space="0"/>
              <w:bottom w:val="single" w:color="auto" w:sz="12" w:space="0"/>
              <w:right w:val="single" w:color="auto" w:sz="6" w:space="0"/>
            </w:tcBorders>
            <w:vAlign w:val="center"/>
          </w:tcPr>
          <w:p>
            <w:pPr>
              <w:pStyle w:val="58"/>
              <w:jc w:val="center"/>
              <w:rPr>
                <w:rFonts w:ascii="Times New Roman" w:hAnsi="Times New Roman" w:cs="Times New Roman"/>
                <w:color w:val="FF0000"/>
                <w:sz w:val="21"/>
              </w:rPr>
            </w:pPr>
            <w:r>
              <w:rPr>
                <w:rFonts w:hint="eastAsia" w:ascii="Times New Roman" w:eastAsia="宋体"/>
                <w:color w:val="auto"/>
                <w:sz w:val="21"/>
                <w:szCs w:val="21"/>
                <w:lang w:val="en-US" w:eastAsia="zh-CN"/>
              </w:rPr>
              <w:t>45</w:t>
            </w:r>
          </w:p>
        </w:tc>
        <w:tc>
          <w:tcPr>
            <w:tcW w:w="718" w:type="pct"/>
            <w:vMerge w:val="continue"/>
            <w:tcBorders>
              <w:left w:val="single" w:color="auto" w:sz="6" w:space="0"/>
              <w:bottom w:val="single" w:color="auto" w:sz="12" w:space="0"/>
              <w:right w:val="nil"/>
            </w:tcBorders>
            <w:vAlign w:val="center"/>
          </w:tcPr>
          <w:p>
            <w:pPr>
              <w:widowControl/>
              <w:jc w:val="left"/>
              <w:rPr>
                <w:color w:val="FF0000"/>
                <w:szCs w:val="21"/>
              </w:rPr>
            </w:pPr>
          </w:p>
        </w:tc>
      </w:tr>
    </w:tbl>
    <w:p>
      <w:pPr>
        <w:spacing w:line="360" w:lineRule="auto"/>
        <w:outlineLvl w:val="3"/>
        <w:rPr>
          <w:color w:val="auto"/>
          <w:sz w:val="24"/>
        </w:rPr>
      </w:pPr>
      <w:r>
        <w:rPr>
          <w:b/>
          <w:color w:val="auto"/>
          <w:sz w:val="24"/>
        </w:rPr>
        <w:t>4.2.4.2声环境质量现状评价</w:t>
      </w:r>
    </w:p>
    <w:p>
      <w:pPr>
        <w:spacing w:line="360" w:lineRule="auto"/>
        <w:ind w:firstLine="504" w:firstLineChars="210"/>
        <w:rPr>
          <w:color w:val="auto"/>
          <w:sz w:val="24"/>
          <w:lang w:val="zh-CN"/>
        </w:rPr>
      </w:pPr>
      <w:r>
        <w:rPr>
          <w:color w:val="auto"/>
          <w:sz w:val="24"/>
          <w:lang w:val="zh-CN"/>
        </w:rPr>
        <w:t>（1）评价因子</w:t>
      </w:r>
    </w:p>
    <w:p>
      <w:pPr>
        <w:spacing w:line="360" w:lineRule="auto"/>
        <w:ind w:firstLine="504" w:firstLineChars="210"/>
        <w:rPr>
          <w:color w:val="auto"/>
          <w:sz w:val="24"/>
          <w:lang w:val="zh-CN"/>
        </w:rPr>
      </w:pPr>
      <w:r>
        <w:rPr>
          <w:color w:val="auto"/>
          <w:sz w:val="24"/>
          <w:lang w:val="zh-CN"/>
        </w:rPr>
        <w:t>选择等效连续A声级Leq（A）为本项目环境噪声的评价因子。</w:t>
      </w:r>
    </w:p>
    <w:p>
      <w:pPr>
        <w:spacing w:line="360" w:lineRule="auto"/>
        <w:ind w:firstLine="504" w:firstLineChars="210"/>
        <w:rPr>
          <w:color w:val="auto"/>
          <w:sz w:val="24"/>
          <w:lang w:val="zh-CN"/>
        </w:rPr>
      </w:pPr>
      <w:r>
        <w:rPr>
          <w:color w:val="auto"/>
          <w:sz w:val="24"/>
          <w:lang w:val="zh-CN"/>
        </w:rPr>
        <w:t>（2）评价方法</w:t>
      </w:r>
    </w:p>
    <w:p>
      <w:pPr>
        <w:spacing w:line="360" w:lineRule="auto"/>
        <w:ind w:firstLine="504" w:firstLineChars="210"/>
        <w:rPr>
          <w:color w:val="auto"/>
          <w:sz w:val="24"/>
          <w:lang w:val="zh-CN"/>
        </w:rPr>
      </w:pPr>
      <w:r>
        <w:rPr>
          <w:color w:val="auto"/>
          <w:sz w:val="24"/>
          <w:lang w:val="zh-CN"/>
        </w:rPr>
        <w:t>直接比较法。</w:t>
      </w:r>
    </w:p>
    <w:p>
      <w:pPr>
        <w:spacing w:line="360" w:lineRule="auto"/>
        <w:ind w:firstLine="504" w:firstLineChars="210"/>
        <w:rPr>
          <w:color w:val="auto"/>
          <w:sz w:val="24"/>
          <w:lang w:val="zh-CN"/>
        </w:rPr>
      </w:pPr>
      <w:r>
        <w:rPr>
          <w:color w:val="auto"/>
          <w:sz w:val="24"/>
          <w:lang w:val="zh-CN"/>
        </w:rPr>
        <w:t>（3）评价标准</w:t>
      </w:r>
    </w:p>
    <w:p>
      <w:pPr>
        <w:spacing w:line="360" w:lineRule="auto"/>
        <w:ind w:firstLine="504" w:firstLineChars="210"/>
        <w:rPr>
          <w:color w:val="auto"/>
          <w:sz w:val="24"/>
          <w:lang w:val="zh-CN"/>
        </w:rPr>
      </w:pPr>
      <w:r>
        <w:rPr>
          <w:color w:val="auto"/>
          <w:sz w:val="24"/>
          <w:lang w:val="zh-CN"/>
        </w:rPr>
        <w:t>评价标准采用《声环境质量标准》（GB3096-2008）中的</w:t>
      </w:r>
      <w:r>
        <w:rPr>
          <w:rFonts w:hint="eastAsia"/>
          <w:color w:val="auto"/>
          <w:sz w:val="24"/>
          <w:lang w:val="zh-CN"/>
        </w:rPr>
        <w:t>2</w:t>
      </w:r>
      <w:r>
        <w:rPr>
          <w:color w:val="auto"/>
          <w:sz w:val="24"/>
          <w:lang w:val="zh-CN"/>
        </w:rPr>
        <w:t>类标准，即：昼间</w:t>
      </w:r>
      <w:r>
        <w:rPr>
          <w:rFonts w:hint="eastAsia"/>
          <w:color w:val="auto"/>
          <w:sz w:val="24"/>
          <w:lang w:val="zh-CN"/>
        </w:rPr>
        <w:t>60</w:t>
      </w:r>
      <w:r>
        <w:rPr>
          <w:color w:val="auto"/>
          <w:sz w:val="24"/>
          <w:lang w:val="zh-CN"/>
        </w:rPr>
        <w:t>dB(A)，夜间</w:t>
      </w:r>
      <w:r>
        <w:rPr>
          <w:rFonts w:hint="eastAsia"/>
          <w:color w:val="auto"/>
          <w:sz w:val="24"/>
          <w:lang w:val="zh-CN"/>
        </w:rPr>
        <w:t>50</w:t>
      </w:r>
      <w:r>
        <w:rPr>
          <w:color w:val="auto"/>
          <w:sz w:val="24"/>
          <w:lang w:val="zh-CN"/>
        </w:rPr>
        <w:t>dB(A)。</w:t>
      </w:r>
    </w:p>
    <w:p>
      <w:pPr>
        <w:spacing w:line="360" w:lineRule="auto"/>
        <w:ind w:firstLine="504" w:firstLineChars="210"/>
        <w:rPr>
          <w:color w:val="auto"/>
          <w:sz w:val="24"/>
          <w:lang w:val="zh-CN"/>
        </w:rPr>
      </w:pPr>
      <w:r>
        <w:rPr>
          <w:color w:val="auto"/>
          <w:sz w:val="24"/>
          <w:lang w:val="zh-CN"/>
        </w:rPr>
        <w:t>（4）评价结论</w:t>
      </w:r>
    </w:p>
    <w:p>
      <w:pPr>
        <w:spacing w:line="360" w:lineRule="auto"/>
        <w:ind w:firstLine="504" w:firstLineChars="210"/>
        <w:rPr>
          <w:color w:val="auto"/>
          <w:sz w:val="24"/>
          <w:lang w:val="zh-CN"/>
        </w:rPr>
      </w:pPr>
      <w:r>
        <w:rPr>
          <w:color w:val="auto"/>
          <w:sz w:val="24"/>
          <w:lang w:val="zh-CN"/>
        </w:rPr>
        <w:t>通过将环境噪声现状监测结果与标准比较，监测点环境噪声昼夜值均满足《声环境质量标准》（GB3096-2008）中的</w:t>
      </w:r>
      <w:r>
        <w:rPr>
          <w:rFonts w:hint="eastAsia"/>
          <w:color w:val="auto"/>
          <w:sz w:val="24"/>
          <w:lang w:val="zh-CN"/>
        </w:rPr>
        <w:t>2</w:t>
      </w:r>
      <w:r>
        <w:rPr>
          <w:color w:val="auto"/>
          <w:sz w:val="24"/>
          <w:lang w:val="zh-CN"/>
        </w:rPr>
        <w:t>类标准。</w:t>
      </w:r>
      <w:bookmarkStart w:id="169" w:name="_Toc514938163"/>
      <w:bookmarkStart w:id="170" w:name="_Toc490807013"/>
    </w:p>
    <w:p>
      <w:pPr>
        <w:pStyle w:val="5"/>
        <w:spacing w:before="0" w:after="0" w:line="360" w:lineRule="auto"/>
        <w:ind w:firstLine="0" w:firstLineChars="0"/>
        <w:rPr>
          <w:rFonts w:hint="eastAsia" w:ascii="Times New Roman" w:hAnsi="Times New Roman" w:eastAsia="宋体" w:cs="Times New Roman"/>
          <w:b/>
          <w:color w:val="auto"/>
          <w:sz w:val="28"/>
          <w:szCs w:val="28"/>
          <w:lang w:eastAsia="zh-CN"/>
        </w:rPr>
      </w:pPr>
      <w:r>
        <w:rPr>
          <w:rFonts w:ascii="Times New Roman" w:hAnsi="Times New Roman" w:cs="Times New Roman"/>
          <w:b/>
          <w:color w:val="auto"/>
          <w:sz w:val="28"/>
          <w:szCs w:val="28"/>
        </w:rPr>
        <w:t>4.2.</w:t>
      </w:r>
      <w:r>
        <w:rPr>
          <w:rFonts w:hint="eastAsia" w:ascii="Times New Roman" w:hAnsi="Times New Roman" w:cs="Times New Roman"/>
          <w:b/>
          <w:color w:val="auto"/>
          <w:sz w:val="28"/>
          <w:szCs w:val="28"/>
        </w:rPr>
        <w:t>5生态</w:t>
      </w:r>
      <w:r>
        <w:rPr>
          <w:rFonts w:ascii="Times New Roman" w:hAnsi="Times New Roman" w:cs="Times New Roman"/>
          <w:b/>
          <w:color w:val="auto"/>
          <w:sz w:val="28"/>
          <w:szCs w:val="28"/>
        </w:rPr>
        <w:t>环境</w:t>
      </w:r>
      <w:r>
        <w:rPr>
          <w:rFonts w:hint="eastAsia" w:ascii="Times New Roman" w:hAnsi="Times New Roman" w:cs="Times New Roman"/>
          <w:b/>
          <w:color w:val="auto"/>
          <w:sz w:val="28"/>
          <w:szCs w:val="28"/>
        </w:rPr>
        <w:t>现状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lang w:val="zh-CN"/>
        </w:rPr>
      </w:pPr>
      <w:r>
        <w:rPr>
          <w:color w:val="auto"/>
          <w:sz w:val="24"/>
          <w:lang w:val="zh-CN"/>
        </w:rPr>
        <w:t>根据本项目建设内容、环境污染物排放特征及建设地点等具体情况，对项目</w:t>
      </w:r>
      <w:r>
        <w:rPr>
          <w:rFonts w:hint="eastAsia"/>
          <w:color w:val="auto"/>
          <w:sz w:val="24"/>
          <w:lang w:val="zh-CN"/>
        </w:rPr>
        <w:t>周围</w:t>
      </w:r>
      <w:r>
        <w:rPr>
          <w:color w:val="auto"/>
          <w:sz w:val="24"/>
          <w:lang w:val="zh-CN"/>
        </w:rPr>
        <w:t>的生态环境现状进行了调查，调查主要以收集区域相关生态条件资料和现场踏勘相结合的方法。</w:t>
      </w:r>
      <w:r>
        <w:rPr>
          <w:rFonts w:hint="eastAsia"/>
          <w:color w:val="auto"/>
          <w:sz w:val="24"/>
          <w:lang w:val="zh-CN"/>
        </w:rPr>
        <w:t>根据</w:t>
      </w:r>
      <w:r>
        <w:rPr>
          <w:color w:val="auto"/>
          <w:sz w:val="24"/>
          <w:lang w:val="zh-CN"/>
        </w:rPr>
        <w:t>实地调查，</w:t>
      </w:r>
      <w:r>
        <w:rPr>
          <w:rFonts w:hint="eastAsia"/>
          <w:color w:val="auto"/>
          <w:sz w:val="24"/>
          <w:lang w:val="zh-CN"/>
        </w:rPr>
        <w:t>周围</w:t>
      </w:r>
      <w:r>
        <w:rPr>
          <w:color w:val="auto"/>
          <w:sz w:val="24"/>
          <w:lang w:val="zh-CN"/>
        </w:rPr>
        <w:t>植被为农田植被，</w:t>
      </w:r>
      <w:r>
        <w:rPr>
          <w:rFonts w:hint="eastAsia"/>
          <w:color w:val="auto"/>
          <w:sz w:val="24"/>
          <w:lang w:val="zh-CN"/>
        </w:rPr>
        <w:t>为人工植被</w:t>
      </w:r>
      <w:r>
        <w:rPr>
          <w:color w:val="auto"/>
          <w:sz w:val="24"/>
          <w:lang w:val="zh-CN"/>
        </w:rPr>
        <w:t>；草甸植被主要分布在</w:t>
      </w:r>
      <w:r>
        <w:rPr>
          <w:rFonts w:hint="eastAsia"/>
          <w:color w:val="auto"/>
          <w:sz w:val="24"/>
          <w:lang w:val="zh-CN"/>
        </w:rPr>
        <w:t>农田周边</w:t>
      </w:r>
      <w:r>
        <w:rPr>
          <w:color w:val="auto"/>
          <w:sz w:val="24"/>
          <w:lang w:val="zh-CN"/>
        </w:rPr>
        <w:t>，有狗尾巴草、猪尾巴草、星星草等。野生动物主要有麻雀、家燕、喜鹊、乌鸦等。</w:t>
      </w:r>
      <w:r>
        <w:rPr>
          <w:rFonts w:hint="eastAsia"/>
          <w:color w:val="auto"/>
          <w:sz w:val="24"/>
          <w:lang w:val="zh-CN"/>
        </w:rPr>
        <w:t>评价</w:t>
      </w:r>
      <w:r>
        <w:rPr>
          <w:color w:val="auto"/>
          <w:sz w:val="24"/>
          <w:lang w:val="zh-CN"/>
        </w:rPr>
        <w:t>范围内的野生动物主要有家鼠以及小型啮齿类动物，广泛分布于农田与居民集中居住的村屯周围区域中。</w:t>
      </w:r>
      <w:r>
        <w:rPr>
          <w:rFonts w:hint="eastAsia"/>
          <w:color w:val="auto"/>
          <w:sz w:val="24"/>
          <w:lang w:val="zh-CN"/>
        </w:rPr>
        <w:t>自然生态系统极少，生态系统抗逆性和稳定性较差，植物种类较少，且无珍惜保护物种</w:t>
      </w:r>
      <w:r>
        <w:rPr>
          <w:color w:val="auto"/>
          <w:sz w:val="24"/>
          <w:lang w:val="zh-CN"/>
        </w:rPr>
        <w:t>。</w:t>
      </w:r>
      <w:r>
        <w:rPr>
          <w:rFonts w:hint="eastAsia"/>
          <w:color w:val="auto"/>
          <w:sz w:val="24"/>
          <w:lang w:val="zh-CN"/>
        </w:rPr>
        <w:t>由于人类的长期干扰和生态环境的改变。</w:t>
      </w:r>
      <w:r>
        <w:rPr>
          <w:color w:val="auto"/>
          <w:sz w:val="24"/>
          <w:lang w:val="zh-CN"/>
        </w:rPr>
        <w:t>本</w:t>
      </w:r>
      <w:r>
        <w:rPr>
          <w:rFonts w:hint="eastAsia"/>
          <w:color w:val="auto"/>
          <w:sz w:val="24"/>
          <w:lang w:val="zh-CN"/>
        </w:rPr>
        <w:t>项目</w:t>
      </w:r>
      <w:r>
        <w:rPr>
          <w:color w:val="auto"/>
          <w:sz w:val="24"/>
          <w:lang w:val="zh-CN"/>
        </w:rPr>
        <w:t>区域内无重点保护野生动植物。</w:t>
      </w:r>
    </w:p>
    <w:p>
      <w:pPr>
        <w:spacing w:line="360" w:lineRule="auto"/>
        <w:rPr>
          <w:color w:val="FF0000"/>
          <w:sz w:val="24"/>
          <w:lang w:val="zh-CN"/>
        </w:rPr>
      </w:pPr>
      <w:r>
        <w:rPr>
          <w:color w:val="FF0000"/>
          <w:sz w:val="24"/>
        </w:rPr>
        <w:pict>
          <v:shape id="_x0000_s4037" o:spid="_x0000_s4037" o:spt="61" type="#_x0000_t61" style="position:absolute;left:0pt;margin-left:212.35pt;margin-top:112.35pt;height:23.25pt;width:59.25pt;z-index:251670528;mso-width-relative:page;mso-height-relative:page;" fillcolor="#FFFFFF" filled="t" stroked="t" coordsize="21600,21600" adj="2169,31819">
            <v:path/>
            <v:fill on="t" color2="#FFFFFF" focussize="0,0"/>
            <v:stroke color="#000000" joinstyle="miter"/>
            <v:imagedata o:title=""/>
            <o:lock v:ext="edit" aspectratio="f"/>
            <v:textbox>
              <w:txbxContent>
                <w:p>
                  <w:pPr>
                    <w:jc w:val="center"/>
                  </w:pPr>
                  <w:r>
                    <w:t>项目位置</w:t>
                  </w:r>
                </w:p>
              </w:txbxContent>
            </v:textbox>
          </v:shape>
        </w:pict>
      </w:r>
      <w:r>
        <w:rPr>
          <w:color w:val="FF0000"/>
          <w:sz w:val="24"/>
        </w:rPr>
        <w:pict>
          <v:rect id="_x0000_s4036" o:spid="_x0000_s4036" o:spt="1" style="position:absolute;left:0pt;margin-left:208.9pt;margin-top:146.95pt;height:9.5pt;width:14.7pt;z-index:251669504;mso-width-relative:page;mso-height-relative:page;" filled="f" stroked="t" coordsize="21600,21600">
            <v:path/>
            <v:fill on="f" focussize="0,0"/>
            <v:stroke color="#FF0000" joinstyle="miter"/>
            <v:imagedata o:title=""/>
            <o:lock v:ext="edit" aspectratio="f"/>
          </v:rect>
        </w:pict>
      </w:r>
      <w:r>
        <w:rPr>
          <w:color w:val="FF0000"/>
          <w:sz w:val="24"/>
        </w:rPr>
        <w:drawing>
          <wp:inline distT="0" distB="0" distL="0" distR="0">
            <wp:extent cx="5274310" cy="3374390"/>
            <wp:effectExtent l="19050" t="0" r="2540" b="0"/>
            <wp:docPr id="16" name="图片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08"/>
                    <pic:cNvPicPr>
                      <a:picLocks noChangeAspect="1" noChangeArrowheads="1"/>
                    </pic:cNvPicPr>
                  </pic:nvPicPr>
                  <pic:blipFill>
                    <a:blip r:embed="rId53"/>
                    <a:srcRect/>
                    <a:stretch>
                      <a:fillRect/>
                    </a:stretch>
                  </pic:blipFill>
                  <pic:spPr>
                    <a:xfrm>
                      <a:off x="0" y="0"/>
                      <a:ext cx="5274310" cy="3374424"/>
                    </a:xfrm>
                    <a:prstGeom prst="rect">
                      <a:avLst/>
                    </a:prstGeom>
                    <a:noFill/>
                    <a:ln w="9525" cmpd="sng">
                      <a:noFill/>
                      <a:miter lim="800000"/>
                      <a:headEnd/>
                      <a:tailEnd/>
                    </a:ln>
                    <a:effectLst/>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b/>
          <w:bCs/>
          <w:color w:val="auto"/>
          <w:sz w:val="24"/>
        </w:rPr>
      </w:pPr>
      <w:r>
        <w:rPr>
          <w:b/>
          <w:bCs/>
          <w:color w:val="auto"/>
          <w:sz w:val="24"/>
        </w:rPr>
        <w:t>图4-2-</w:t>
      </w:r>
      <w:r>
        <w:rPr>
          <w:rFonts w:hint="eastAsia"/>
          <w:b/>
          <w:bCs/>
          <w:color w:val="auto"/>
          <w:sz w:val="24"/>
          <w:lang w:val="en-US" w:eastAsia="zh-CN"/>
        </w:rPr>
        <w:t>4</w:t>
      </w:r>
      <w:r>
        <w:rPr>
          <w:b/>
          <w:bCs/>
          <w:color w:val="auto"/>
          <w:sz w:val="24"/>
        </w:rPr>
        <w:t xml:space="preserve"> 生态评价范围内植被</w:t>
      </w:r>
      <w:r>
        <w:rPr>
          <w:rFonts w:hint="eastAsia"/>
          <w:b/>
          <w:bCs/>
          <w:color w:val="auto"/>
          <w:sz w:val="24"/>
          <w:lang w:val="en-US" w:eastAsia="zh-CN"/>
        </w:rPr>
        <w:t>类型</w:t>
      </w:r>
      <w:r>
        <w:rPr>
          <w:b/>
          <w:bCs/>
          <w:color w:val="auto"/>
          <w:sz w:val="24"/>
        </w:rPr>
        <w:t>分布图</w:t>
      </w:r>
    </w:p>
    <w:p>
      <w:pPr>
        <w:spacing w:line="360" w:lineRule="auto"/>
        <w:contextualSpacing/>
        <w:jc w:val="left"/>
        <w:outlineLvl w:val="1"/>
        <w:rPr>
          <w:b/>
          <w:bCs/>
          <w:color w:val="auto"/>
          <w:kern w:val="44"/>
          <w:sz w:val="30"/>
          <w:szCs w:val="30"/>
        </w:rPr>
      </w:pPr>
      <w:bookmarkStart w:id="171" w:name="_Toc29927"/>
      <w:r>
        <w:rPr>
          <w:b/>
          <w:bCs/>
          <w:color w:val="auto"/>
          <w:kern w:val="44"/>
          <w:sz w:val="30"/>
          <w:szCs w:val="30"/>
        </w:rPr>
        <w:t>4.3区域污染源调查</w:t>
      </w:r>
      <w:bookmarkEnd w:id="169"/>
      <w:bookmarkEnd w:id="170"/>
      <w:bookmarkEnd w:id="171"/>
    </w:p>
    <w:p>
      <w:pPr>
        <w:spacing w:line="360" w:lineRule="auto"/>
        <w:outlineLvl w:val="2"/>
        <w:rPr>
          <w:b/>
          <w:color w:val="auto"/>
          <w:kern w:val="0"/>
          <w:sz w:val="28"/>
          <w:szCs w:val="28"/>
        </w:rPr>
      </w:pPr>
      <w:r>
        <w:rPr>
          <w:b/>
          <w:color w:val="auto"/>
          <w:kern w:val="0"/>
          <w:sz w:val="28"/>
          <w:szCs w:val="28"/>
        </w:rPr>
        <w:t>4.3.1大气污染源</w:t>
      </w:r>
    </w:p>
    <w:p>
      <w:pPr>
        <w:spacing w:line="360" w:lineRule="auto"/>
        <w:ind w:firstLine="480" w:firstLineChars="200"/>
        <w:contextualSpacing/>
        <w:rPr>
          <w:color w:val="auto"/>
          <w:kern w:val="0"/>
          <w:sz w:val="24"/>
        </w:rPr>
      </w:pPr>
      <w:r>
        <w:rPr>
          <w:color w:val="auto"/>
          <w:kern w:val="0"/>
          <w:sz w:val="24"/>
        </w:rPr>
        <w:t>建设项目厂址位于农村地区，区域大气污染源主要来自农村居民生活燃用燃料（煤、植物秸秆等）排放的烟气，污染物主要为SO</w:t>
      </w:r>
      <w:r>
        <w:rPr>
          <w:color w:val="auto"/>
          <w:kern w:val="0"/>
          <w:sz w:val="24"/>
          <w:vertAlign w:val="subscript"/>
        </w:rPr>
        <w:t>2</w:t>
      </w:r>
      <w:r>
        <w:rPr>
          <w:color w:val="auto"/>
          <w:kern w:val="0"/>
          <w:sz w:val="24"/>
        </w:rPr>
        <w:t>、NOx及颗粒物等。</w:t>
      </w:r>
    </w:p>
    <w:p>
      <w:pPr>
        <w:spacing w:line="360" w:lineRule="auto"/>
        <w:outlineLvl w:val="2"/>
        <w:rPr>
          <w:b/>
          <w:color w:val="auto"/>
          <w:kern w:val="0"/>
          <w:sz w:val="28"/>
          <w:szCs w:val="28"/>
        </w:rPr>
      </w:pPr>
      <w:bookmarkStart w:id="172" w:name="_Toc15991670"/>
      <w:r>
        <w:rPr>
          <w:b/>
          <w:color w:val="auto"/>
          <w:kern w:val="0"/>
          <w:sz w:val="28"/>
          <w:szCs w:val="28"/>
        </w:rPr>
        <w:t>4.3.2地表水污染源</w:t>
      </w:r>
      <w:bookmarkEnd w:id="172"/>
    </w:p>
    <w:p>
      <w:pPr>
        <w:pStyle w:val="74"/>
        <w:adjustRightInd/>
        <w:snapToGrid/>
        <w:contextualSpacing/>
        <w:rPr>
          <w:rFonts w:ascii="Times New Roman" w:hAnsi="Times New Roman" w:eastAsia="宋体" w:cs="Times New Roman"/>
          <w:color w:val="auto"/>
        </w:rPr>
      </w:pPr>
      <w:r>
        <w:rPr>
          <w:rFonts w:ascii="Times New Roman" w:hAnsi="Times New Roman" w:eastAsia="宋体" w:cs="Times New Roman"/>
          <w:color w:val="auto"/>
        </w:rPr>
        <w:t>本项目地表水污染主要为农村生活污水及农药化肥地表径流污染。</w:t>
      </w:r>
    </w:p>
    <w:p>
      <w:pPr>
        <w:spacing w:line="360" w:lineRule="auto"/>
        <w:outlineLvl w:val="2"/>
        <w:rPr>
          <w:b/>
          <w:color w:val="auto"/>
          <w:kern w:val="0"/>
          <w:sz w:val="28"/>
          <w:szCs w:val="28"/>
        </w:rPr>
      </w:pPr>
      <w:bookmarkStart w:id="173" w:name="_Toc15991671"/>
      <w:r>
        <w:rPr>
          <w:b/>
          <w:color w:val="auto"/>
          <w:kern w:val="0"/>
          <w:sz w:val="28"/>
          <w:szCs w:val="28"/>
        </w:rPr>
        <w:t>4.3.3地下水污染源</w:t>
      </w:r>
      <w:bookmarkEnd w:id="173"/>
    </w:p>
    <w:p>
      <w:pPr>
        <w:pStyle w:val="74"/>
        <w:adjustRightInd/>
        <w:snapToGrid/>
        <w:contextualSpacing/>
        <w:rPr>
          <w:rFonts w:ascii="Times New Roman" w:hAnsi="Times New Roman" w:eastAsia="宋体" w:cs="Times New Roman"/>
          <w:color w:val="auto"/>
        </w:rPr>
      </w:pPr>
      <w:r>
        <w:rPr>
          <w:rFonts w:ascii="Times New Roman" w:hAnsi="Times New Roman" w:eastAsia="宋体" w:cs="Times New Roman"/>
          <w:color w:val="auto"/>
        </w:rPr>
        <w:t>本项目地下水污染源主要为农药化肥，经降雨和灌溉随水淋溶进入地下水，对地下水造成污染。</w:t>
      </w:r>
    </w:p>
    <w:p>
      <w:pPr>
        <w:spacing w:line="360" w:lineRule="auto"/>
        <w:outlineLvl w:val="2"/>
        <w:rPr>
          <w:b/>
          <w:color w:val="auto"/>
          <w:kern w:val="0"/>
          <w:sz w:val="28"/>
          <w:szCs w:val="28"/>
        </w:rPr>
      </w:pPr>
      <w:bookmarkStart w:id="174" w:name="_Toc15991672"/>
      <w:r>
        <w:rPr>
          <w:b/>
          <w:color w:val="auto"/>
          <w:kern w:val="0"/>
          <w:sz w:val="28"/>
          <w:szCs w:val="28"/>
        </w:rPr>
        <w:t>4.3.4噪声污染源</w:t>
      </w:r>
      <w:bookmarkEnd w:id="174"/>
    </w:p>
    <w:p>
      <w:pPr>
        <w:pStyle w:val="74"/>
        <w:adjustRightInd/>
        <w:snapToGrid/>
        <w:contextualSpacing/>
        <w:rPr>
          <w:rFonts w:ascii="Times New Roman" w:hAnsi="Times New Roman" w:eastAsia="宋体" w:cs="Times New Roman"/>
          <w:color w:val="auto"/>
        </w:rPr>
      </w:pPr>
      <w:r>
        <w:rPr>
          <w:color w:val="auto"/>
          <w:sz w:val="24"/>
          <w:highlight w:val="none"/>
        </w:rPr>
        <w:t>建设项目评价区域空旷，无工业噪声污染源存在；</w:t>
      </w:r>
      <w:r>
        <w:rPr>
          <w:rFonts w:hint="default" w:ascii="Times New Roman" w:hAnsi="Times New Roman" w:eastAsia="宋体" w:cs="Times New Roman"/>
          <w:color w:val="auto"/>
          <w:sz w:val="24"/>
          <w:szCs w:val="24"/>
        </w:rPr>
        <w:t>噪声污染主要为农耕时机械噪声</w:t>
      </w:r>
      <w:r>
        <w:rPr>
          <w:rFonts w:hint="default" w:ascii="Times New Roman" w:hAnsi="Times New Roman" w:eastAsia="宋体" w:cs="Times New Roman"/>
          <w:color w:val="auto"/>
          <w:sz w:val="24"/>
          <w:szCs w:val="24"/>
          <w:lang w:val="en-US" w:eastAsia="zh-CN"/>
        </w:rPr>
        <w:t>和道路运输车辆噪声</w:t>
      </w:r>
      <w:r>
        <w:rPr>
          <w:rFonts w:hint="default" w:ascii="Times New Roman" w:hAnsi="Times New Roman" w:eastAsia="宋体" w:cs="Times New Roman"/>
          <w:color w:val="auto"/>
          <w:sz w:val="24"/>
          <w:szCs w:val="24"/>
        </w:rPr>
        <w:t>。</w:t>
      </w:r>
    </w:p>
    <w:p>
      <w:pPr>
        <w:spacing w:line="360" w:lineRule="auto"/>
        <w:contextualSpacing/>
        <w:jc w:val="left"/>
        <w:outlineLvl w:val="1"/>
        <w:rPr>
          <w:b/>
          <w:bCs/>
          <w:color w:val="auto"/>
          <w:kern w:val="44"/>
          <w:sz w:val="30"/>
          <w:szCs w:val="30"/>
        </w:rPr>
      </w:pPr>
      <w:bookmarkStart w:id="175" w:name="_Toc16153"/>
      <w:bookmarkStart w:id="176" w:name="_Toc514938164"/>
      <w:r>
        <w:rPr>
          <w:b/>
          <w:bCs/>
          <w:color w:val="auto"/>
          <w:kern w:val="44"/>
          <w:sz w:val="30"/>
          <w:szCs w:val="30"/>
        </w:rPr>
        <w:t>4.4环境保护目标调查</w:t>
      </w:r>
      <w:bookmarkEnd w:id="175"/>
      <w:bookmarkEnd w:id="176"/>
    </w:p>
    <w:p>
      <w:pPr>
        <w:spacing w:line="360" w:lineRule="auto"/>
        <w:ind w:firstLine="480" w:firstLineChars="200"/>
        <w:contextualSpacing/>
        <w:rPr>
          <w:snapToGrid w:val="0"/>
          <w:color w:val="FF0000"/>
          <w:sz w:val="24"/>
        </w:rPr>
      </w:pPr>
      <w:r>
        <w:rPr>
          <w:snapToGrid w:val="0"/>
          <w:color w:val="auto"/>
          <w:sz w:val="24"/>
        </w:rPr>
        <w:t>本项目位于黑龙江省</w:t>
      </w:r>
      <w:r>
        <w:rPr>
          <w:rFonts w:hint="eastAsia"/>
          <w:snapToGrid w:val="0"/>
          <w:color w:val="auto"/>
          <w:sz w:val="24"/>
          <w:lang w:eastAsia="zh-CN"/>
        </w:rPr>
        <w:t>哈尔滨市尚志市长寿乡一曼村</w:t>
      </w:r>
      <w:r>
        <w:rPr>
          <w:snapToGrid w:val="0"/>
          <w:color w:val="auto"/>
          <w:sz w:val="24"/>
        </w:rPr>
        <w:t>，</w:t>
      </w:r>
      <w:r>
        <w:rPr>
          <w:rFonts w:hint="eastAsia"/>
          <w:snapToGrid w:val="0"/>
          <w:color w:val="auto"/>
          <w:sz w:val="24"/>
        </w:rPr>
        <w:t>哈尔滨</w:t>
      </w:r>
      <w:r>
        <w:rPr>
          <w:rFonts w:hint="eastAsia"/>
          <w:snapToGrid w:val="0"/>
          <w:color w:val="auto"/>
          <w:sz w:val="24"/>
          <w:lang w:eastAsia="zh-CN"/>
        </w:rPr>
        <w:t>尚志市</w:t>
      </w:r>
      <w:r>
        <w:rPr>
          <w:rFonts w:hint="eastAsia"/>
          <w:snapToGrid w:val="0"/>
          <w:color w:val="auto"/>
          <w:sz w:val="24"/>
        </w:rPr>
        <w:t>夏季盛行南-南南西-西南-（S-SSW-SW)风，大气评价范围内，下风向环境保护目标为</w:t>
      </w:r>
      <w:r>
        <w:rPr>
          <w:rFonts w:hint="eastAsia"/>
          <w:snapToGrid w:val="0"/>
          <w:color w:val="auto"/>
          <w:sz w:val="24"/>
          <w:lang w:val="en-US" w:eastAsia="zh-CN"/>
        </w:rPr>
        <w:t>一曼下屯</w:t>
      </w:r>
      <w:r>
        <w:rPr>
          <w:rFonts w:hint="eastAsia"/>
          <w:snapToGrid w:val="0"/>
          <w:color w:val="auto"/>
          <w:sz w:val="24"/>
        </w:rPr>
        <w:t>（距离约</w:t>
      </w:r>
      <w:r>
        <w:rPr>
          <w:rFonts w:hint="eastAsia"/>
          <w:snapToGrid w:val="0"/>
          <w:color w:val="auto"/>
          <w:sz w:val="24"/>
          <w:lang w:val="en-US" w:eastAsia="zh-CN"/>
        </w:rPr>
        <w:t>330</w:t>
      </w:r>
      <w:r>
        <w:rPr>
          <w:snapToGrid w:val="0"/>
          <w:color w:val="auto"/>
          <w:sz w:val="24"/>
        </w:rPr>
        <w:t>m</w:t>
      </w:r>
      <w:r>
        <w:rPr>
          <w:rFonts w:hint="eastAsia"/>
          <w:snapToGrid w:val="0"/>
          <w:color w:val="auto"/>
          <w:sz w:val="24"/>
        </w:rPr>
        <w:t>）、</w:t>
      </w:r>
      <w:r>
        <w:rPr>
          <w:rFonts w:hint="eastAsia"/>
          <w:snapToGrid w:val="0"/>
          <w:color w:val="auto"/>
          <w:sz w:val="24"/>
          <w:lang w:val="en-US" w:eastAsia="zh-CN"/>
        </w:rPr>
        <w:t>四胜村</w:t>
      </w:r>
      <w:r>
        <w:rPr>
          <w:snapToGrid w:val="0"/>
          <w:color w:val="auto"/>
          <w:sz w:val="24"/>
        </w:rPr>
        <w:t>（</w:t>
      </w:r>
      <w:r>
        <w:rPr>
          <w:rFonts w:hint="eastAsia"/>
          <w:snapToGrid w:val="0"/>
          <w:color w:val="auto"/>
          <w:sz w:val="24"/>
        </w:rPr>
        <w:t>距离约</w:t>
      </w:r>
      <w:r>
        <w:rPr>
          <w:rFonts w:hint="eastAsia"/>
          <w:snapToGrid w:val="0"/>
          <w:color w:val="auto"/>
          <w:sz w:val="24"/>
          <w:lang w:val="en-US" w:eastAsia="zh-CN"/>
        </w:rPr>
        <w:t>4610</w:t>
      </w:r>
      <w:r>
        <w:rPr>
          <w:snapToGrid w:val="0"/>
          <w:color w:val="auto"/>
          <w:sz w:val="24"/>
        </w:rPr>
        <w:t>m）</w:t>
      </w:r>
      <w:r>
        <w:rPr>
          <w:rFonts w:hint="eastAsia"/>
          <w:snapToGrid w:val="0"/>
          <w:color w:val="auto"/>
          <w:sz w:val="24"/>
        </w:rPr>
        <w:t>、</w:t>
      </w:r>
      <w:r>
        <w:rPr>
          <w:rFonts w:hint="eastAsia"/>
          <w:snapToGrid w:val="0"/>
          <w:color w:val="auto"/>
          <w:sz w:val="24"/>
          <w:lang w:val="en-US" w:eastAsia="zh-CN"/>
        </w:rPr>
        <w:t>仁和</w:t>
      </w:r>
      <w:r>
        <w:rPr>
          <w:rFonts w:hint="eastAsia"/>
          <w:snapToGrid w:val="0"/>
          <w:color w:val="auto"/>
          <w:sz w:val="24"/>
        </w:rPr>
        <w:t>屯</w:t>
      </w:r>
      <w:r>
        <w:rPr>
          <w:snapToGrid w:val="0"/>
          <w:color w:val="auto"/>
          <w:sz w:val="24"/>
        </w:rPr>
        <w:t>（</w:t>
      </w:r>
      <w:r>
        <w:rPr>
          <w:rFonts w:hint="eastAsia"/>
          <w:snapToGrid w:val="0"/>
          <w:color w:val="auto"/>
          <w:sz w:val="24"/>
        </w:rPr>
        <w:t>距离约</w:t>
      </w:r>
      <w:r>
        <w:rPr>
          <w:rFonts w:hint="eastAsia"/>
          <w:snapToGrid w:val="0"/>
          <w:color w:val="auto"/>
          <w:sz w:val="24"/>
          <w:lang w:val="en-US" w:eastAsia="zh-CN"/>
        </w:rPr>
        <w:t>2790</w:t>
      </w:r>
      <w:r>
        <w:rPr>
          <w:snapToGrid w:val="0"/>
          <w:color w:val="auto"/>
          <w:sz w:val="24"/>
        </w:rPr>
        <w:t>m）</w:t>
      </w:r>
      <w:r>
        <w:rPr>
          <w:rFonts w:hint="eastAsia"/>
          <w:snapToGrid w:val="0"/>
          <w:color w:val="auto"/>
          <w:sz w:val="24"/>
        </w:rPr>
        <w:t>、</w:t>
      </w:r>
      <w:r>
        <w:rPr>
          <w:rFonts w:hint="eastAsia"/>
          <w:snapToGrid w:val="0"/>
          <w:color w:val="auto"/>
          <w:sz w:val="24"/>
          <w:lang w:val="en-US" w:eastAsia="zh-CN"/>
        </w:rPr>
        <w:t>国庆村</w:t>
      </w:r>
      <w:r>
        <w:rPr>
          <w:snapToGrid w:val="0"/>
          <w:color w:val="auto"/>
          <w:sz w:val="24"/>
        </w:rPr>
        <w:t>（</w:t>
      </w:r>
      <w:r>
        <w:rPr>
          <w:rFonts w:hint="eastAsia"/>
          <w:snapToGrid w:val="0"/>
          <w:color w:val="auto"/>
          <w:sz w:val="24"/>
        </w:rPr>
        <w:t>距离约</w:t>
      </w:r>
      <w:r>
        <w:rPr>
          <w:rFonts w:hint="eastAsia"/>
          <w:snapToGrid w:val="0"/>
          <w:color w:val="auto"/>
          <w:sz w:val="24"/>
          <w:lang w:val="en-US" w:eastAsia="zh-CN"/>
        </w:rPr>
        <w:t>2340</w:t>
      </w:r>
      <w:r>
        <w:rPr>
          <w:snapToGrid w:val="0"/>
          <w:color w:val="auto"/>
          <w:sz w:val="24"/>
        </w:rPr>
        <w:t>m）</w:t>
      </w:r>
      <w:r>
        <w:rPr>
          <w:rFonts w:hint="eastAsia"/>
          <w:snapToGrid w:val="0"/>
          <w:color w:val="auto"/>
          <w:sz w:val="24"/>
          <w:lang w:eastAsia="zh-CN"/>
        </w:rPr>
        <w:t>、</w:t>
      </w:r>
      <w:r>
        <w:rPr>
          <w:rFonts w:hint="eastAsia"/>
          <w:snapToGrid w:val="0"/>
          <w:color w:val="auto"/>
          <w:sz w:val="24"/>
          <w:lang w:val="en-US" w:eastAsia="zh-CN"/>
        </w:rPr>
        <w:t>苇塘沟（</w:t>
      </w:r>
      <w:r>
        <w:rPr>
          <w:rFonts w:hint="eastAsia"/>
          <w:snapToGrid w:val="0"/>
          <w:color w:val="auto"/>
          <w:sz w:val="24"/>
        </w:rPr>
        <w:t>距离约</w:t>
      </w:r>
      <w:r>
        <w:rPr>
          <w:rFonts w:hint="eastAsia"/>
          <w:snapToGrid w:val="0"/>
          <w:color w:val="auto"/>
          <w:sz w:val="24"/>
          <w:lang w:val="en-US" w:eastAsia="zh-CN"/>
        </w:rPr>
        <w:t>3650</w:t>
      </w:r>
      <w:r>
        <w:rPr>
          <w:snapToGrid w:val="0"/>
          <w:color w:val="auto"/>
          <w:sz w:val="24"/>
        </w:rPr>
        <w:t>m</w:t>
      </w:r>
      <w:r>
        <w:rPr>
          <w:rFonts w:hint="eastAsia"/>
          <w:snapToGrid w:val="0"/>
          <w:color w:val="auto"/>
          <w:sz w:val="24"/>
          <w:lang w:val="en-US" w:eastAsia="zh-CN"/>
        </w:rPr>
        <w:t>），</w:t>
      </w:r>
      <w:r>
        <w:rPr>
          <w:rFonts w:hint="eastAsia"/>
          <w:snapToGrid w:val="0"/>
          <w:color w:val="auto"/>
          <w:sz w:val="24"/>
        </w:rPr>
        <w:t>下风向敏感目标距离项目位置较远，项目在严格落实大气环境保护措施的情况下，对敏感目标影响较小。</w:t>
      </w:r>
    </w:p>
    <w:p>
      <w:pPr>
        <w:spacing w:line="360" w:lineRule="auto"/>
        <w:ind w:firstLine="480" w:firstLineChars="200"/>
        <w:contextualSpacing/>
        <w:rPr>
          <w:rFonts w:hAnsiTheme="minorEastAsia" w:eastAsiaTheme="minorEastAsia"/>
          <w:bCs/>
          <w:color w:val="auto"/>
          <w:kern w:val="44"/>
          <w:sz w:val="24"/>
        </w:rPr>
      </w:pPr>
      <w:r>
        <w:rPr>
          <w:rFonts w:hAnsiTheme="minorEastAsia" w:eastAsiaTheme="minorEastAsia"/>
          <w:bCs/>
          <w:color w:val="auto"/>
          <w:kern w:val="44"/>
          <w:sz w:val="24"/>
        </w:rPr>
        <w:t>调查过程见下表：</w:t>
      </w:r>
    </w:p>
    <w:p>
      <w:pPr>
        <w:pStyle w:val="74"/>
        <w:adjustRightInd/>
        <w:snapToGrid/>
        <w:contextualSpacing/>
        <w:jc w:val="both"/>
        <w:rPr>
          <w:rFonts w:hint="eastAsia" w:ascii="Times New Roman" w:hAnsi="Times New Roman" w:eastAsia="宋体" w:cs="Times New Roman"/>
          <w:color w:val="auto"/>
          <w:lang w:eastAsia="zh-CN"/>
        </w:rPr>
      </w:pPr>
      <w:r>
        <w:rPr>
          <w:rFonts w:ascii="Times New Roman" w:hAnsi="Times New Roman" w:eastAsia="宋体" w:cs="Times New Roman"/>
          <w:snapToGrid w:val="0"/>
          <w:color w:val="auto"/>
        </w:rPr>
        <w:t>（1）本项目位于</w:t>
      </w:r>
      <w:r>
        <w:rPr>
          <w:rFonts w:ascii="Times New Roman" w:hAnsi="Times New Roman" w:eastAsia="宋体" w:cs="Times New Roman"/>
          <w:snapToGrid w:val="0"/>
          <w:color w:val="auto"/>
          <w:kern w:val="0"/>
        </w:rPr>
        <w:t>黑龙江省</w:t>
      </w:r>
      <w:r>
        <w:rPr>
          <w:rFonts w:hint="eastAsia" w:ascii="Times New Roman" w:hAnsi="Times New Roman" w:eastAsia="宋体" w:cs="Times New Roman"/>
          <w:snapToGrid w:val="0"/>
          <w:color w:val="auto"/>
          <w:kern w:val="0"/>
          <w:lang w:eastAsia="zh-CN"/>
        </w:rPr>
        <w:t>哈尔滨市尚志市长寿乡一曼村</w:t>
      </w:r>
      <w:r>
        <w:rPr>
          <w:rFonts w:ascii="Times New Roman" w:hAnsi="Times New Roman" w:eastAsia="宋体" w:cs="Times New Roman"/>
          <w:color w:val="auto"/>
        </w:rPr>
        <w:t>，占地面积</w:t>
      </w:r>
      <w:r>
        <w:rPr>
          <w:rFonts w:hint="eastAsia" w:ascii="Times New Roman" w:hAnsi="Times New Roman" w:eastAsia="宋体" w:cs="Times New Roman"/>
          <w:color w:val="auto"/>
          <w:lang w:eastAsia="zh-CN"/>
        </w:rPr>
        <w:t>29672</w:t>
      </w:r>
      <w:r>
        <w:rPr>
          <w:rFonts w:ascii="Times New Roman" w:hAnsi="Times New Roman" w:eastAsia="宋体" w:cs="Times New Roman"/>
          <w:color w:val="auto"/>
        </w:rPr>
        <w:t>m</w:t>
      </w:r>
      <w:r>
        <w:rPr>
          <w:rFonts w:ascii="Times New Roman" w:hAnsi="Times New Roman" w:eastAsia="宋体" w:cs="Times New Roman"/>
          <w:color w:val="auto"/>
          <w:vertAlign w:val="superscript"/>
        </w:rPr>
        <w:t>2</w:t>
      </w:r>
      <w:r>
        <w:rPr>
          <w:rFonts w:ascii="Times New Roman" w:hAnsi="Times New Roman" w:eastAsia="宋体" w:cs="Times New Roman"/>
          <w:color w:val="auto"/>
        </w:rPr>
        <w:t>，占地类型为</w:t>
      </w:r>
      <w:r>
        <w:rPr>
          <w:rFonts w:hint="eastAsia" w:ascii="Times New Roman" w:hAnsi="Times New Roman" w:eastAsia="宋体" w:cs="Times New Roman"/>
          <w:color w:val="auto"/>
        </w:rPr>
        <w:t>工业</w:t>
      </w:r>
      <w:r>
        <w:rPr>
          <w:rFonts w:ascii="Times New Roman" w:hAnsi="Times New Roman" w:eastAsia="宋体" w:cs="Times New Roman"/>
          <w:color w:val="auto"/>
        </w:rPr>
        <w:t>用地</w:t>
      </w:r>
      <w:r>
        <w:rPr>
          <w:rFonts w:hint="eastAsia" w:ascii="Times New Roman" w:hAnsi="Times New Roman" w:eastAsia="宋体" w:cs="Times New Roman"/>
          <w:color w:val="auto"/>
          <w:lang w:eastAsia="zh-CN"/>
        </w:rPr>
        <w:t>。</w:t>
      </w:r>
    </w:p>
    <w:p>
      <w:pPr>
        <w:spacing w:line="360" w:lineRule="auto"/>
        <w:ind w:firstLine="480" w:firstLineChars="200"/>
        <w:contextualSpacing/>
        <w:rPr>
          <w:snapToGrid w:val="0"/>
          <w:color w:val="auto"/>
          <w:sz w:val="24"/>
        </w:rPr>
      </w:pPr>
      <w:r>
        <w:rPr>
          <w:snapToGrid w:val="0"/>
          <w:color w:val="auto"/>
          <w:sz w:val="24"/>
        </w:rPr>
        <w:t>（2）本项目距离</w:t>
      </w:r>
      <w:r>
        <w:rPr>
          <w:rFonts w:hint="eastAsia"/>
          <w:snapToGrid w:val="0"/>
          <w:color w:val="auto"/>
          <w:sz w:val="24"/>
          <w:lang w:eastAsia="zh-CN"/>
        </w:rPr>
        <w:t>蚂蚁河</w:t>
      </w:r>
      <w:r>
        <w:rPr>
          <w:rFonts w:hint="eastAsia"/>
          <w:snapToGrid w:val="0"/>
          <w:color w:val="auto"/>
          <w:sz w:val="24"/>
          <w:lang w:val="en-US" w:eastAsia="zh-CN"/>
        </w:rPr>
        <w:t>8.8</w:t>
      </w:r>
      <w:r>
        <w:rPr>
          <w:rFonts w:hint="eastAsia"/>
          <w:snapToGrid w:val="0"/>
          <w:color w:val="auto"/>
          <w:sz w:val="24"/>
        </w:rPr>
        <w:t>k</w:t>
      </w:r>
      <w:r>
        <w:rPr>
          <w:snapToGrid w:val="0"/>
          <w:color w:val="auto"/>
          <w:sz w:val="24"/>
        </w:rPr>
        <w:t>m，不涉及重要湿地和重要水生生物的自然产卵场、索饵场、越冬场和洄游通道。</w:t>
      </w:r>
    </w:p>
    <w:p>
      <w:pPr>
        <w:spacing w:line="360" w:lineRule="auto"/>
        <w:ind w:firstLine="480" w:firstLineChars="200"/>
        <w:contextualSpacing/>
        <w:rPr>
          <w:rFonts w:eastAsiaTheme="minorEastAsia"/>
          <w:bCs/>
          <w:color w:val="auto"/>
          <w:kern w:val="44"/>
          <w:sz w:val="24"/>
        </w:rPr>
      </w:pPr>
      <w:r>
        <w:rPr>
          <w:snapToGrid w:val="0"/>
          <w:color w:val="auto"/>
          <w:sz w:val="24"/>
        </w:rPr>
        <w:t>（3）本项目评价范围内无森林公园、地质公园、天然林、饮用水源保护区等。本项目区域周边最近饮用水水源为</w:t>
      </w:r>
      <w:r>
        <w:rPr>
          <w:rFonts w:hint="eastAsia"/>
          <w:snapToGrid w:val="0"/>
          <w:color w:val="auto"/>
          <w:sz w:val="24"/>
          <w:lang w:eastAsia="zh-CN"/>
        </w:rPr>
        <w:t>一曼下屯</w:t>
      </w:r>
      <w:r>
        <w:rPr>
          <w:snapToGrid w:val="0"/>
          <w:color w:val="auto"/>
          <w:sz w:val="24"/>
        </w:rPr>
        <w:t>分散式水井，距本项目</w:t>
      </w:r>
      <w:r>
        <w:rPr>
          <w:rFonts w:hint="eastAsia"/>
          <w:bCs/>
          <w:snapToGrid w:val="0"/>
          <w:color w:val="auto"/>
          <w:sz w:val="24"/>
        </w:rPr>
        <w:t>约</w:t>
      </w:r>
      <w:r>
        <w:rPr>
          <w:rFonts w:hint="eastAsia"/>
          <w:bCs/>
          <w:snapToGrid w:val="0"/>
          <w:color w:val="auto"/>
          <w:sz w:val="24"/>
          <w:lang w:val="en-US" w:eastAsia="zh-CN"/>
        </w:rPr>
        <w:t>33</w:t>
      </w:r>
      <w:r>
        <w:rPr>
          <w:rFonts w:hint="eastAsia"/>
          <w:bCs/>
          <w:snapToGrid w:val="0"/>
          <w:color w:val="auto"/>
          <w:sz w:val="24"/>
        </w:rPr>
        <w:t>0</w:t>
      </w:r>
      <w:r>
        <w:rPr>
          <w:bCs/>
          <w:snapToGrid w:val="0"/>
          <w:color w:val="auto"/>
          <w:sz w:val="24"/>
        </w:rPr>
        <w:t>m。</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Theme="minorEastAsia" w:eastAsiaTheme="minorEastAsia"/>
          <w:b/>
          <w:snapToGrid w:val="0"/>
          <w:color w:val="auto"/>
          <w:kern w:val="0"/>
          <w:sz w:val="24"/>
        </w:rPr>
      </w:pPr>
      <w:r>
        <w:rPr>
          <w:rFonts w:hAnsiTheme="minorEastAsia" w:eastAsiaTheme="minorEastAsia"/>
          <w:b/>
          <w:snapToGrid w:val="0"/>
          <w:color w:val="auto"/>
          <w:kern w:val="0"/>
          <w:sz w:val="24"/>
        </w:rPr>
        <w:t>表</w:t>
      </w:r>
      <w:r>
        <w:rPr>
          <w:rFonts w:eastAsiaTheme="minorEastAsia"/>
          <w:b/>
          <w:snapToGrid w:val="0"/>
          <w:color w:val="auto"/>
          <w:kern w:val="0"/>
          <w:sz w:val="24"/>
        </w:rPr>
        <w:t>4-</w:t>
      </w:r>
      <w:r>
        <w:rPr>
          <w:rFonts w:hint="eastAsia" w:eastAsiaTheme="minorEastAsia"/>
          <w:b/>
          <w:snapToGrid w:val="0"/>
          <w:color w:val="auto"/>
          <w:kern w:val="0"/>
          <w:sz w:val="24"/>
        </w:rPr>
        <w:t>4</w:t>
      </w:r>
      <w:r>
        <w:rPr>
          <w:rFonts w:eastAsiaTheme="minorEastAsia"/>
          <w:b/>
          <w:snapToGrid w:val="0"/>
          <w:color w:val="auto"/>
          <w:kern w:val="0"/>
          <w:sz w:val="24"/>
        </w:rPr>
        <w:t>-1</w:t>
      </w:r>
      <w:r>
        <w:rPr>
          <w:rFonts w:hAnsiTheme="minorEastAsia" w:eastAsiaTheme="minorEastAsia"/>
          <w:b/>
          <w:snapToGrid w:val="0"/>
          <w:color w:val="auto"/>
          <w:kern w:val="0"/>
          <w:sz w:val="24"/>
        </w:rPr>
        <w:t>环境保护目标调查表</w:t>
      </w:r>
    </w:p>
    <w:tbl>
      <w:tblPr>
        <w:tblStyle w:val="46"/>
        <w:tblW w:w="830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34"/>
        <w:gridCol w:w="1501"/>
        <w:gridCol w:w="1418"/>
        <w:gridCol w:w="709"/>
        <w:gridCol w:w="708"/>
        <w:gridCol w:w="851"/>
        <w:gridCol w:w="850"/>
        <w:gridCol w:w="9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334" w:type="dxa"/>
            <w:vMerge w:val="restart"/>
            <w:shd w:val="clear" w:color="auto" w:fill="auto"/>
            <w:vAlign w:val="center"/>
          </w:tcPr>
          <w:p>
            <w:pPr>
              <w:pStyle w:val="84"/>
              <w:adjustRightInd w:val="0"/>
              <w:snapToGrid w:val="0"/>
              <w:rPr>
                <w:rFonts w:hAnsi="Times New Roman"/>
                <w:snapToGrid w:val="0"/>
                <w:color w:val="auto"/>
              </w:rPr>
            </w:pPr>
            <w:r>
              <w:rPr>
                <w:rFonts w:hAnsi="Times New Roman"/>
                <w:snapToGrid w:val="0"/>
                <w:color w:val="auto"/>
              </w:rPr>
              <w:t>名称</w:t>
            </w:r>
          </w:p>
        </w:tc>
        <w:tc>
          <w:tcPr>
            <w:tcW w:w="2919" w:type="dxa"/>
            <w:gridSpan w:val="2"/>
            <w:vAlign w:val="center"/>
          </w:tcPr>
          <w:p>
            <w:pPr>
              <w:pStyle w:val="84"/>
              <w:adjustRightInd w:val="0"/>
              <w:snapToGrid w:val="0"/>
              <w:rPr>
                <w:rFonts w:hAnsi="Times New Roman"/>
                <w:snapToGrid w:val="0"/>
                <w:color w:val="auto"/>
              </w:rPr>
            </w:pPr>
            <w:r>
              <w:rPr>
                <w:rFonts w:hAnsi="Times New Roman"/>
                <w:snapToGrid w:val="0"/>
                <w:color w:val="auto"/>
              </w:rPr>
              <w:t>坐标</w:t>
            </w:r>
          </w:p>
        </w:tc>
        <w:tc>
          <w:tcPr>
            <w:tcW w:w="709" w:type="dxa"/>
            <w:vMerge w:val="restart"/>
            <w:vAlign w:val="center"/>
          </w:tcPr>
          <w:p>
            <w:pPr>
              <w:pStyle w:val="84"/>
              <w:adjustRightInd w:val="0"/>
              <w:snapToGrid w:val="0"/>
              <w:rPr>
                <w:rFonts w:hAnsi="Times New Roman"/>
                <w:snapToGrid w:val="0"/>
                <w:color w:val="auto"/>
              </w:rPr>
            </w:pPr>
            <w:r>
              <w:rPr>
                <w:rFonts w:hAnsi="Times New Roman"/>
                <w:snapToGrid w:val="0"/>
                <w:color w:val="auto"/>
              </w:rPr>
              <w:t>保护对象</w:t>
            </w:r>
          </w:p>
        </w:tc>
        <w:tc>
          <w:tcPr>
            <w:tcW w:w="708" w:type="dxa"/>
            <w:vMerge w:val="restart"/>
            <w:vAlign w:val="center"/>
          </w:tcPr>
          <w:p>
            <w:pPr>
              <w:pStyle w:val="84"/>
              <w:adjustRightInd w:val="0"/>
              <w:snapToGrid w:val="0"/>
              <w:rPr>
                <w:rFonts w:hAnsi="Times New Roman"/>
                <w:snapToGrid w:val="0"/>
                <w:color w:val="auto"/>
              </w:rPr>
            </w:pPr>
            <w:r>
              <w:rPr>
                <w:rFonts w:hAnsi="Times New Roman"/>
                <w:snapToGrid w:val="0"/>
                <w:color w:val="auto"/>
              </w:rPr>
              <w:t>保护</w:t>
            </w:r>
          </w:p>
          <w:p>
            <w:pPr>
              <w:pStyle w:val="84"/>
              <w:adjustRightInd w:val="0"/>
              <w:snapToGrid w:val="0"/>
              <w:rPr>
                <w:rFonts w:hAnsi="Times New Roman"/>
                <w:snapToGrid w:val="0"/>
                <w:color w:val="auto"/>
              </w:rPr>
            </w:pPr>
            <w:r>
              <w:rPr>
                <w:rFonts w:hAnsi="Times New Roman"/>
                <w:snapToGrid w:val="0"/>
                <w:color w:val="auto"/>
              </w:rPr>
              <w:t>内容</w:t>
            </w:r>
          </w:p>
        </w:tc>
        <w:tc>
          <w:tcPr>
            <w:tcW w:w="851" w:type="dxa"/>
            <w:vMerge w:val="restart"/>
            <w:vAlign w:val="center"/>
          </w:tcPr>
          <w:p>
            <w:pPr>
              <w:pStyle w:val="84"/>
              <w:adjustRightInd w:val="0"/>
              <w:snapToGrid w:val="0"/>
              <w:rPr>
                <w:rFonts w:hAnsi="Times New Roman"/>
                <w:snapToGrid w:val="0"/>
                <w:color w:val="auto"/>
              </w:rPr>
            </w:pPr>
            <w:r>
              <w:rPr>
                <w:rFonts w:hAnsi="Times New Roman"/>
                <w:snapToGrid w:val="0"/>
                <w:color w:val="auto"/>
              </w:rPr>
              <w:t>环境功能区</w:t>
            </w:r>
          </w:p>
        </w:tc>
        <w:tc>
          <w:tcPr>
            <w:tcW w:w="850" w:type="dxa"/>
            <w:vMerge w:val="restart"/>
            <w:vAlign w:val="center"/>
          </w:tcPr>
          <w:p>
            <w:pPr>
              <w:pStyle w:val="84"/>
              <w:adjustRightInd w:val="0"/>
              <w:snapToGrid w:val="0"/>
              <w:rPr>
                <w:rFonts w:hAnsi="Times New Roman"/>
                <w:snapToGrid w:val="0"/>
                <w:color w:val="auto"/>
              </w:rPr>
            </w:pPr>
            <w:r>
              <w:rPr>
                <w:rFonts w:hAnsi="Times New Roman"/>
                <w:snapToGrid w:val="0"/>
                <w:color w:val="auto"/>
              </w:rPr>
              <w:t>相对厂址方位</w:t>
            </w:r>
          </w:p>
        </w:tc>
        <w:tc>
          <w:tcPr>
            <w:tcW w:w="935" w:type="dxa"/>
            <w:vMerge w:val="restart"/>
            <w:shd w:val="clear" w:color="auto" w:fill="auto"/>
            <w:vAlign w:val="center"/>
          </w:tcPr>
          <w:p>
            <w:pPr>
              <w:pStyle w:val="84"/>
              <w:adjustRightInd w:val="0"/>
              <w:snapToGrid w:val="0"/>
              <w:rPr>
                <w:rFonts w:hint="default" w:hAnsi="Times New Roman" w:eastAsia="宋体"/>
                <w:snapToGrid w:val="0"/>
                <w:color w:val="auto"/>
                <w:lang w:val="en-US" w:eastAsia="zh-CN"/>
              </w:rPr>
            </w:pPr>
            <w:r>
              <w:rPr>
                <w:rFonts w:hAnsi="Times New Roman"/>
                <w:snapToGrid w:val="0"/>
                <w:color w:val="auto"/>
              </w:rPr>
              <w:t>相对厂界距离</w:t>
            </w:r>
            <w:r>
              <w:rPr>
                <w:rFonts w:hint="eastAsia" w:hAnsi="Times New Roman"/>
                <w:snapToGrid w:val="0"/>
                <w:color w:val="auto"/>
                <w:lang w:val="en-US" w:eastAsia="zh-CN"/>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334" w:type="dxa"/>
            <w:vMerge w:val="continue"/>
            <w:shd w:val="clear" w:color="auto" w:fill="auto"/>
            <w:vAlign w:val="center"/>
          </w:tcPr>
          <w:p>
            <w:pPr>
              <w:pStyle w:val="84"/>
              <w:adjustRightInd w:val="0"/>
              <w:snapToGrid w:val="0"/>
              <w:rPr>
                <w:rFonts w:hAnsi="Times New Roman"/>
                <w:snapToGrid w:val="0"/>
                <w:color w:val="auto"/>
              </w:rPr>
            </w:pPr>
          </w:p>
        </w:tc>
        <w:tc>
          <w:tcPr>
            <w:tcW w:w="1501"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东经</w:t>
            </w:r>
          </w:p>
        </w:tc>
        <w:tc>
          <w:tcPr>
            <w:tcW w:w="1418"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北纬</w:t>
            </w:r>
          </w:p>
        </w:tc>
        <w:tc>
          <w:tcPr>
            <w:tcW w:w="709" w:type="dxa"/>
            <w:vMerge w:val="continue"/>
            <w:vAlign w:val="center"/>
          </w:tcPr>
          <w:p>
            <w:pPr>
              <w:pStyle w:val="84"/>
              <w:adjustRightInd w:val="0"/>
              <w:snapToGrid w:val="0"/>
              <w:rPr>
                <w:rFonts w:hAnsi="Times New Roman"/>
                <w:snapToGrid w:val="0"/>
                <w:color w:val="auto"/>
              </w:rPr>
            </w:pPr>
          </w:p>
        </w:tc>
        <w:tc>
          <w:tcPr>
            <w:tcW w:w="708" w:type="dxa"/>
            <w:vMerge w:val="continue"/>
            <w:vAlign w:val="center"/>
          </w:tcPr>
          <w:p>
            <w:pPr>
              <w:pStyle w:val="84"/>
              <w:adjustRightInd w:val="0"/>
              <w:snapToGrid w:val="0"/>
              <w:rPr>
                <w:rFonts w:hAnsi="Times New Roman"/>
                <w:snapToGrid w:val="0"/>
                <w:color w:val="auto"/>
              </w:rPr>
            </w:pPr>
          </w:p>
        </w:tc>
        <w:tc>
          <w:tcPr>
            <w:tcW w:w="851" w:type="dxa"/>
            <w:vMerge w:val="continue"/>
            <w:vAlign w:val="center"/>
          </w:tcPr>
          <w:p>
            <w:pPr>
              <w:pStyle w:val="84"/>
              <w:adjustRightInd w:val="0"/>
              <w:snapToGrid w:val="0"/>
              <w:rPr>
                <w:rFonts w:hAnsi="Times New Roman"/>
                <w:snapToGrid w:val="0"/>
                <w:color w:val="auto"/>
              </w:rPr>
            </w:pPr>
          </w:p>
        </w:tc>
        <w:tc>
          <w:tcPr>
            <w:tcW w:w="850" w:type="dxa"/>
            <w:vMerge w:val="continue"/>
            <w:vAlign w:val="center"/>
          </w:tcPr>
          <w:p>
            <w:pPr>
              <w:pStyle w:val="84"/>
              <w:adjustRightInd w:val="0"/>
              <w:snapToGrid w:val="0"/>
              <w:rPr>
                <w:rFonts w:hAnsi="Times New Roman"/>
                <w:snapToGrid w:val="0"/>
                <w:color w:val="auto"/>
              </w:rPr>
            </w:pPr>
          </w:p>
        </w:tc>
        <w:tc>
          <w:tcPr>
            <w:tcW w:w="935" w:type="dxa"/>
            <w:vMerge w:val="continue"/>
            <w:shd w:val="clear" w:color="auto" w:fill="auto"/>
            <w:vAlign w:val="center"/>
          </w:tcPr>
          <w:p>
            <w:pPr>
              <w:pStyle w:val="84"/>
              <w:adjustRightInd w:val="0"/>
              <w:snapToGrid w:val="0"/>
              <w:rPr>
                <w:rFonts w:hAnsi="Times New Roman"/>
                <w:snapToGrid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4" w:type="dxa"/>
            <w:shd w:val="clear" w:color="auto" w:fill="auto"/>
            <w:vAlign w:val="center"/>
          </w:tcPr>
          <w:p>
            <w:pPr>
              <w:pStyle w:val="84"/>
              <w:adjustRightInd w:val="0"/>
              <w:snapToGrid w:val="0"/>
              <w:rPr>
                <w:rFonts w:hint="eastAsia" w:hAnsi="Times New Roman" w:eastAsia="宋体"/>
                <w:snapToGrid w:val="0"/>
                <w:color w:val="auto"/>
                <w:lang w:eastAsia="zh-CN"/>
              </w:rPr>
            </w:pPr>
            <w:r>
              <w:rPr>
                <w:rFonts w:hint="eastAsia" w:hAnsi="Times New Roman"/>
                <w:snapToGrid w:val="0"/>
                <w:color w:val="auto"/>
                <w:lang w:eastAsia="zh-CN"/>
              </w:rPr>
              <w:t>一曼下屯</w:t>
            </w:r>
          </w:p>
        </w:tc>
        <w:tc>
          <w:tcPr>
            <w:tcW w:w="1501" w:type="dxa"/>
            <w:vAlign w:val="center"/>
          </w:tcPr>
          <w:p>
            <w:pPr>
              <w:pStyle w:val="84"/>
              <w:adjustRightInd w:val="0"/>
              <w:snapToGrid w:val="0"/>
              <w:rPr>
                <w:rFonts w:hAnsi="Times New Roman"/>
                <w:snapToGrid w:val="0"/>
                <w:color w:val="auto"/>
              </w:rPr>
            </w:pPr>
            <w:r>
              <w:rPr>
                <w:rFonts w:hAnsi="Times New Roman"/>
                <w:snapToGrid w:val="0"/>
                <w:color w:val="auto"/>
              </w:rPr>
              <w:t>127.82008052</w:t>
            </w:r>
          </w:p>
        </w:tc>
        <w:tc>
          <w:tcPr>
            <w:tcW w:w="1418" w:type="dxa"/>
            <w:vAlign w:val="center"/>
          </w:tcPr>
          <w:p>
            <w:pPr>
              <w:pStyle w:val="84"/>
              <w:adjustRightInd w:val="0"/>
              <w:snapToGrid w:val="0"/>
              <w:rPr>
                <w:rFonts w:hAnsi="Times New Roman"/>
                <w:snapToGrid w:val="0"/>
                <w:color w:val="auto"/>
              </w:rPr>
            </w:pPr>
            <w:r>
              <w:rPr>
                <w:rFonts w:hAnsi="Times New Roman"/>
                <w:snapToGrid w:val="0"/>
                <w:color w:val="auto"/>
              </w:rPr>
              <w:t>45.30522157</w:t>
            </w:r>
          </w:p>
        </w:tc>
        <w:tc>
          <w:tcPr>
            <w:tcW w:w="709" w:type="dxa"/>
            <w:vMerge w:val="restart"/>
            <w:vAlign w:val="center"/>
          </w:tcPr>
          <w:p>
            <w:pPr>
              <w:pStyle w:val="84"/>
              <w:adjustRightInd w:val="0"/>
              <w:snapToGrid w:val="0"/>
              <w:rPr>
                <w:rFonts w:hAnsi="Times New Roman"/>
                <w:snapToGrid w:val="0"/>
                <w:color w:val="auto"/>
              </w:rPr>
            </w:pPr>
            <w:r>
              <w:rPr>
                <w:rFonts w:hAnsi="Times New Roman"/>
                <w:snapToGrid w:val="0"/>
                <w:color w:val="auto"/>
              </w:rPr>
              <w:t>农村地区中人群较集中的区域</w:t>
            </w:r>
          </w:p>
        </w:tc>
        <w:tc>
          <w:tcPr>
            <w:tcW w:w="708" w:type="dxa"/>
            <w:vMerge w:val="restart"/>
            <w:vAlign w:val="center"/>
          </w:tcPr>
          <w:p>
            <w:pPr>
              <w:pStyle w:val="84"/>
              <w:adjustRightInd w:val="0"/>
              <w:snapToGrid w:val="0"/>
              <w:rPr>
                <w:rFonts w:hAnsi="Times New Roman"/>
                <w:snapToGrid w:val="0"/>
                <w:color w:val="auto"/>
              </w:rPr>
            </w:pPr>
            <w:r>
              <w:rPr>
                <w:rFonts w:hAnsi="Times New Roman"/>
                <w:snapToGrid w:val="0"/>
                <w:color w:val="auto"/>
              </w:rPr>
              <w:t>人群</w:t>
            </w:r>
          </w:p>
        </w:tc>
        <w:tc>
          <w:tcPr>
            <w:tcW w:w="851" w:type="dxa"/>
            <w:vMerge w:val="restart"/>
            <w:vAlign w:val="center"/>
          </w:tcPr>
          <w:p>
            <w:pPr>
              <w:pStyle w:val="84"/>
              <w:adjustRightInd w:val="0"/>
              <w:snapToGrid w:val="0"/>
              <w:rPr>
                <w:rFonts w:hAnsi="Times New Roman"/>
                <w:snapToGrid w:val="0"/>
                <w:color w:val="auto"/>
              </w:rPr>
            </w:pPr>
            <w:r>
              <w:rPr>
                <w:rFonts w:hAnsi="Times New Roman"/>
                <w:snapToGrid w:val="0"/>
                <w:color w:val="auto"/>
              </w:rPr>
              <w:t>二类区</w:t>
            </w:r>
          </w:p>
        </w:tc>
        <w:tc>
          <w:tcPr>
            <w:tcW w:w="850" w:type="dxa"/>
            <w:vAlign w:val="center"/>
          </w:tcPr>
          <w:p>
            <w:pPr>
              <w:pStyle w:val="84"/>
              <w:adjustRightInd w:val="0"/>
              <w:snapToGrid w:val="0"/>
              <w:rPr>
                <w:rFonts w:hint="default" w:hAnsi="Times New Roman" w:eastAsia="宋体"/>
                <w:snapToGrid w:val="0"/>
                <w:color w:val="auto"/>
                <w:lang w:val="en-US" w:eastAsia="zh-CN"/>
              </w:rPr>
            </w:pPr>
            <w:r>
              <w:rPr>
                <w:rFonts w:hint="eastAsia" w:hAnsi="Times New Roman"/>
                <w:snapToGrid w:val="0"/>
                <w:color w:val="auto"/>
                <w:lang w:val="en-US" w:eastAsia="zh-CN"/>
              </w:rPr>
              <w:t>E</w:t>
            </w:r>
          </w:p>
        </w:tc>
        <w:tc>
          <w:tcPr>
            <w:tcW w:w="935" w:type="dxa"/>
            <w:shd w:val="clear" w:color="auto" w:fill="auto"/>
            <w:vAlign w:val="center"/>
          </w:tcPr>
          <w:p>
            <w:pPr>
              <w:pStyle w:val="84"/>
              <w:adjustRightInd w:val="0"/>
              <w:snapToGrid w:val="0"/>
              <w:rPr>
                <w:rFonts w:hint="default" w:hAnsi="Times New Roman" w:eastAsia="宋体"/>
                <w:snapToGrid w:val="0"/>
                <w:color w:val="auto"/>
                <w:lang w:val="en-US" w:eastAsia="zh-CN"/>
              </w:rPr>
            </w:pPr>
            <w:r>
              <w:rPr>
                <w:rFonts w:hint="eastAsia" w:hAnsi="Times New Roman"/>
                <w:snapToGrid w:val="0"/>
                <w:color w:val="auto"/>
                <w:lang w:val="en-US" w:eastAsia="zh-CN"/>
              </w:rPr>
              <w:t>330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4" w:type="dxa"/>
            <w:shd w:val="clear" w:color="auto" w:fill="auto"/>
            <w:vAlign w:val="center"/>
          </w:tcPr>
          <w:p>
            <w:pPr>
              <w:pStyle w:val="84"/>
              <w:adjustRightInd w:val="0"/>
              <w:snapToGrid w:val="0"/>
              <w:rPr>
                <w:rFonts w:hint="eastAsia" w:hAnsi="Times New Roman" w:eastAsia="宋体"/>
                <w:snapToGrid w:val="0"/>
                <w:color w:val="auto"/>
                <w:lang w:val="en-US" w:eastAsia="zh-CN"/>
              </w:rPr>
            </w:pPr>
            <w:r>
              <w:rPr>
                <w:rFonts w:hint="eastAsia" w:hAnsi="Times New Roman"/>
                <w:snapToGrid w:val="0"/>
                <w:color w:val="auto"/>
                <w:lang w:val="en-US" w:eastAsia="zh-CN"/>
              </w:rPr>
              <w:t>四胜村</w:t>
            </w:r>
          </w:p>
        </w:tc>
        <w:tc>
          <w:tcPr>
            <w:tcW w:w="1501" w:type="dxa"/>
            <w:vAlign w:val="center"/>
          </w:tcPr>
          <w:p>
            <w:pPr>
              <w:pStyle w:val="84"/>
              <w:adjustRightInd w:val="0"/>
              <w:snapToGrid w:val="0"/>
              <w:rPr>
                <w:rFonts w:hAnsi="Times New Roman"/>
                <w:snapToGrid w:val="0"/>
                <w:color w:val="auto"/>
              </w:rPr>
            </w:pPr>
            <w:r>
              <w:rPr>
                <w:rFonts w:hAnsi="Times New Roman"/>
                <w:snapToGrid w:val="0"/>
                <w:color w:val="auto"/>
              </w:rPr>
              <w:t>127.82409310</w:t>
            </w:r>
          </w:p>
        </w:tc>
        <w:tc>
          <w:tcPr>
            <w:tcW w:w="1418" w:type="dxa"/>
            <w:vAlign w:val="center"/>
          </w:tcPr>
          <w:p>
            <w:pPr>
              <w:pStyle w:val="84"/>
              <w:adjustRightInd w:val="0"/>
              <w:snapToGrid w:val="0"/>
              <w:rPr>
                <w:rFonts w:hAnsi="Times New Roman"/>
                <w:snapToGrid w:val="0"/>
                <w:color w:val="auto"/>
              </w:rPr>
            </w:pPr>
            <w:r>
              <w:rPr>
                <w:rFonts w:hAnsi="Times New Roman"/>
                <w:snapToGrid w:val="0"/>
                <w:color w:val="auto"/>
              </w:rPr>
              <w:t>45.34752324</w:t>
            </w:r>
          </w:p>
        </w:tc>
        <w:tc>
          <w:tcPr>
            <w:tcW w:w="709" w:type="dxa"/>
            <w:vMerge w:val="continue"/>
            <w:vAlign w:val="center"/>
          </w:tcPr>
          <w:p>
            <w:pPr>
              <w:pStyle w:val="84"/>
              <w:adjustRightInd w:val="0"/>
              <w:snapToGrid w:val="0"/>
              <w:rPr>
                <w:rFonts w:hAnsi="Times New Roman"/>
                <w:snapToGrid w:val="0"/>
                <w:color w:val="auto"/>
              </w:rPr>
            </w:pPr>
          </w:p>
        </w:tc>
        <w:tc>
          <w:tcPr>
            <w:tcW w:w="708" w:type="dxa"/>
            <w:vMerge w:val="continue"/>
            <w:vAlign w:val="center"/>
          </w:tcPr>
          <w:p>
            <w:pPr>
              <w:pStyle w:val="84"/>
              <w:adjustRightInd w:val="0"/>
              <w:snapToGrid w:val="0"/>
              <w:rPr>
                <w:rFonts w:hAnsi="Times New Roman"/>
                <w:snapToGrid w:val="0"/>
                <w:color w:val="auto"/>
              </w:rPr>
            </w:pPr>
          </w:p>
        </w:tc>
        <w:tc>
          <w:tcPr>
            <w:tcW w:w="851" w:type="dxa"/>
            <w:vMerge w:val="continue"/>
            <w:vAlign w:val="center"/>
          </w:tcPr>
          <w:p>
            <w:pPr>
              <w:pStyle w:val="84"/>
              <w:adjustRightInd w:val="0"/>
              <w:snapToGrid w:val="0"/>
              <w:rPr>
                <w:rFonts w:hAnsi="Times New Roman"/>
                <w:snapToGrid w:val="0"/>
                <w:color w:val="auto"/>
              </w:rPr>
            </w:pPr>
          </w:p>
        </w:tc>
        <w:tc>
          <w:tcPr>
            <w:tcW w:w="850" w:type="dxa"/>
            <w:vAlign w:val="center"/>
          </w:tcPr>
          <w:p>
            <w:pPr>
              <w:adjustRightInd w:val="0"/>
              <w:snapToGrid w:val="0"/>
              <w:jc w:val="center"/>
              <w:rPr>
                <w:rFonts w:hAnsi="Times New Roman"/>
                <w:snapToGrid w:val="0"/>
                <w:color w:val="auto"/>
              </w:rPr>
            </w:pPr>
            <w:r>
              <w:rPr>
                <w:rFonts w:hint="eastAsia" w:hAnsi="Times New Roman"/>
                <w:snapToGrid w:val="0"/>
                <w:color w:val="auto"/>
                <w:lang w:val="en-US" w:eastAsia="zh-CN"/>
              </w:rPr>
              <w:t>NE</w:t>
            </w:r>
          </w:p>
        </w:tc>
        <w:tc>
          <w:tcPr>
            <w:tcW w:w="935" w:type="dxa"/>
            <w:shd w:val="clear" w:color="auto" w:fill="auto"/>
            <w:vAlign w:val="center"/>
          </w:tcPr>
          <w:p>
            <w:pPr>
              <w:pStyle w:val="84"/>
              <w:adjustRightInd w:val="0"/>
              <w:snapToGrid w:val="0"/>
              <w:rPr>
                <w:rFonts w:hint="default" w:hAnsi="Times New Roman" w:eastAsia="宋体"/>
                <w:snapToGrid w:val="0"/>
                <w:color w:val="auto"/>
                <w:lang w:val="en-US" w:eastAsia="zh-CN"/>
              </w:rPr>
            </w:pPr>
            <w:r>
              <w:rPr>
                <w:rFonts w:hint="eastAsia" w:hAnsi="Times New Roman"/>
                <w:snapToGrid w:val="0"/>
                <w:color w:val="auto"/>
                <w:lang w:val="en-US" w:eastAsia="zh-CN"/>
              </w:rPr>
              <w:t>4610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4" w:type="dxa"/>
            <w:shd w:val="clear" w:color="auto" w:fill="auto"/>
            <w:vAlign w:val="center"/>
          </w:tcPr>
          <w:p>
            <w:pPr>
              <w:pStyle w:val="84"/>
              <w:adjustRightInd w:val="0"/>
              <w:snapToGrid w:val="0"/>
              <w:rPr>
                <w:rFonts w:hint="eastAsia" w:hAnsi="Times New Roman" w:eastAsia="宋体"/>
                <w:snapToGrid w:val="0"/>
                <w:color w:val="auto"/>
                <w:lang w:val="en-US" w:eastAsia="zh-CN"/>
              </w:rPr>
            </w:pPr>
            <w:r>
              <w:rPr>
                <w:rFonts w:hint="eastAsia" w:hAnsi="Times New Roman"/>
                <w:snapToGrid w:val="0"/>
                <w:color w:val="auto"/>
                <w:lang w:val="en-US" w:eastAsia="zh-CN"/>
              </w:rPr>
              <w:t>仁和屯</w:t>
            </w:r>
          </w:p>
        </w:tc>
        <w:tc>
          <w:tcPr>
            <w:tcW w:w="1501" w:type="dxa"/>
            <w:vAlign w:val="center"/>
          </w:tcPr>
          <w:p>
            <w:pPr>
              <w:pStyle w:val="84"/>
              <w:adjustRightInd w:val="0"/>
              <w:snapToGrid w:val="0"/>
              <w:rPr>
                <w:rFonts w:hAnsi="Times New Roman"/>
                <w:snapToGrid w:val="0"/>
                <w:color w:val="auto"/>
              </w:rPr>
            </w:pPr>
            <w:r>
              <w:rPr>
                <w:rFonts w:hAnsi="Times New Roman"/>
                <w:snapToGrid w:val="0"/>
                <w:color w:val="auto"/>
              </w:rPr>
              <w:t>127.82053113</w:t>
            </w:r>
          </w:p>
        </w:tc>
        <w:tc>
          <w:tcPr>
            <w:tcW w:w="1418" w:type="dxa"/>
            <w:vAlign w:val="center"/>
          </w:tcPr>
          <w:p>
            <w:pPr>
              <w:pStyle w:val="84"/>
              <w:adjustRightInd w:val="0"/>
              <w:snapToGrid w:val="0"/>
              <w:rPr>
                <w:rFonts w:hAnsi="Times New Roman"/>
                <w:snapToGrid w:val="0"/>
                <w:color w:val="auto"/>
              </w:rPr>
            </w:pPr>
            <w:r>
              <w:rPr>
                <w:rFonts w:hAnsi="Times New Roman"/>
                <w:snapToGrid w:val="0"/>
                <w:color w:val="auto"/>
              </w:rPr>
              <w:t>45.32990641</w:t>
            </w:r>
          </w:p>
        </w:tc>
        <w:tc>
          <w:tcPr>
            <w:tcW w:w="709" w:type="dxa"/>
            <w:vMerge w:val="continue"/>
            <w:vAlign w:val="center"/>
          </w:tcPr>
          <w:p>
            <w:pPr>
              <w:pStyle w:val="84"/>
              <w:adjustRightInd w:val="0"/>
              <w:snapToGrid w:val="0"/>
              <w:rPr>
                <w:rFonts w:hAnsi="Times New Roman"/>
                <w:snapToGrid w:val="0"/>
                <w:color w:val="auto"/>
              </w:rPr>
            </w:pPr>
          </w:p>
        </w:tc>
        <w:tc>
          <w:tcPr>
            <w:tcW w:w="708" w:type="dxa"/>
            <w:vMerge w:val="continue"/>
            <w:vAlign w:val="center"/>
          </w:tcPr>
          <w:p>
            <w:pPr>
              <w:pStyle w:val="84"/>
              <w:adjustRightInd w:val="0"/>
              <w:snapToGrid w:val="0"/>
              <w:rPr>
                <w:rFonts w:hAnsi="Times New Roman"/>
                <w:snapToGrid w:val="0"/>
                <w:color w:val="auto"/>
              </w:rPr>
            </w:pPr>
          </w:p>
        </w:tc>
        <w:tc>
          <w:tcPr>
            <w:tcW w:w="851" w:type="dxa"/>
            <w:vMerge w:val="continue"/>
            <w:vAlign w:val="center"/>
          </w:tcPr>
          <w:p>
            <w:pPr>
              <w:pStyle w:val="84"/>
              <w:adjustRightInd w:val="0"/>
              <w:snapToGrid w:val="0"/>
              <w:rPr>
                <w:rFonts w:hAnsi="Times New Roman"/>
                <w:snapToGrid w:val="0"/>
                <w:color w:val="auto"/>
              </w:rPr>
            </w:pPr>
          </w:p>
        </w:tc>
        <w:tc>
          <w:tcPr>
            <w:tcW w:w="850" w:type="dxa"/>
            <w:vAlign w:val="center"/>
          </w:tcPr>
          <w:p>
            <w:pPr>
              <w:adjustRightInd w:val="0"/>
              <w:snapToGrid w:val="0"/>
              <w:jc w:val="center"/>
              <w:rPr>
                <w:rFonts w:hAnsi="Times New Roman"/>
                <w:snapToGrid w:val="0"/>
                <w:color w:val="auto"/>
              </w:rPr>
            </w:pPr>
            <w:r>
              <w:rPr>
                <w:rFonts w:hint="eastAsia" w:hAnsi="Times New Roman"/>
                <w:snapToGrid w:val="0"/>
                <w:color w:val="auto"/>
                <w:lang w:val="en-US" w:eastAsia="zh-CN"/>
              </w:rPr>
              <w:t>NE</w:t>
            </w:r>
          </w:p>
        </w:tc>
        <w:tc>
          <w:tcPr>
            <w:tcW w:w="935" w:type="dxa"/>
            <w:shd w:val="clear" w:color="auto" w:fill="auto"/>
            <w:vAlign w:val="center"/>
          </w:tcPr>
          <w:p>
            <w:pPr>
              <w:pStyle w:val="84"/>
              <w:adjustRightInd w:val="0"/>
              <w:snapToGrid w:val="0"/>
              <w:rPr>
                <w:rFonts w:hint="default" w:hAnsi="Times New Roman" w:eastAsia="宋体"/>
                <w:snapToGrid w:val="0"/>
                <w:color w:val="auto"/>
                <w:lang w:val="en-US" w:eastAsia="zh-CN"/>
              </w:rPr>
            </w:pPr>
            <w:r>
              <w:rPr>
                <w:rFonts w:hint="eastAsia" w:hAnsi="Times New Roman"/>
                <w:snapToGrid w:val="0"/>
                <w:color w:val="auto"/>
                <w:lang w:val="en-US" w:eastAsia="zh-CN"/>
              </w:rPr>
              <w:t>2790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4" w:type="dxa"/>
            <w:shd w:val="clear" w:color="auto" w:fill="auto"/>
            <w:vAlign w:val="center"/>
          </w:tcPr>
          <w:p>
            <w:pPr>
              <w:pStyle w:val="84"/>
              <w:adjustRightInd w:val="0"/>
              <w:snapToGrid w:val="0"/>
              <w:rPr>
                <w:rFonts w:hint="eastAsia" w:hAnsi="Times New Roman" w:eastAsia="宋体"/>
                <w:snapToGrid w:val="0"/>
                <w:color w:val="auto"/>
                <w:lang w:val="en-US" w:eastAsia="zh-CN"/>
              </w:rPr>
            </w:pPr>
            <w:r>
              <w:rPr>
                <w:rFonts w:hint="eastAsia" w:hAnsi="Times New Roman"/>
                <w:snapToGrid w:val="0"/>
                <w:color w:val="auto"/>
                <w:lang w:val="en-US" w:eastAsia="zh-CN"/>
              </w:rPr>
              <w:t>国庆村</w:t>
            </w:r>
          </w:p>
        </w:tc>
        <w:tc>
          <w:tcPr>
            <w:tcW w:w="1501" w:type="dxa"/>
            <w:vAlign w:val="center"/>
          </w:tcPr>
          <w:p>
            <w:pPr>
              <w:pStyle w:val="84"/>
              <w:adjustRightInd w:val="0"/>
              <w:snapToGrid w:val="0"/>
              <w:rPr>
                <w:rFonts w:hAnsi="Times New Roman"/>
                <w:snapToGrid w:val="0"/>
                <w:color w:val="auto"/>
              </w:rPr>
            </w:pPr>
            <w:r>
              <w:rPr>
                <w:rFonts w:hAnsi="Times New Roman"/>
                <w:snapToGrid w:val="0"/>
                <w:color w:val="auto"/>
              </w:rPr>
              <w:t>127.83219337</w:t>
            </w:r>
          </w:p>
        </w:tc>
        <w:tc>
          <w:tcPr>
            <w:tcW w:w="1418" w:type="dxa"/>
            <w:vAlign w:val="center"/>
          </w:tcPr>
          <w:p>
            <w:pPr>
              <w:pStyle w:val="84"/>
              <w:adjustRightInd w:val="0"/>
              <w:snapToGrid w:val="0"/>
              <w:rPr>
                <w:rFonts w:hAnsi="Times New Roman"/>
                <w:snapToGrid w:val="0"/>
                <w:color w:val="auto"/>
              </w:rPr>
            </w:pPr>
            <w:r>
              <w:rPr>
                <w:rFonts w:hAnsi="Times New Roman"/>
                <w:snapToGrid w:val="0"/>
                <w:color w:val="auto"/>
              </w:rPr>
              <w:t>45.32475457</w:t>
            </w:r>
          </w:p>
        </w:tc>
        <w:tc>
          <w:tcPr>
            <w:tcW w:w="709" w:type="dxa"/>
            <w:vMerge w:val="continue"/>
            <w:vAlign w:val="center"/>
          </w:tcPr>
          <w:p>
            <w:pPr>
              <w:pStyle w:val="84"/>
              <w:adjustRightInd w:val="0"/>
              <w:snapToGrid w:val="0"/>
              <w:rPr>
                <w:rFonts w:hAnsi="Times New Roman"/>
                <w:snapToGrid w:val="0"/>
                <w:color w:val="auto"/>
              </w:rPr>
            </w:pPr>
          </w:p>
        </w:tc>
        <w:tc>
          <w:tcPr>
            <w:tcW w:w="708" w:type="dxa"/>
            <w:vMerge w:val="continue"/>
            <w:vAlign w:val="center"/>
          </w:tcPr>
          <w:p>
            <w:pPr>
              <w:pStyle w:val="84"/>
              <w:adjustRightInd w:val="0"/>
              <w:snapToGrid w:val="0"/>
              <w:rPr>
                <w:rFonts w:hAnsi="Times New Roman"/>
                <w:snapToGrid w:val="0"/>
                <w:color w:val="auto"/>
              </w:rPr>
            </w:pPr>
          </w:p>
        </w:tc>
        <w:tc>
          <w:tcPr>
            <w:tcW w:w="851" w:type="dxa"/>
            <w:vMerge w:val="continue"/>
            <w:vAlign w:val="center"/>
          </w:tcPr>
          <w:p>
            <w:pPr>
              <w:pStyle w:val="84"/>
              <w:adjustRightInd w:val="0"/>
              <w:snapToGrid w:val="0"/>
              <w:rPr>
                <w:rFonts w:hAnsi="Times New Roman"/>
                <w:snapToGrid w:val="0"/>
                <w:color w:val="auto"/>
              </w:rPr>
            </w:pPr>
          </w:p>
        </w:tc>
        <w:tc>
          <w:tcPr>
            <w:tcW w:w="850" w:type="dxa"/>
            <w:vAlign w:val="center"/>
          </w:tcPr>
          <w:p>
            <w:pPr>
              <w:adjustRightInd w:val="0"/>
              <w:snapToGrid w:val="0"/>
              <w:jc w:val="center"/>
              <w:rPr>
                <w:rFonts w:hAnsi="Times New Roman"/>
                <w:snapToGrid w:val="0"/>
                <w:color w:val="auto"/>
              </w:rPr>
            </w:pPr>
            <w:r>
              <w:rPr>
                <w:rFonts w:hint="eastAsia" w:hAnsi="Times New Roman"/>
                <w:snapToGrid w:val="0"/>
                <w:color w:val="auto"/>
                <w:lang w:val="en-US" w:eastAsia="zh-CN"/>
              </w:rPr>
              <w:t>NE</w:t>
            </w:r>
          </w:p>
        </w:tc>
        <w:tc>
          <w:tcPr>
            <w:tcW w:w="935" w:type="dxa"/>
            <w:shd w:val="clear" w:color="auto" w:fill="auto"/>
            <w:vAlign w:val="center"/>
          </w:tcPr>
          <w:p>
            <w:pPr>
              <w:pStyle w:val="84"/>
              <w:adjustRightInd w:val="0"/>
              <w:snapToGrid w:val="0"/>
              <w:rPr>
                <w:rFonts w:hint="default" w:hAnsi="Times New Roman" w:eastAsia="宋体"/>
                <w:snapToGrid w:val="0"/>
                <w:color w:val="auto"/>
                <w:lang w:val="en-US" w:eastAsia="zh-CN"/>
              </w:rPr>
            </w:pPr>
            <w:r>
              <w:rPr>
                <w:rFonts w:hint="eastAsia" w:hAnsi="Times New Roman"/>
                <w:snapToGrid w:val="0"/>
                <w:color w:val="auto"/>
                <w:lang w:val="en-US" w:eastAsia="zh-CN"/>
              </w:rPr>
              <w:t>2340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4" w:type="dxa"/>
            <w:shd w:val="clear" w:color="auto" w:fill="auto"/>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苇塘沟</w:t>
            </w:r>
          </w:p>
        </w:tc>
        <w:tc>
          <w:tcPr>
            <w:tcW w:w="1501"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127.85699844</w:t>
            </w:r>
          </w:p>
        </w:tc>
        <w:tc>
          <w:tcPr>
            <w:tcW w:w="1418"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45.31957962</w:t>
            </w:r>
          </w:p>
        </w:tc>
        <w:tc>
          <w:tcPr>
            <w:tcW w:w="709" w:type="dxa"/>
            <w:vMerge w:val="continue"/>
            <w:vAlign w:val="center"/>
          </w:tcPr>
          <w:p>
            <w:pPr>
              <w:pStyle w:val="84"/>
              <w:adjustRightInd w:val="0"/>
              <w:snapToGrid w:val="0"/>
              <w:rPr>
                <w:rFonts w:hAnsi="Times New Roman"/>
                <w:snapToGrid w:val="0"/>
                <w:color w:val="auto"/>
              </w:rPr>
            </w:pPr>
          </w:p>
        </w:tc>
        <w:tc>
          <w:tcPr>
            <w:tcW w:w="708" w:type="dxa"/>
            <w:vMerge w:val="continue"/>
            <w:vAlign w:val="center"/>
          </w:tcPr>
          <w:p>
            <w:pPr>
              <w:pStyle w:val="84"/>
              <w:adjustRightInd w:val="0"/>
              <w:snapToGrid w:val="0"/>
              <w:rPr>
                <w:rFonts w:hAnsi="Times New Roman"/>
                <w:snapToGrid w:val="0"/>
                <w:color w:val="auto"/>
              </w:rPr>
            </w:pPr>
          </w:p>
        </w:tc>
        <w:tc>
          <w:tcPr>
            <w:tcW w:w="851" w:type="dxa"/>
            <w:vMerge w:val="continue"/>
            <w:vAlign w:val="center"/>
          </w:tcPr>
          <w:p>
            <w:pPr>
              <w:pStyle w:val="84"/>
              <w:adjustRightInd w:val="0"/>
              <w:snapToGrid w:val="0"/>
              <w:rPr>
                <w:rFonts w:hAnsi="Times New Roman"/>
                <w:snapToGrid w:val="0"/>
                <w:color w:val="auto"/>
              </w:rPr>
            </w:pPr>
          </w:p>
        </w:tc>
        <w:tc>
          <w:tcPr>
            <w:tcW w:w="850" w:type="dxa"/>
            <w:vAlign w:val="center"/>
          </w:tcPr>
          <w:p>
            <w:pPr>
              <w:adjustRightInd w:val="0"/>
              <w:snapToGrid w:val="0"/>
              <w:jc w:val="center"/>
              <w:rPr>
                <w:rFonts w:hAnsi="Times New Roman"/>
                <w:color w:val="auto"/>
              </w:rPr>
            </w:pPr>
            <w:r>
              <w:rPr>
                <w:rFonts w:hint="eastAsia" w:hAnsi="Times New Roman"/>
                <w:snapToGrid w:val="0"/>
                <w:color w:val="auto"/>
                <w:lang w:val="en-US" w:eastAsia="zh-CN"/>
              </w:rPr>
              <w:t>NE</w:t>
            </w:r>
          </w:p>
        </w:tc>
        <w:tc>
          <w:tcPr>
            <w:tcW w:w="935" w:type="dxa"/>
            <w:shd w:val="clear" w:color="auto" w:fill="auto"/>
            <w:vAlign w:val="center"/>
          </w:tcPr>
          <w:p>
            <w:pPr>
              <w:pStyle w:val="84"/>
              <w:adjustRightInd w:val="0"/>
              <w:snapToGrid w:val="0"/>
              <w:rPr>
                <w:rFonts w:hint="default" w:hAnsi="Times New Roman" w:eastAsia="宋体"/>
                <w:snapToGrid w:val="0"/>
                <w:color w:val="auto"/>
                <w:kern w:val="0"/>
                <w:lang w:val="en-US" w:eastAsia="zh-CN"/>
              </w:rPr>
            </w:pPr>
            <w:r>
              <w:rPr>
                <w:rFonts w:hint="eastAsia" w:hAnsi="Times New Roman"/>
                <w:snapToGrid w:val="0"/>
                <w:color w:val="auto"/>
                <w:kern w:val="0"/>
                <w:lang w:val="en-US" w:eastAsia="zh-CN"/>
              </w:rPr>
              <w:t>3650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4" w:type="dxa"/>
            <w:shd w:val="clear" w:color="auto" w:fill="auto"/>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五丰村</w:t>
            </w:r>
          </w:p>
        </w:tc>
        <w:tc>
          <w:tcPr>
            <w:tcW w:w="1501"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127.86602139</w:t>
            </w:r>
          </w:p>
        </w:tc>
        <w:tc>
          <w:tcPr>
            <w:tcW w:w="1418"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45.30196919</w:t>
            </w:r>
          </w:p>
        </w:tc>
        <w:tc>
          <w:tcPr>
            <w:tcW w:w="709" w:type="dxa"/>
            <w:vMerge w:val="continue"/>
            <w:vAlign w:val="center"/>
          </w:tcPr>
          <w:p>
            <w:pPr>
              <w:pStyle w:val="84"/>
              <w:adjustRightInd w:val="0"/>
              <w:snapToGrid w:val="0"/>
              <w:rPr>
                <w:rFonts w:hAnsi="Times New Roman"/>
                <w:snapToGrid w:val="0"/>
                <w:color w:val="auto"/>
              </w:rPr>
            </w:pPr>
          </w:p>
        </w:tc>
        <w:tc>
          <w:tcPr>
            <w:tcW w:w="708" w:type="dxa"/>
            <w:vMerge w:val="continue"/>
            <w:vAlign w:val="center"/>
          </w:tcPr>
          <w:p>
            <w:pPr>
              <w:pStyle w:val="84"/>
              <w:adjustRightInd w:val="0"/>
              <w:snapToGrid w:val="0"/>
              <w:rPr>
                <w:rFonts w:hAnsi="Times New Roman"/>
                <w:snapToGrid w:val="0"/>
                <w:color w:val="auto"/>
              </w:rPr>
            </w:pPr>
          </w:p>
        </w:tc>
        <w:tc>
          <w:tcPr>
            <w:tcW w:w="851" w:type="dxa"/>
            <w:vMerge w:val="continue"/>
            <w:vAlign w:val="center"/>
          </w:tcPr>
          <w:p>
            <w:pPr>
              <w:pStyle w:val="84"/>
              <w:adjustRightInd w:val="0"/>
              <w:snapToGrid w:val="0"/>
              <w:rPr>
                <w:rFonts w:hAnsi="Times New Roman"/>
                <w:snapToGrid w:val="0"/>
                <w:color w:val="auto"/>
              </w:rPr>
            </w:pPr>
          </w:p>
        </w:tc>
        <w:tc>
          <w:tcPr>
            <w:tcW w:w="850" w:type="dxa"/>
            <w:vAlign w:val="center"/>
          </w:tcPr>
          <w:p>
            <w:pPr>
              <w:pStyle w:val="84"/>
              <w:adjustRightInd w:val="0"/>
              <w:snapToGrid w:val="0"/>
              <w:rPr>
                <w:rFonts w:hint="eastAsia" w:hAnsi="Times New Roman" w:eastAsia="宋体"/>
                <w:color w:val="auto"/>
                <w:lang w:val="en-US" w:eastAsia="zh-CN"/>
              </w:rPr>
            </w:pPr>
            <w:r>
              <w:rPr>
                <w:rFonts w:hint="eastAsia" w:hAnsi="Times New Roman"/>
                <w:color w:val="auto"/>
                <w:lang w:val="en-US" w:eastAsia="zh-CN"/>
              </w:rPr>
              <w:t>E</w:t>
            </w:r>
          </w:p>
        </w:tc>
        <w:tc>
          <w:tcPr>
            <w:tcW w:w="935" w:type="dxa"/>
            <w:shd w:val="clear" w:color="auto" w:fill="auto"/>
            <w:vAlign w:val="center"/>
          </w:tcPr>
          <w:p>
            <w:pPr>
              <w:pStyle w:val="84"/>
              <w:adjustRightInd w:val="0"/>
              <w:snapToGrid w:val="0"/>
              <w:rPr>
                <w:rFonts w:hint="default" w:hAnsi="Times New Roman" w:eastAsia="宋体"/>
                <w:snapToGrid w:val="0"/>
                <w:color w:val="auto"/>
                <w:kern w:val="0"/>
                <w:lang w:val="en-US" w:eastAsia="zh-CN"/>
              </w:rPr>
            </w:pPr>
            <w:r>
              <w:rPr>
                <w:rFonts w:hint="eastAsia" w:hAnsi="Times New Roman"/>
                <w:snapToGrid w:val="0"/>
                <w:color w:val="auto"/>
                <w:kern w:val="0"/>
                <w:lang w:val="en-US" w:eastAsia="zh-CN"/>
              </w:rPr>
              <w:t>3770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4" w:type="dxa"/>
            <w:shd w:val="clear" w:color="auto" w:fill="auto"/>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西沟屯</w:t>
            </w:r>
          </w:p>
        </w:tc>
        <w:tc>
          <w:tcPr>
            <w:tcW w:w="1501"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127.84228921</w:t>
            </w:r>
          </w:p>
        </w:tc>
        <w:tc>
          <w:tcPr>
            <w:tcW w:w="1418"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45.28664804</w:t>
            </w:r>
          </w:p>
        </w:tc>
        <w:tc>
          <w:tcPr>
            <w:tcW w:w="709" w:type="dxa"/>
            <w:vMerge w:val="continue"/>
            <w:vAlign w:val="center"/>
          </w:tcPr>
          <w:p>
            <w:pPr>
              <w:pStyle w:val="84"/>
              <w:adjustRightInd w:val="0"/>
              <w:snapToGrid w:val="0"/>
              <w:rPr>
                <w:rFonts w:hAnsi="Times New Roman"/>
                <w:snapToGrid w:val="0"/>
                <w:color w:val="auto"/>
              </w:rPr>
            </w:pPr>
          </w:p>
        </w:tc>
        <w:tc>
          <w:tcPr>
            <w:tcW w:w="708" w:type="dxa"/>
            <w:vMerge w:val="continue"/>
            <w:vAlign w:val="center"/>
          </w:tcPr>
          <w:p>
            <w:pPr>
              <w:pStyle w:val="84"/>
              <w:adjustRightInd w:val="0"/>
              <w:snapToGrid w:val="0"/>
              <w:rPr>
                <w:rFonts w:hAnsi="Times New Roman"/>
                <w:snapToGrid w:val="0"/>
                <w:color w:val="auto"/>
              </w:rPr>
            </w:pPr>
          </w:p>
        </w:tc>
        <w:tc>
          <w:tcPr>
            <w:tcW w:w="851" w:type="dxa"/>
            <w:vMerge w:val="continue"/>
            <w:vAlign w:val="center"/>
          </w:tcPr>
          <w:p>
            <w:pPr>
              <w:pStyle w:val="84"/>
              <w:adjustRightInd w:val="0"/>
              <w:snapToGrid w:val="0"/>
              <w:rPr>
                <w:rFonts w:hAnsi="Times New Roman"/>
                <w:snapToGrid w:val="0"/>
                <w:color w:val="auto"/>
              </w:rPr>
            </w:pPr>
          </w:p>
        </w:tc>
        <w:tc>
          <w:tcPr>
            <w:tcW w:w="850" w:type="dxa"/>
            <w:vAlign w:val="center"/>
          </w:tcPr>
          <w:p>
            <w:pPr>
              <w:pStyle w:val="84"/>
              <w:adjustRightInd w:val="0"/>
              <w:snapToGrid w:val="0"/>
              <w:rPr>
                <w:rFonts w:hint="eastAsia" w:hAnsi="Times New Roman" w:eastAsia="宋体"/>
                <w:color w:val="auto"/>
                <w:lang w:val="en-US" w:eastAsia="zh-CN"/>
              </w:rPr>
            </w:pPr>
            <w:r>
              <w:rPr>
                <w:rFonts w:hint="eastAsia" w:hAnsi="Times New Roman"/>
                <w:color w:val="auto"/>
                <w:lang w:val="en-US" w:eastAsia="zh-CN"/>
              </w:rPr>
              <w:t>SE</w:t>
            </w:r>
          </w:p>
        </w:tc>
        <w:tc>
          <w:tcPr>
            <w:tcW w:w="935" w:type="dxa"/>
            <w:shd w:val="clear" w:color="auto" w:fill="auto"/>
            <w:vAlign w:val="center"/>
          </w:tcPr>
          <w:p>
            <w:pPr>
              <w:pStyle w:val="84"/>
              <w:adjustRightInd w:val="0"/>
              <w:snapToGrid w:val="0"/>
              <w:rPr>
                <w:rFonts w:hint="default" w:hAnsi="Times New Roman" w:eastAsia="宋体"/>
                <w:snapToGrid w:val="0"/>
                <w:color w:val="auto"/>
                <w:kern w:val="0"/>
                <w:lang w:val="en-US" w:eastAsia="zh-CN"/>
              </w:rPr>
            </w:pPr>
            <w:r>
              <w:rPr>
                <w:rFonts w:hint="eastAsia" w:hAnsi="Times New Roman"/>
                <w:snapToGrid w:val="0"/>
                <w:color w:val="auto"/>
                <w:kern w:val="0"/>
                <w:lang w:val="en-US" w:eastAsia="zh-CN"/>
              </w:rPr>
              <w:t>2870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4" w:type="dxa"/>
            <w:shd w:val="clear" w:color="auto" w:fill="auto"/>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会桐村</w:t>
            </w:r>
          </w:p>
        </w:tc>
        <w:tc>
          <w:tcPr>
            <w:tcW w:w="1501"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127.87484050</w:t>
            </w:r>
          </w:p>
        </w:tc>
        <w:tc>
          <w:tcPr>
            <w:tcW w:w="1418"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45.28325871</w:t>
            </w:r>
          </w:p>
        </w:tc>
        <w:tc>
          <w:tcPr>
            <w:tcW w:w="709" w:type="dxa"/>
            <w:vMerge w:val="continue"/>
            <w:vAlign w:val="center"/>
          </w:tcPr>
          <w:p>
            <w:pPr>
              <w:pStyle w:val="84"/>
              <w:adjustRightInd w:val="0"/>
              <w:snapToGrid w:val="0"/>
              <w:rPr>
                <w:rFonts w:hAnsi="Times New Roman"/>
                <w:snapToGrid w:val="0"/>
                <w:color w:val="auto"/>
              </w:rPr>
            </w:pPr>
          </w:p>
        </w:tc>
        <w:tc>
          <w:tcPr>
            <w:tcW w:w="708" w:type="dxa"/>
            <w:vMerge w:val="continue"/>
            <w:vAlign w:val="center"/>
          </w:tcPr>
          <w:p>
            <w:pPr>
              <w:pStyle w:val="84"/>
              <w:adjustRightInd w:val="0"/>
              <w:snapToGrid w:val="0"/>
              <w:rPr>
                <w:rFonts w:hAnsi="Times New Roman"/>
                <w:snapToGrid w:val="0"/>
                <w:color w:val="auto"/>
              </w:rPr>
            </w:pPr>
          </w:p>
        </w:tc>
        <w:tc>
          <w:tcPr>
            <w:tcW w:w="851" w:type="dxa"/>
            <w:vMerge w:val="continue"/>
            <w:vAlign w:val="center"/>
          </w:tcPr>
          <w:p>
            <w:pPr>
              <w:pStyle w:val="84"/>
              <w:adjustRightInd w:val="0"/>
              <w:snapToGrid w:val="0"/>
              <w:rPr>
                <w:rFonts w:hAnsi="Times New Roman"/>
                <w:snapToGrid w:val="0"/>
                <w:color w:val="auto"/>
              </w:rPr>
            </w:pPr>
          </w:p>
        </w:tc>
        <w:tc>
          <w:tcPr>
            <w:tcW w:w="850" w:type="dxa"/>
            <w:vAlign w:val="center"/>
          </w:tcPr>
          <w:p>
            <w:pPr>
              <w:pStyle w:val="84"/>
              <w:adjustRightInd w:val="0"/>
              <w:snapToGrid w:val="0"/>
              <w:rPr>
                <w:rFonts w:hAnsi="Times New Roman"/>
                <w:color w:val="auto"/>
              </w:rPr>
            </w:pPr>
            <w:r>
              <w:rPr>
                <w:rFonts w:hint="eastAsia" w:hAnsi="Times New Roman"/>
                <w:color w:val="auto"/>
                <w:lang w:val="en-US" w:eastAsia="zh-CN"/>
              </w:rPr>
              <w:t>SE</w:t>
            </w:r>
          </w:p>
        </w:tc>
        <w:tc>
          <w:tcPr>
            <w:tcW w:w="935" w:type="dxa"/>
            <w:shd w:val="clear" w:color="auto" w:fill="auto"/>
            <w:vAlign w:val="center"/>
          </w:tcPr>
          <w:p>
            <w:pPr>
              <w:pStyle w:val="84"/>
              <w:adjustRightInd w:val="0"/>
              <w:snapToGrid w:val="0"/>
              <w:rPr>
                <w:rFonts w:hint="default" w:hAnsi="Times New Roman" w:eastAsia="宋体"/>
                <w:snapToGrid w:val="0"/>
                <w:color w:val="auto"/>
                <w:kern w:val="0"/>
                <w:lang w:val="en-US" w:eastAsia="zh-CN"/>
              </w:rPr>
            </w:pPr>
            <w:r>
              <w:rPr>
                <w:rFonts w:hint="eastAsia" w:hAnsi="Times New Roman"/>
                <w:snapToGrid w:val="0"/>
                <w:color w:val="auto"/>
                <w:kern w:val="0"/>
                <w:lang w:val="en-US" w:eastAsia="zh-CN"/>
              </w:rPr>
              <w:t>5120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4" w:type="dxa"/>
            <w:shd w:val="clear" w:color="auto" w:fill="auto"/>
            <w:vAlign w:val="center"/>
          </w:tcPr>
          <w:p>
            <w:pPr>
              <w:pStyle w:val="84"/>
              <w:adjustRightInd w:val="0"/>
              <w:snapToGrid w:val="0"/>
              <w:rPr>
                <w:rFonts w:hint="default" w:hAnsi="Times New Roman" w:eastAsia="宋体"/>
                <w:snapToGrid w:val="0"/>
                <w:color w:val="auto"/>
                <w:kern w:val="0"/>
                <w:lang w:val="en-US" w:eastAsia="zh-CN"/>
              </w:rPr>
            </w:pPr>
            <w:r>
              <w:rPr>
                <w:rFonts w:hint="eastAsia" w:hAnsi="Times New Roman"/>
                <w:snapToGrid w:val="0"/>
                <w:color w:val="auto"/>
                <w:kern w:val="0"/>
                <w:lang w:val="en-US" w:eastAsia="zh-CN"/>
              </w:rPr>
              <w:t>春秋屯</w:t>
            </w:r>
          </w:p>
        </w:tc>
        <w:tc>
          <w:tcPr>
            <w:tcW w:w="1501"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127.86655784</w:t>
            </w:r>
          </w:p>
        </w:tc>
        <w:tc>
          <w:tcPr>
            <w:tcW w:w="1418"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45.26945021</w:t>
            </w:r>
          </w:p>
        </w:tc>
        <w:tc>
          <w:tcPr>
            <w:tcW w:w="709" w:type="dxa"/>
            <w:vMerge w:val="continue"/>
            <w:vAlign w:val="center"/>
          </w:tcPr>
          <w:p>
            <w:pPr>
              <w:pStyle w:val="84"/>
              <w:adjustRightInd w:val="0"/>
              <w:snapToGrid w:val="0"/>
              <w:rPr>
                <w:rFonts w:hAnsi="Times New Roman"/>
                <w:snapToGrid w:val="0"/>
                <w:color w:val="auto"/>
              </w:rPr>
            </w:pPr>
          </w:p>
        </w:tc>
        <w:tc>
          <w:tcPr>
            <w:tcW w:w="708" w:type="dxa"/>
            <w:vMerge w:val="continue"/>
            <w:vAlign w:val="center"/>
          </w:tcPr>
          <w:p>
            <w:pPr>
              <w:pStyle w:val="84"/>
              <w:adjustRightInd w:val="0"/>
              <w:snapToGrid w:val="0"/>
              <w:rPr>
                <w:rFonts w:hAnsi="Times New Roman"/>
                <w:snapToGrid w:val="0"/>
                <w:color w:val="auto"/>
              </w:rPr>
            </w:pPr>
          </w:p>
        </w:tc>
        <w:tc>
          <w:tcPr>
            <w:tcW w:w="851" w:type="dxa"/>
            <w:vMerge w:val="continue"/>
            <w:vAlign w:val="center"/>
          </w:tcPr>
          <w:p>
            <w:pPr>
              <w:pStyle w:val="84"/>
              <w:adjustRightInd w:val="0"/>
              <w:snapToGrid w:val="0"/>
              <w:rPr>
                <w:rFonts w:hAnsi="Times New Roman"/>
                <w:snapToGrid w:val="0"/>
                <w:color w:val="auto"/>
              </w:rPr>
            </w:pPr>
          </w:p>
        </w:tc>
        <w:tc>
          <w:tcPr>
            <w:tcW w:w="850" w:type="dxa"/>
            <w:vAlign w:val="center"/>
          </w:tcPr>
          <w:p>
            <w:pPr>
              <w:pStyle w:val="84"/>
              <w:adjustRightInd w:val="0"/>
              <w:snapToGrid w:val="0"/>
              <w:rPr>
                <w:rFonts w:hAnsi="Times New Roman"/>
                <w:color w:val="auto"/>
              </w:rPr>
            </w:pPr>
            <w:r>
              <w:rPr>
                <w:rFonts w:hint="eastAsia" w:hAnsi="Times New Roman"/>
                <w:color w:val="auto"/>
                <w:lang w:val="en-US" w:eastAsia="zh-CN"/>
              </w:rPr>
              <w:t>SE</w:t>
            </w:r>
          </w:p>
        </w:tc>
        <w:tc>
          <w:tcPr>
            <w:tcW w:w="935" w:type="dxa"/>
            <w:shd w:val="clear" w:color="auto" w:fill="auto"/>
            <w:vAlign w:val="center"/>
          </w:tcPr>
          <w:p>
            <w:pPr>
              <w:pStyle w:val="84"/>
              <w:adjustRightInd w:val="0"/>
              <w:snapToGrid w:val="0"/>
              <w:rPr>
                <w:rFonts w:hint="default" w:hAnsi="Times New Roman" w:eastAsia="宋体"/>
                <w:snapToGrid w:val="0"/>
                <w:color w:val="auto"/>
                <w:kern w:val="0"/>
                <w:lang w:val="en-US" w:eastAsia="zh-CN"/>
              </w:rPr>
            </w:pPr>
            <w:r>
              <w:rPr>
                <w:rFonts w:hint="eastAsia" w:hAnsi="Times New Roman"/>
                <w:snapToGrid w:val="0"/>
                <w:color w:val="auto"/>
                <w:kern w:val="0"/>
                <w:lang w:val="en-US" w:eastAsia="zh-CN"/>
              </w:rPr>
              <w:t>5230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4" w:type="dxa"/>
            <w:shd w:val="clear" w:color="auto" w:fill="auto"/>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新富村</w:t>
            </w:r>
          </w:p>
        </w:tc>
        <w:tc>
          <w:tcPr>
            <w:tcW w:w="1501"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127.81424403</w:t>
            </w:r>
          </w:p>
        </w:tc>
        <w:tc>
          <w:tcPr>
            <w:tcW w:w="1418"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45.26720762</w:t>
            </w:r>
          </w:p>
        </w:tc>
        <w:tc>
          <w:tcPr>
            <w:tcW w:w="709" w:type="dxa"/>
            <w:vMerge w:val="continue"/>
            <w:vAlign w:val="center"/>
          </w:tcPr>
          <w:p>
            <w:pPr>
              <w:pStyle w:val="84"/>
              <w:adjustRightInd w:val="0"/>
              <w:snapToGrid w:val="0"/>
              <w:rPr>
                <w:rFonts w:hAnsi="Times New Roman"/>
                <w:snapToGrid w:val="0"/>
                <w:color w:val="auto"/>
              </w:rPr>
            </w:pPr>
          </w:p>
        </w:tc>
        <w:tc>
          <w:tcPr>
            <w:tcW w:w="708" w:type="dxa"/>
            <w:vMerge w:val="continue"/>
            <w:vAlign w:val="center"/>
          </w:tcPr>
          <w:p>
            <w:pPr>
              <w:pStyle w:val="84"/>
              <w:adjustRightInd w:val="0"/>
              <w:snapToGrid w:val="0"/>
              <w:rPr>
                <w:rFonts w:hAnsi="Times New Roman"/>
                <w:snapToGrid w:val="0"/>
                <w:color w:val="auto"/>
              </w:rPr>
            </w:pPr>
          </w:p>
        </w:tc>
        <w:tc>
          <w:tcPr>
            <w:tcW w:w="851" w:type="dxa"/>
            <w:vMerge w:val="continue"/>
            <w:vAlign w:val="center"/>
          </w:tcPr>
          <w:p>
            <w:pPr>
              <w:pStyle w:val="84"/>
              <w:adjustRightInd w:val="0"/>
              <w:snapToGrid w:val="0"/>
              <w:rPr>
                <w:rFonts w:hAnsi="Times New Roman"/>
                <w:snapToGrid w:val="0"/>
                <w:color w:val="auto"/>
              </w:rPr>
            </w:pPr>
          </w:p>
        </w:tc>
        <w:tc>
          <w:tcPr>
            <w:tcW w:w="850" w:type="dxa"/>
            <w:vAlign w:val="center"/>
          </w:tcPr>
          <w:p>
            <w:pPr>
              <w:pStyle w:val="84"/>
              <w:adjustRightInd w:val="0"/>
              <w:snapToGrid w:val="0"/>
              <w:rPr>
                <w:rFonts w:hint="eastAsia" w:hAnsi="Times New Roman" w:eastAsia="宋体"/>
                <w:color w:val="auto"/>
                <w:lang w:val="en-US" w:eastAsia="zh-CN"/>
              </w:rPr>
            </w:pPr>
            <w:r>
              <w:rPr>
                <w:rFonts w:hint="eastAsia" w:hAnsi="Times New Roman"/>
                <w:color w:val="auto"/>
                <w:lang w:val="en-US" w:eastAsia="zh-CN"/>
              </w:rPr>
              <w:t>S</w:t>
            </w:r>
          </w:p>
        </w:tc>
        <w:tc>
          <w:tcPr>
            <w:tcW w:w="935" w:type="dxa"/>
            <w:shd w:val="clear" w:color="auto" w:fill="auto"/>
            <w:vAlign w:val="center"/>
          </w:tcPr>
          <w:p>
            <w:pPr>
              <w:pStyle w:val="84"/>
              <w:adjustRightInd w:val="0"/>
              <w:snapToGrid w:val="0"/>
              <w:rPr>
                <w:rFonts w:hint="default" w:hAnsi="Times New Roman" w:eastAsia="宋体"/>
                <w:snapToGrid w:val="0"/>
                <w:color w:val="auto"/>
                <w:kern w:val="0"/>
                <w:lang w:val="en-US" w:eastAsia="zh-CN"/>
              </w:rPr>
            </w:pPr>
            <w:r>
              <w:rPr>
                <w:rFonts w:hint="eastAsia" w:hAnsi="Times New Roman"/>
                <w:snapToGrid w:val="0"/>
                <w:color w:val="auto"/>
                <w:kern w:val="0"/>
                <w:lang w:val="en-US" w:eastAsia="zh-CN"/>
              </w:rPr>
              <w:t>3840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4" w:type="dxa"/>
            <w:shd w:val="clear" w:color="auto" w:fill="auto"/>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一曼村</w:t>
            </w:r>
          </w:p>
        </w:tc>
        <w:tc>
          <w:tcPr>
            <w:tcW w:w="1501"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127.79775381</w:t>
            </w:r>
          </w:p>
        </w:tc>
        <w:tc>
          <w:tcPr>
            <w:tcW w:w="1418"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45.29779590</w:t>
            </w:r>
          </w:p>
        </w:tc>
        <w:tc>
          <w:tcPr>
            <w:tcW w:w="709" w:type="dxa"/>
            <w:vMerge w:val="continue"/>
            <w:vAlign w:val="center"/>
          </w:tcPr>
          <w:p>
            <w:pPr>
              <w:pStyle w:val="84"/>
              <w:adjustRightInd w:val="0"/>
              <w:snapToGrid w:val="0"/>
              <w:rPr>
                <w:rFonts w:hAnsi="Times New Roman"/>
                <w:snapToGrid w:val="0"/>
                <w:color w:val="auto"/>
              </w:rPr>
            </w:pPr>
          </w:p>
        </w:tc>
        <w:tc>
          <w:tcPr>
            <w:tcW w:w="708" w:type="dxa"/>
            <w:vMerge w:val="continue"/>
            <w:vAlign w:val="center"/>
          </w:tcPr>
          <w:p>
            <w:pPr>
              <w:pStyle w:val="84"/>
              <w:adjustRightInd w:val="0"/>
              <w:snapToGrid w:val="0"/>
              <w:rPr>
                <w:rFonts w:hAnsi="Times New Roman"/>
                <w:snapToGrid w:val="0"/>
                <w:color w:val="auto"/>
              </w:rPr>
            </w:pPr>
          </w:p>
        </w:tc>
        <w:tc>
          <w:tcPr>
            <w:tcW w:w="851" w:type="dxa"/>
            <w:vMerge w:val="continue"/>
            <w:vAlign w:val="center"/>
          </w:tcPr>
          <w:p>
            <w:pPr>
              <w:pStyle w:val="84"/>
              <w:adjustRightInd w:val="0"/>
              <w:snapToGrid w:val="0"/>
              <w:rPr>
                <w:rFonts w:hAnsi="Times New Roman"/>
                <w:snapToGrid w:val="0"/>
                <w:color w:val="auto"/>
              </w:rPr>
            </w:pPr>
          </w:p>
        </w:tc>
        <w:tc>
          <w:tcPr>
            <w:tcW w:w="850" w:type="dxa"/>
            <w:vAlign w:val="center"/>
          </w:tcPr>
          <w:p>
            <w:pPr>
              <w:pStyle w:val="84"/>
              <w:adjustRightInd w:val="0"/>
              <w:snapToGrid w:val="0"/>
              <w:rPr>
                <w:rFonts w:hint="eastAsia" w:hAnsi="Times New Roman" w:eastAsia="宋体"/>
                <w:color w:val="auto"/>
                <w:lang w:val="en-US" w:eastAsia="zh-CN"/>
              </w:rPr>
            </w:pPr>
            <w:r>
              <w:rPr>
                <w:rFonts w:hint="eastAsia" w:hAnsi="Times New Roman"/>
                <w:color w:val="auto"/>
                <w:lang w:val="en-US" w:eastAsia="zh-CN"/>
              </w:rPr>
              <w:t>SW</w:t>
            </w:r>
          </w:p>
        </w:tc>
        <w:tc>
          <w:tcPr>
            <w:tcW w:w="935" w:type="dxa"/>
            <w:shd w:val="clear" w:color="auto" w:fill="auto"/>
            <w:vAlign w:val="center"/>
          </w:tcPr>
          <w:p>
            <w:pPr>
              <w:pStyle w:val="84"/>
              <w:adjustRightInd w:val="0"/>
              <w:snapToGrid w:val="0"/>
              <w:rPr>
                <w:rFonts w:hint="default" w:hAnsi="Times New Roman" w:eastAsia="宋体"/>
                <w:snapToGrid w:val="0"/>
                <w:color w:val="auto"/>
                <w:kern w:val="0"/>
                <w:lang w:val="en-US" w:eastAsia="zh-CN"/>
              </w:rPr>
            </w:pPr>
            <w:r>
              <w:rPr>
                <w:rFonts w:hint="eastAsia" w:hAnsi="Times New Roman"/>
                <w:snapToGrid w:val="0"/>
                <w:color w:val="auto"/>
                <w:kern w:val="0"/>
                <w:lang w:val="en-US" w:eastAsia="zh-CN"/>
              </w:rPr>
              <w:t>1050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4" w:type="dxa"/>
            <w:shd w:val="clear" w:color="auto" w:fill="auto"/>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九北村</w:t>
            </w:r>
          </w:p>
        </w:tc>
        <w:tc>
          <w:tcPr>
            <w:tcW w:w="1501"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127.74889469</w:t>
            </w:r>
          </w:p>
        </w:tc>
        <w:tc>
          <w:tcPr>
            <w:tcW w:w="1418"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45.26771353</w:t>
            </w:r>
          </w:p>
        </w:tc>
        <w:tc>
          <w:tcPr>
            <w:tcW w:w="709" w:type="dxa"/>
            <w:vMerge w:val="continue"/>
            <w:vAlign w:val="center"/>
          </w:tcPr>
          <w:p>
            <w:pPr>
              <w:pStyle w:val="84"/>
              <w:adjustRightInd w:val="0"/>
              <w:snapToGrid w:val="0"/>
              <w:rPr>
                <w:rFonts w:hAnsi="Times New Roman"/>
                <w:snapToGrid w:val="0"/>
                <w:color w:val="auto"/>
              </w:rPr>
            </w:pPr>
          </w:p>
        </w:tc>
        <w:tc>
          <w:tcPr>
            <w:tcW w:w="708" w:type="dxa"/>
            <w:vMerge w:val="continue"/>
            <w:vAlign w:val="center"/>
          </w:tcPr>
          <w:p>
            <w:pPr>
              <w:pStyle w:val="84"/>
              <w:adjustRightInd w:val="0"/>
              <w:snapToGrid w:val="0"/>
              <w:rPr>
                <w:rFonts w:hAnsi="Times New Roman"/>
                <w:snapToGrid w:val="0"/>
                <w:color w:val="auto"/>
              </w:rPr>
            </w:pPr>
          </w:p>
        </w:tc>
        <w:tc>
          <w:tcPr>
            <w:tcW w:w="851" w:type="dxa"/>
            <w:vMerge w:val="continue"/>
            <w:vAlign w:val="center"/>
          </w:tcPr>
          <w:p>
            <w:pPr>
              <w:pStyle w:val="84"/>
              <w:adjustRightInd w:val="0"/>
              <w:snapToGrid w:val="0"/>
              <w:rPr>
                <w:rFonts w:hAnsi="Times New Roman"/>
                <w:snapToGrid w:val="0"/>
                <w:color w:val="auto"/>
              </w:rPr>
            </w:pPr>
          </w:p>
        </w:tc>
        <w:tc>
          <w:tcPr>
            <w:tcW w:w="850" w:type="dxa"/>
            <w:vAlign w:val="center"/>
          </w:tcPr>
          <w:p>
            <w:pPr>
              <w:pStyle w:val="84"/>
              <w:adjustRightInd w:val="0"/>
              <w:snapToGrid w:val="0"/>
              <w:rPr>
                <w:rFonts w:hAnsi="Times New Roman"/>
                <w:color w:val="auto"/>
              </w:rPr>
            </w:pPr>
            <w:r>
              <w:rPr>
                <w:rFonts w:hint="eastAsia" w:hAnsi="Times New Roman"/>
                <w:color w:val="auto"/>
                <w:lang w:val="en-US" w:eastAsia="zh-CN"/>
              </w:rPr>
              <w:t>SW</w:t>
            </w:r>
          </w:p>
        </w:tc>
        <w:tc>
          <w:tcPr>
            <w:tcW w:w="935" w:type="dxa"/>
            <w:shd w:val="clear" w:color="auto" w:fill="auto"/>
            <w:vAlign w:val="center"/>
          </w:tcPr>
          <w:p>
            <w:pPr>
              <w:pStyle w:val="84"/>
              <w:adjustRightInd w:val="0"/>
              <w:snapToGrid w:val="0"/>
              <w:rPr>
                <w:rFonts w:hint="default" w:hAnsi="Times New Roman" w:eastAsia="宋体"/>
                <w:snapToGrid w:val="0"/>
                <w:color w:val="auto"/>
                <w:kern w:val="0"/>
                <w:lang w:val="en-US" w:eastAsia="zh-CN"/>
              </w:rPr>
            </w:pPr>
            <w:r>
              <w:rPr>
                <w:rFonts w:hint="eastAsia" w:hAnsi="Times New Roman"/>
                <w:snapToGrid w:val="0"/>
                <w:color w:val="auto"/>
                <w:kern w:val="0"/>
                <w:lang w:val="en-US" w:eastAsia="zh-CN"/>
              </w:rPr>
              <w:t>5940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4" w:type="dxa"/>
            <w:shd w:val="clear" w:color="auto" w:fill="auto"/>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桦树甸子</w:t>
            </w:r>
          </w:p>
        </w:tc>
        <w:tc>
          <w:tcPr>
            <w:tcW w:w="1501"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127.76357174</w:t>
            </w:r>
          </w:p>
        </w:tc>
        <w:tc>
          <w:tcPr>
            <w:tcW w:w="1418"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45.32257451</w:t>
            </w:r>
          </w:p>
        </w:tc>
        <w:tc>
          <w:tcPr>
            <w:tcW w:w="709" w:type="dxa"/>
            <w:vMerge w:val="continue"/>
            <w:vAlign w:val="center"/>
          </w:tcPr>
          <w:p>
            <w:pPr>
              <w:pStyle w:val="84"/>
              <w:adjustRightInd w:val="0"/>
              <w:snapToGrid w:val="0"/>
              <w:rPr>
                <w:rFonts w:hAnsi="Times New Roman"/>
                <w:snapToGrid w:val="0"/>
                <w:color w:val="auto"/>
              </w:rPr>
            </w:pPr>
          </w:p>
        </w:tc>
        <w:tc>
          <w:tcPr>
            <w:tcW w:w="708" w:type="dxa"/>
            <w:vMerge w:val="continue"/>
            <w:vAlign w:val="center"/>
          </w:tcPr>
          <w:p>
            <w:pPr>
              <w:pStyle w:val="84"/>
              <w:adjustRightInd w:val="0"/>
              <w:snapToGrid w:val="0"/>
              <w:rPr>
                <w:rFonts w:hAnsi="Times New Roman"/>
                <w:snapToGrid w:val="0"/>
                <w:color w:val="auto"/>
              </w:rPr>
            </w:pPr>
          </w:p>
        </w:tc>
        <w:tc>
          <w:tcPr>
            <w:tcW w:w="851" w:type="dxa"/>
            <w:vMerge w:val="continue"/>
            <w:vAlign w:val="center"/>
          </w:tcPr>
          <w:p>
            <w:pPr>
              <w:pStyle w:val="84"/>
              <w:adjustRightInd w:val="0"/>
              <w:snapToGrid w:val="0"/>
              <w:rPr>
                <w:rFonts w:hAnsi="Times New Roman"/>
                <w:snapToGrid w:val="0"/>
                <w:color w:val="auto"/>
              </w:rPr>
            </w:pPr>
          </w:p>
        </w:tc>
        <w:tc>
          <w:tcPr>
            <w:tcW w:w="850" w:type="dxa"/>
            <w:vAlign w:val="center"/>
          </w:tcPr>
          <w:p>
            <w:pPr>
              <w:pStyle w:val="84"/>
              <w:adjustRightInd w:val="0"/>
              <w:snapToGrid w:val="0"/>
              <w:rPr>
                <w:rFonts w:hint="eastAsia" w:hAnsi="Times New Roman" w:eastAsia="宋体"/>
                <w:color w:val="auto"/>
                <w:lang w:val="en-US" w:eastAsia="zh-CN"/>
              </w:rPr>
            </w:pPr>
            <w:r>
              <w:rPr>
                <w:rFonts w:hint="eastAsia" w:hAnsi="Times New Roman"/>
                <w:color w:val="auto"/>
                <w:lang w:val="en-US" w:eastAsia="zh-CN"/>
              </w:rPr>
              <w:t>NW</w:t>
            </w:r>
          </w:p>
        </w:tc>
        <w:tc>
          <w:tcPr>
            <w:tcW w:w="935" w:type="dxa"/>
            <w:shd w:val="clear" w:color="auto" w:fill="auto"/>
            <w:vAlign w:val="center"/>
          </w:tcPr>
          <w:p>
            <w:pPr>
              <w:pStyle w:val="84"/>
              <w:adjustRightInd w:val="0"/>
              <w:snapToGrid w:val="0"/>
              <w:rPr>
                <w:rFonts w:hint="default" w:hAnsi="Times New Roman" w:eastAsia="宋体"/>
                <w:snapToGrid w:val="0"/>
                <w:color w:val="auto"/>
                <w:lang w:val="en-US" w:eastAsia="zh-CN"/>
              </w:rPr>
            </w:pPr>
            <w:r>
              <w:rPr>
                <w:rFonts w:hint="eastAsia" w:hAnsi="Times New Roman"/>
                <w:snapToGrid w:val="0"/>
                <w:color w:val="auto"/>
                <w:lang w:val="en-US" w:eastAsia="zh-CN"/>
              </w:rPr>
              <w:t>3880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4" w:type="dxa"/>
            <w:shd w:val="clear" w:color="auto" w:fill="auto"/>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三胜村</w:t>
            </w:r>
          </w:p>
        </w:tc>
        <w:tc>
          <w:tcPr>
            <w:tcW w:w="1501"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127.74842262</w:t>
            </w:r>
          </w:p>
        </w:tc>
        <w:tc>
          <w:tcPr>
            <w:tcW w:w="1418"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45.32938597</w:t>
            </w:r>
          </w:p>
        </w:tc>
        <w:tc>
          <w:tcPr>
            <w:tcW w:w="709" w:type="dxa"/>
            <w:vMerge w:val="continue"/>
            <w:vAlign w:val="center"/>
          </w:tcPr>
          <w:p>
            <w:pPr>
              <w:pStyle w:val="84"/>
              <w:adjustRightInd w:val="0"/>
              <w:snapToGrid w:val="0"/>
              <w:rPr>
                <w:rFonts w:hAnsi="Times New Roman"/>
                <w:snapToGrid w:val="0"/>
                <w:color w:val="auto"/>
              </w:rPr>
            </w:pPr>
          </w:p>
        </w:tc>
        <w:tc>
          <w:tcPr>
            <w:tcW w:w="708" w:type="dxa"/>
            <w:vMerge w:val="continue"/>
            <w:vAlign w:val="center"/>
          </w:tcPr>
          <w:p>
            <w:pPr>
              <w:pStyle w:val="84"/>
              <w:adjustRightInd w:val="0"/>
              <w:snapToGrid w:val="0"/>
              <w:rPr>
                <w:rFonts w:hAnsi="Times New Roman"/>
                <w:snapToGrid w:val="0"/>
                <w:color w:val="auto"/>
              </w:rPr>
            </w:pPr>
          </w:p>
        </w:tc>
        <w:tc>
          <w:tcPr>
            <w:tcW w:w="851" w:type="dxa"/>
            <w:vMerge w:val="continue"/>
            <w:vAlign w:val="center"/>
          </w:tcPr>
          <w:p>
            <w:pPr>
              <w:pStyle w:val="84"/>
              <w:adjustRightInd w:val="0"/>
              <w:snapToGrid w:val="0"/>
              <w:rPr>
                <w:rFonts w:hAnsi="Times New Roman"/>
                <w:snapToGrid w:val="0"/>
                <w:color w:val="auto"/>
              </w:rPr>
            </w:pPr>
          </w:p>
        </w:tc>
        <w:tc>
          <w:tcPr>
            <w:tcW w:w="850" w:type="dxa"/>
            <w:vAlign w:val="center"/>
          </w:tcPr>
          <w:p>
            <w:pPr>
              <w:pStyle w:val="84"/>
              <w:adjustRightInd w:val="0"/>
              <w:snapToGrid w:val="0"/>
              <w:rPr>
                <w:rFonts w:hAnsi="Times New Roman"/>
                <w:color w:val="auto"/>
              </w:rPr>
            </w:pPr>
            <w:r>
              <w:rPr>
                <w:rFonts w:hint="eastAsia" w:hAnsi="Times New Roman"/>
                <w:color w:val="auto"/>
                <w:lang w:val="en-US" w:eastAsia="zh-CN"/>
              </w:rPr>
              <w:t>NW</w:t>
            </w:r>
          </w:p>
        </w:tc>
        <w:tc>
          <w:tcPr>
            <w:tcW w:w="935" w:type="dxa"/>
            <w:shd w:val="clear" w:color="auto" w:fill="auto"/>
            <w:vAlign w:val="center"/>
          </w:tcPr>
          <w:p>
            <w:pPr>
              <w:pStyle w:val="84"/>
              <w:adjustRightInd w:val="0"/>
              <w:snapToGrid w:val="0"/>
              <w:rPr>
                <w:rFonts w:hint="default" w:hAnsi="Times New Roman" w:eastAsia="宋体"/>
                <w:snapToGrid w:val="0"/>
                <w:color w:val="auto"/>
                <w:lang w:val="en-US" w:eastAsia="zh-CN"/>
              </w:rPr>
            </w:pPr>
            <w:r>
              <w:rPr>
                <w:rFonts w:hint="eastAsia" w:hAnsi="Times New Roman"/>
                <w:snapToGrid w:val="0"/>
                <w:color w:val="auto"/>
                <w:lang w:val="en-US" w:eastAsia="zh-CN"/>
              </w:rPr>
              <w:t>5270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4" w:type="dxa"/>
            <w:shd w:val="clear" w:color="auto" w:fill="auto"/>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金钢村</w:t>
            </w:r>
          </w:p>
        </w:tc>
        <w:tc>
          <w:tcPr>
            <w:tcW w:w="1501"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127.77452588</w:t>
            </w:r>
          </w:p>
        </w:tc>
        <w:tc>
          <w:tcPr>
            <w:tcW w:w="1418"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45.34095528</w:t>
            </w:r>
          </w:p>
        </w:tc>
        <w:tc>
          <w:tcPr>
            <w:tcW w:w="709" w:type="dxa"/>
            <w:vMerge w:val="continue"/>
            <w:vAlign w:val="center"/>
          </w:tcPr>
          <w:p>
            <w:pPr>
              <w:pStyle w:val="84"/>
              <w:adjustRightInd w:val="0"/>
              <w:snapToGrid w:val="0"/>
              <w:rPr>
                <w:rFonts w:hAnsi="Times New Roman"/>
                <w:snapToGrid w:val="0"/>
                <w:color w:val="auto"/>
              </w:rPr>
            </w:pPr>
          </w:p>
        </w:tc>
        <w:tc>
          <w:tcPr>
            <w:tcW w:w="708" w:type="dxa"/>
            <w:vMerge w:val="continue"/>
            <w:vAlign w:val="center"/>
          </w:tcPr>
          <w:p>
            <w:pPr>
              <w:pStyle w:val="84"/>
              <w:adjustRightInd w:val="0"/>
              <w:snapToGrid w:val="0"/>
              <w:rPr>
                <w:rFonts w:hAnsi="Times New Roman"/>
                <w:snapToGrid w:val="0"/>
                <w:color w:val="auto"/>
              </w:rPr>
            </w:pPr>
          </w:p>
        </w:tc>
        <w:tc>
          <w:tcPr>
            <w:tcW w:w="851" w:type="dxa"/>
            <w:vMerge w:val="continue"/>
            <w:vAlign w:val="center"/>
          </w:tcPr>
          <w:p>
            <w:pPr>
              <w:pStyle w:val="84"/>
              <w:adjustRightInd w:val="0"/>
              <w:snapToGrid w:val="0"/>
              <w:rPr>
                <w:rFonts w:hAnsi="Times New Roman"/>
                <w:snapToGrid w:val="0"/>
                <w:color w:val="auto"/>
              </w:rPr>
            </w:pPr>
          </w:p>
        </w:tc>
        <w:tc>
          <w:tcPr>
            <w:tcW w:w="850" w:type="dxa"/>
            <w:vAlign w:val="center"/>
          </w:tcPr>
          <w:p>
            <w:pPr>
              <w:pStyle w:val="84"/>
              <w:adjustRightInd w:val="0"/>
              <w:snapToGrid w:val="0"/>
              <w:rPr>
                <w:rFonts w:hAnsi="Times New Roman"/>
                <w:color w:val="auto"/>
              </w:rPr>
            </w:pPr>
            <w:r>
              <w:rPr>
                <w:rFonts w:hint="eastAsia" w:hAnsi="Times New Roman"/>
                <w:color w:val="auto"/>
                <w:lang w:val="en-US" w:eastAsia="zh-CN"/>
              </w:rPr>
              <w:t>NW</w:t>
            </w:r>
          </w:p>
        </w:tc>
        <w:tc>
          <w:tcPr>
            <w:tcW w:w="935" w:type="dxa"/>
            <w:shd w:val="clear" w:color="auto" w:fill="auto"/>
            <w:vAlign w:val="center"/>
          </w:tcPr>
          <w:p>
            <w:pPr>
              <w:pStyle w:val="84"/>
              <w:adjustRightInd w:val="0"/>
              <w:snapToGrid w:val="0"/>
              <w:rPr>
                <w:rFonts w:hint="default" w:hAnsi="Times New Roman" w:eastAsia="宋体"/>
                <w:snapToGrid w:val="0"/>
                <w:color w:val="auto"/>
                <w:lang w:val="en-US" w:eastAsia="zh-CN"/>
              </w:rPr>
            </w:pPr>
            <w:r>
              <w:rPr>
                <w:rFonts w:hint="eastAsia" w:hAnsi="Times New Roman"/>
                <w:snapToGrid w:val="0"/>
                <w:color w:val="auto"/>
                <w:lang w:val="en-US" w:eastAsia="zh-CN"/>
              </w:rPr>
              <w:t>4630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4" w:type="dxa"/>
            <w:shd w:val="clear" w:color="auto" w:fill="auto"/>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东兴屯</w:t>
            </w:r>
          </w:p>
        </w:tc>
        <w:tc>
          <w:tcPr>
            <w:tcW w:w="1501"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127.79414892</w:t>
            </w:r>
          </w:p>
        </w:tc>
        <w:tc>
          <w:tcPr>
            <w:tcW w:w="1418"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45.33202585</w:t>
            </w:r>
          </w:p>
        </w:tc>
        <w:tc>
          <w:tcPr>
            <w:tcW w:w="709" w:type="dxa"/>
            <w:vMerge w:val="continue"/>
            <w:vAlign w:val="center"/>
          </w:tcPr>
          <w:p>
            <w:pPr>
              <w:pStyle w:val="84"/>
              <w:adjustRightInd w:val="0"/>
              <w:snapToGrid w:val="0"/>
              <w:rPr>
                <w:rFonts w:hAnsi="Times New Roman"/>
                <w:snapToGrid w:val="0"/>
                <w:color w:val="auto"/>
              </w:rPr>
            </w:pPr>
          </w:p>
        </w:tc>
        <w:tc>
          <w:tcPr>
            <w:tcW w:w="708" w:type="dxa"/>
            <w:vMerge w:val="continue"/>
            <w:vAlign w:val="center"/>
          </w:tcPr>
          <w:p>
            <w:pPr>
              <w:pStyle w:val="84"/>
              <w:adjustRightInd w:val="0"/>
              <w:snapToGrid w:val="0"/>
              <w:rPr>
                <w:rFonts w:hAnsi="Times New Roman"/>
                <w:snapToGrid w:val="0"/>
                <w:color w:val="auto"/>
              </w:rPr>
            </w:pPr>
          </w:p>
        </w:tc>
        <w:tc>
          <w:tcPr>
            <w:tcW w:w="851" w:type="dxa"/>
            <w:vMerge w:val="continue"/>
            <w:vAlign w:val="center"/>
          </w:tcPr>
          <w:p>
            <w:pPr>
              <w:pStyle w:val="84"/>
              <w:adjustRightInd w:val="0"/>
              <w:snapToGrid w:val="0"/>
              <w:rPr>
                <w:rFonts w:hAnsi="Times New Roman"/>
                <w:snapToGrid w:val="0"/>
                <w:color w:val="auto"/>
              </w:rPr>
            </w:pPr>
          </w:p>
        </w:tc>
        <w:tc>
          <w:tcPr>
            <w:tcW w:w="850" w:type="dxa"/>
            <w:vAlign w:val="center"/>
          </w:tcPr>
          <w:p>
            <w:pPr>
              <w:pStyle w:val="84"/>
              <w:adjustRightInd w:val="0"/>
              <w:snapToGrid w:val="0"/>
              <w:rPr>
                <w:rFonts w:hAnsi="Times New Roman"/>
                <w:color w:val="auto"/>
              </w:rPr>
            </w:pPr>
            <w:r>
              <w:rPr>
                <w:rFonts w:hint="eastAsia" w:hAnsi="Times New Roman"/>
                <w:color w:val="auto"/>
                <w:lang w:val="en-US" w:eastAsia="zh-CN"/>
              </w:rPr>
              <w:t>NW</w:t>
            </w:r>
          </w:p>
        </w:tc>
        <w:tc>
          <w:tcPr>
            <w:tcW w:w="935" w:type="dxa"/>
            <w:shd w:val="clear" w:color="auto" w:fill="auto"/>
            <w:vAlign w:val="center"/>
          </w:tcPr>
          <w:p>
            <w:pPr>
              <w:pStyle w:val="84"/>
              <w:adjustRightInd w:val="0"/>
              <w:snapToGrid w:val="0"/>
              <w:rPr>
                <w:rFonts w:hint="default" w:hAnsi="Times New Roman" w:eastAsia="宋体"/>
                <w:snapToGrid w:val="0"/>
                <w:color w:val="auto"/>
                <w:lang w:val="en-US" w:eastAsia="zh-CN"/>
              </w:rPr>
            </w:pPr>
            <w:r>
              <w:rPr>
                <w:rFonts w:hint="eastAsia" w:hAnsi="Times New Roman"/>
                <w:snapToGrid w:val="0"/>
                <w:color w:val="auto"/>
                <w:lang w:val="en-US" w:eastAsia="zh-CN"/>
              </w:rPr>
              <w:t>3000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4" w:type="dxa"/>
            <w:shd w:val="clear" w:color="auto" w:fill="auto"/>
            <w:vAlign w:val="center"/>
          </w:tcPr>
          <w:p>
            <w:pPr>
              <w:pStyle w:val="84"/>
              <w:adjustRightInd w:val="0"/>
              <w:snapToGrid w:val="0"/>
              <w:rPr>
                <w:rFonts w:hint="default" w:hAnsi="Times New Roman" w:eastAsia="宋体"/>
                <w:snapToGrid w:val="0"/>
                <w:color w:val="auto"/>
                <w:kern w:val="0"/>
                <w:lang w:val="en-US" w:eastAsia="zh-CN"/>
              </w:rPr>
            </w:pPr>
            <w:r>
              <w:rPr>
                <w:rFonts w:hint="eastAsia" w:hAnsi="Times New Roman"/>
                <w:snapToGrid w:val="0"/>
                <w:color w:val="auto"/>
                <w:kern w:val="0"/>
                <w:lang w:val="en-US" w:eastAsia="zh-CN"/>
              </w:rPr>
              <w:t>抗联希望学校</w:t>
            </w:r>
          </w:p>
        </w:tc>
        <w:tc>
          <w:tcPr>
            <w:tcW w:w="1501"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127.82796621</w:t>
            </w:r>
          </w:p>
        </w:tc>
        <w:tc>
          <w:tcPr>
            <w:tcW w:w="1418" w:type="dxa"/>
            <w:vAlign w:val="center"/>
          </w:tcPr>
          <w:p>
            <w:pPr>
              <w:pStyle w:val="84"/>
              <w:adjustRightInd w:val="0"/>
              <w:snapToGrid w:val="0"/>
              <w:rPr>
                <w:rFonts w:hAnsi="Times New Roman"/>
                <w:snapToGrid w:val="0"/>
                <w:color w:val="auto"/>
                <w:kern w:val="0"/>
              </w:rPr>
            </w:pPr>
            <w:r>
              <w:rPr>
                <w:rFonts w:hAnsi="Times New Roman"/>
                <w:snapToGrid w:val="0"/>
                <w:color w:val="auto"/>
                <w:kern w:val="0"/>
              </w:rPr>
              <w:t>45.33018549</w:t>
            </w:r>
          </w:p>
        </w:tc>
        <w:tc>
          <w:tcPr>
            <w:tcW w:w="709" w:type="dxa"/>
            <w:vAlign w:val="center"/>
          </w:tcPr>
          <w:p>
            <w:pPr>
              <w:pStyle w:val="84"/>
              <w:adjustRightInd w:val="0"/>
              <w:snapToGrid w:val="0"/>
              <w:rPr>
                <w:rFonts w:hAnsi="Times New Roman"/>
                <w:snapToGrid w:val="0"/>
                <w:color w:val="auto"/>
              </w:rPr>
            </w:pPr>
            <w:r>
              <w:rPr>
                <w:rFonts w:hAnsi="Times New Roman"/>
                <w:snapToGrid w:val="0"/>
                <w:color w:val="auto"/>
              </w:rPr>
              <w:t>文化区</w:t>
            </w:r>
          </w:p>
        </w:tc>
        <w:tc>
          <w:tcPr>
            <w:tcW w:w="708" w:type="dxa"/>
            <w:vMerge w:val="continue"/>
            <w:vAlign w:val="center"/>
          </w:tcPr>
          <w:p>
            <w:pPr>
              <w:pStyle w:val="84"/>
              <w:adjustRightInd w:val="0"/>
              <w:snapToGrid w:val="0"/>
              <w:rPr>
                <w:rFonts w:hAnsi="Times New Roman"/>
                <w:snapToGrid w:val="0"/>
                <w:color w:val="FF0000"/>
              </w:rPr>
            </w:pPr>
          </w:p>
        </w:tc>
        <w:tc>
          <w:tcPr>
            <w:tcW w:w="851" w:type="dxa"/>
            <w:vMerge w:val="continue"/>
            <w:vAlign w:val="center"/>
          </w:tcPr>
          <w:p>
            <w:pPr>
              <w:pStyle w:val="84"/>
              <w:adjustRightInd w:val="0"/>
              <w:snapToGrid w:val="0"/>
              <w:rPr>
                <w:rFonts w:hAnsi="Times New Roman"/>
                <w:snapToGrid w:val="0"/>
                <w:color w:val="FF0000"/>
              </w:rPr>
            </w:pPr>
          </w:p>
        </w:tc>
        <w:tc>
          <w:tcPr>
            <w:tcW w:w="850" w:type="dxa"/>
            <w:vAlign w:val="center"/>
          </w:tcPr>
          <w:p>
            <w:pPr>
              <w:pStyle w:val="84"/>
              <w:adjustRightInd w:val="0"/>
              <w:snapToGrid w:val="0"/>
              <w:rPr>
                <w:rFonts w:hAnsi="Times New Roman"/>
                <w:color w:val="auto"/>
              </w:rPr>
            </w:pPr>
            <w:r>
              <w:rPr>
                <w:rFonts w:hint="eastAsia" w:hAnsi="Times New Roman"/>
                <w:snapToGrid w:val="0"/>
                <w:color w:val="auto"/>
                <w:lang w:val="en-US" w:eastAsia="zh-CN"/>
              </w:rPr>
              <w:t>NE</w:t>
            </w:r>
          </w:p>
        </w:tc>
        <w:tc>
          <w:tcPr>
            <w:tcW w:w="935" w:type="dxa"/>
            <w:shd w:val="clear" w:color="auto" w:fill="auto"/>
            <w:vAlign w:val="center"/>
          </w:tcPr>
          <w:p>
            <w:pPr>
              <w:pStyle w:val="84"/>
              <w:adjustRightInd w:val="0"/>
              <w:snapToGrid w:val="0"/>
              <w:rPr>
                <w:rFonts w:hint="default" w:hAnsi="Times New Roman" w:eastAsia="宋体"/>
                <w:snapToGrid w:val="0"/>
                <w:color w:val="auto"/>
                <w:kern w:val="0"/>
                <w:lang w:val="en-US" w:eastAsia="zh-CN"/>
              </w:rPr>
            </w:pPr>
            <w:r>
              <w:rPr>
                <w:rFonts w:hint="eastAsia" w:hAnsi="Times New Roman"/>
                <w:snapToGrid w:val="0"/>
                <w:color w:val="auto"/>
                <w:kern w:val="0"/>
                <w:lang w:val="en-US" w:eastAsia="zh-CN"/>
              </w:rPr>
              <w:t>3000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62" w:type="dxa"/>
            <w:gridSpan w:val="4"/>
            <w:shd w:val="clear" w:color="auto" w:fill="auto"/>
            <w:vAlign w:val="center"/>
          </w:tcPr>
          <w:p>
            <w:pPr>
              <w:pStyle w:val="84"/>
              <w:adjustRightInd w:val="0"/>
              <w:snapToGrid w:val="0"/>
              <w:rPr>
                <w:rFonts w:hAnsi="Times New Roman"/>
                <w:snapToGrid w:val="0"/>
                <w:color w:val="auto"/>
              </w:rPr>
            </w:pPr>
            <w:r>
              <w:rPr>
                <w:rFonts w:hint="eastAsia" w:hAnsi="Times New Roman"/>
                <w:snapToGrid w:val="0"/>
                <w:color w:val="auto"/>
                <w:lang w:val="en-US" w:eastAsia="zh-CN"/>
              </w:rPr>
              <w:t>项</w:t>
            </w:r>
            <w:r>
              <w:rPr>
                <w:rFonts w:hAnsi="Times New Roman"/>
                <w:snapToGrid w:val="0"/>
                <w:color w:val="auto"/>
              </w:rPr>
              <w:t>目区域内地下水含水层</w:t>
            </w:r>
          </w:p>
        </w:tc>
        <w:tc>
          <w:tcPr>
            <w:tcW w:w="708" w:type="dxa"/>
            <w:vAlign w:val="center"/>
          </w:tcPr>
          <w:p>
            <w:pPr>
              <w:pStyle w:val="84"/>
              <w:rPr>
                <w:rFonts w:hAnsi="Times New Roman"/>
                <w:snapToGrid w:val="0"/>
                <w:color w:val="FF0000"/>
              </w:rPr>
            </w:pPr>
            <w:r>
              <w:rPr>
                <w:highlight w:val="none"/>
              </w:rPr>
              <w:t>地下水环境质量</w:t>
            </w:r>
          </w:p>
        </w:tc>
        <w:tc>
          <w:tcPr>
            <w:tcW w:w="851" w:type="dxa"/>
            <w:vAlign w:val="center"/>
          </w:tcPr>
          <w:p>
            <w:pPr>
              <w:pStyle w:val="84"/>
              <w:rPr>
                <w:rFonts w:hAnsi="Times New Roman"/>
                <w:snapToGrid w:val="0"/>
                <w:color w:val="FF0000"/>
              </w:rPr>
            </w:pPr>
            <w:r>
              <w:rPr>
                <w:highlight w:val="none"/>
              </w:rPr>
              <w:t>《地下水质量标准》（GB/T14848-2017）中Ⅲ类标准</w:t>
            </w:r>
          </w:p>
        </w:tc>
        <w:tc>
          <w:tcPr>
            <w:tcW w:w="1785" w:type="dxa"/>
            <w:gridSpan w:val="2"/>
            <w:vAlign w:val="center"/>
          </w:tcPr>
          <w:p>
            <w:pPr>
              <w:pStyle w:val="84"/>
              <w:adjustRightInd w:val="0"/>
              <w:snapToGrid w:val="0"/>
              <w:rPr>
                <w:rFonts w:hint="eastAsia" w:hAnsi="Times New Roman"/>
                <w:snapToGrid w:val="0"/>
                <w:color w:val="auto"/>
                <w:kern w:val="0"/>
                <w:lang w:val="en-US" w:eastAsia="zh-CN"/>
              </w:rPr>
            </w:pPr>
            <w:r>
              <w:rPr>
                <w:highlight w:val="none"/>
              </w:rPr>
              <w:t>项目地下水评价区域</w:t>
            </w:r>
            <w:r>
              <w:rPr>
                <w:highlight w:val="none"/>
                <w:lang w:val="en-US"/>
              </w:rPr>
              <w:t>6</w:t>
            </w:r>
            <w:r>
              <w:rPr>
                <w:highlight w:val="none"/>
              </w:rPr>
              <w:t>km</w:t>
            </w:r>
            <w:r>
              <w:rPr>
                <w:highlight w:val="none"/>
                <w:vertAlign w:val="superscript"/>
              </w:rPr>
              <w:t>2</w:t>
            </w:r>
            <w:r>
              <w:rPr>
                <w:highlight w:val="none"/>
              </w:rPr>
              <w:t>范围内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4" w:type="dxa"/>
            <w:shd w:val="clear" w:color="auto" w:fill="auto"/>
            <w:vAlign w:val="center"/>
          </w:tcPr>
          <w:p>
            <w:pPr>
              <w:pStyle w:val="84"/>
              <w:adjustRightInd w:val="0"/>
              <w:snapToGrid w:val="0"/>
              <w:rPr>
                <w:rFonts w:hint="default" w:hAnsi="Times New Roman"/>
                <w:snapToGrid w:val="0"/>
                <w:color w:val="auto"/>
                <w:kern w:val="0"/>
                <w:lang w:val="en-US" w:eastAsia="zh-CN"/>
              </w:rPr>
            </w:pPr>
            <w:r>
              <w:rPr>
                <w:rFonts w:hint="eastAsia" w:hAnsi="Times New Roman"/>
                <w:snapToGrid w:val="0"/>
                <w:color w:val="auto"/>
                <w:kern w:val="0"/>
                <w:lang w:val="en-US" w:eastAsia="zh-CN"/>
              </w:rPr>
              <w:t>声环境</w:t>
            </w:r>
          </w:p>
        </w:tc>
        <w:tc>
          <w:tcPr>
            <w:tcW w:w="1501" w:type="dxa"/>
            <w:vAlign w:val="center"/>
          </w:tcPr>
          <w:p>
            <w:pPr>
              <w:pStyle w:val="84"/>
              <w:adjustRightInd w:val="0"/>
              <w:snapToGrid w:val="0"/>
              <w:rPr>
                <w:rFonts w:hint="eastAsia" w:hAnsi="Times New Roman" w:eastAsia="宋体"/>
                <w:snapToGrid w:val="0"/>
                <w:color w:val="auto"/>
                <w:kern w:val="0"/>
                <w:lang w:val="en-US" w:eastAsia="zh-CN"/>
              </w:rPr>
            </w:pPr>
            <w:r>
              <w:rPr>
                <w:rFonts w:hint="eastAsia" w:hAnsi="Times New Roman"/>
                <w:snapToGrid w:val="0"/>
                <w:color w:val="auto"/>
                <w:kern w:val="0"/>
                <w:lang w:val="en-US" w:eastAsia="zh-CN"/>
              </w:rPr>
              <w:t>/</w:t>
            </w:r>
          </w:p>
        </w:tc>
        <w:tc>
          <w:tcPr>
            <w:tcW w:w="1418" w:type="dxa"/>
            <w:vAlign w:val="center"/>
          </w:tcPr>
          <w:p>
            <w:pPr>
              <w:adjustRightInd w:val="0"/>
              <w:snapToGrid w:val="0"/>
              <w:jc w:val="center"/>
              <w:rPr>
                <w:rFonts w:hAnsi="Times New Roman"/>
                <w:snapToGrid w:val="0"/>
                <w:color w:val="auto"/>
                <w:kern w:val="0"/>
              </w:rPr>
            </w:pPr>
            <w:r>
              <w:rPr>
                <w:rFonts w:hint="eastAsia" w:hAnsi="Times New Roman"/>
                <w:snapToGrid w:val="0"/>
                <w:color w:val="auto"/>
                <w:kern w:val="0"/>
                <w:lang w:val="en-US" w:eastAsia="zh-CN"/>
              </w:rPr>
              <w:t>/</w:t>
            </w:r>
          </w:p>
        </w:tc>
        <w:tc>
          <w:tcPr>
            <w:tcW w:w="709" w:type="dxa"/>
            <w:vAlign w:val="center"/>
          </w:tcPr>
          <w:p>
            <w:pPr>
              <w:adjustRightInd w:val="0"/>
              <w:snapToGrid w:val="0"/>
              <w:jc w:val="center"/>
              <w:rPr>
                <w:rFonts w:hAnsi="Times New Roman"/>
                <w:snapToGrid w:val="0"/>
                <w:color w:val="auto"/>
              </w:rPr>
            </w:pPr>
            <w:r>
              <w:rPr>
                <w:rFonts w:hint="eastAsia" w:hAnsi="Times New Roman"/>
                <w:snapToGrid w:val="0"/>
                <w:color w:val="auto"/>
                <w:kern w:val="0"/>
                <w:lang w:val="en-US" w:eastAsia="zh-CN"/>
              </w:rPr>
              <w:t>/</w:t>
            </w:r>
          </w:p>
        </w:tc>
        <w:tc>
          <w:tcPr>
            <w:tcW w:w="708" w:type="dxa"/>
            <w:tcBorders>
              <w:right w:val="single" w:color="000000" w:sz="4" w:space="0"/>
            </w:tcBorders>
            <w:vAlign w:val="center"/>
          </w:tcPr>
          <w:p>
            <w:pPr>
              <w:contextualSpacing/>
              <w:jc w:val="center"/>
              <w:rPr>
                <w:rFonts w:hint="default" w:hAnsi="Times New Roman"/>
                <w:snapToGrid w:val="0"/>
                <w:color w:val="auto"/>
                <w:lang w:val="en-US" w:eastAsia="zh-CN"/>
              </w:rPr>
            </w:pPr>
            <w:r>
              <w:rPr>
                <w:rFonts w:hint="eastAsia" w:hAnsi="Times New Roman"/>
                <w:snapToGrid w:val="0"/>
                <w:color w:val="auto"/>
                <w:lang w:val="en-US" w:eastAsia="zh-CN"/>
              </w:rPr>
              <w:t>/</w:t>
            </w:r>
          </w:p>
        </w:tc>
        <w:tc>
          <w:tcPr>
            <w:tcW w:w="851" w:type="dxa"/>
            <w:tcBorders>
              <w:left w:val="single" w:color="000000" w:sz="4" w:space="0"/>
              <w:right w:val="single" w:color="000000" w:sz="4" w:space="0"/>
            </w:tcBorders>
            <w:vAlign w:val="center"/>
          </w:tcPr>
          <w:p>
            <w:pPr>
              <w:contextualSpacing/>
              <w:jc w:val="center"/>
              <w:rPr>
                <w:rFonts w:eastAsiaTheme="minorEastAsia"/>
                <w:snapToGrid w:val="0"/>
                <w:color w:val="auto"/>
                <w:kern w:val="0"/>
                <w:sz w:val="21"/>
                <w:szCs w:val="21"/>
              </w:rPr>
            </w:pPr>
            <w:r>
              <w:rPr>
                <w:rFonts w:eastAsiaTheme="minorEastAsia"/>
                <w:snapToGrid w:val="0"/>
                <w:color w:val="auto"/>
                <w:kern w:val="0"/>
                <w:sz w:val="21"/>
                <w:szCs w:val="21"/>
              </w:rPr>
              <w:t>《声环境质量标准》（GB3096-2008）</w:t>
            </w:r>
            <w:r>
              <w:rPr>
                <w:rFonts w:hint="eastAsia" w:eastAsiaTheme="minorEastAsia"/>
                <w:snapToGrid w:val="0"/>
                <w:color w:val="auto"/>
                <w:kern w:val="0"/>
                <w:sz w:val="21"/>
                <w:szCs w:val="21"/>
              </w:rPr>
              <w:t>2</w:t>
            </w:r>
            <w:r>
              <w:rPr>
                <w:rFonts w:eastAsiaTheme="minorEastAsia"/>
                <w:snapToGrid w:val="0"/>
                <w:color w:val="auto"/>
                <w:kern w:val="0"/>
                <w:sz w:val="21"/>
                <w:szCs w:val="21"/>
              </w:rPr>
              <w:t>类</w:t>
            </w:r>
          </w:p>
        </w:tc>
        <w:tc>
          <w:tcPr>
            <w:tcW w:w="1785" w:type="dxa"/>
            <w:gridSpan w:val="2"/>
            <w:tcBorders>
              <w:left w:val="single" w:color="000000" w:sz="4" w:space="0"/>
            </w:tcBorders>
            <w:vAlign w:val="center"/>
          </w:tcPr>
          <w:p>
            <w:pPr>
              <w:contextualSpacing/>
              <w:jc w:val="center"/>
              <w:rPr>
                <w:rFonts w:hint="eastAsia" w:hAnsi="Times New Roman"/>
                <w:snapToGrid w:val="0"/>
                <w:color w:val="auto"/>
                <w:kern w:val="0"/>
                <w:lang w:val="en-US" w:eastAsia="zh-CN"/>
              </w:rPr>
            </w:pPr>
            <w:r>
              <w:rPr>
                <w:rFonts w:eastAsiaTheme="minorEastAsia"/>
                <w:snapToGrid w:val="0"/>
                <w:color w:val="auto"/>
                <w:kern w:val="0"/>
                <w:sz w:val="21"/>
                <w:szCs w:val="21"/>
              </w:rPr>
              <w:t>周边外延200m范围内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4" w:type="dxa"/>
            <w:shd w:val="clear" w:color="auto" w:fill="auto"/>
            <w:vAlign w:val="center"/>
          </w:tcPr>
          <w:p>
            <w:pPr>
              <w:pStyle w:val="84"/>
              <w:adjustRightInd w:val="0"/>
              <w:snapToGrid w:val="0"/>
              <w:rPr>
                <w:rFonts w:hint="eastAsia" w:hAnsi="Times New Roman"/>
                <w:snapToGrid w:val="0"/>
                <w:color w:val="auto"/>
                <w:kern w:val="0"/>
                <w:lang w:val="en-US" w:eastAsia="zh-CN"/>
              </w:rPr>
            </w:pPr>
            <w:r>
              <w:rPr>
                <w:rFonts w:hAnsi="Times New Roman"/>
                <w:snapToGrid w:val="0"/>
                <w:color w:val="auto"/>
              </w:rPr>
              <w:t>生态环境</w:t>
            </w:r>
          </w:p>
        </w:tc>
        <w:tc>
          <w:tcPr>
            <w:tcW w:w="1501" w:type="dxa"/>
            <w:vAlign w:val="center"/>
          </w:tcPr>
          <w:p>
            <w:pPr>
              <w:adjustRightInd w:val="0"/>
              <w:snapToGrid w:val="0"/>
              <w:jc w:val="center"/>
              <w:rPr>
                <w:rFonts w:hAnsi="Times New Roman"/>
                <w:snapToGrid w:val="0"/>
                <w:color w:val="auto"/>
                <w:kern w:val="0"/>
              </w:rPr>
            </w:pPr>
            <w:r>
              <w:rPr>
                <w:rFonts w:hint="eastAsia" w:hAnsi="Times New Roman"/>
                <w:snapToGrid w:val="0"/>
                <w:color w:val="auto"/>
                <w:kern w:val="0"/>
                <w:lang w:val="en-US" w:eastAsia="zh-CN"/>
              </w:rPr>
              <w:t>/</w:t>
            </w:r>
          </w:p>
        </w:tc>
        <w:tc>
          <w:tcPr>
            <w:tcW w:w="1418" w:type="dxa"/>
            <w:vAlign w:val="center"/>
          </w:tcPr>
          <w:p>
            <w:pPr>
              <w:adjustRightInd w:val="0"/>
              <w:snapToGrid w:val="0"/>
              <w:jc w:val="center"/>
              <w:rPr>
                <w:rFonts w:hAnsi="Times New Roman"/>
                <w:snapToGrid w:val="0"/>
                <w:color w:val="auto"/>
                <w:kern w:val="0"/>
              </w:rPr>
            </w:pPr>
            <w:r>
              <w:rPr>
                <w:rFonts w:hint="eastAsia" w:hAnsi="Times New Roman"/>
                <w:snapToGrid w:val="0"/>
                <w:color w:val="auto"/>
                <w:kern w:val="0"/>
                <w:lang w:val="en-US" w:eastAsia="zh-CN"/>
              </w:rPr>
              <w:t>/</w:t>
            </w:r>
          </w:p>
        </w:tc>
        <w:tc>
          <w:tcPr>
            <w:tcW w:w="709" w:type="dxa"/>
            <w:vAlign w:val="center"/>
          </w:tcPr>
          <w:p>
            <w:pPr>
              <w:adjustRightInd w:val="0"/>
              <w:snapToGrid w:val="0"/>
              <w:jc w:val="center"/>
              <w:rPr>
                <w:rFonts w:hAnsi="Times New Roman"/>
                <w:snapToGrid w:val="0"/>
                <w:color w:val="auto"/>
              </w:rPr>
            </w:pPr>
            <w:r>
              <w:rPr>
                <w:rFonts w:hint="eastAsia" w:hAnsi="Times New Roman"/>
                <w:snapToGrid w:val="0"/>
                <w:color w:val="auto"/>
                <w:kern w:val="0"/>
                <w:lang w:val="en-US" w:eastAsia="zh-CN"/>
              </w:rPr>
              <w:t>/</w:t>
            </w:r>
          </w:p>
        </w:tc>
        <w:tc>
          <w:tcPr>
            <w:tcW w:w="708" w:type="dxa"/>
            <w:tcBorders>
              <w:right w:val="single" w:color="000000" w:sz="4" w:space="0"/>
            </w:tcBorders>
            <w:vAlign w:val="center"/>
          </w:tcPr>
          <w:p>
            <w:pPr>
              <w:pStyle w:val="84"/>
              <w:adjustRightInd w:val="0"/>
              <w:snapToGrid w:val="0"/>
              <w:rPr>
                <w:rFonts w:hint="default" w:hAnsi="Times New Roman"/>
                <w:snapToGrid w:val="0"/>
                <w:color w:val="auto"/>
                <w:lang w:val="en-US" w:eastAsia="zh-CN"/>
              </w:rPr>
            </w:pPr>
            <w:r>
              <w:rPr>
                <w:rFonts w:hint="eastAsia" w:hAnsi="Times New Roman"/>
                <w:snapToGrid w:val="0"/>
                <w:color w:val="auto"/>
                <w:lang w:val="en-US" w:eastAsia="zh-CN"/>
              </w:rPr>
              <w:t>/</w:t>
            </w:r>
          </w:p>
        </w:tc>
        <w:tc>
          <w:tcPr>
            <w:tcW w:w="851" w:type="dxa"/>
            <w:tcBorders>
              <w:left w:val="single" w:color="000000" w:sz="4" w:space="0"/>
              <w:right w:val="single" w:color="000000" w:sz="4" w:space="0"/>
            </w:tcBorders>
            <w:vAlign w:val="center"/>
          </w:tcPr>
          <w:p>
            <w:pPr>
              <w:pStyle w:val="84"/>
              <w:adjustRightInd w:val="0"/>
              <w:snapToGrid w:val="0"/>
              <w:rPr>
                <w:rFonts w:hint="default" w:hAnsi="Times New Roman" w:eastAsia="宋体"/>
                <w:snapToGrid w:val="0"/>
                <w:color w:val="auto"/>
                <w:lang w:val="en-US" w:eastAsia="zh-CN"/>
              </w:rPr>
            </w:pPr>
            <w:r>
              <w:rPr>
                <w:rFonts w:hint="eastAsia" w:hAnsi="Times New Roman"/>
                <w:snapToGrid w:val="0"/>
                <w:color w:val="auto"/>
                <w:lang w:val="en-US" w:eastAsia="zh-CN"/>
              </w:rPr>
              <w:t>/</w:t>
            </w:r>
          </w:p>
        </w:tc>
        <w:tc>
          <w:tcPr>
            <w:tcW w:w="1785" w:type="dxa"/>
            <w:gridSpan w:val="2"/>
            <w:tcBorders>
              <w:left w:val="single" w:color="000000" w:sz="4" w:space="0"/>
            </w:tcBorders>
            <w:vAlign w:val="center"/>
          </w:tcPr>
          <w:p>
            <w:pPr>
              <w:pStyle w:val="84"/>
              <w:adjustRightInd w:val="0"/>
              <w:snapToGrid w:val="0"/>
              <w:rPr>
                <w:rFonts w:hint="default" w:hAnsi="Times New Roman"/>
                <w:snapToGrid w:val="0"/>
                <w:color w:val="auto"/>
                <w:kern w:val="0"/>
                <w:lang w:val="en-US" w:eastAsia="zh-CN"/>
              </w:rPr>
            </w:pPr>
            <w:r>
              <w:rPr>
                <w:rFonts w:hAnsi="Times New Roman"/>
                <w:snapToGrid w:val="0"/>
                <w:color w:val="auto"/>
              </w:rPr>
              <w:t>厂界外200m范围陆生动植物资源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4" w:type="dxa"/>
            <w:shd w:val="clear" w:color="auto" w:fill="auto"/>
            <w:vAlign w:val="center"/>
          </w:tcPr>
          <w:p>
            <w:pPr>
              <w:pStyle w:val="84"/>
              <w:adjustRightInd w:val="0"/>
              <w:snapToGrid w:val="0"/>
              <w:rPr>
                <w:rFonts w:hint="default" w:hAnsi="Times New Roman" w:eastAsia="宋体"/>
                <w:snapToGrid w:val="0"/>
                <w:color w:val="auto"/>
                <w:lang w:val="en-US" w:eastAsia="zh-CN"/>
              </w:rPr>
            </w:pPr>
            <w:r>
              <w:rPr>
                <w:rFonts w:hint="eastAsia" w:hAnsi="Times New Roman"/>
                <w:snapToGrid w:val="0"/>
                <w:color w:val="auto"/>
                <w:lang w:val="en-US" w:eastAsia="zh-CN"/>
              </w:rPr>
              <w:t>地表水环境</w:t>
            </w:r>
          </w:p>
        </w:tc>
        <w:tc>
          <w:tcPr>
            <w:tcW w:w="1501" w:type="dxa"/>
            <w:vAlign w:val="center"/>
          </w:tcPr>
          <w:p>
            <w:pPr>
              <w:adjustRightInd w:val="0"/>
              <w:snapToGrid w:val="0"/>
              <w:jc w:val="center"/>
              <w:rPr>
                <w:rFonts w:hint="eastAsia" w:hAnsi="Times New Roman"/>
                <w:snapToGrid w:val="0"/>
                <w:color w:val="auto"/>
                <w:kern w:val="0"/>
                <w:lang w:val="en-US" w:eastAsia="zh-CN"/>
              </w:rPr>
            </w:pPr>
            <w:r>
              <w:rPr>
                <w:rFonts w:hint="eastAsia" w:hAnsi="Times New Roman"/>
                <w:snapToGrid w:val="0"/>
                <w:color w:val="auto"/>
                <w:kern w:val="0"/>
                <w:lang w:val="en-US" w:eastAsia="zh-CN"/>
              </w:rPr>
              <w:t>/</w:t>
            </w:r>
          </w:p>
        </w:tc>
        <w:tc>
          <w:tcPr>
            <w:tcW w:w="1418" w:type="dxa"/>
            <w:vAlign w:val="center"/>
          </w:tcPr>
          <w:p>
            <w:pPr>
              <w:adjustRightInd w:val="0"/>
              <w:snapToGrid w:val="0"/>
              <w:jc w:val="center"/>
              <w:rPr>
                <w:rFonts w:hint="eastAsia" w:hAnsi="Times New Roman"/>
                <w:snapToGrid w:val="0"/>
                <w:color w:val="auto"/>
                <w:kern w:val="0"/>
                <w:lang w:val="en-US" w:eastAsia="zh-CN"/>
              </w:rPr>
            </w:pPr>
            <w:r>
              <w:rPr>
                <w:rFonts w:hint="eastAsia" w:hAnsi="Times New Roman"/>
                <w:snapToGrid w:val="0"/>
                <w:color w:val="auto"/>
                <w:kern w:val="0"/>
                <w:lang w:val="en-US" w:eastAsia="zh-CN"/>
              </w:rPr>
              <w:t>/</w:t>
            </w:r>
          </w:p>
        </w:tc>
        <w:tc>
          <w:tcPr>
            <w:tcW w:w="709" w:type="dxa"/>
            <w:vAlign w:val="center"/>
          </w:tcPr>
          <w:p>
            <w:pPr>
              <w:adjustRightInd w:val="0"/>
              <w:snapToGrid w:val="0"/>
              <w:jc w:val="center"/>
              <w:rPr>
                <w:rFonts w:hint="eastAsia" w:hAnsi="Times New Roman"/>
                <w:snapToGrid w:val="0"/>
                <w:color w:val="auto"/>
                <w:kern w:val="0"/>
                <w:lang w:val="en-US" w:eastAsia="zh-CN"/>
              </w:rPr>
            </w:pPr>
            <w:r>
              <w:rPr>
                <w:rFonts w:hint="eastAsia" w:hAnsi="Times New Roman"/>
                <w:snapToGrid w:val="0"/>
                <w:color w:val="auto"/>
                <w:kern w:val="0"/>
                <w:lang w:val="en-US" w:eastAsia="zh-CN"/>
              </w:rPr>
              <w:t>/</w:t>
            </w:r>
          </w:p>
        </w:tc>
        <w:tc>
          <w:tcPr>
            <w:tcW w:w="708" w:type="dxa"/>
            <w:tcBorders>
              <w:right w:val="single" w:color="000000" w:sz="4" w:space="0"/>
            </w:tcBorders>
            <w:vAlign w:val="center"/>
          </w:tcPr>
          <w:p>
            <w:pPr>
              <w:adjustRightInd w:val="0"/>
              <w:snapToGrid w:val="0"/>
              <w:jc w:val="center"/>
              <w:rPr>
                <w:rFonts w:hint="default" w:hAnsi="Times New Roman"/>
                <w:snapToGrid w:val="0"/>
                <w:color w:val="auto"/>
                <w:kern w:val="0"/>
                <w:lang w:val="en-US" w:eastAsia="zh-CN"/>
              </w:rPr>
            </w:pPr>
            <w:r>
              <w:rPr>
                <w:rFonts w:hint="eastAsia" w:hAnsi="Times New Roman"/>
                <w:snapToGrid w:val="0"/>
                <w:color w:val="auto"/>
                <w:kern w:val="0"/>
                <w:lang w:val="en-US" w:eastAsia="zh-CN"/>
              </w:rPr>
              <w:t>蚂蚁河</w:t>
            </w:r>
          </w:p>
        </w:tc>
        <w:tc>
          <w:tcPr>
            <w:tcW w:w="851" w:type="dxa"/>
            <w:tcBorders>
              <w:left w:val="single" w:color="000000" w:sz="4" w:space="0"/>
              <w:right w:val="single" w:color="000000" w:sz="4" w:space="0"/>
            </w:tcBorders>
            <w:vAlign w:val="center"/>
          </w:tcPr>
          <w:p>
            <w:pPr>
              <w:adjustRightInd w:val="0"/>
              <w:snapToGrid w:val="0"/>
              <w:jc w:val="center"/>
              <w:rPr>
                <w:rFonts w:hint="eastAsia" w:hAnsi="Times New Roman"/>
                <w:snapToGrid w:val="0"/>
                <w:color w:val="auto"/>
                <w:kern w:val="0"/>
                <w:lang w:val="en-US" w:eastAsia="zh-CN"/>
              </w:rPr>
            </w:pPr>
            <w:r>
              <w:rPr>
                <w:highlight w:val="none"/>
              </w:rPr>
              <w:t>《地表水环境质量标准》（GB3838-2002）中</w:t>
            </w:r>
            <w:r>
              <w:rPr>
                <w:highlight w:val="none"/>
                <w:lang w:val="en-US"/>
              </w:rPr>
              <w:t>Ⅲ</w:t>
            </w:r>
            <w:r>
              <w:rPr>
                <w:highlight w:val="none"/>
              </w:rPr>
              <w:t>类标准</w:t>
            </w:r>
          </w:p>
        </w:tc>
        <w:tc>
          <w:tcPr>
            <w:tcW w:w="850" w:type="dxa"/>
            <w:tcBorders>
              <w:left w:val="single" w:color="000000" w:sz="4" w:space="0"/>
            </w:tcBorders>
            <w:vAlign w:val="center"/>
          </w:tcPr>
          <w:p>
            <w:pPr>
              <w:pStyle w:val="84"/>
              <w:adjustRightInd w:val="0"/>
              <w:snapToGrid w:val="0"/>
              <w:rPr>
                <w:rFonts w:hint="default" w:hAnsi="Times New Roman" w:eastAsia="宋体"/>
                <w:snapToGrid w:val="0"/>
                <w:color w:val="auto"/>
                <w:lang w:val="en-US" w:eastAsia="zh-CN"/>
              </w:rPr>
            </w:pPr>
            <w:r>
              <w:rPr>
                <w:rFonts w:hint="eastAsia" w:hAnsi="Times New Roman"/>
                <w:snapToGrid w:val="0"/>
                <w:color w:val="auto"/>
                <w:lang w:val="en-US" w:eastAsia="zh-CN"/>
              </w:rPr>
              <w:t>E</w:t>
            </w:r>
          </w:p>
        </w:tc>
        <w:tc>
          <w:tcPr>
            <w:tcW w:w="935" w:type="dxa"/>
            <w:shd w:val="clear" w:color="auto" w:fill="auto"/>
            <w:vAlign w:val="center"/>
          </w:tcPr>
          <w:p>
            <w:pPr>
              <w:pStyle w:val="84"/>
              <w:adjustRightInd w:val="0"/>
              <w:snapToGrid w:val="0"/>
              <w:rPr>
                <w:rFonts w:hint="default" w:hAnsi="Times New Roman"/>
                <w:snapToGrid w:val="0"/>
                <w:color w:val="auto"/>
                <w:kern w:val="0"/>
                <w:lang w:val="en-US" w:eastAsia="zh-CN"/>
              </w:rPr>
            </w:pPr>
            <w:r>
              <w:rPr>
                <w:rFonts w:hint="eastAsia" w:hAnsi="Times New Roman"/>
                <w:snapToGrid w:val="0"/>
                <w:color w:val="auto"/>
                <w:kern w:val="0"/>
                <w:lang w:val="en-US" w:eastAsia="zh-CN"/>
              </w:rPr>
              <w:t>8800</w:t>
            </w:r>
          </w:p>
        </w:tc>
      </w:tr>
    </w:tbl>
    <w:p>
      <w:pPr>
        <w:spacing w:line="360" w:lineRule="auto"/>
        <w:ind w:firstLine="480" w:firstLineChars="200"/>
        <w:contextualSpacing/>
        <w:rPr>
          <w:snapToGrid w:val="0"/>
          <w:color w:val="FF0000"/>
          <w:kern w:val="0"/>
          <w:sz w:val="24"/>
        </w:rPr>
      </w:pPr>
    </w:p>
    <w:p>
      <w:pPr>
        <w:spacing w:before="160" w:after="160" w:line="360" w:lineRule="auto"/>
        <w:ind w:firstLine="424" w:firstLineChars="177"/>
        <w:outlineLvl w:val="2"/>
        <w:rPr>
          <w:color w:val="FF0000"/>
          <w:kern w:val="0"/>
          <w:sz w:val="24"/>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widowControl/>
        <w:tabs>
          <w:tab w:val="left" w:leader="middleDot" w:pos="7371"/>
        </w:tabs>
        <w:spacing w:line="360" w:lineRule="auto"/>
        <w:jc w:val="left"/>
        <w:outlineLvl w:val="0"/>
        <w:rPr>
          <w:b/>
          <w:color w:val="auto"/>
          <w:kern w:val="0"/>
          <w:sz w:val="32"/>
          <w:szCs w:val="32"/>
        </w:rPr>
      </w:pPr>
      <w:bookmarkStart w:id="177" w:name="_Toc477954569"/>
      <w:bookmarkStart w:id="178" w:name="_Toc488925382"/>
      <w:bookmarkStart w:id="179" w:name="_Toc22387"/>
      <w:bookmarkStart w:id="180" w:name="_Toc494017090"/>
      <w:r>
        <w:rPr>
          <w:b/>
          <w:color w:val="auto"/>
          <w:kern w:val="0"/>
          <w:sz w:val="32"/>
          <w:szCs w:val="32"/>
        </w:rPr>
        <w:t>5环境影响预测与评价</w:t>
      </w:r>
      <w:bookmarkEnd w:id="177"/>
      <w:bookmarkEnd w:id="178"/>
      <w:bookmarkEnd w:id="179"/>
      <w:bookmarkEnd w:id="180"/>
    </w:p>
    <w:p>
      <w:pPr>
        <w:spacing w:line="360" w:lineRule="auto"/>
        <w:jc w:val="left"/>
        <w:outlineLvl w:val="1"/>
        <w:rPr>
          <w:b/>
          <w:bCs/>
          <w:color w:val="auto"/>
          <w:kern w:val="44"/>
          <w:sz w:val="30"/>
          <w:szCs w:val="30"/>
        </w:rPr>
      </w:pPr>
      <w:bookmarkStart w:id="181" w:name="_Toc494017091"/>
      <w:bookmarkStart w:id="182" w:name="_Toc22341"/>
      <w:r>
        <w:rPr>
          <w:b/>
          <w:bCs/>
          <w:color w:val="auto"/>
          <w:kern w:val="44"/>
          <w:sz w:val="30"/>
          <w:szCs w:val="30"/>
        </w:rPr>
        <w:t>5.1施工期环境影响分析</w:t>
      </w:r>
      <w:bookmarkEnd w:id="181"/>
      <w:bookmarkEnd w:id="182"/>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5.1.1施工期大气环境影响评价</w:t>
      </w:r>
    </w:p>
    <w:p>
      <w:pPr>
        <w:spacing w:line="360" w:lineRule="auto"/>
        <w:ind w:firstLine="480" w:firstLineChars="200"/>
        <w:rPr>
          <w:color w:val="auto"/>
          <w:sz w:val="24"/>
        </w:rPr>
      </w:pPr>
      <w:r>
        <w:rPr>
          <w:color w:val="auto"/>
          <w:sz w:val="24"/>
        </w:rPr>
        <w:t>建设施工过程中，燃油动力机械和运输车辆排放的废气，</w:t>
      </w:r>
      <w:r>
        <w:rPr>
          <w:rFonts w:hint="eastAsia"/>
          <w:color w:val="auto"/>
          <w:sz w:val="24"/>
          <w:lang w:val="en-US" w:eastAsia="zh-CN"/>
        </w:rPr>
        <w:t>车间修建</w:t>
      </w:r>
      <w:r>
        <w:rPr>
          <w:color w:val="auto"/>
          <w:sz w:val="24"/>
        </w:rPr>
        <w:t>、平整土地、建材装卸以及车辆行使等作业环节产生的扬尘，都会给周围环境空气带来污染。污染大气的主要因子是NO</w:t>
      </w:r>
      <w:r>
        <w:rPr>
          <w:color w:val="auto"/>
          <w:sz w:val="24"/>
          <w:vertAlign w:val="subscript"/>
        </w:rPr>
        <w:t>2</w:t>
      </w:r>
      <w:r>
        <w:rPr>
          <w:color w:val="auto"/>
          <w:sz w:val="24"/>
        </w:rPr>
        <w:t>、CO、SO</w:t>
      </w:r>
      <w:r>
        <w:rPr>
          <w:color w:val="auto"/>
          <w:sz w:val="24"/>
          <w:vertAlign w:val="subscript"/>
        </w:rPr>
        <w:t>2</w:t>
      </w:r>
      <w:r>
        <w:rPr>
          <w:color w:val="auto"/>
          <w:sz w:val="24"/>
        </w:rPr>
        <w:t>和扬尘，尤其扬尘污染最为严重。</w:t>
      </w:r>
    </w:p>
    <w:p>
      <w:pPr>
        <w:spacing w:line="360" w:lineRule="auto"/>
        <w:ind w:firstLine="480" w:firstLineChars="200"/>
        <w:rPr>
          <w:color w:val="auto"/>
          <w:sz w:val="24"/>
        </w:rPr>
      </w:pPr>
      <w:r>
        <w:rPr>
          <w:color w:val="auto"/>
          <w:sz w:val="24"/>
        </w:rPr>
        <w:t>施工过程扬尘污染的危害不容忽视。在施工现场的作业人员，如长时间吸入大量微细尘埃，不但会引起各种呼吸道疾病，而且，扬尘会夹带大量的病源菌，还会传染其它各种疾病，严重威胁施工人员的身体健康。此外，扬尘飘落在各种建筑物和绿叶植被上，将会影响景观。</w:t>
      </w:r>
    </w:p>
    <w:p>
      <w:pPr>
        <w:spacing w:line="360" w:lineRule="auto"/>
        <w:ind w:firstLine="480" w:firstLineChars="200"/>
        <w:rPr>
          <w:color w:val="auto"/>
          <w:sz w:val="24"/>
        </w:rPr>
      </w:pPr>
      <w:r>
        <w:rPr>
          <w:color w:val="auto"/>
          <w:sz w:val="24"/>
        </w:rPr>
        <w:t>对本项目整个施工期而言，施工产生的扬尘主要集中在</w:t>
      </w:r>
      <w:r>
        <w:rPr>
          <w:rFonts w:hint="eastAsia"/>
          <w:color w:val="auto"/>
          <w:sz w:val="24"/>
          <w:lang w:val="en-US" w:eastAsia="zh-CN"/>
        </w:rPr>
        <w:t>车间建设</w:t>
      </w:r>
      <w:r>
        <w:rPr>
          <w:color w:val="auto"/>
          <w:sz w:val="24"/>
        </w:rPr>
        <w:t>阶段。按起尘的原因可分为风力起尘和动力起尘，其中风力起尘主要是由于露天堆放的建材</w:t>
      </w:r>
      <w:r>
        <w:rPr>
          <w:rFonts w:hint="eastAsia"/>
          <w:color w:val="auto"/>
          <w:sz w:val="24"/>
        </w:rPr>
        <w:t>（</w:t>
      </w:r>
      <w:r>
        <w:rPr>
          <w:color w:val="auto"/>
          <w:sz w:val="24"/>
        </w:rPr>
        <w:t>如沙土、水泥等</w:t>
      </w:r>
      <w:r>
        <w:rPr>
          <w:rFonts w:hint="eastAsia"/>
          <w:color w:val="auto"/>
          <w:sz w:val="24"/>
        </w:rPr>
        <w:t>）</w:t>
      </w:r>
      <w:r>
        <w:rPr>
          <w:color w:val="auto"/>
          <w:sz w:val="24"/>
        </w:rPr>
        <w:t>及裸露的施工区表层浮尘因天气干燥及大风，产生风尘扬尘；而动力起尘，主要是在建材的装卸、搅拌过程中，由于外力而产生的尘粒再悬浮而造成，其中施工及装卸车辆造成的扬尘最为严重。据有关文献资料介绍，车辆行驶产生的扬尘占总扬尘的60%上。不同车速和地面清洁程度的汽车扬尘产生情况见表5-1-1。</w:t>
      </w:r>
    </w:p>
    <w:p>
      <w:pPr>
        <w:tabs>
          <w:tab w:val="left" w:pos="0"/>
        </w:tabs>
        <w:jc w:val="center"/>
        <w:rPr>
          <w:b/>
          <w:color w:val="auto"/>
          <w:sz w:val="24"/>
        </w:rPr>
      </w:pPr>
      <w:r>
        <w:rPr>
          <w:b/>
          <w:color w:val="auto"/>
          <w:sz w:val="24"/>
        </w:rPr>
        <w:t>表5-1-1不同车速和地面清洁程度的汽车扬尘单位：kg/辆·km</w:t>
      </w:r>
    </w:p>
    <w:tbl>
      <w:tblPr>
        <w:tblStyle w:val="4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25"/>
        <w:gridCol w:w="1133"/>
        <w:gridCol w:w="1018"/>
        <w:gridCol w:w="1212"/>
        <w:gridCol w:w="1212"/>
        <w:gridCol w:w="1212"/>
        <w:gridCol w:w="12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5" w:type="pct"/>
            <w:shd w:val="clear" w:color="auto" w:fill="auto"/>
            <w:vAlign w:val="center"/>
          </w:tcPr>
          <w:p>
            <w:pPr>
              <w:pStyle w:val="84"/>
              <w:rPr>
                <w:rFonts w:hAnsi="Times New Roman"/>
                <w:snapToGrid w:val="0"/>
                <w:color w:val="auto"/>
                <w:szCs w:val="22"/>
              </w:rPr>
            </w:pPr>
            <w:r>
              <w:rPr>
                <w:rFonts w:hAnsi="Times New Roman"/>
                <w:snapToGrid w:val="0"/>
                <w:color w:val="auto"/>
                <w:szCs w:val="22"/>
              </w:rPr>
              <w:t>P(kg/m</w:t>
            </w:r>
            <w:r>
              <w:rPr>
                <w:rFonts w:hAnsi="Times New Roman"/>
                <w:snapToGrid w:val="0"/>
                <w:color w:val="auto"/>
                <w:szCs w:val="22"/>
                <w:vertAlign w:val="superscript"/>
              </w:rPr>
              <w:t>2</w:t>
            </w:r>
            <w:r>
              <w:rPr>
                <w:rFonts w:hAnsi="Times New Roman"/>
                <w:snapToGrid w:val="0"/>
                <w:color w:val="auto"/>
                <w:szCs w:val="22"/>
              </w:rPr>
              <w:t>)车速</w:t>
            </w:r>
          </w:p>
        </w:tc>
        <w:tc>
          <w:tcPr>
            <w:tcW w:w="665" w:type="pct"/>
            <w:shd w:val="clear" w:color="auto" w:fill="auto"/>
            <w:vAlign w:val="center"/>
          </w:tcPr>
          <w:p>
            <w:pPr>
              <w:pStyle w:val="84"/>
              <w:rPr>
                <w:rFonts w:hAnsi="Times New Roman"/>
                <w:snapToGrid w:val="0"/>
                <w:color w:val="auto"/>
                <w:szCs w:val="22"/>
              </w:rPr>
            </w:pPr>
            <w:r>
              <w:rPr>
                <w:rFonts w:hAnsi="Times New Roman"/>
                <w:snapToGrid w:val="0"/>
                <w:color w:val="auto"/>
                <w:szCs w:val="22"/>
              </w:rPr>
              <w:t>0.1</w:t>
            </w:r>
          </w:p>
        </w:tc>
        <w:tc>
          <w:tcPr>
            <w:tcW w:w="597" w:type="pct"/>
            <w:shd w:val="clear" w:color="auto" w:fill="auto"/>
            <w:vAlign w:val="center"/>
          </w:tcPr>
          <w:p>
            <w:pPr>
              <w:pStyle w:val="84"/>
              <w:rPr>
                <w:rFonts w:hAnsi="Times New Roman"/>
                <w:snapToGrid w:val="0"/>
                <w:color w:val="auto"/>
                <w:szCs w:val="22"/>
              </w:rPr>
            </w:pPr>
            <w:r>
              <w:rPr>
                <w:rFonts w:hAnsi="Times New Roman"/>
                <w:snapToGrid w:val="0"/>
                <w:color w:val="auto"/>
                <w:szCs w:val="22"/>
              </w:rPr>
              <w:t>0.2</w:t>
            </w:r>
          </w:p>
        </w:tc>
        <w:tc>
          <w:tcPr>
            <w:tcW w:w="711" w:type="pct"/>
            <w:shd w:val="clear" w:color="auto" w:fill="auto"/>
            <w:vAlign w:val="center"/>
          </w:tcPr>
          <w:p>
            <w:pPr>
              <w:pStyle w:val="84"/>
              <w:rPr>
                <w:rFonts w:hAnsi="Times New Roman"/>
                <w:snapToGrid w:val="0"/>
                <w:color w:val="auto"/>
                <w:szCs w:val="22"/>
              </w:rPr>
            </w:pPr>
            <w:r>
              <w:rPr>
                <w:rFonts w:hAnsi="Times New Roman"/>
                <w:snapToGrid w:val="0"/>
                <w:color w:val="auto"/>
                <w:szCs w:val="22"/>
              </w:rPr>
              <w:t>0.3</w:t>
            </w:r>
          </w:p>
        </w:tc>
        <w:tc>
          <w:tcPr>
            <w:tcW w:w="711" w:type="pct"/>
            <w:shd w:val="clear" w:color="auto" w:fill="auto"/>
            <w:vAlign w:val="center"/>
          </w:tcPr>
          <w:p>
            <w:pPr>
              <w:pStyle w:val="84"/>
              <w:rPr>
                <w:rFonts w:hAnsi="Times New Roman"/>
                <w:snapToGrid w:val="0"/>
                <w:color w:val="auto"/>
                <w:szCs w:val="22"/>
              </w:rPr>
            </w:pPr>
            <w:r>
              <w:rPr>
                <w:rFonts w:hAnsi="Times New Roman"/>
                <w:snapToGrid w:val="0"/>
                <w:color w:val="auto"/>
                <w:szCs w:val="22"/>
              </w:rPr>
              <w:t>0.4</w:t>
            </w:r>
          </w:p>
        </w:tc>
        <w:tc>
          <w:tcPr>
            <w:tcW w:w="711" w:type="pct"/>
            <w:shd w:val="clear" w:color="auto" w:fill="auto"/>
            <w:vAlign w:val="center"/>
          </w:tcPr>
          <w:p>
            <w:pPr>
              <w:pStyle w:val="84"/>
              <w:rPr>
                <w:rFonts w:hAnsi="Times New Roman"/>
                <w:snapToGrid w:val="0"/>
                <w:color w:val="auto"/>
                <w:szCs w:val="22"/>
              </w:rPr>
            </w:pPr>
            <w:r>
              <w:rPr>
                <w:rFonts w:hAnsi="Times New Roman"/>
                <w:snapToGrid w:val="0"/>
                <w:color w:val="auto"/>
                <w:szCs w:val="22"/>
              </w:rPr>
              <w:t>0.5</w:t>
            </w:r>
          </w:p>
        </w:tc>
        <w:tc>
          <w:tcPr>
            <w:tcW w:w="710" w:type="pct"/>
            <w:shd w:val="clear" w:color="auto" w:fill="auto"/>
            <w:vAlign w:val="center"/>
          </w:tcPr>
          <w:p>
            <w:pPr>
              <w:pStyle w:val="84"/>
              <w:rPr>
                <w:rFonts w:hAnsi="Times New Roman"/>
                <w:snapToGrid w:val="0"/>
                <w:color w:val="auto"/>
                <w:szCs w:val="22"/>
              </w:rPr>
            </w:pPr>
            <w:r>
              <w:rPr>
                <w:rFonts w:hAnsi="Times New Roman"/>
                <w:snapToGrid w:val="0"/>
                <w:color w:val="auto"/>
                <w:szCs w:val="22"/>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5" w:type="pct"/>
            <w:shd w:val="clear" w:color="auto" w:fill="auto"/>
            <w:vAlign w:val="center"/>
          </w:tcPr>
          <w:p>
            <w:pPr>
              <w:pStyle w:val="84"/>
              <w:rPr>
                <w:rFonts w:hAnsi="Times New Roman"/>
                <w:snapToGrid w:val="0"/>
                <w:color w:val="auto"/>
                <w:szCs w:val="22"/>
              </w:rPr>
            </w:pPr>
            <w:r>
              <w:rPr>
                <w:rFonts w:hAnsi="Times New Roman"/>
                <w:snapToGrid w:val="0"/>
                <w:color w:val="auto"/>
                <w:szCs w:val="22"/>
              </w:rPr>
              <w:t>5(km/hr)</w:t>
            </w:r>
          </w:p>
        </w:tc>
        <w:tc>
          <w:tcPr>
            <w:tcW w:w="665" w:type="pct"/>
            <w:shd w:val="clear" w:color="auto" w:fill="auto"/>
            <w:vAlign w:val="center"/>
          </w:tcPr>
          <w:p>
            <w:pPr>
              <w:pStyle w:val="84"/>
              <w:rPr>
                <w:rFonts w:hAnsi="Times New Roman"/>
                <w:snapToGrid w:val="0"/>
                <w:color w:val="auto"/>
                <w:szCs w:val="22"/>
              </w:rPr>
            </w:pPr>
            <w:r>
              <w:rPr>
                <w:rFonts w:hAnsi="Times New Roman"/>
                <w:snapToGrid w:val="0"/>
                <w:color w:val="auto"/>
                <w:szCs w:val="22"/>
              </w:rPr>
              <w:t>0.051056</w:t>
            </w:r>
          </w:p>
        </w:tc>
        <w:tc>
          <w:tcPr>
            <w:tcW w:w="597" w:type="pct"/>
            <w:shd w:val="clear" w:color="auto" w:fill="auto"/>
            <w:vAlign w:val="center"/>
          </w:tcPr>
          <w:p>
            <w:pPr>
              <w:pStyle w:val="84"/>
              <w:rPr>
                <w:rFonts w:hAnsi="Times New Roman"/>
                <w:snapToGrid w:val="0"/>
                <w:color w:val="auto"/>
                <w:szCs w:val="22"/>
              </w:rPr>
            </w:pPr>
            <w:r>
              <w:rPr>
                <w:rFonts w:hAnsi="Times New Roman"/>
                <w:snapToGrid w:val="0"/>
                <w:color w:val="auto"/>
                <w:szCs w:val="22"/>
              </w:rPr>
              <w:t>0.085865</w:t>
            </w:r>
          </w:p>
        </w:tc>
        <w:tc>
          <w:tcPr>
            <w:tcW w:w="711" w:type="pct"/>
            <w:shd w:val="clear" w:color="auto" w:fill="auto"/>
            <w:vAlign w:val="center"/>
          </w:tcPr>
          <w:p>
            <w:pPr>
              <w:pStyle w:val="84"/>
              <w:rPr>
                <w:rFonts w:hAnsi="Times New Roman"/>
                <w:snapToGrid w:val="0"/>
                <w:color w:val="auto"/>
                <w:szCs w:val="22"/>
              </w:rPr>
            </w:pPr>
            <w:r>
              <w:rPr>
                <w:rFonts w:hAnsi="Times New Roman"/>
                <w:snapToGrid w:val="0"/>
                <w:color w:val="auto"/>
                <w:szCs w:val="22"/>
              </w:rPr>
              <w:t>0.116382</w:t>
            </w:r>
          </w:p>
        </w:tc>
        <w:tc>
          <w:tcPr>
            <w:tcW w:w="711" w:type="pct"/>
            <w:shd w:val="clear" w:color="auto" w:fill="auto"/>
            <w:vAlign w:val="center"/>
          </w:tcPr>
          <w:p>
            <w:pPr>
              <w:pStyle w:val="84"/>
              <w:rPr>
                <w:rFonts w:hAnsi="Times New Roman"/>
                <w:snapToGrid w:val="0"/>
                <w:color w:val="auto"/>
                <w:szCs w:val="22"/>
              </w:rPr>
            </w:pPr>
            <w:r>
              <w:rPr>
                <w:rFonts w:hAnsi="Times New Roman"/>
                <w:snapToGrid w:val="0"/>
                <w:color w:val="auto"/>
                <w:szCs w:val="22"/>
              </w:rPr>
              <w:t>0.144408</w:t>
            </w:r>
          </w:p>
        </w:tc>
        <w:tc>
          <w:tcPr>
            <w:tcW w:w="711" w:type="pct"/>
            <w:shd w:val="clear" w:color="auto" w:fill="auto"/>
            <w:vAlign w:val="center"/>
          </w:tcPr>
          <w:p>
            <w:pPr>
              <w:pStyle w:val="84"/>
              <w:rPr>
                <w:rFonts w:hAnsi="Times New Roman"/>
                <w:snapToGrid w:val="0"/>
                <w:color w:val="auto"/>
                <w:szCs w:val="22"/>
              </w:rPr>
            </w:pPr>
            <w:r>
              <w:rPr>
                <w:rFonts w:hAnsi="Times New Roman"/>
                <w:snapToGrid w:val="0"/>
                <w:color w:val="auto"/>
                <w:szCs w:val="22"/>
              </w:rPr>
              <w:t>0.170715</w:t>
            </w:r>
          </w:p>
        </w:tc>
        <w:tc>
          <w:tcPr>
            <w:tcW w:w="710" w:type="pct"/>
            <w:shd w:val="clear" w:color="auto" w:fill="auto"/>
            <w:vAlign w:val="center"/>
          </w:tcPr>
          <w:p>
            <w:pPr>
              <w:pStyle w:val="84"/>
              <w:rPr>
                <w:rFonts w:hAnsi="Times New Roman"/>
                <w:snapToGrid w:val="0"/>
                <w:color w:val="auto"/>
                <w:szCs w:val="22"/>
              </w:rPr>
            </w:pPr>
            <w:r>
              <w:rPr>
                <w:rFonts w:hAnsi="Times New Roman"/>
                <w:snapToGrid w:val="0"/>
                <w:color w:val="auto"/>
                <w:szCs w:val="22"/>
              </w:rPr>
              <w:t>0.287108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5" w:type="pct"/>
            <w:shd w:val="clear" w:color="auto" w:fill="auto"/>
            <w:vAlign w:val="center"/>
          </w:tcPr>
          <w:p>
            <w:pPr>
              <w:pStyle w:val="84"/>
              <w:rPr>
                <w:rFonts w:hAnsi="Times New Roman"/>
                <w:snapToGrid w:val="0"/>
                <w:color w:val="auto"/>
                <w:szCs w:val="22"/>
              </w:rPr>
            </w:pPr>
            <w:r>
              <w:rPr>
                <w:rFonts w:hAnsi="Times New Roman"/>
                <w:snapToGrid w:val="0"/>
                <w:color w:val="auto"/>
                <w:szCs w:val="22"/>
              </w:rPr>
              <w:t>10(km/hr)</w:t>
            </w:r>
          </w:p>
        </w:tc>
        <w:tc>
          <w:tcPr>
            <w:tcW w:w="665" w:type="pct"/>
            <w:shd w:val="clear" w:color="auto" w:fill="auto"/>
            <w:vAlign w:val="center"/>
          </w:tcPr>
          <w:p>
            <w:pPr>
              <w:pStyle w:val="84"/>
              <w:rPr>
                <w:rFonts w:hAnsi="Times New Roman"/>
                <w:snapToGrid w:val="0"/>
                <w:color w:val="auto"/>
                <w:szCs w:val="22"/>
              </w:rPr>
            </w:pPr>
            <w:r>
              <w:rPr>
                <w:rFonts w:hAnsi="Times New Roman"/>
                <w:snapToGrid w:val="0"/>
                <w:color w:val="auto"/>
                <w:szCs w:val="22"/>
              </w:rPr>
              <w:t>0.102112</w:t>
            </w:r>
          </w:p>
        </w:tc>
        <w:tc>
          <w:tcPr>
            <w:tcW w:w="597" w:type="pct"/>
            <w:shd w:val="clear" w:color="auto" w:fill="auto"/>
            <w:vAlign w:val="center"/>
          </w:tcPr>
          <w:p>
            <w:pPr>
              <w:pStyle w:val="84"/>
              <w:rPr>
                <w:rFonts w:hAnsi="Times New Roman"/>
                <w:snapToGrid w:val="0"/>
                <w:color w:val="auto"/>
                <w:szCs w:val="22"/>
              </w:rPr>
            </w:pPr>
            <w:r>
              <w:rPr>
                <w:rFonts w:hAnsi="Times New Roman"/>
                <w:snapToGrid w:val="0"/>
                <w:color w:val="auto"/>
                <w:szCs w:val="22"/>
              </w:rPr>
              <w:t>0.171731</w:t>
            </w:r>
          </w:p>
        </w:tc>
        <w:tc>
          <w:tcPr>
            <w:tcW w:w="711" w:type="pct"/>
            <w:shd w:val="clear" w:color="auto" w:fill="auto"/>
            <w:vAlign w:val="center"/>
          </w:tcPr>
          <w:p>
            <w:pPr>
              <w:pStyle w:val="84"/>
              <w:rPr>
                <w:rFonts w:hAnsi="Times New Roman"/>
                <w:snapToGrid w:val="0"/>
                <w:color w:val="auto"/>
                <w:szCs w:val="22"/>
              </w:rPr>
            </w:pPr>
            <w:r>
              <w:rPr>
                <w:rFonts w:hAnsi="Times New Roman"/>
                <w:snapToGrid w:val="0"/>
                <w:color w:val="auto"/>
                <w:szCs w:val="22"/>
              </w:rPr>
              <w:t>0.232764</w:t>
            </w:r>
          </w:p>
        </w:tc>
        <w:tc>
          <w:tcPr>
            <w:tcW w:w="711" w:type="pct"/>
            <w:shd w:val="clear" w:color="auto" w:fill="auto"/>
            <w:vAlign w:val="center"/>
          </w:tcPr>
          <w:p>
            <w:pPr>
              <w:pStyle w:val="84"/>
              <w:rPr>
                <w:rFonts w:hAnsi="Times New Roman"/>
                <w:snapToGrid w:val="0"/>
                <w:color w:val="auto"/>
                <w:szCs w:val="22"/>
              </w:rPr>
            </w:pPr>
            <w:r>
              <w:rPr>
                <w:rFonts w:hAnsi="Times New Roman"/>
                <w:snapToGrid w:val="0"/>
                <w:color w:val="auto"/>
                <w:szCs w:val="22"/>
              </w:rPr>
              <w:t>0.288815</w:t>
            </w:r>
          </w:p>
        </w:tc>
        <w:tc>
          <w:tcPr>
            <w:tcW w:w="711" w:type="pct"/>
            <w:shd w:val="clear" w:color="auto" w:fill="auto"/>
            <w:vAlign w:val="center"/>
          </w:tcPr>
          <w:p>
            <w:pPr>
              <w:pStyle w:val="84"/>
              <w:rPr>
                <w:rFonts w:hAnsi="Times New Roman"/>
                <w:snapToGrid w:val="0"/>
                <w:color w:val="auto"/>
                <w:szCs w:val="22"/>
              </w:rPr>
            </w:pPr>
            <w:r>
              <w:rPr>
                <w:rFonts w:hAnsi="Times New Roman"/>
                <w:snapToGrid w:val="0"/>
                <w:color w:val="auto"/>
                <w:szCs w:val="22"/>
              </w:rPr>
              <w:t>0.341431</w:t>
            </w:r>
          </w:p>
        </w:tc>
        <w:tc>
          <w:tcPr>
            <w:tcW w:w="710" w:type="pct"/>
            <w:shd w:val="clear" w:color="auto" w:fill="auto"/>
            <w:vAlign w:val="center"/>
          </w:tcPr>
          <w:p>
            <w:pPr>
              <w:pStyle w:val="84"/>
              <w:rPr>
                <w:rFonts w:hAnsi="Times New Roman"/>
                <w:snapToGrid w:val="0"/>
                <w:color w:val="auto"/>
                <w:szCs w:val="22"/>
              </w:rPr>
            </w:pPr>
            <w:r>
              <w:rPr>
                <w:rFonts w:hAnsi="Times New Roman"/>
                <w:snapToGrid w:val="0"/>
                <w:color w:val="auto"/>
                <w:szCs w:val="22"/>
              </w:rPr>
              <w:t>0.574216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5" w:type="pct"/>
            <w:shd w:val="clear" w:color="auto" w:fill="auto"/>
            <w:vAlign w:val="center"/>
          </w:tcPr>
          <w:p>
            <w:pPr>
              <w:pStyle w:val="84"/>
              <w:rPr>
                <w:rFonts w:hAnsi="Times New Roman"/>
                <w:snapToGrid w:val="0"/>
                <w:color w:val="auto"/>
                <w:szCs w:val="22"/>
              </w:rPr>
            </w:pPr>
            <w:r>
              <w:rPr>
                <w:rFonts w:hAnsi="Times New Roman"/>
                <w:snapToGrid w:val="0"/>
                <w:color w:val="auto"/>
                <w:szCs w:val="22"/>
              </w:rPr>
              <w:t>15(km/hr)</w:t>
            </w:r>
          </w:p>
        </w:tc>
        <w:tc>
          <w:tcPr>
            <w:tcW w:w="665" w:type="pct"/>
            <w:shd w:val="clear" w:color="auto" w:fill="auto"/>
            <w:vAlign w:val="center"/>
          </w:tcPr>
          <w:p>
            <w:pPr>
              <w:pStyle w:val="84"/>
              <w:rPr>
                <w:rFonts w:hAnsi="Times New Roman"/>
                <w:snapToGrid w:val="0"/>
                <w:color w:val="auto"/>
                <w:szCs w:val="22"/>
              </w:rPr>
            </w:pPr>
            <w:r>
              <w:rPr>
                <w:rFonts w:hAnsi="Times New Roman"/>
                <w:snapToGrid w:val="0"/>
                <w:color w:val="auto"/>
                <w:szCs w:val="22"/>
              </w:rPr>
              <w:t>0.153167</w:t>
            </w:r>
          </w:p>
        </w:tc>
        <w:tc>
          <w:tcPr>
            <w:tcW w:w="597" w:type="pct"/>
            <w:shd w:val="clear" w:color="auto" w:fill="auto"/>
            <w:vAlign w:val="center"/>
          </w:tcPr>
          <w:p>
            <w:pPr>
              <w:pStyle w:val="84"/>
              <w:rPr>
                <w:rFonts w:hAnsi="Times New Roman"/>
                <w:snapToGrid w:val="0"/>
                <w:color w:val="auto"/>
                <w:szCs w:val="22"/>
              </w:rPr>
            </w:pPr>
            <w:r>
              <w:rPr>
                <w:rFonts w:hAnsi="Times New Roman"/>
                <w:snapToGrid w:val="0"/>
                <w:color w:val="auto"/>
                <w:szCs w:val="22"/>
              </w:rPr>
              <w:t>0.257596</w:t>
            </w:r>
          </w:p>
        </w:tc>
        <w:tc>
          <w:tcPr>
            <w:tcW w:w="711" w:type="pct"/>
            <w:shd w:val="clear" w:color="auto" w:fill="auto"/>
            <w:vAlign w:val="center"/>
          </w:tcPr>
          <w:p>
            <w:pPr>
              <w:pStyle w:val="84"/>
              <w:rPr>
                <w:rFonts w:hAnsi="Times New Roman"/>
                <w:snapToGrid w:val="0"/>
                <w:color w:val="auto"/>
                <w:szCs w:val="22"/>
              </w:rPr>
            </w:pPr>
            <w:r>
              <w:rPr>
                <w:rFonts w:hAnsi="Times New Roman"/>
                <w:snapToGrid w:val="0"/>
                <w:color w:val="auto"/>
                <w:szCs w:val="22"/>
              </w:rPr>
              <w:t>0.349146</w:t>
            </w:r>
          </w:p>
        </w:tc>
        <w:tc>
          <w:tcPr>
            <w:tcW w:w="711" w:type="pct"/>
            <w:shd w:val="clear" w:color="auto" w:fill="auto"/>
            <w:vAlign w:val="center"/>
          </w:tcPr>
          <w:p>
            <w:pPr>
              <w:pStyle w:val="84"/>
              <w:rPr>
                <w:rFonts w:hAnsi="Times New Roman"/>
                <w:snapToGrid w:val="0"/>
                <w:color w:val="auto"/>
                <w:szCs w:val="22"/>
              </w:rPr>
            </w:pPr>
            <w:r>
              <w:rPr>
                <w:rFonts w:hAnsi="Times New Roman"/>
                <w:snapToGrid w:val="0"/>
                <w:color w:val="auto"/>
                <w:szCs w:val="22"/>
              </w:rPr>
              <w:t>0.433223</w:t>
            </w:r>
          </w:p>
        </w:tc>
        <w:tc>
          <w:tcPr>
            <w:tcW w:w="711" w:type="pct"/>
            <w:shd w:val="clear" w:color="auto" w:fill="auto"/>
            <w:vAlign w:val="center"/>
          </w:tcPr>
          <w:p>
            <w:pPr>
              <w:pStyle w:val="84"/>
              <w:rPr>
                <w:rFonts w:hAnsi="Times New Roman"/>
                <w:snapToGrid w:val="0"/>
                <w:color w:val="auto"/>
                <w:szCs w:val="22"/>
              </w:rPr>
            </w:pPr>
            <w:r>
              <w:rPr>
                <w:rFonts w:hAnsi="Times New Roman"/>
                <w:snapToGrid w:val="0"/>
                <w:color w:val="auto"/>
                <w:szCs w:val="22"/>
              </w:rPr>
              <w:t>0.512146</w:t>
            </w:r>
          </w:p>
        </w:tc>
        <w:tc>
          <w:tcPr>
            <w:tcW w:w="710" w:type="pct"/>
            <w:shd w:val="clear" w:color="auto" w:fill="auto"/>
            <w:vAlign w:val="center"/>
          </w:tcPr>
          <w:p>
            <w:pPr>
              <w:pStyle w:val="84"/>
              <w:rPr>
                <w:rFonts w:hAnsi="Times New Roman"/>
                <w:snapToGrid w:val="0"/>
                <w:color w:val="auto"/>
                <w:szCs w:val="22"/>
              </w:rPr>
            </w:pPr>
            <w:r>
              <w:rPr>
                <w:rFonts w:hAnsi="Times New Roman"/>
                <w:snapToGrid w:val="0"/>
                <w:color w:val="auto"/>
                <w:szCs w:val="22"/>
              </w:rPr>
              <w:t>0.861323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5" w:type="pct"/>
            <w:shd w:val="clear" w:color="auto" w:fill="auto"/>
            <w:vAlign w:val="center"/>
          </w:tcPr>
          <w:p>
            <w:pPr>
              <w:pStyle w:val="84"/>
              <w:rPr>
                <w:rFonts w:hAnsi="Times New Roman"/>
                <w:snapToGrid w:val="0"/>
                <w:color w:val="auto"/>
                <w:szCs w:val="22"/>
              </w:rPr>
            </w:pPr>
            <w:r>
              <w:rPr>
                <w:rFonts w:hAnsi="Times New Roman"/>
                <w:snapToGrid w:val="0"/>
                <w:color w:val="auto"/>
                <w:szCs w:val="22"/>
              </w:rPr>
              <w:t>25(km/hr)</w:t>
            </w:r>
          </w:p>
        </w:tc>
        <w:tc>
          <w:tcPr>
            <w:tcW w:w="665" w:type="pct"/>
            <w:shd w:val="clear" w:color="auto" w:fill="auto"/>
            <w:vAlign w:val="center"/>
          </w:tcPr>
          <w:p>
            <w:pPr>
              <w:pStyle w:val="84"/>
              <w:rPr>
                <w:rFonts w:hAnsi="Times New Roman"/>
                <w:snapToGrid w:val="0"/>
                <w:color w:val="auto"/>
                <w:szCs w:val="22"/>
              </w:rPr>
            </w:pPr>
            <w:r>
              <w:rPr>
                <w:rFonts w:hAnsi="Times New Roman"/>
                <w:snapToGrid w:val="0"/>
                <w:color w:val="auto"/>
                <w:szCs w:val="22"/>
              </w:rPr>
              <w:t>0.255279</w:t>
            </w:r>
          </w:p>
        </w:tc>
        <w:tc>
          <w:tcPr>
            <w:tcW w:w="597" w:type="pct"/>
            <w:shd w:val="clear" w:color="auto" w:fill="auto"/>
            <w:vAlign w:val="center"/>
          </w:tcPr>
          <w:p>
            <w:pPr>
              <w:pStyle w:val="84"/>
              <w:rPr>
                <w:rFonts w:hAnsi="Times New Roman"/>
                <w:snapToGrid w:val="0"/>
                <w:color w:val="auto"/>
                <w:szCs w:val="22"/>
              </w:rPr>
            </w:pPr>
            <w:r>
              <w:rPr>
                <w:rFonts w:hAnsi="Times New Roman"/>
                <w:snapToGrid w:val="0"/>
                <w:color w:val="auto"/>
                <w:szCs w:val="22"/>
              </w:rPr>
              <w:t>0.429326</w:t>
            </w:r>
          </w:p>
        </w:tc>
        <w:tc>
          <w:tcPr>
            <w:tcW w:w="711" w:type="pct"/>
            <w:shd w:val="clear" w:color="auto" w:fill="auto"/>
            <w:vAlign w:val="center"/>
          </w:tcPr>
          <w:p>
            <w:pPr>
              <w:pStyle w:val="84"/>
              <w:rPr>
                <w:rFonts w:hAnsi="Times New Roman"/>
                <w:snapToGrid w:val="0"/>
                <w:color w:val="auto"/>
                <w:szCs w:val="22"/>
              </w:rPr>
            </w:pPr>
            <w:r>
              <w:rPr>
                <w:rFonts w:hAnsi="Times New Roman"/>
                <w:snapToGrid w:val="0"/>
                <w:color w:val="auto"/>
                <w:szCs w:val="22"/>
              </w:rPr>
              <w:t>0.58191</w:t>
            </w:r>
          </w:p>
        </w:tc>
        <w:tc>
          <w:tcPr>
            <w:tcW w:w="711" w:type="pct"/>
            <w:shd w:val="clear" w:color="auto" w:fill="auto"/>
            <w:vAlign w:val="center"/>
          </w:tcPr>
          <w:p>
            <w:pPr>
              <w:pStyle w:val="84"/>
              <w:rPr>
                <w:rFonts w:hAnsi="Times New Roman"/>
                <w:snapToGrid w:val="0"/>
                <w:color w:val="auto"/>
                <w:szCs w:val="22"/>
              </w:rPr>
            </w:pPr>
            <w:r>
              <w:rPr>
                <w:rFonts w:hAnsi="Times New Roman"/>
                <w:snapToGrid w:val="0"/>
                <w:color w:val="auto"/>
                <w:szCs w:val="22"/>
              </w:rPr>
              <w:t>0.722038</w:t>
            </w:r>
          </w:p>
        </w:tc>
        <w:tc>
          <w:tcPr>
            <w:tcW w:w="711" w:type="pct"/>
            <w:shd w:val="clear" w:color="auto" w:fill="auto"/>
            <w:vAlign w:val="center"/>
          </w:tcPr>
          <w:p>
            <w:pPr>
              <w:pStyle w:val="84"/>
              <w:rPr>
                <w:rFonts w:hAnsi="Times New Roman"/>
                <w:snapToGrid w:val="0"/>
                <w:color w:val="auto"/>
                <w:szCs w:val="22"/>
              </w:rPr>
            </w:pPr>
            <w:r>
              <w:rPr>
                <w:rFonts w:hAnsi="Times New Roman"/>
                <w:snapToGrid w:val="0"/>
                <w:color w:val="auto"/>
                <w:szCs w:val="22"/>
              </w:rPr>
              <w:t>0.853577</w:t>
            </w:r>
          </w:p>
        </w:tc>
        <w:tc>
          <w:tcPr>
            <w:tcW w:w="710" w:type="pct"/>
            <w:shd w:val="clear" w:color="auto" w:fill="auto"/>
            <w:vAlign w:val="center"/>
          </w:tcPr>
          <w:p>
            <w:pPr>
              <w:pStyle w:val="84"/>
              <w:rPr>
                <w:rFonts w:hAnsi="Times New Roman"/>
                <w:snapToGrid w:val="0"/>
                <w:color w:val="auto"/>
                <w:szCs w:val="22"/>
              </w:rPr>
            </w:pPr>
            <w:r>
              <w:rPr>
                <w:rFonts w:hAnsi="Times New Roman"/>
                <w:snapToGrid w:val="0"/>
                <w:color w:val="auto"/>
                <w:szCs w:val="22"/>
              </w:rPr>
              <w:t>1.435539</w:t>
            </w:r>
          </w:p>
        </w:tc>
      </w:tr>
    </w:tbl>
    <w:p>
      <w:pPr>
        <w:pStyle w:val="74"/>
        <w:jc w:val="both"/>
        <w:rPr>
          <w:rFonts w:ascii="Times New Roman" w:hAnsi="Times New Roman" w:eastAsia="宋体" w:cs="Times New Roman"/>
          <w:snapToGrid w:val="0"/>
          <w:color w:val="auto"/>
        </w:rPr>
      </w:pPr>
      <w:r>
        <w:rPr>
          <w:rFonts w:ascii="Times New Roman" w:hAnsi="Times New Roman" w:eastAsia="宋体" w:cs="Times New Roman"/>
          <w:snapToGrid w:val="0"/>
          <w:color w:val="auto"/>
        </w:rPr>
        <w:t>施工期扬尘的另一个主要原因是露天堆场和裸露场地的风力扬尘。由于施工的需要，一些建材需露天堆放；一些施工点表层土壤需人工开挖、堆放，在气候干燥又有风的情况下，会产生扬尘。不同粒径尘粒的沉降速度见表5-1-2。</w:t>
      </w:r>
    </w:p>
    <w:p>
      <w:pPr>
        <w:tabs>
          <w:tab w:val="left" w:pos="0"/>
        </w:tabs>
        <w:contextualSpacing/>
        <w:jc w:val="center"/>
        <w:rPr>
          <w:snapToGrid w:val="0"/>
          <w:color w:val="auto"/>
          <w:sz w:val="24"/>
        </w:rPr>
      </w:pPr>
      <w:r>
        <w:rPr>
          <w:b/>
          <w:color w:val="auto"/>
          <w:sz w:val="24"/>
        </w:rPr>
        <w:t>表5-1-2不同粒径尘粒的沉降速度</w:t>
      </w:r>
    </w:p>
    <w:tbl>
      <w:tblPr>
        <w:tblStyle w:val="4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75"/>
        <w:gridCol w:w="949"/>
        <w:gridCol w:w="949"/>
        <w:gridCol w:w="949"/>
        <w:gridCol w:w="949"/>
        <w:gridCol w:w="949"/>
        <w:gridCol w:w="950"/>
        <w:gridCol w:w="9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粒径（μm）</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10</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20</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30</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40</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50</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60</w:t>
            </w:r>
          </w:p>
        </w:tc>
        <w:tc>
          <w:tcPr>
            <w:tcW w:w="558"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沉降速度（m/s）</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0.003</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0.012</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0.027</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0.048</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0.075</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0.108</w:t>
            </w:r>
          </w:p>
        </w:tc>
        <w:tc>
          <w:tcPr>
            <w:tcW w:w="558"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0.147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粒径（μm）</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80</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90</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100</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150</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200</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250</w:t>
            </w:r>
          </w:p>
        </w:tc>
        <w:tc>
          <w:tcPr>
            <w:tcW w:w="558"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沉降速度（m/s）</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0.158</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0.170</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0.182</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0.239</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0.804</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1.005</w:t>
            </w:r>
          </w:p>
        </w:tc>
        <w:tc>
          <w:tcPr>
            <w:tcW w:w="558"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1.829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粒径（μm）</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450</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550</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650</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750</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850</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950</w:t>
            </w:r>
          </w:p>
        </w:tc>
        <w:tc>
          <w:tcPr>
            <w:tcW w:w="558"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1050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沉降速度（m/s）</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2.211</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2.614</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3.016</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3.418</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3.820</w:t>
            </w:r>
          </w:p>
        </w:tc>
        <w:tc>
          <w:tcPr>
            <w:tcW w:w="557"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4.222</w:t>
            </w:r>
          </w:p>
        </w:tc>
        <w:tc>
          <w:tcPr>
            <w:tcW w:w="558" w:type="pct"/>
            <w:shd w:val="clear" w:color="auto" w:fill="auto"/>
            <w:vAlign w:val="center"/>
          </w:tcPr>
          <w:p>
            <w:pPr>
              <w:pStyle w:val="84"/>
              <w:spacing w:line="0" w:lineRule="atLeast"/>
              <w:rPr>
                <w:rFonts w:hAnsi="Times New Roman"/>
                <w:snapToGrid w:val="0"/>
                <w:color w:val="auto"/>
                <w:szCs w:val="22"/>
              </w:rPr>
            </w:pPr>
            <w:r>
              <w:rPr>
                <w:rFonts w:hAnsi="Times New Roman"/>
                <w:snapToGrid w:val="0"/>
                <w:color w:val="auto"/>
                <w:szCs w:val="22"/>
              </w:rPr>
              <w:t>4.624</w:t>
            </w:r>
          </w:p>
        </w:tc>
      </w:tr>
    </w:tbl>
    <w:p>
      <w:pPr>
        <w:pStyle w:val="74"/>
        <w:jc w:val="both"/>
        <w:rPr>
          <w:rFonts w:ascii="Times New Roman" w:hAnsi="Times New Roman" w:eastAsia="宋体" w:cs="Times New Roman"/>
          <w:snapToGrid w:val="0"/>
          <w:color w:val="auto"/>
        </w:rPr>
      </w:pPr>
      <w:r>
        <w:rPr>
          <w:rFonts w:ascii="Times New Roman" w:hAnsi="Times New Roman" w:eastAsia="宋体" w:cs="Times New Roman"/>
          <w:snapToGrid w:val="0"/>
          <w:color w:val="auto"/>
        </w:rPr>
        <w:t>从表5-1-2可以看出，尘粒的沉降速度随粒径的增大而迅速增大。当粒径为250μm时，沉降速度为1.005m/s，因此可以认为当尘粒大于250μm时，主要影响范围在扬尘点下风向近距离范围内，而真正对外环境产生影响的是一些微小尘粒。在有风的情况下，施工扬尘会对该区域造成一定的影响。由起尘计算公式可知，V</w:t>
      </w:r>
      <w:r>
        <w:rPr>
          <w:rFonts w:ascii="Times New Roman" w:hAnsi="Times New Roman" w:eastAsia="宋体" w:cs="Times New Roman"/>
          <w:snapToGrid w:val="0"/>
          <w:color w:val="auto"/>
          <w:vertAlign w:val="subscript"/>
        </w:rPr>
        <w:t>0</w:t>
      </w:r>
      <w:r>
        <w:rPr>
          <w:rFonts w:ascii="Times New Roman" w:hAnsi="Times New Roman" w:eastAsia="宋体" w:cs="Times New Roman"/>
          <w:snapToGrid w:val="0"/>
          <w:color w:val="auto"/>
        </w:rPr>
        <w:t>与粒径和含水率有关，因此，通过采取减少露天堆放和</w:t>
      </w:r>
      <w:r>
        <w:rPr>
          <w:rFonts w:hint="eastAsia" w:ascii="Times New Roman" w:hAnsi="Times New Roman" w:eastAsia="宋体" w:cs="Times New Roman"/>
          <w:snapToGrid w:val="0"/>
          <w:color w:val="auto"/>
        </w:rPr>
        <w:t>洒水降尘</w:t>
      </w:r>
      <w:r>
        <w:rPr>
          <w:rFonts w:ascii="Times New Roman" w:hAnsi="Times New Roman" w:eastAsia="宋体" w:cs="Times New Roman"/>
          <w:snapToGrid w:val="0"/>
          <w:color w:val="auto"/>
        </w:rPr>
        <w:t>等措施后，风力起尘对环境的影响较小。厂界颗粒物浓度满足《大气污染物综合排放标准》（GB16297-1996）表2无组织排放监控浓度限值要求。</w:t>
      </w:r>
    </w:p>
    <w:p>
      <w:pPr>
        <w:pStyle w:val="74"/>
        <w:adjustRightInd/>
        <w:snapToGrid/>
        <w:jc w:val="both"/>
        <w:rPr>
          <w:rFonts w:ascii="Times New Roman" w:hAnsi="Times New Roman" w:eastAsia="宋体" w:cs="Times New Roman"/>
          <w:snapToGrid w:val="0"/>
          <w:color w:val="auto"/>
        </w:rPr>
      </w:pPr>
      <w:r>
        <w:rPr>
          <w:rFonts w:ascii="Times New Roman" w:hAnsi="Times New Roman" w:eastAsia="宋体" w:cs="Times New Roman"/>
          <w:snapToGrid w:val="0"/>
          <w:color w:val="auto"/>
        </w:rPr>
        <w:t>总之，只要加强管理、切实落实好这些措施，施工场地扬尘对环境的影响将会大大降低，同时其对环境的影响也将随施工的结束而消失。</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5.1.2施工期水环境影响评价</w:t>
      </w:r>
    </w:p>
    <w:p>
      <w:pPr>
        <w:spacing w:line="360" w:lineRule="auto"/>
        <w:ind w:firstLine="480" w:firstLineChars="200"/>
        <w:rPr>
          <w:color w:val="auto"/>
          <w:sz w:val="24"/>
          <w:szCs w:val="21"/>
        </w:rPr>
      </w:pPr>
      <w:r>
        <w:rPr>
          <w:color w:val="auto"/>
          <w:sz w:val="24"/>
          <w:szCs w:val="21"/>
        </w:rPr>
        <w:t>本项目施工期废水主要为</w:t>
      </w:r>
      <w:r>
        <w:rPr>
          <w:rFonts w:hint="eastAsia"/>
          <w:color w:val="auto"/>
          <w:sz w:val="24"/>
          <w:szCs w:val="21"/>
        </w:rPr>
        <w:t>施工废水和</w:t>
      </w:r>
      <w:r>
        <w:rPr>
          <w:color w:val="auto"/>
          <w:sz w:val="24"/>
          <w:szCs w:val="21"/>
        </w:rPr>
        <w:t>施工人员生活污水。</w:t>
      </w:r>
    </w:p>
    <w:p>
      <w:pPr>
        <w:spacing w:line="360" w:lineRule="auto"/>
        <w:ind w:firstLine="480" w:firstLineChars="200"/>
        <w:rPr>
          <w:color w:val="auto"/>
          <w:sz w:val="24"/>
          <w:szCs w:val="21"/>
        </w:rPr>
      </w:pPr>
      <w:r>
        <w:rPr>
          <w:color w:val="auto"/>
          <w:sz w:val="24"/>
          <w:szCs w:val="21"/>
        </w:rPr>
        <w:t>本项目施工期使用商品混凝土，不现场搅拌，无混凝土搅拌废水。施工废水主要来源于机械设备及运输车辆冲洗废水，应防止废水污染地表水。施工期生活污水主要是集中于施工现场的生活污水，其水质和一般的城市</w:t>
      </w:r>
      <w:r>
        <w:rPr>
          <w:rFonts w:hint="eastAsia"/>
          <w:color w:val="auto"/>
          <w:sz w:val="24"/>
          <w:szCs w:val="21"/>
          <w:lang w:eastAsia="zh-CN"/>
        </w:rPr>
        <w:t>生活污水</w:t>
      </w:r>
      <w:r>
        <w:rPr>
          <w:color w:val="auto"/>
          <w:sz w:val="24"/>
          <w:szCs w:val="21"/>
        </w:rPr>
        <w:t>区别不大，如不采取必要的防治措施，将会对区域水环境产生一定的不利影响</w:t>
      </w:r>
      <w:r>
        <w:rPr>
          <w:rFonts w:hint="eastAsia"/>
          <w:color w:val="auto"/>
          <w:sz w:val="24"/>
          <w:szCs w:val="21"/>
        </w:rPr>
        <w:t>。</w:t>
      </w:r>
    </w:p>
    <w:p>
      <w:pPr>
        <w:spacing w:line="360" w:lineRule="auto"/>
        <w:ind w:firstLine="480" w:firstLineChars="200"/>
        <w:rPr>
          <w:color w:val="auto"/>
          <w:sz w:val="24"/>
          <w:szCs w:val="21"/>
        </w:rPr>
      </w:pPr>
      <w:r>
        <w:rPr>
          <w:color w:val="auto"/>
          <w:sz w:val="24"/>
          <w:szCs w:val="21"/>
        </w:rPr>
        <w:t>施工现场设置沉淀池，</w:t>
      </w:r>
      <w:r>
        <w:rPr>
          <w:rFonts w:hint="eastAsia"/>
          <w:color w:val="auto"/>
          <w:sz w:val="24"/>
          <w:szCs w:val="21"/>
        </w:rPr>
        <w:t>施工</w:t>
      </w:r>
      <w:r>
        <w:rPr>
          <w:color w:val="auto"/>
          <w:sz w:val="24"/>
          <w:szCs w:val="21"/>
        </w:rPr>
        <w:t>废水</w:t>
      </w:r>
      <w:r>
        <w:rPr>
          <w:rFonts w:hint="eastAsia"/>
          <w:color w:val="auto"/>
          <w:sz w:val="24"/>
          <w:szCs w:val="21"/>
        </w:rPr>
        <w:t>经</w:t>
      </w:r>
      <w:r>
        <w:rPr>
          <w:color w:val="auto"/>
          <w:sz w:val="24"/>
          <w:szCs w:val="21"/>
        </w:rPr>
        <w:t>沉淀后</w:t>
      </w:r>
      <w:r>
        <w:rPr>
          <w:rFonts w:hint="eastAsia"/>
          <w:color w:val="auto"/>
          <w:sz w:val="24"/>
          <w:szCs w:val="21"/>
        </w:rPr>
        <w:t>用于</w:t>
      </w:r>
      <w:r>
        <w:rPr>
          <w:color w:val="auto"/>
          <w:sz w:val="24"/>
          <w:szCs w:val="21"/>
        </w:rPr>
        <w:t>场地降尘，不外排</w:t>
      </w:r>
      <w:r>
        <w:rPr>
          <w:rFonts w:hint="eastAsia"/>
          <w:color w:val="auto"/>
          <w:sz w:val="24"/>
          <w:szCs w:val="21"/>
        </w:rPr>
        <w:t>；</w:t>
      </w:r>
      <w:r>
        <w:rPr>
          <w:color w:val="auto"/>
          <w:sz w:val="24"/>
          <w:szCs w:val="21"/>
        </w:rPr>
        <w:t>施工人员生活污水排入防渗旱厕，定期清掏，外运堆肥，可保证本项目施工期污水不外排。</w:t>
      </w:r>
    </w:p>
    <w:p>
      <w:pPr>
        <w:spacing w:line="360" w:lineRule="auto"/>
        <w:ind w:firstLine="480" w:firstLineChars="200"/>
        <w:rPr>
          <w:color w:val="auto"/>
          <w:sz w:val="24"/>
          <w:szCs w:val="21"/>
        </w:rPr>
      </w:pPr>
      <w:r>
        <w:rPr>
          <w:color w:val="auto"/>
          <w:sz w:val="24"/>
          <w:szCs w:val="21"/>
        </w:rPr>
        <w:t>施工期间无论是施工废水还是施工生活污水，都是暂时性的，随着工程的建成其污染源也将消失，并且废水水量较小，污染程度相对较低，对周围环境影响较小。</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5.1.3施工期噪声环境影响评价</w:t>
      </w:r>
    </w:p>
    <w:p>
      <w:pPr>
        <w:pStyle w:val="74"/>
        <w:adjustRightInd/>
        <w:snapToGrid/>
        <w:jc w:val="both"/>
        <w:rPr>
          <w:color w:val="auto"/>
          <w:szCs w:val="21"/>
        </w:rPr>
      </w:pPr>
      <w:r>
        <w:rPr>
          <w:rFonts w:ascii="Times New Roman" w:hAnsi="Times New Roman" w:eastAsia="宋体" w:cs="Times New Roman"/>
          <w:snapToGrid w:val="0"/>
          <w:color w:val="auto"/>
        </w:rPr>
        <w:t>项目施工期噪声主要来源于施工机械噪声和运输车辆噪声。在施工过程中，由于各种施工机械设备的运转和各类车辆的运行，不可避免地将产生噪声污染。</w:t>
      </w:r>
      <w:r>
        <w:rPr>
          <w:color w:val="auto"/>
          <w:szCs w:val="21"/>
        </w:rPr>
        <w:t>施工中使用的各种施工机械、运输车辆等都是噪声的产生源。假设所有设备均为稳态连续发声状态，在不考虑任何声屏障情况下，各设备采用最大噪声值进行预测，根据声环境导则无指向性点源几何发散衰减模式：</w:t>
      </w:r>
    </w:p>
    <w:p>
      <w:pPr>
        <w:spacing w:line="360" w:lineRule="auto"/>
        <w:jc w:val="center"/>
        <w:rPr>
          <w:color w:val="auto"/>
          <w:szCs w:val="21"/>
          <w:lang w:val="fr-FR"/>
        </w:rPr>
      </w:pPr>
      <w:r>
        <w:rPr>
          <w:color w:val="auto"/>
          <w:szCs w:val="21"/>
        </w:rPr>
        <w:drawing>
          <wp:inline distT="0" distB="0" distL="0" distR="0">
            <wp:extent cx="1989455" cy="351155"/>
            <wp:effectExtent l="19050" t="0" r="0" b="0"/>
            <wp:docPr id="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0"/>
                    <pic:cNvPicPr>
                      <a:picLocks noChangeAspect="1" noChangeArrowheads="1"/>
                    </pic:cNvPicPr>
                  </pic:nvPicPr>
                  <pic:blipFill>
                    <a:blip r:embed="rId54" cstate="print"/>
                    <a:srcRect/>
                    <a:stretch>
                      <a:fillRect/>
                    </a:stretch>
                  </pic:blipFill>
                  <pic:spPr>
                    <a:xfrm>
                      <a:off x="0" y="0"/>
                      <a:ext cx="1989455" cy="351155"/>
                    </a:xfrm>
                    <a:prstGeom prst="rect">
                      <a:avLst/>
                    </a:prstGeom>
                    <a:noFill/>
                    <a:ln w="9525">
                      <a:noFill/>
                      <a:miter lim="800000"/>
                      <a:headEnd/>
                      <a:tailEnd/>
                    </a:ln>
                  </pic:spPr>
                </pic:pic>
              </a:graphicData>
            </a:graphic>
          </wp:inline>
        </w:drawing>
      </w:r>
    </w:p>
    <w:p>
      <w:pPr>
        <w:spacing w:line="360" w:lineRule="auto"/>
        <w:ind w:firstLine="480" w:firstLineChars="200"/>
        <w:jc w:val="left"/>
        <w:rPr>
          <w:color w:val="auto"/>
          <w:sz w:val="24"/>
        </w:rPr>
      </w:pPr>
      <w:r>
        <w:rPr>
          <w:color w:val="auto"/>
          <w:sz w:val="24"/>
        </w:rPr>
        <w:t>式中：L</w:t>
      </w:r>
      <w:r>
        <w:rPr>
          <w:color w:val="auto"/>
          <w:sz w:val="24"/>
          <w:vertAlign w:val="subscript"/>
        </w:rPr>
        <w:t>p</w:t>
      </w:r>
      <w:r>
        <w:rPr>
          <w:color w:val="auto"/>
          <w:sz w:val="24"/>
        </w:rPr>
        <w:t>(r)——</w:t>
      </w:r>
      <w:r>
        <w:rPr>
          <w:rFonts w:hint="eastAsia"/>
          <w:color w:val="auto"/>
          <w:sz w:val="24"/>
        </w:rPr>
        <w:t>预测点处声压级</w:t>
      </w:r>
      <w:r>
        <w:rPr>
          <w:color w:val="auto"/>
          <w:sz w:val="24"/>
        </w:rPr>
        <w:t>，dB</w:t>
      </w:r>
    </w:p>
    <w:p>
      <w:pPr>
        <w:spacing w:line="360" w:lineRule="auto"/>
        <w:ind w:firstLine="1200" w:firstLineChars="500"/>
        <w:jc w:val="left"/>
        <w:rPr>
          <w:color w:val="auto"/>
          <w:sz w:val="24"/>
        </w:rPr>
      </w:pPr>
      <w:r>
        <w:rPr>
          <w:color w:val="auto"/>
          <w:sz w:val="24"/>
        </w:rPr>
        <w:t>L</w:t>
      </w:r>
      <w:r>
        <w:rPr>
          <w:color w:val="auto"/>
          <w:sz w:val="24"/>
          <w:vertAlign w:val="subscript"/>
        </w:rPr>
        <w:t>p</w:t>
      </w:r>
      <w:r>
        <w:rPr>
          <w:color w:val="auto"/>
          <w:sz w:val="24"/>
        </w:rPr>
        <w:t>（r</w:t>
      </w:r>
      <w:r>
        <w:rPr>
          <w:color w:val="auto"/>
          <w:sz w:val="24"/>
          <w:vertAlign w:val="subscript"/>
        </w:rPr>
        <w:t>0</w:t>
      </w:r>
      <w:r>
        <w:rPr>
          <w:color w:val="auto"/>
          <w:sz w:val="24"/>
        </w:rPr>
        <w:t>）——</w:t>
      </w:r>
      <w:r>
        <w:rPr>
          <w:rFonts w:hint="eastAsia"/>
          <w:color w:val="auto"/>
          <w:sz w:val="24"/>
        </w:rPr>
        <w:t>参考位置r</w:t>
      </w:r>
      <w:r>
        <w:rPr>
          <w:rFonts w:hint="eastAsia"/>
          <w:color w:val="auto"/>
          <w:sz w:val="24"/>
          <w:vertAlign w:val="subscript"/>
        </w:rPr>
        <w:t>0</w:t>
      </w:r>
      <w:r>
        <w:rPr>
          <w:rFonts w:hint="eastAsia"/>
          <w:color w:val="auto"/>
          <w:sz w:val="24"/>
        </w:rPr>
        <w:t>处的声压级</w:t>
      </w:r>
      <w:r>
        <w:rPr>
          <w:color w:val="auto"/>
          <w:sz w:val="24"/>
        </w:rPr>
        <w:t>，dB</w:t>
      </w:r>
    </w:p>
    <w:p>
      <w:pPr>
        <w:spacing w:line="360" w:lineRule="auto"/>
        <w:ind w:firstLine="1200" w:firstLineChars="500"/>
        <w:jc w:val="left"/>
        <w:rPr>
          <w:color w:val="auto"/>
          <w:sz w:val="24"/>
        </w:rPr>
      </w:pPr>
      <w:r>
        <w:rPr>
          <w:color w:val="auto"/>
          <w:sz w:val="24"/>
        </w:rPr>
        <w:t>r——</w:t>
      </w:r>
      <w:r>
        <w:rPr>
          <w:rFonts w:hint="eastAsia"/>
          <w:color w:val="auto"/>
          <w:sz w:val="24"/>
        </w:rPr>
        <w:t>预测点距声源的距离</w:t>
      </w:r>
      <w:r>
        <w:rPr>
          <w:color w:val="auto"/>
          <w:sz w:val="24"/>
        </w:rPr>
        <w:t>，m</w:t>
      </w:r>
    </w:p>
    <w:p>
      <w:pPr>
        <w:spacing w:line="360" w:lineRule="auto"/>
        <w:ind w:firstLine="1200" w:firstLineChars="500"/>
        <w:jc w:val="left"/>
        <w:rPr>
          <w:color w:val="auto"/>
          <w:sz w:val="24"/>
        </w:rPr>
      </w:pPr>
      <w:r>
        <w:rPr>
          <w:color w:val="auto"/>
          <w:sz w:val="24"/>
        </w:rPr>
        <w:t>r</w:t>
      </w:r>
      <w:r>
        <w:rPr>
          <w:rFonts w:hint="eastAsia"/>
          <w:color w:val="auto"/>
          <w:sz w:val="24"/>
          <w:vertAlign w:val="subscript"/>
        </w:rPr>
        <w:t>0</w:t>
      </w:r>
      <w:r>
        <w:rPr>
          <w:color w:val="auto"/>
          <w:sz w:val="24"/>
        </w:rPr>
        <w:t>——</w:t>
      </w:r>
      <w:r>
        <w:rPr>
          <w:rFonts w:hint="eastAsia"/>
          <w:color w:val="auto"/>
          <w:sz w:val="24"/>
        </w:rPr>
        <w:t>参考位置距声源的距离</w:t>
      </w:r>
      <w:r>
        <w:rPr>
          <w:color w:val="auto"/>
          <w:sz w:val="24"/>
        </w:rPr>
        <w:t>，m</w:t>
      </w:r>
    </w:p>
    <w:p>
      <w:pPr>
        <w:spacing w:line="360" w:lineRule="auto"/>
        <w:ind w:firstLine="480" w:firstLineChars="200"/>
        <w:jc w:val="left"/>
        <w:rPr>
          <w:color w:val="auto"/>
          <w:sz w:val="24"/>
        </w:rPr>
      </w:pPr>
      <w:r>
        <w:rPr>
          <w:color w:val="auto"/>
          <w:sz w:val="24"/>
        </w:rPr>
        <w:t>点声源距离衰减情况如下表所示：</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color w:val="auto"/>
          <w:sz w:val="24"/>
        </w:rPr>
      </w:pPr>
      <w:r>
        <w:rPr>
          <w:b/>
          <w:color w:val="auto"/>
          <w:sz w:val="24"/>
        </w:rPr>
        <w:t>表5-1-</w:t>
      </w:r>
      <w:r>
        <w:rPr>
          <w:rFonts w:hint="eastAsia"/>
          <w:b/>
          <w:color w:val="auto"/>
          <w:sz w:val="24"/>
        </w:rPr>
        <w:t>3</w:t>
      </w:r>
      <w:r>
        <w:rPr>
          <w:b/>
          <w:color w:val="auto"/>
          <w:sz w:val="24"/>
        </w:rPr>
        <w:t>点声源距离衰减情况</w:t>
      </w:r>
    </w:p>
    <w:tbl>
      <w:tblPr>
        <w:tblStyle w:val="46"/>
        <w:tblW w:w="505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5"/>
        <w:gridCol w:w="708"/>
        <w:gridCol w:w="689"/>
        <w:gridCol w:w="689"/>
        <w:gridCol w:w="709"/>
        <w:gridCol w:w="709"/>
        <w:gridCol w:w="711"/>
        <w:gridCol w:w="711"/>
        <w:gridCol w:w="711"/>
        <w:gridCol w:w="711"/>
        <w:gridCol w:w="711"/>
        <w:gridCol w:w="604"/>
        <w:gridCol w:w="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55" w:type="pct"/>
          <w:trHeight w:val="81" w:hRule="atLeast"/>
        </w:trPr>
        <w:tc>
          <w:tcPr>
            <w:tcW w:w="502" w:type="pct"/>
            <w:tcBorders>
              <w:top w:val="single" w:color="auto" w:sz="12" w:space="0"/>
              <w:left w:val="nil"/>
              <w:bottom w:val="single" w:color="auto" w:sz="4" w:space="0"/>
              <w:right w:val="single" w:color="auto" w:sz="4" w:space="0"/>
            </w:tcBorders>
            <w:vAlign w:val="center"/>
          </w:tcPr>
          <w:p>
            <w:pPr>
              <w:widowControl/>
              <w:spacing w:line="0" w:lineRule="atLeast"/>
              <w:contextualSpacing/>
              <w:jc w:val="center"/>
              <w:rPr>
                <w:color w:val="auto"/>
                <w:kern w:val="0"/>
                <w:szCs w:val="21"/>
              </w:rPr>
            </w:pPr>
            <w:r>
              <w:rPr>
                <w:color w:val="auto"/>
                <w:kern w:val="0"/>
                <w:szCs w:val="21"/>
              </w:rPr>
              <w:t>源强</w:t>
            </w:r>
          </w:p>
        </w:tc>
        <w:tc>
          <w:tcPr>
            <w:tcW w:w="4443" w:type="pct"/>
            <w:gridSpan w:val="11"/>
            <w:tcBorders>
              <w:top w:val="single" w:color="auto" w:sz="12" w:space="0"/>
              <w:left w:val="single" w:color="auto" w:sz="4" w:space="0"/>
              <w:bottom w:val="single" w:color="auto" w:sz="4" w:space="0"/>
              <w:right w:val="nil"/>
            </w:tcBorders>
            <w:vAlign w:val="center"/>
          </w:tcPr>
          <w:p>
            <w:pPr>
              <w:widowControl/>
              <w:spacing w:line="0" w:lineRule="atLeast"/>
              <w:contextualSpacing/>
              <w:jc w:val="center"/>
              <w:rPr>
                <w:color w:val="auto"/>
                <w:kern w:val="0"/>
                <w:szCs w:val="21"/>
              </w:rPr>
            </w:pPr>
            <w:r>
              <w:rPr>
                <w:color w:val="auto"/>
                <w:kern w:val="0"/>
                <w:szCs w:val="21"/>
              </w:rPr>
              <w:t>100dB（A）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502" w:type="pct"/>
            <w:tcBorders>
              <w:top w:val="single" w:color="auto" w:sz="4" w:space="0"/>
              <w:left w:val="nil"/>
              <w:bottom w:val="single" w:color="auto" w:sz="4" w:space="0"/>
              <w:right w:val="single" w:color="auto" w:sz="4" w:space="0"/>
            </w:tcBorders>
            <w:vAlign w:val="center"/>
          </w:tcPr>
          <w:p>
            <w:pPr>
              <w:widowControl/>
              <w:spacing w:line="0" w:lineRule="atLeast"/>
              <w:contextualSpacing/>
              <w:jc w:val="center"/>
              <w:rPr>
                <w:color w:val="auto"/>
                <w:kern w:val="0"/>
                <w:szCs w:val="21"/>
              </w:rPr>
            </w:pPr>
            <w:r>
              <w:rPr>
                <w:color w:val="auto"/>
                <w:kern w:val="0"/>
                <w:szCs w:val="21"/>
              </w:rPr>
              <w:t>距离</w:t>
            </w:r>
          </w:p>
        </w:tc>
        <w:tc>
          <w:tcPr>
            <w:tcW w:w="411" w:type="pct"/>
            <w:tcBorders>
              <w:top w:val="single" w:color="auto" w:sz="4" w:space="0"/>
              <w:left w:val="single" w:color="auto" w:sz="4" w:space="0"/>
              <w:bottom w:val="single" w:color="auto" w:sz="4" w:space="0"/>
              <w:right w:val="single" w:color="auto" w:sz="4" w:space="0"/>
            </w:tcBorders>
            <w:vAlign w:val="center"/>
          </w:tcPr>
          <w:p>
            <w:pPr>
              <w:widowControl/>
              <w:spacing w:line="0" w:lineRule="atLeast"/>
              <w:contextualSpacing/>
              <w:jc w:val="center"/>
              <w:rPr>
                <w:color w:val="auto"/>
                <w:kern w:val="0"/>
                <w:szCs w:val="21"/>
              </w:rPr>
            </w:pPr>
            <w:r>
              <w:rPr>
                <w:color w:val="auto"/>
                <w:kern w:val="0"/>
                <w:szCs w:val="21"/>
              </w:rPr>
              <w:t>3</w:t>
            </w:r>
            <w:r>
              <w:rPr>
                <w:rFonts w:hint="eastAsia"/>
                <w:color w:val="auto"/>
                <w:kern w:val="0"/>
                <w:szCs w:val="21"/>
              </w:rPr>
              <w:t>1</w:t>
            </w:r>
          </w:p>
        </w:tc>
        <w:tc>
          <w:tcPr>
            <w:tcW w:w="400" w:type="pct"/>
            <w:tcBorders>
              <w:top w:val="single" w:color="auto" w:sz="4" w:space="0"/>
              <w:left w:val="single" w:color="auto" w:sz="4" w:space="0"/>
              <w:bottom w:val="single" w:color="auto" w:sz="4" w:space="0"/>
              <w:right w:val="single" w:color="auto" w:sz="4" w:space="0"/>
            </w:tcBorders>
            <w:vAlign w:val="center"/>
          </w:tcPr>
          <w:p>
            <w:pPr>
              <w:widowControl/>
              <w:spacing w:line="0" w:lineRule="atLeast"/>
              <w:contextualSpacing/>
              <w:jc w:val="center"/>
              <w:rPr>
                <w:color w:val="auto"/>
                <w:kern w:val="0"/>
                <w:szCs w:val="21"/>
              </w:rPr>
            </w:pPr>
            <w:r>
              <w:rPr>
                <w:rFonts w:hint="eastAsia"/>
                <w:color w:val="auto"/>
                <w:kern w:val="0"/>
                <w:szCs w:val="21"/>
              </w:rPr>
              <w:t>32</w:t>
            </w:r>
          </w:p>
        </w:tc>
        <w:tc>
          <w:tcPr>
            <w:tcW w:w="400" w:type="pct"/>
            <w:tcBorders>
              <w:top w:val="single" w:color="auto" w:sz="4" w:space="0"/>
              <w:left w:val="single" w:color="auto" w:sz="4" w:space="0"/>
              <w:bottom w:val="single" w:color="auto" w:sz="4" w:space="0"/>
              <w:right w:val="single" w:color="auto" w:sz="4" w:space="0"/>
            </w:tcBorders>
            <w:vAlign w:val="center"/>
          </w:tcPr>
          <w:p>
            <w:pPr>
              <w:spacing w:line="0" w:lineRule="atLeast"/>
              <w:contextualSpacing/>
              <w:jc w:val="center"/>
              <w:rPr>
                <w:color w:val="auto"/>
                <w:kern w:val="0"/>
                <w:szCs w:val="21"/>
              </w:rPr>
            </w:pPr>
            <w:r>
              <w:rPr>
                <w:color w:val="auto"/>
                <w:kern w:val="0"/>
                <w:szCs w:val="21"/>
              </w:rPr>
              <w:t>50</w:t>
            </w:r>
          </w:p>
        </w:tc>
        <w:tc>
          <w:tcPr>
            <w:tcW w:w="411" w:type="pct"/>
            <w:tcBorders>
              <w:top w:val="single" w:color="auto" w:sz="4" w:space="0"/>
              <w:left w:val="single" w:color="auto" w:sz="4" w:space="0"/>
              <w:bottom w:val="single" w:color="auto" w:sz="4" w:space="0"/>
              <w:right w:val="single" w:color="auto" w:sz="4" w:space="0"/>
            </w:tcBorders>
            <w:vAlign w:val="center"/>
          </w:tcPr>
          <w:p>
            <w:pPr>
              <w:widowControl/>
              <w:spacing w:line="0" w:lineRule="atLeast"/>
              <w:contextualSpacing/>
              <w:jc w:val="center"/>
              <w:rPr>
                <w:color w:val="auto"/>
                <w:kern w:val="0"/>
                <w:szCs w:val="21"/>
              </w:rPr>
            </w:pPr>
            <w:r>
              <w:rPr>
                <w:color w:val="auto"/>
                <w:kern w:val="0"/>
                <w:szCs w:val="21"/>
              </w:rPr>
              <w:t>100</w:t>
            </w:r>
          </w:p>
        </w:tc>
        <w:tc>
          <w:tcPr>
            <w:tcW w:w="411" w:type="pct"/>
            <w:tcBorders>
              <w:top w:val="single" w:color="auto" w:sz="4" w:space="0"/>
              <w:left w:val="single" w:color="auto" w:sz="4" w:space="0"/>
              <w:bottom w:val="single" w:color="auto" w:sz="4" w:space="0"/>
              <w:right w:val="single" w:color="auto" w:sz="4" w:space="0"/>
            </w:tcBorders>
            <w:vAlign w:val="center"/>
          </w:tcPr>
          <w:p>
            <w:pPr>
              <w:widowControl/>
              <w:spacing w:line="0" w:lineRule="atLeast"/>
              <w:contextualSpacing/>
              <w:jc w:val="center"/>
              <w:rPr>
                <w:color w:val="auto"/>
                <w:kern w:val="0"/>
                <w:szCs w:val="21"/>
              </w:rPr>
            </w:pPr>
            <w:r>
              <w:rPr>
                <w:rFonts w:hint="eastAsia"/>
                <w:color w:val="auto"/>
                <w:kern w:val="0"/>
                <w:szCs w:val="21"/>
              </w:rPr>
              <w:t>177</w:t>
            </w:r>
          </w:p>
        </w:tc>
        <w:tc>
          <w:tcPr>
            <w:tcW w:w="412" w:type="pct"/>
            <w:tcBorders>
              <w:top w:val="single" w:color="auto" w:sz="4" w:space="0"/>
              <w:left w:val="single" w:color="auto" w:sz="4" w:space="0"/>
              <w:bottom w:val="single" w:color="auto" w:sz="4" w:space="0"/>
              <w:right w:val="single" w:color="auto" w:sz="4" w:space="0"/>
            </w:tcBorders>
            <w:vAlign w:val="center"/>
          </w:tcPr>
          <w:p>
            <w:pPr>
              <w:widowControl/>
              <w:spacing w:line="0" w:lineRule="atLeast"/>
              <w:contextualSpacing/>
              <w:jc w:val="center"/>
              <w:rPr>
                <w:color w:val="auto"/>
                <w:kern w:val="0"/>
                <w:szCs w:val="21"/>
              </w:rPr>
            </w:pPr>
            <w:r>
              <w:rPr>
                <w:rFonts w:hint="eastAsia"/>
                <w:color w:val="auto"/>
                <w:kern w:val="0"/>
                <w:szCs w:val="21"/>
              </w:rPr>
              <w:t>178</w:t>
            </w:r>
          </w:p>
        </w:tc>
        <w:tc>
          <w:tcPr>
            <w:tcW w:w="412" w:type="pct"/>
            <w:tcBorders>
              <w:top w:val="single" w:color="auto" w:sz="4" w:space="0"/>
              <w:left w:val="single" w:color="auto" w:sz="4" w:space="0"/>
              <w:bottom w:val="single" w:color="auto" w:sz="4" w:space="0"/>
              <w:right w:val="single" w:color="auto" w:sz="4" w:space="0"/>
            </w:tcBorders>
            <w:vAlign w:val="center"/>
          </w:tcPr>
          <w:p>
            <w:pPr>
              <w:widowControl/>
              <w:spacing w:line="0" w:lineRule="atLeast"/>
              <w:contextualSpacing/>
              <w:jc w:val="center"/>
              <w:rPr>
                <w:color w:val="auto"/>
                <w:kern w:val="0"/>
                <w:szCs w:val="21"/>
              </w:rPr>
            </w:pPr>
            <w:r>
              <w:rPr>
                <w:rFonts w:hint="eastAsia"/>
                <w:color w:val="auto"/>
                <w:kern w:val="0"/>
                <w:szCs w:val="21"/>
              </w:rPr>
              <w:t>200</w:t>
            </w:r>
          </w:p>
        </w:tc>
        <w:tc>
          <w:tcPr>
            <w:tcW w:w="412" w:type="pct"/>
            <w:tcBorders>
              <w:top w:val="single" w:color="auto" w:sz="4" w:space="0"/>
              <w:left w:val="single" w:color="auto" w:sz="4" w:space="0"/>
              <w:bottom w:val="single" w:color="auto" w:sz="4" w:space="0"/>
              <w:right w:val="single" w:color="auto" w:sz="4" w:space="0"/>
            </w:tcBorders>
            <w:vAlign w:val="center"/>
          </w:tcPr>
          <w:p>
            <w:pPr>
              <w:widowControl/>
              <w:spacing w:line="0" w:lineRule="atLeast"/>
              <w:contextualSpacing/>
              <w:jc w:val="center"/>
              <w:rPr>
                <w:color w:val="auto"/>
                <w:kern w:val="0"/>
                <w:szCs w:val="21"/>
              </w:rPr>
            </w:pPr>
            <w:r>
              <w:rPr>
                <w:color w:val="auto"/>
                <w:kern w:val="0"/>
                <w:szCs w:val="21"/>
              </w:rPr>
              <w:t>300</w:t>
            </w:r>
          </w:p>
        </w:tc>
        <w:tc>
          <w:tcPr>
            <w:tcW w:w="412" w:type="pct"/>
            <w:tcBorders>
              <w:top w:val="single" w:color="auto" w:sz="4" w:space="0"/>
              <w:left w:val="single" w:color="auto" w:sz="4" w:space="0"/>
              <w:bottom w:val="single" w:color="auto" w:sz="4" w:space="0"/>
              <w:right w:val="single" w:color="auto" w:sz="4" w:space="0"/>
            </w:tcBorders>
            <w:vAlign w:val="center"/>
          </w:tcPr>
          <w:p>
            <w:pPr>
              <w:widowControl/>
              <w:spacing w:line="0" w:lineRule="atLeast"/>
              <w:contextualSpacing/>
              <w:jc w:val="center"/>
              <w:rPr>
                <w:color w:val="auto"/>
                <w:kern w:val="0"/>
                <w:szCs w:val="21"/>
              </w:rPr>
            </w:pPr>
            <w:r>
              <w:rPr>
                <w:color w:val="auto"/>
                <w:kern w:val="0"/>
                <w:szCs w:val="21"/>
              </w:rPr>
              <w:t>400</w:t>
            </w:r>
          </w:p>
        </w:tc>
        <w:tc>
          <w:tcPr>
            <w:tcW w:w="412" w:type="pct"/>
            <w:tcBorders>
              <w:top w:val="single" w:color="auto" w:sz="4" w:space="0"/>
              <w:left w:val="single" w:color="auto" w:sz="4" w:space="0"/>
              <w:bottom w:val="single" w:color="auto" w:sz="4" w:space="0"/>
              <w:right w:val="single" w:color="auto" w:sz="4" w:space="0"/>
            </w:tcBorders>
            <w:vAlign w:val="center"/>
          </w:tcPr>
          <w:p>
            <w:pPr>
              <w:widowControl/>
              <w:spacing w:line="0" w:lineRule="atLeast"/>
              <w:contextualSpacing/>
              <w:jc w:val="center"/>
              <w:rPr>
                <w:color w:val="auto"/>
                <w:kern w:val="0"/>
                <w:szCs w:val="21"/>
              </w:rPr>
            </w:pPr>
            <w:r>
              <w:rPr>
                <w:color w:val="auto"/>
                <w:kern w:val="0"/>
                <w:szCs w:val="21"/>
              </w:rPr>
              <w:t>500</w:t>
            </w:r>
          </w:p>
        </w:tc>
        <w:tc>
          <w:tcPr>
            <w:tcW w:w="405" w:type="pct"/>
            <w:gridSpan w:val="2"/>
            <w:tcBorders>
              <w:top w:val="single" w:color="auto" w:sz="4" w:space="0"/>
              <w:left w:val="single" w:color="auto" w:sz="4" w:space="0"/>
              <w:bottom w:val="single" w:color="auto" w:sz="4" w:space="0"/>
              <w:right w:val="nil"/>
            </w:tcBorders>
            <w:vAlign w:val="center"/>
          </w:tcPr>
          <w:p>
            <w:pPr>
              <w:widowControl/>
              <w:spacing w:line="0" w:lineRule="atLeast"/>
              <w:contextualSpacing/>
              <w:jc w:val="center"/>
              <w:rPr>
                <w:color w:val="auto"/>
                <w:kern w:val="0"/>
                <w:szCs w:val="21"/>
              </w:rPr>
            </w:pPr>
            <w:r>
              <w:rPr>
                <w:color w:val="auto"/>
                <w:kern w:val="0"/>
                <w:szCs w:val="21"/>
              </w:rPr>
              <w:t>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502" w:type="pct"/>
            <w:tcBorders>
              <w:top w:val="single" w:color="auto" w:sz="4" w:space="0"/>
              <w:left w:val="nil"/>
              <w:bottom w:val="single" w:color="auto" w:sz="12" w:space="0"/>
              <w:right w:val="single" w:color="auto" w:sz="4" w:space="0"/>
            </w:tcBorders>
            <w:vAlign w:val="center"/>
          </w:tcPr>
          <w:p>
            <w:pPr>
              <w:widowControl/>
              <w:spacing w:line="0" w:lineRule="atLeast"/>
              <w:contextualSpacing/>
              <w:jc w:val="center"/>
              <w:rPr>
                <w:color w:val="auto"/>
                <w:kern w:val="0"/>
                <w:szCs w:val="21"/>
              </w:rPr>
            </w:pPr>
            <w:r>
              <w:rPr>
                <w:color w:val="auto"/>
                <w:kern w:val="0"/>
                <w:szCs w:val="21"/>
              </w:rPr>
              <w:t>贡献值</w:t>
            </w:r>
          </w:p>
        </w:tc>
        <w:tc>
          <w:tcPr>
            <w:tcW w:w="411" w:type="pct"/>
            <w:tcBorders>
              <w:top w:val="single" w:color="auto" w:sz="4" w:space="0"/>
              <w:left w:val="single" w:color="auto" w:sz="4" w:space="0"/>
              <w:bottom w:val="single" w:color="auto" w:sz="12" w:space="0"/>
              <w:right w:val="single" w:color="auto" w:sz="4" w:space="0"/>
            </w:tcBorders>
            <w:vAlign w:val="center"/>
          </w:tcPr>
          <w:p>
            <w:pPr>
              <w:widowControl/>
              <w:spacing w:line="0" w:lineRule="atLeast"/>
              <w:contextualSpacing/>
              <w:jc w:val="center"/>
              <w:rPr>
                <w:color w:val="auto"/>
                <w:kern w:val="0"/>
                <w:szCs w:val="21"/>
              </w:rPr>
            </w:pPr>
            <w:r>
              <w:rPr>
                <w:rFonts w:hint="eastAsia"/>
                <w:color w:val="auto"/>
                <w:kern w:val="0"/>
                <w:szCs w:val="21"/>
              </w:rPr>
              <w:t>70.17</w:t>
            </w:r>
          </w:p>
        </w:tc>
        <w:tc>
          <w:tcPr>
            <w:tcW w:w="400" w:type="pct"/>
            <w:tcBorders>
              <w:top w:val="single" w:color="auto" w:sz="4" w:space="0"/>
              <w:left w:val="single" w:color="auto" w:sz="4" w:space="0"/>
              <w:bottom w:val="single" w:color="auto" w:sz="12" w:space="0"/>
              <w:right w:val="single" w:color="auto" w:sz="4" w:space="0"/>
            </w:tcBorders>
            <w:vAlign w:val="center"/>
          </w:tcPr>
          <w:p>
            <w:pPr>
              <w:widowControl/>
              <w:spacing w:line="0" w:lineRule="atLeast"/>
              <w:contextualSpacing/>
              <w:jc w:val="center"/>
              <w:rPr>
                <w:color w:val="auto"/>
                <w:kern w:val="0"/>
                <w:szCs w:val="21"/>
              </w:rPr>
            </w:pPr>
            <w:r>
              <w:rPr>
                <w:rFonts w:hint="eastAsia"/>
                <w:color w:val="auto"/>
                <w:kern w:val="0"/>
                <w:szCs w:val="21"/>
              </w:rPr>
              <w:t>69.90</w:t>
            </w:r>
          </w:p>
        </w:tc>
        <w:tc>
          <w:tcPr>
            <w:tcW w:w="400" w:type="pct"/>
            <w:tcBorders>
              <w:top w:val="single" w:color="auto" w:sz="4" w:space="0"/>
              <w:left w:val="single" w:color="auto" w:sz="4" w:space="0"/>
              <w:bottom w:val="single" w:color="auto" w:sz="12" w:space="0"/>
              <w:right w:val="single" w:color="auto" w:sz="4" w:space="0"/>
            </w:tcBorders>
            <w:vAlign w:val="center"/>
          </w:tcPr>
          <w:p>
            <w:pPr>
              <w:widowControl/>
              <w:spacing w:line="0" w:lineRule="atLeast"/>
              <w:contextualSpacing/>
              <w:jc w:val="center"/>
              <w:rPr>
                <w:color w:val="auto"/>
                <w:kern w:val="0"/>
                <w:szCs w:val="21"/>
              </w:rPr>
            </w:pPr>
            <w:r>
              <w:rPr>
                <w:color w:val="auto"/>
                <w:kern w:val="0"/>
                <w:szCs w:val="21"/>
              </w:rPr>
              <w:t>66.02</w:t>
            </w:r>
          </w:p>
        </w:tc>
        <w:tc>
          <w:tcPr>
            <w:tcW w:w="411" w:type="pct"/>
            <w:tcBorders>
              <w:top w:val="single" w:color="auto" w:sz="4" w:space="0"/>
              <w:left w:val="single" w:color="auto" w:sz="4" w:space="0"/>
              <w:bottom w:val="single" w:color="auto" w:sz="12" w:space="0"/>
              <w:right w:val="single" w:color="auto" w:sz="4" w:space="0"/>
            </w:tcBorders>
            <w:vAlign w:val="center"/>
          </w:tcPr>
          <w:p>
            <w:pPr>
              <w:widowControl/>
              <w:spacing w:line="0" w:lineRule="atLeast"/>
              <w:contextualSpacing/>
              <w:jc w:val="center"/>
              <w:rPr>
                <w:color w:val="auto"/>
                <w:kern w:val="0"/>
                <w:szCs w:val="21"/>
              </w:rPr>
            </w:pPr>
            <w:r>
              <w:rPr>
                <w:color w:val="auto"/>
                <w:kern w:val="0"/>
                <w:szCs w:val="21"/>
              </w:rPr>
              <w:t>60</w:t>
            </w:r>
          </w:p>
        </w:tc>
        <w:tc>
          <w:tcPr>
            <w:tcW w:w="411" w:type="pct"/>
            <w:tcBorders>
              <w:top w:val="single" w:color="auto" w:sz="4" w:space="0"/>
              <w:left w:val="single" w:color="auto" w:sz="4" w:space="0"/>
              <w:bottom w:val="single" w:color="auto" w:sz="12" w:space="0"/>
              <w:right w:val="single" w:color="auto" w:sz="4" w:space="0"/>
            </w:tcBorders>
            <w:vAlign w:val="center"/>
          </w:tcPr>
          <w:p>
            <w:pPr>
              <w:widowControl/>
              <w:spacing w:line="0" w:lineRule="atLeast"/>
              <w:contextualSpacing/>
              <w:jc w:val="center"/>
              <w:rPr>
                <w:color w:val="auto"/>
                <w:kern w:val="0"/>
                <w:szCs w:val="21"/>
              </w:rPr>
            </w:pPr>
            <w:r>
              <w:rPr>
                <w:rFonts w:hint="eastAsia"/>
                <w:color w:val="auto"/>
                <w:kern w:val="0"/>
                <w:szCs w:val="21"/>
              </w:rPr>
              <w:t>55.04</w:t>
            </w:r>
          </w:p>
        </w:tc>
        <w:tc>
          <w:tcPr>
            <w:tcW w:w="412" w:type="pct"/>
            <w:tcBorders>
              <w:top w:val="single" w:color="auto" w:sz="4" w:space="0"/>
              <w:left w:val="single" w:color="auto" w:sz="4" w:space="0"/>
              <w:bottom w:val="single" w:color="auto" w:sz="12" w:space="0"/>
              <w:right w:val="single" w:color="auto" w:sz="4" w:space="0"/>
            </w:tcBorders>
            <w:vAlign w:val="center"/>
          </w:tcPr>
          <w:p>
            <w:pPr>
              <w:widowControl/>
              <w:spacing w:line="0" w:lineRule="atLeast"/>
              <w:contextualSpacing/>
              <w:jc w:val="center"/>
              <w:rPr>
                <w:color w:val="auto"/>
                <w:kern w:val="0"/>
                <w:szCs w:val="21"/>
              </w:rPr>
            </w:pPr>
            <w:r>
              <w:rPr>
                <w:rFonts w:hint="eastAsia"/>
                <w:color w:val="auto"/>
                <w:kern w:val="0"/>
                <w:szCs w:val="21"/>
              </w:rPr>
              <w:t>54.99</w:t>
            </w:r>
          </w:p>
        </w:tc>
        <w:tc>
          <w:tcPr>
            <w:tcW w:w="412" w:type="pct"/>
            <w:tcBorders>
              <w:top w:val="single" w:color="auto" w:sz="4" w:space="0"/>
              <w:left w:val="single" w:color="auto" w:sz="4" w:space="0"/>
              <w:bottom w:val="single" w:color="auto" w:sz="12" w:space="0"/>
              <w:right w:val="single" w:color="auto" w:sz="4" w:space="0"/>
            </w:tcBorders>
            <w:vAlign w:val="center"/>
          </w:tcPr>
          <w:p>
            <w:pPr>
              <w:widowControl/>
              <w:spacing w:line="0" w:lineRule="atLeast"/>
              <w:contextualSpacing/>
              <w:jc w:val="center"/>
              <w:rPr>
                <w:color w:val="auto"/>
                <w:kern w:val="0"/>
                <w:szCs w:val="21"/>
              </w:rPr>
            </w:pPr>
            <w:r>
              <w:rPr>
                <w:rFonts w:hint="eastAsia"/>
                <w:color w:val="auto"/>
                <w:kern w:val="0"/>
                <w:szCs w:val="21"/>
              </w:rPr>
              <w:t>53.98</w:t>
            </w:r>
          </w:p>
        </w:tc>
        <w:tc>
          <w:tcPr>
            <w:tcW w:w="412" w:type="pct"/>
            <w:tcBorders>
              <w:top w:val="single" w:color="auto" w:sz="4" w:space="0"/>
              <w:left w:val="single" w:color="auto" w:sz="4" w:space="0"/>
              <w:bottom w:val="single" w:color="auto" w:sz="12" w:space="0"/>
              <w:right w:val="single" w:color="auto" w:sz="4" w:space="0"/>
            </w:tcBorders>
            <w:vAlign w:val="center"/>
          </w:tcPr>
          <w:p>
            <w:pPr>
              <w:widowControl/>
              <w:spacing w:line="0" w:lineRule="atLeast"/>
              <w:contextualSpacing/>
              <w:jc w:val="center"/>
              <w:rPr>
                <w:color w:val="auto"/>
                <w:kern w:val="0"/>
                <w:szCs w:val="21"/>
              </w:rPr>
            </w:pPr>
            <w:r>
              <w:rPr>
                <w:color w:val="auto"/>
                <w:kern w:val="0"/>
                <w:szCs w:val="21"/>
              </w:rPr>
              <w:t>50.45</w:t>
            </w:r>
          </w:p>
        </w:tc>
        <w:tc>
          <w:tcPr>
            <w:tcW w:w="412" w:type="pct"/>
            <w:tcBorders>
              <w:top w:val="single" w:color="auto" w:sz="4" w:space="0"/>
              <w:left w:val="single" w:color="auto" w:sz="4" w:space="0"/>
              <w:bottom w:val="single" w:color="auto" w:sz="12" w:space="0"/>
              <w:right w:val="single" w:color="auto" w:sz="4" w:space="0"/>
            </w:tcBorders>
            <w:vAlign w:val="center"/>
          </w:tcPr>
          <w:p>
            <w:pPr>
              <w:widowControl/>
              <w:spacing w:line="0" w:lineRule="atLeast"/>
              <w:contextualSpacing/>
              <w:jc w:val="center"/>
              <w:rPr>
                <w:color w:val="auto"/>
                <w:kern w:val="0"/>
                <w:szCs w:val="21"/>
              </w:rPr>
            </w:pPr>
            <w:r>
              <w:rPr>
                <w:color w:val="auto"/>
                <w:kern w:val="0"/>
                <w:szCs w:val="21"/>
              </w:rPr>
              <w:t>47.96</w:t>
            </w:r>
          </w:p>
        </w:tc>
        <w:tc>
          <w:tcPr>
            <w:tcW w:w="412" w:type="pct"/>
            <w:tcBorders>
              <w:top w:val="single" w:color="auto" w:sz="4" w:space="0"/>
              <w:left w:val="single" w:color="auto" w:sz="4" w:space="0"/>
              <w:bottom w:val="single" w:color="auto" w:sz="12" w:space="0"/>
              <w:right w:val="single" w:color="auto" w:sz="4" w:space="0"/>
            </w:tcBorders>
            <w:vAlign w:val="center"/>
          </w:tcPr>
          <w:p>
            <w:pPr>
              <w:widowControl/>
              <w:spacing w:line="0" w:lineRule="atLeast"/>
              <w:contextualSpacing/>
              <w:jc w:val="center"/>
              <w:rPr>
                <w:color w:val="auto"/>
                <w:kern w:val="0"/>
                <w:szCs w:val="21"/>
              </w:rPr>
            </w:pPr>
            <w:r>
              <w:rPr>
                <w:color w:val="auto"/>
                <w:kern w:val="0"/>
                <w:szCs w:val="21"/>
              </w:rPr>
              <w:t>46.02</w:t>
            </w:r>
          </w:p>
        </w:tc>
        <w:tc>
          <w:tcPr>
            <w:tcW w:w="405" w:type="pct"/>
            <w:gridSpan w:val="2"/>
            <w:tcBorders>
              <w:top w:val="single" w:color="auto" w:sz="4" w:space="0"/>
              <w:left w:val="single" w:color="auto" w:sz="4" w:space="0"/>
              <w:bottom w:val="single" w:color="auto" w:sz="12" w:space="0"/>
              <w:right w:val="nil"/>
            </w:tcBorders>
            <w:vAlign w:val="center"/>
          </w:tcPr>
          <w:p>
            <w:pPr>
              <w:widowControl/>
              <w:spacing w:line="0" w:lineRule="atLeast"/>
              <w:contextualSpacing/>
              <w:jc w:val="center"/>
              <w:rPr>
                <w:color w:val="auto"/>
                <w:kern w:val="0"/>
                <w:szCs w:val="21"/>
              </w:rPr>
            </w:pPr>
            <w:r>
              <w:rPr>
                <w:color w:val="auto"/>
                <w:kern w:val="0"/>
                <w:szCs w:val="21"/>
              </w:rPr>
              <w:t>44.43</w:t>
            </w:r>
          </w:p>
        </w:tc>
      </w:tr>
    </w:tbl>
    <w:p>
      <w:pPr>
        <w:spacing w:line="360" w:lineRule="auto"/>
        <w:ind w:firstLine="480" w:firstLineChars="200"/>
        <w:rPr>
          <w:color w:val="auto"/>
          <w:sz w:val="24"/>
          <w:szCs w:val="21"/>
        </w:rPr>
      </w:pPr>
      <w:r>
        <w:rPr>
          <w:color w:val="auto"/>
          <w:sz w:val="24"/>
          <w:szCs w:val="21"/>
        </w:rPr>
        <w:t>根据《建筑施工场界环境噪声排放标准》（GB12523-2011）的规定，施工噪声控制在昼间70dB（A），夜间控制在55dB（A）。</w:t>
      </w:r>
    </w:p>
    <w:p>
      <w:pPr>
        <w:spacing w:line="360" w:lineRule="auto"/>
        <w:ind w:firstLine="480" w:firstLineChars="200"/>
        <w:rPr>
          <w:color w:val="auto"/>
          <w:sz w:val="24"/>
          <w:szCs w:val="21"/>
        </w:rPr>
      </w:pPr>
      <w:r>
        <w:rPr>
          <w:color w:val="auto"/>
          <w:sz w:val="24"/>
          <w:szCs w:val="21"/>
        </w:rPr>
        <w:t>项目施工机械最大声功率级按100dB（A）计算，白天衰减至70dB（A）时需要满足的衰减距离为3</w:t>
      </w:r>
      <w:r>
        <w:rPr>
          <w:rFonts w:hint="eastAsia"/>
          <w:color w:val="auto"/>
          <w:sz w:val="24"/>
          <w:szCs w:val="21"/>
        </w:rPr>
        <w:t>2</w:t>
      </w:r>
      <w:r>
        <w:rPr>
          <w:color w:val="auto"/>
          <w:sz w:val="24"/>
          <w:szCs w:val="21"/>
        </w:rPr>
        <w:t>m，夜间衰减至55dB（A）时需要满足的衰减距离为</w:t>
      </w:r>
      <w:r>
        <w:rPr>
          <w:rFonts w:hint="eastAsia"/>
          <w:color w:val="auto"/>
          <w:sz w:val="24"/>
          <w:szCs w:val="21"/>
        </w:rPr>
        <w:t>178</w:t>
      </w:r>
      <w:r>
        <w:rPr>
          <w:color w:val="auto"/>
          <w:sz w:val="24"/>
          <w:szCs w:val="21"/>
        </w:rPr>
        <w:t>m。本项目最近敏感目标为</w:t>
      </w:r>
      <w:r>
        <w:rPr>
          <w:rFonts w:hint="eastAsia"/>
          <w:color w:val="auto"/>
          <w:sz w:val="24"/>
          <w:szCs w:val="21"/>
          <w:lang w:eastAsia="zh-CN"/>
        </w:rPr>
        <w:t>一曼下屯</w:t>
      </w:r>
      <w:r>
        <w:rPr>
          <w:color w:val="auto"/>
          <w:sz w:val="24"/>
          <w:szCs w:val="21"/>
        </w:rPr>
        <w:t>，距离本项目</w:t>
      </w:r>
      <w:r>
        <w:rPr>
          <w:rFonts w:hint="eastAsia"/>
          <w:bCs/>
          <w:color w:val="auto"/>
          <w:sz w:val="24"/>
          <w:szCs w:val="21"/>
          <w:lang w:val="en-US" w:eastAsia="zh-CN"/>
        </w:rPr>
        <w:t>330</w:t>
      </w:r>
      <w:r>
        <w:rPr>
          <w:color w:val="auto"/>
          <w:sz w:val="24"/>
          <w:szCs w:val="21"/>
        </w:rPr>
        <w:t>m，且本项目夜间不施工，所以能达到距离衰减的要求，对居民区影响较小。</w:t>
      </w:r>
    </w:p>
    <w:p>
      <w:pPr>
        <w:spacing w:line="360" w:lineRule="auto"/>
        <w:ind w:firstLine="480" w:firstLineChars="200"/>
        <w:rPr>
          <w:color w:val="auto"/>
          <w:sz w:val="24"/>
          <w:szCs w:val="21"/>
        </w:rPr>
      </w:pPr>
      <w:r>
        <w:rPr>
          <w:color w:val="auto"/>
          <w:sz w:val="24"/>
          <w:szCs w:val="21"/>
        </w:rPr>
        <w:t>本项目施工期间产生的噪声不会对周围环境造成明显影响，其施工场界声环境可满足《建筑施工场界环境噪声排放标准》（GB12523-2011）要求，对区域声环境不会产生显著性不良影响。</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5.1.4施工期固体废物环境影响评价</w:t>
      </w:r>
    </w:p>
    <w:p>
      <w:pPr>
        <w:spacing w:line="360" w:lineRule="auto"/>
        <w:ind w:firstLine="480" w:firstLineChars="200"/>
        <w:rPr>
          <w:color w:val="auto"/>
          <w:sz w:val="24"/>
          <w:szCs w:val="21"/>
        </w:rPr>
      </w:pPr>
      <w:r>
        <w:rPr>
          <w:color w:val="auto"/>
          <w:sz w:val="24"/>
          <w:szCs w:val="21"/>
        </w:rPr>
        <w:t>项目施工期间产生的废弃物主要是建筑垃圾、施工弃土弃渣和生活垃圾。生活垃圾集中收集，由市政部门统一处理。对可再利用的建筑废料，应进行回收利用，以节省资源。多余废弃的砂、砾石可结合修路利用；除可回收利用外建筑垃圾应运输到环境保护管理部门指定的地点进行填埋，最大程度减小对环境的影响。本项目产生的土方主要为土地平整及</w:t>
      </w:r>
      <w:r>
        <w:rPr>
          <w:rFonts w:hint="eastAsia"/>
          <w:color w:val="auto"/>
          <w:sz w:val="24"/>
          <w:szCs w:val="21"/>
          <w:lang w:val="en-US" w:eastAsia="zh-CN"/>
        </w:rPr>
        <w:t>车间</w:t>
      </w:r>
      <w:r>
        <w:rPr>
          <w:color w:val="auto"/>
          <w:sz w:val="24"/>
          <w:szCs w:val="21"/>
        </w:rPr>
        <w:t>修建时产生的少许土方，除回填</w:t>
      </w:r>
      <w:r>
        <w:rPr>
          <w:rFonts w:hint="eastAsia"/>
          <w:color w:val="auto"/>
          <w:sz w:val="24"/>
          <w:szCs w:val="21"/>
        </w:rPr>
        <w:t>、</w:t>
      </w:r>
      <w:r>
        <w:rPr>
          <w:color w:val="auto"/>
          <w:sz w:val="24"/>
          <w:szCs w:val="21"/>
        </w:rPr>
        <w:t>平整场地外，挖方的表土用于场区绿化，无弃土产生。</w:t>
      </w:r>
    </w:p>
    <w:p>
      <w:pPr>
        <w:spacing w:line="360" w:lineRule="auto"/>
        <w:ind w:firstLine="464" w:firstLineChars="200"/>
        <w:rPr>
          <w:color w:val="auto"/>
          <w:spacing w:val="-4"/>
          <w:sz w:val="24"/>
          <w:szCs w:val="21"/>
        </w:rPr>
      </w:pPr>
      <w:r>
        <w:rPr>
          <w:color w:val="auto"/>
          <w:spacing w:val="-4"/>
          <w:sz w:val="24"/>
          <w:szCs w:val="21"/>
        </w:rPr>
        <w:t>通过以上措施，项目建设产生的固体废物得到了妥善处置，施工期间对周围环境造成的短暂影响可以接受。</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5.1.</w:t>
      </w:r>
      <w:r>
        <w:rPr>
          <w:rFonts w:hint="eastAsia" w:ascii="Times New Roman" w:hAnsi="Times New Roman" w:cs="Times New Roman"/>
          <w:b/>
          <w:color w:val="auto"/>
          <w:sz w:val="28"/>
          <w:szCs w:val="28"/>
        </w:rPr>
        <w:t>5</w:t>
      </w:r>
      <w:r>
        <w:rPr>
          <w:rFonts w:ascii="Times New Roman" w:hAnsi="Times New Roman" w:cs="Times New Roman"/>
          <w:b/>
          <w:color w:val="auto"/>
          <w:sz w:val="28"/>
          <w:szCs w:val="28"/>
        </w:rPr>
        <w:t>施工期</w:t>
      </w:r>
      <w:r>
        <w:rPr>
          <w:rFonts w:hint="eastAsia" w:ascii="Times New Roman" w:hAnsi="Times New Roman" w:cs="Times New Roman"/>
          <w:b/>
          <w:color w:val="auto"/>
          <w:sz w:val="28"/>
          <w:szCs w:val="28"/>
        </w:rPr>
        <w:t>生态</w:t>
      </w:r>
      <w:r>
        <w:rPr>
          <w:rFonts w:ascii="Times New Roman" w:hAnsi="Times New Roman" w:cs="Times New Roman"/>
          <w:b/>
          <w:color w:val="auto"/>
          <w:sz w:val="28"/>
          <w:szCs w:val="28"/>
        </w:rPr>
        <w:t>环境影响评价</w:t>
      </w:r>
    </w:p>
    <w:p>
      <w:pPr>
        <w:spacing w:line="360" w:lineRule="auto"/>
        <w:ind w:firstLine="464" w:firstLineChars="200"/>
        <w:rPr>
          <w:color w:val="auto"/>
          <w:spacing w:val="-4"/>
          <w:sz w:val="24"/>
          <w:szCs w:val="21"/>
        </w:rPr>
      </w:pPr>
      <w:r>
        <w:rPr>
          <w:rFonts w:hint="eastAsia"/>
          <w:color w:val="auto"/>
          <w:spacing w:val="-4"/>
          <w:sz w:val="24"/>
          <w:szCs w:val="21"/>
        </w:rPr>
        <w:t>本项目建设地点位于</w:t>
      </w:r>
      <w:r>
        <w:rPr>
          <w:color w:val="auto"/>
          <w:spacing w:val="-4"/>
          <w:sz w:val="24"/>
          <w:szCs w:val="21"/>
        </w:rPr>
        <w:t>黑龙江省</w:t>
      </w:r>
      <w:r>
        <w:rPr>
          <w:rFonts w:hint="eastAsia"/>
          <w:color w:val="auto"/>
          <w:spacing w:val="-4"/>
          <w:sz w:val="24"/>
          <w:szCs w:val="21"/>
          <w:lang w:eastAsia="zh-CN"/>
        </w:rPr>
        <w:t>哈尔滨市尚志市长寿乡一曼村</w:t>
      </w:r>
      <w:r>
        <w:rPr>
          <w:color w:val="auto"/>
          <w:spacing w:val="-4"/>
          <w:sz w:val="24"/>
          <w:szCs w:val="21"/>
        </w:rPr>
        <w:t>，用地类型为工业用地。本项目</w:t>
      </w:r>
      <w:r>
        <w:rPr>
          <w:rFonts w:hint="eastAsia"/>
          <w:color w:val="auto"/>
          <w:spacing w:val="-4"/>
          <w:sz w:val="24"/>
          <w:szCs w:val="21"/>
        </w:rPr>
        <w:t>利用</w:t>
      </w:r>
      <w:r>
        <w:rPr>
          <w:rFonts w:hint="eastAsia"/>
          <w:color w:val="auto"/>
          <w:spacing w:val="-4"/>
          <w:sz w:val="24"/>
          <w:szCs w:val="21"/>
          <w:lang w:val="en-US" w:eastAsia="zh-CN"/>
        </w:rPr>
        <w:t>厂区内现有空地施工</w:t>
      </w:r>
      <w:r>
        <w:rPr>
          <w:rFonts w:hint="eastAsia"/>
          <w:color w:val="auto"/>
          <w:spacing w:val="-4"/>
          <w:sz w:val="24"/>
          <w:szCs w:val="21"/>
        </w:rPr>
        <w:t>，不新增临时占地。项目施工期对生态环境的影响主要体现为水土流失。为了避免本项目在施工及运营过程中造成区域水土流失，破坏当地生态环境，提出建议如下：</w:t>
      </w:r>
    </w:p>
    <w:p>
      <w:pPr>
        <w:spacing w:line="360" w:lineRule="auto"/>
        <w:ind w:firstLine="464" w:firstLineChars="200"/>
        <w:rPr>
          <w:color w:val="auto"/>
          <w:spacing w:val="-4"/>
          <w:sz w:val="24"/>
          <w:szCs w:val="21"/>
        </w:rPr>
      </w:pPr>
      <w:r>
        <w:rPr>
          <w:rFonts w:hint="eastAsia"/>
          <w:color w:val="auto"/>
          <w:spacing w:val="-4"/>
          <w:sz w:val="24"/>
          <w:szCs w:val="21"/>
        </w:rPr>
        <w:t>（1）项目施工过程中产生的土方采取苫布遮盖，避免在暴雨中被冲刷流失。</w:t>
      </w:r>
    </w:p>
    <w:p>
      <w:pPr>
        <w:spacing w:line="360" w:lineRule="auto"/>
        <w:ind w:firstLine="464" w:firstLineChars="200"/>
        <w:rPr>
          <w:color w:val="auto"/>
          <w:spacing w:val="-4"/>
          <w:sz w:val="24"/>
          <w:szCs w:val="21"/>
        </w:rPr>
      </w:pPr>
      <w:r>
        <w:rPr>
          <w:rFonts w:hint="eastAsia"/>
          <w:color w:val="auto"/>
          <w:spacing w:val="-4"/>
          <w:sz w:val="24"/>
          <w:szCs w:val="21"/>
        </w:rPr>
        <w:t>（2）建议项目方在项目建成后，及时对厂区内</w:t>
      </w:r>
      <w:r>
        <w:rPr>
          <w:color w:val="auto"/>
          <w:spacing w:val="-4"/>
          <w:sz w:val="24"/>
          <w:szCs w:val="21"/>
        </w:rPr>
        <w:t>种植绿化带，绿化带应乔灌结合，针阔叶混交</w:t>
      </w:r>
      <w:r>
        <w:rPr>
          <w:rFonts w:hint="eastAsia"/>
          <w:color w:val="auto"/>
          <w:spacing w:val="-4"/>
          <w:sz w:val="24"/>
          <w:szCs w:val="21"/>
        </w:rPr>
        <w:t>，减少土地裸露面积。</w:t>
      </w:r>
    </w:p>
    <w:p>
      <w:pPr>
        <w:spacing w:line="360" w:lineRule="auto"/>
        <w:ind w:firstLine="464" w:firstLineChars="200"/>
        <w:rPr>
          <w:color w:val="auto"/>
          <w:spacing w:val="-4"/>
          <w:sz w:val="24"/>
          <w:szCs w:val="21"/>
        </w:rPr>
      </w:pPr>
      <w:r>
        <w:rPr>
          <w:rFonts w:hint="eastAsia"/>
          <w:color w:val="auto"/>
          <w:spacing w:val="-4"/>
          <w:sz w:val="24"/>
          <w:szCs w:val="21"/>
        </w:rPr>
        <w:t>（3）</w:t>
      </w:r>
      <w:r>
        <w:rPr>
          <w:color w:val="auto"/>
          <w:spacing w:val="-4"/>
          <w:sz w:val="24"/>
          <w:szCs w:val="21"/>
        </w:rPr>
        <w:t>本项目施工过程中应严格将活动范围控制在本项目用地范围内，不占用其它土地。</w:t>
      </w:r>
    </w:p>
    <w:p>
      <w:pPr>
        <w:spacing w:line="360" w:lineRule="auto"/>
        <w:ind w:firstLine="464" w:firstLineChars="200"/>
        <w:rPr>
          <w:color w:val="auto"/>
          <w:spacing w:val="-4"/>
          <w:sz w:val="24"/>
          <w:szCs w:val="21"/>
        </w:rPr>
      </w:pPr>
      <w:r>
        <w:rPr>
          <w:rFonts w:hint="eastAsia"/>
          <w:color w:val="auto"/>
          <w:spacing w:val="-4"/>
          <w:sz w:val="24"/>
          <w:szCs w:val="21"/>
        </w:rPr>
        <w:t>（4）</w:t>
      </w:r>
      <w:r>
        <w:rPr>
          <w:color w:val="auto"/>
          <w:spacing w:val="-4"/>
          <w:sz w:val="24"/>
          <w:szCs w:val="21"/>
        </w:rPr>
        <w:t>合理安排施工期，避免雨天施工</w:t>
      </w:r>
      <w:r>
        <w:rPr>
          <w:rFonts w:hint="eastAsia"/>
          <w:color w:val="auto"/>
          <w:spacing w:val="-4"/>
          <w:sz w:val="24"/>
          <w:szCs w:val="21"/>
        </w:rPr>
        <w:t>。</w:t>
      </w:r>
    </w:p>
    <w:p>
      <w:pPr>
        <w:spacing w:line="360" w:lineRule="auto"/>
        <w:ind w:firstLine="464" w:firstLineChars="200"/>
        <w:rPr>
          <w:color w:val="auto"/>
          <w:spacing w:val="-4"/>
          <w:sz w:val="24"/>
          <w:szCs w:val="21"/>
        </w:rPr>
      </w:pPr>
      <w:r>
        <w:rPr>
          <w:color w:val="auto"/>
          <w:spacing w:val="-4"/>
          <w:sz w:val="24"/>
          <w:szCs w:val="21"/>
        </w:rPr>
        <w:t>通过采取上述措施可将本项目施工期对土地的扰动降到最低。</w:t>
      </w:r>
    </w:p>
    <w:p>
      <w:pPr>
        <w:spacing w:line="360" w:lineRule="auto"/>
        <w:jc w:val="left"/>
        <w:outlineLvl w:val="1"/>
        <w:rPr>
          <w:b/>
          <w:bCs/>
          <w:color w:val="auto"/>
          <w:kern w:val="44"/>
          <w:sz w:val="30"/>
          <w:szCs w:val="30"/>
        </w:rPr>
      </w:pPr>
      <w:bookmarkStart w:id="183" w:name="_Toc494017092"/>
      <w:bookmarkStart w:id="184" w:name="_Toc415146703"/>
      <w:bookmarkStart w:id="185" w:name="_Toc13341"/>
      <w:r>
        <w:rPr>
          <w:b/>
          <w:bCs/>
          <w:color w:val="auto"/>
          <w:kern w:val="44"/>
          <w:sz w:val="30"/>
          <w:szCs w:val="30"/>
        </w:rPr>
        <w:t>5.2运行期环境影响预测与评价</w:t>
      </w:r>
      <w:bookmarkEnd w:id="183"/>
      <w:bookmarkEnd w:id="184"/>
      <w:bookmarkEnd w:id="185"/>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5.2.1大气环境影响预测与评价</w:t>
      </w:r>
    </w:p>
    <w:p>
      <w:pPr>
        <w:pStyle w:val="74"/>
        <w:adjustRightInd/>
        <w:snapToGrid/>
        <w:jc w:val="both"/>
        <w:rPr>
          <w:rFonts w:ascii="Times New Roman" w:hAnsi="Times New Roman" w:eastAsia="宋体" w:cs="Times New Roman"/>
          <w:snapToGrid w:val="0"/>
          <w:color w:val="auto"/>
        </w:rPr>
      </w:pPr>
      <w:bookmarkStart w:id="186" w:name="_Hlk6926034"/>
      <w:r>
        <w:rPr>
          <w:rFonts w:ascii="Times New Roman" w:hAnsi="Times New Roman" w:eastAsia="宋体" w:cs="Times New Roman"/>
          <w:snapToGrid w:val="0"/>
          <w:color w:val="auto"/>
        </w:rPr>
        <w:t>根据《环境影响评价技术导则大气环境》（HJ2.2-2018）</w:t>
      </w:r>
      <w:r>
        <w:rPr>
          <w:rFonts w:ascii="Times New Roman" w:hAnsi="Times New Roman" w:eastAsia="宋体" w:cs="Times New Roman"/>
          <w:snapToGrid w:val="0"/>
          <w:color w:val="auto"/>
          <w:kern w:val="0"/>
        </w:rPr>
        <w:t>中附录A推荐的估算模式进行计算，由估算模式计算结果可知，本项目排放污染物</w:t>
      </w:r>
      <w:r>
        <w:rPr>
          <w:rFonts w:ascii="Times New Roman" w:hAnsi="Times New Roman" w:eastAsia="宋体" w:cs="Times New Roman"/>
          <w:color w:val="auto"/>
          <w:lang w:val="zh-CN"/>
        </w:rPr>
        <w:t>的</w:t>
      </w:r>
      <w:r>
        <w:rPr>
          <w:rFonts w:ascii="Times New Roman" w:hAnsi="Times New Roman" w:eastAsia="宋体" w:cs="Times New Roman"/>
          <w:snapToGrid w:val="0"/>
          <w:color w:val="auto"/>
          <w:kern w:val="0"/>
        </w:rPr>
        <w:t>最大地面空气质量浓度占标率</w:t>
      </w:r>
      <w:r>
        <w:rPr>
          <w:rFonts w:ascii="Times New Roman" w:hAnsi="Times New Roman" w:eastAsia="宋体" w:cs="Times New Roman"/>
          <w:snapToGrid w:val="0"/>
          <w:color w:val="auto"/>
          <w:kern w:val="0"/>
          <w:lang w:val="zh-CN"/>
        </w:rPr>
        <w:t>P</w:t>
      </w:r>
      <w:r>
        <w:rPr>
          <w:rFonts w:ascii="Times New Roman" w:hAnsi="Times New Roman" w:eastAsia="宋体" w:cs="Times New Roman"/>
          <w:snapToGrid w:val="0"/>
          <w:color w:val="auto"/>
          <w:kern w:val="0"/>
          <w:vertAlign w:val="subscript"/>
          <w:lang w:val="zh-CN"/>
        </w:rPr>
        <w:t>max</w:t>
      </w:r>
      <w:r>
        <w:rPr>
          <w:rFonts w:ascii="Times New Roman" w:hAnsi="Times New Roman" w:eastAsia="宋体" w:cs="Times New Roman"/>
          <w:snapToGrid w:val="0"/>
          <w:color w:val="auto"/>
          <w:kern w:val="0"/>
          <w:lang w:val="zh-CN"/>
        </w:rPr>
        <w:t>≤10%且P</w:t>
      </w:r>
      <w:r>
        <w:rPr>
          <w:rFonts w:ascii="Times New Roman" w:hAnsi="Times New Roman" w:eastAsia="宋体" w:cs="Times New Roman"/>
          <w:snapToGrid w:val="0"/>
          <w:color w:val="auto"/>
          <w:kern w:val="0"/>
          <w:vertAlign w:val="subscript"/>
          <w:lang w:val="zh-CN"/>
        </w:rPr>
        <w:t>max</w:t>
      </w:r>
      <w:r>
        <w:rPr>
          <w:rFonts w:ascii="Times New Roman" w:hAnsi="Times New Roman" w:eastAsia="宋体" w:cs="Times New Roman"/>
          <w:snapToGrid w:val="0"/>
          <w:color w:val="auto"/>
          <w:kern w:val="0"/>
          <w:lang w:val="zh-CN"/>
        </w:rPr>
        <w:t>＞1%</w:t>
      </w:r>
      <w:r>
        <w:rPr>
          <w:rFonts w:ascii="Times New Roman" w:hAnsi="Times New Roman" w:eastAsia="宋体" w:cs="Times New Roman"/>
          <w:snapToGrid w:val="0"/>
          <w:color w:val="auto"/>
          <w:kern w:val="0"/>
        </w:rPr>
        <w:t>。因此，本项目大气环境影响评价等级为</w:t>
      </w:r>
      <w:r>
        <w:rPr>
          <w:rFonts w:ascii="Times New Roman" w:hAnsi="Times New Roman" w:eastAsia="宋体" w:cs="Times New Roman"/>
          <w:snapToGrid w:val="0"/>
          <w:color w:val="auto"/>
        </w:rPr>
        <w:t>二级。根据《环境影响评价技术导则大气环境》（HJ2.2-2018）中要求，二级评价项目不进行进一步预测与评价，只对污染物排放量进行核算。</w:t>
      </w:r>
      <w:bookmarkEnd w:id="186"/>
    </w:p>
    <w:p>
      <w:pPr>
        <w:spacing w:line="360" w:lineRule="auto"/>
        <w:outlineLvl w:val="3"/>
        <w:rPr>
          <w:b/>
          <w:color w:val="auto"/>
          <w:sz w:val="24"/>
        </w:rPr>
      </w:pPr>
      <w:r>
        <w:rPr>
          <w:b/>
          <w:color w:val="auto"/>
          <w:sz w:val="24"/>
        </w:rPr>
        <w:t>5.2.</w:t>
      </w:r>
      <w:r>
        <w:rPr>
          <w:rFonts w:hint="eastAsia"/>
          <w:b/>
          <w:color w:val="auto"/>
          <w:sz w:val="24"/>
        </w:rPr>
        <w:t>1</w:t>
      </w:r>
      <w:r>
        <w:rPr>
          <w:b/>
          <w:color w:val="auto"/>
          <w:sz w:val="24"/>
        </w:rPr>
        <w:t>.1废气影响分析</w:t>
      </w:r>
    </w:p>
    <w:p>
      <w:pPr>
        <w:pStyle w:val="74"/>
        <w:adjustRightInd/>
        <w:snapToGrid/>
        <w:jc w:val="both"/>
        <w:rPr>
          <w:rFonts w:ascii="Times New Roman" w:hAnsi="Times New Roman" w:eastAsia="宋体" w:cs="Times New Roman"/>
          <w:color w:val="auto"/>
        </w:rPr>
      </w:pPr>
      <w:r>
        <w:rPr>
          <w:rFonts w:ascii="Times New Roman" w:hAnsi="Times New Roman" w:eastAsia="宋体" w:cs="Times New Roman"/>
          <w:color w:val="auto"/>
        </w:rPr>
        <w:t>（1）预测因子及采用的标准</w:t>
      </w:r>
    </w:p>
    <w:p>
      <w:pPr>
        <w:pStyle w:val="74"/>
        <w:adjustRightInd/>
        <w:snapToGrid/>
        <w:jc w:val="both"/>
        <w:rPr>
          <w:rFonts w:ascii="Times New Roman" w:hAnsi="Times New Roman" w:eastAsia="宋体" w:cs="Times New Roman"/>
          <w:color w:val="auto"/>
        </w:rPr>
      </w:pPr>
      <w:r>
        <w:rPr>
          <w:rFonts w:ascii="Times New Roman" w:hAnsi="Times New Roman" w:eastAsia="宋体" w:cs="Times New Roman"/>
          <w:color w:val="auto"/>
        </w:rPr>
        <w:t>有组织预测因子选择</w:t>
      </w:r>
      <w:r>
        <w:rPr>
          <w:rFonts w:hint="default" w:ascii="Times New Roman" w:hAnsi="Times New Roman" w:cs="Times New Roman"/>
          <w:color w:val="auto"/>
          <w:sz w:val="24"/>
        </w:rPr>
        <w:t>锅炉排放烟气、</w:t>
      </w:r>
      <w:r>
        <w:rPr>
          <w:rFonts w:ascii="Times New Roman" w:hAnsi="Times New Roman" w:eastAsia="宋体" w:cs="Times New Roman"/>
          <w:color w:val="auto"/>
        </w:rPr>
        <w:t>待宰间、</w:t>
      </w:r>
      <w:r>
        <w:rPr>
          <w:rFonts w:hint="eastAsia" w:ascii="Times New Roman" w:hAnsi="Times New Roman" w:eastAsia="宋体" w:cs="Times New Roman"/>
          <w:color w:val="auto"/>
        </w:rPr>
        <w:t>屠宰车间</w:t>
      </w:r>
      <w:r>
        <w:rPr>
          <w:rFonts w:ascii="Times New Roman" w:hAnsi="Times New Roman" w:eastAsia="宋体" w:cs="Times New Roman"/>
          <w:color w:val="auto"/>
        </w:rPr>
        <w:t>及污水处理站恶臭气体（NH</w:t>
      </w:r>
      <w:r>
        <w:rPr>
          <w:rFonts w:ascii="Times New Roman" w:hAnsi="Times New Roman" w:eastAsia="宋体" w:cs="Times New Roman"/>
          <w:color w:val="auto"/>
          <w:vertAlign w:val="subscript"/>
        </w:rPr>
        <w:t>3</w:t>
      </w:r>
      <w:r>
        <w:rPr>
          <w:rFonts w:ascii="Times New Roman" w:hAnsi="Times New Roman" w:eastAsia="宋体" w:cs="Times New Roman"/>
          <w:color w:val="auto"/>
        </w:rPr>
        <w:t>及H</w:t>
      </w:r>
      <w:r>
        <w:rPr>
          <w:rFonts w:ascii="Times New Roman" w:hAnsi="Times New Roman" w:eastAsia="宋体" w:cs="Times New Roman"/>
          <w:color w:val="auto"/>
          <w:vertAlign w:val="subscript"/>
        </w:rPr>
        <w:t>2</w:t>
      </w:r>
      <w:r>
        <w:rPr>
          <w:rFonts w:ascii="Times New Roman" w:hAnsi="Times New Roman" w:eastAsia="宋体" w:cs="Times New Roman"/>
          <w:color w:val="auto"/>
        </w:rPr>
        <w:t>S），无组织废气主要包括</w:t>
      </w:r>
      <w:r>
        <w:rPr>
          <w:rFonts w:hint="eastAsia" w:ascii="Times New Roman" w:hAnsi="Times New Roman" w:eastAsia="宋体" w:cs="Times New Roman"/>
          <w:color w:val="auto"/>
        </w:rPr>
        <w:t>待宰间、</w:t>
      </w:r>
      <w:r>
        <w:rPr>
          <w:rFonts w:ascii="Times New Roman" w:hAnsi="Times New Roman" w:eastAsia="宋体" w:cs="Times New Roman"/>
          <w:color w:val="auto"/>
        </w:rPr>
        <w:t>屠宰车间及污水处理站</w:t>
      </w:r>
      <w:r>
        <w:rPr>
          <w:rFonts w:hint="eastAsia" w:ascii="Times New Roman" w:hAnsi="Times New Roman" w:eastAsia="宋体" w:cs="Times New Roman"/>
          <w:color w:val="auto"/>
        </w:rPr>
        <w:t>未收集</w:t>
      </w:r>
      <w:r>
        <w:rPr>
          <w:rFonts w:ascii="Times New Roman" w:hAnsi="Times New Roman" w:eastAsia="宋体" w:cs="Times New Roman"/>
          <w:color w:val="auto"/>
        </w:rPr>
        <w:t>的恶臭气体（包括NH</w:t>
      </w:r>
      <w:r>
        <w:rPr>
          <w:rFonts w:ascii="Times New Roman" w:hAnsi="Times New Roman" w:eastAsia="宋体" w:cs="Times New Roman"/>
          <w:color w:val="auto"/>
          <w:vertAlign w:val="subscript"/>
        </w:rPr>
        <w:t>3</w:t>
      </w:r>
      <w:r>
        <w:rPr>
          <w:rFonts w:ascii="Times New Roman" w:hAnsi="Times New Roman" w:eastAsia="宋体" w:cs="Times New Roman"/>
          <w:color w:val="auto"/>
        </w:rPr>
        <w:t>、H</w:t>
      </w:r>
      <w:r>
        <w:rPr>
          <w:rFonts w:ascii="Times New Roman" w:hAnsi="Times New Roman" w:eastAsia="宋体" w:cs="Times New Roman"/>
          <w:color w:val="auto"/>
          <w:vertAlign w:val="subscript"/>
        </w:rPr>
        <w:t>2</w:t>
      </w:r>
      <w:r>
        <w:rPr>
          <w:rFonts w:ascii="Times New Roman" w:hAnsi="Times New Roman" w:eastAsia="宋体" w:cs="Times New Roman"/>
          <w:color w:val="auto"/>
        </w:rPr>
        <w:t>S）。采用的标准见表5-2-1。</w:t>
      </w:r>
    </w:p>
    <w:p>
      <w:pPr>
        <w:pStyle w:val="74"/>
        <w:adjustRightInd/>
        <w:snapToGrid/>
        <w:jc w:val="both"/>
        <w:rPr>
          <w:rFonts w:ascii="Times New Roman" w:hAnsi="Times New Roman" w:eastAsia="宋体" w:cs="Times New Roman"/>
          <w:color w:val="auto"/>
        </w:rPr>
      </w:pPr>
      <w:r>
        <w:rPr>
          <w:rFonts w:ascii="Times New Roman" w:hAnsi="Times New Roman" w:eastAsia="宋体" w:cs="Times New Roman"/>
          <w:color w:val="auto"/>
        </w:rPr>
        <w:t>（2）预测模式和参数选取</w:t>
      </w:r>
    </w:p>
    <w:p>
      <w:pPr>
        <w:pStyle w:val="74"/>
        <w:adjustRightInd/>
        <w:snapToGrid/>
        <w:jc w:val="both"/>
        <w:rPr>
          <w:rFonts w:ascii="Times New Roman" w:hAnsi="Times New Roman" w:eastAsia="宋体" w:cs="Times New Roman"/>
          <w:color w:val="auto"/>
        </w:rPr>
      </w:pPr>
      <w:r>
        <w:rPr>
          <w:rFonts w:hint="eastAsia" w:ascii="宋体" w:hAnsi="宋体" w:eastAsia="宋体" w:cs="宋体"/>
          <w:color w:val="auto"/>
        </w:rPr>
        <w:t>①</w:t>
      </w:r>
      <w:r>
        <w:rPr>
          <w:rFonts w:ascii="Times New Roman" w:hAnsi="Times New Roman" w:eastAsia="宋体" w:cs="Times New Roman"/>
          <w:color w:val="auto"/>
        </w:rPr>
        <w:t>预测模式</w:t>
      </w:r>
    </w:p>
    <w:p>
      <w:pPr>
        <w:pStyle w:val="74"/>
        <w:adjustRightInd/>
        <w:snapToGrid/>
        <w:jc w:val="both"/>
        <w:rPr>
          <w:rFonts w:ascii="Times New Roman" w:hAnsi="Times New Roman" w:eastAsia="宋体" w:cs="Times New Roman"/>
          <w:color w:val="auto"/>
        </w:rPr>
      </w:pPr>
      <w:r>
        <w:rPr>
          <w:rFonts w:ascii="Times New Roman" w:hAnsi="Times New Roman" w:eastAsia="宋体" w:cs="Times New Roman"/>
          <w:color w:val="auto"/>
        </w:rPr>
        <w:t>根据《环境影响评价技术导则大气环境》（HJ2.2-2018）推荐的ARES</w:t>
      </w:r>
      <w:r>
        <w:rPr>
          <w:rFonts w:hint="eastAsia" w:ascii="Times New Roman" w:hAnsi="Times New Roman" w:eastAsia="宋体" w:cs="Times New Roman"/>
          <w:color w:val="auto"/>
        </w:rPr>
        <w:t>CREEN</w:t>
      </w:r>
      <w:r>
        <w:rPr>
          <w:rFonts w:ascii="Times New Roman" w:hAnsi="Times New Roman" w:eastAsia="宋体" w:cs="Times New Roman"/>
          <w:color w:val="auto"/>
        </w:rPr>
        <w:t>估算模式对有组织</w:t>
      </w:r>
      <w:r>
        <w:rPr>
          <w:rFonts w:hint="eastAsia" w:ascii="Times New Roman" w:hAnsi="Times New Roman" w:eastAsia="宋体" w:cs="Times New Roman"/>
          <w:color w:val="auto"/>
        </w:rPr>
        <w:t>及无组织</w:t>
      </w:r>
      <w:r>
        <w:rPr>
          <w:rFonts w:ascii="Times New Roman" w:hAnsi="Times New Roman" w:eastAsia="宋体" w:cs="Times New Roman"/>
          <w:color w:val="auto"/>
        </w:rPr>
        <w:t>排放的污染物进行估算。</w:t>
      </w:r>
    </w:p>
    <w:p>
      <w:pPr>
        <w:pStyle w:val="74"/>
        <w:adjustRightInd/>
        <w:snapToGrid/>
        <w:jc w:val="both"/>
        <w:rPr>
          <w:rFonts w:ascii="Times New Roman" w:hAnsi="Times New Roman" w:eastAsia="宋体" w:cs="Times New Roman"/>
          <w:color w:val="auto"/>
        </w:rPr>
      </w:pPr>
      <w:r>
        <w:rPr>
          <w:rFonts w:ascii="Times New Roman" w:hAnsi="Times New Roman" w:eastAsia="宋体" w:cs="Times New Roman"/>
          <w:color w:val="auto"/>
        </w:rPr>
        <w:t>本项目产生的所有有组织污染物进行预测，评价因子和评价标准见表5-2-1，污染源参数见表5-2-2</w:t>
      </w:r>
      <w:r>
        <w:rPr>
          <w:rFonts w:hint="eastAsia" w:ascii="Times New Roman" w:hAnsi="Times New Roman" w:eastAsia="宋体" w:cs="Times New Roman"/>
          <w:color w:val="auto"/>
        </w:rPr>
        <w:t>至表5-2-4</w:t>
      </w:r>
      <w:r>
        <w:rPr>
          <w:rFonts w:ascii="Times New Roman" w:hAnsi="Times New Roman" w:eastAsia="宋体" w:cs="Times New Roman"/>
          <w:color w:val="auto"/>
        </w:rPr>
        <w:t>。</w:t>
      </w:r>
    </w:p>
    <w:p>
      <w:pPr>
        <w:pStyle w:val="74"/>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ascii="Times New Roman" w:hAnsi="Times New Roman" w:eastAsia="宋体" w:cs="Times New Roman"/>
          <w:b/>
          <w:color w:val="auto"/>
        </w:rPr>
      </w:pPr>
      <w:r>
        <w:rPr>
          <w:rFonts w:ascii="Times New Roman" w:hAnsi="Times New Roman" w:eastAsia="宋体" w:cs="Times New Roman"/>
          <w:b/>
          <w:color w:val="auto"/>
        </w:rPr>
        <w:t>表5-2-1 评价因子和评价标准表</w:t>
      </w:r>
    </w:p>
    <w:tbl>
      <w:tblPr>
        <w:tblStyle w:val="47"/>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26"/>
        <w:gridCol w:w="1843"/>
        <w:gridCol w:w="1842"/>
        <w:gridCol w:w="33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26" w:type="dxa"/>
            <w:vAlign w:val="center"/>
          </w:tcPr>
          <w:p>
            <w:pPr>
              <w:pStyle w:val="152"/>
              <w:spacing w:line="0" w:lineRule="atLeast"/>
              <w:contextualSpacing w:val="0"/>
              <w:rPr>
                <w:rFonts w:eastAsiaTheme="minorEastAsia"/>
                <w:b w:val="0"/>
                <w:color w:val="auto"/>
                <w:sz w:val="21"/>
                <w:szCs w:val="21"/>
              </w:rPr>
            </w:pPr>
            <w:r>
              <w:rPr>
                <w:rFonts w:hAnsiTheme="minorEastAsia" w:eastAsiaTheme="minorEastAsia"/>
                <w:b w:val="0"/>
                <w:color w:val="auto"/>
                <w:sz w:val="21"/>
                <w:szCs w:val="21"/>
              </w:rPr>
              <w:t>评价因子</w:t>
            </w:r>
          </w:p>
        </w:tc>
        <w:tc>
          <w:tcPr>
            <w:tcW w:w="1843" w:type="dxa"/>
            <w:vAlign w:val="center"/>
          </w:tcPr>
          <w:p>
            <w:pPr>
              <w:pStyle w:val="152"/>
              <w:spacing w:line="0" w:lineRule="atLeast"/>
              <w:contextualSpacing w:val="0"/>
              <w:rPr>
                <w:rFonts w:eastAsiaTheme="minorEastAsia"/>
                <w:b w:val="0"/>
                <w:color w:val="auto"/>
                <w:sz w:val="21"/>
                <w:szCs w:val="21"/>
              </w:rPr>
            </w:pPr>
            <w:r>
              <w:rPr>
                <w:rFonts w:hAnsiTheme="minorEastAsia" w:eastAsiaTheme="minorEastAsia"/>
                <w:b w:val="0"/>
                <w:color w:val="auto"/>
                <w:sz w:val="21"/>
                <w:szCs w:val="21"/>
              </w:rPr>
              <w:t>平均时段</w:t>
            </w:r>
          </w:p>
        </w:tc>
        <w:tc>
          <w:tcPr>
            <w:tcW w:w="1842" w:type="dxa"/>
            <w:vAlign w:val="center"/>
          </w:tcPr>
          <w:p>
            <w:pPr>
              <w:pStyle w:val="152"/>
              <w:spacing w:line="0" w:lineRule="atLeast"/>
              <w:contextualSpacing w:val="0"/>
              <w:rPr>
                <w:rFonts w:eastAsiaTheme="minorEastAsia"/>
                <w:b w:val="0"/>
                <w:color w:val="auto"/>
                <w:sz w:val="21"/>
                <w:szCs w:val="21"/>
              </w:rPr>
            </w:pPr>
            <w:r>
              <w:rPr>
                <w:rFonts w:hAnsiTheme="minorEastAsia" w:eastAsiaTheme="minorEastAsia"/>
                <w:b w:val="0"/>
                <w:color w:val="auto"/>
                <w:sz w:val="21"/>
                <w:szCs w:val="21"/>
              </w:rPr>
              <w:t>标准值</w:t>
            </w:r>
            <w:r>
              <w:rPr>
                <w:rFonts w:eastAsiaTheme="minorEastAsia"/>
                <w:b w:val="0"/>
                <w:color w:val="auto"/>
                <w:sz w:val="21"/>
                <w:szCs w:val="21"/>
              </w:rPr>
              <w:t>/</w:t>
            </w:r>
            <w:r>
              <w:rPr>
                <w:rFonts w:hAnsiTheme="minorEastAsia" w:eastAsiaTheme="minorEastAsia"/>
                <w:b w:val="0"/>
                <w:color w:val="auto"/>
                <w:sz w:val="21"/>
                <w:szCs w:val="21"/>
              </w:rPr>
              <w:t>（</w:t>
            </w:r>
            <w:r>
              <w:rPr>
                <w:rFonts w:eastAsiaTheme="minorEastAsia"/>
                <w:b w:val="0"/>
                <w:color w:val="auto"/>
                <w:sz w:val="21"/>
                <w:szCs w:val="21"/>
              </w:rPr>
              <w:t>μg/m</w:t>
            </w:r>
            <w:r>
              <w:rPr>
                <w:rFonts w:eastAsiaTheme="minorEastAsia"/>
                <w:b w:val="0"/>
                <w:color w:val="auto"/>
                <w:sz w:val="21"/>
                <w:szCs w:val="21"/>
                <w:vertAlign w:val="superscript"/>
              </w:rPr>
              <w:t>3</w:t>
            </w:r>
            <w:r>
              <w:rPr>
                <w:rFonts w:hAnsiTheme="minorEastAsia" w:eastAsiaTheme="minorEastAsia"/>
                <w:b w:val="0"/>
                <w:color w:val="auto"/>
                <w:sz w:val="21"/>
                <w:szCs w:val="21"/>
              </w:rPr>
              <w:t>）</w:t>
            </w:r>
          </w:p>
        </w:tc>
        <w:tc>
          <w:tcPr>
            <w:tcW w:w="3311" w:type="dxa"/>
            <w:vAlign w:val="center"/>
          </w:tcPr>
          <w:p>
            <w:pPr>
              <w:pStyle w:val="152"/>
              <w:spacing w:line="0" w:lineRule="atLeast"/>
              <w:contextualSpacing w:val="0"/>
              <w:rPr>
                <w:rFonts w:eastAsiaTheme="minorEastAsia"/>
                <w:b w:val="0"/>
                <w:color w:val="auto"/>
                <w:sz w:val="21"/>
                <w:szCs w:val="21"/>
              </w:rPr>
            </w:pPr>
            <w:r>
              <w:rPr>
                <w:rFonts w:hAnsiTheme="minorEastAsia" w:eastAsiaTheme="minorEastAsia"/>
                <w:b w:val="0"/>
                <w:color w:val="auto"/>
                <w:sz w:val="21"/>
                <w:szCs w:val="21"/>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26" w:type="dxa"/>
            <w:vAlign w:val="center"/>
          </w:tcPr>
          <w:p>
            <w:pPr>
              <w:pStyle w:val="152"/>
              <w:spacing w:line="0" w:lineRule="atLeast"/>
              <w:contextualSpacing w:val="0"/>
              <w:rPr>
                <w:rFonts w:ascii="Times New Roman" w:hAnsi="Times New Roman" w:cs="Times New Roman" w:eastAsiaTheme="minorEastAsia"/>
                <w:b w:val="0"/>
                <w:bCs w:val="0"/>
                <w:color w:val="auto"/>
                <w:kern w:val="2"/>
                <w:sz w:val="21"/>
                <w:szCs w:val="21"/>
                <w:lang w:val="en-US" w:eastAsia="zh-CN" w:bidi="ar-SA"/>
              </w:rPr>
            </w:pPr>
            <w:r>
              <w:rPr>
                <w:rFonts w:eastAsiaTheme="minorEastAsia"/>
                <w:b w:val="0"/>
                <w:color w:val="auto"/>
                <w:sz w:val="21"/>
                <w:szCs w:val="21"/>
              </w:rPr>
              <w:t>NH</w:t>
            </w:r>
            <w:r>
              <w:rPr>
                <w:rFonts w:eastAsiaTheme="minorEastAsia"/>
                <w:b w:val="0"/>
                <w:color w:val="auto"/>
                <w:sz w:val="21"/>
                <w:szCs w:val="21"/>
                <w:vertAlign w:val="subscript"/>
              </w:rPr>
              <w:t>3</w:t>
            </w:r>
          </w:p>
        </w:tc>
        <w:tc>
          <w:tcPr>
            <w:tcW w:w="1843" w:type="dxa"/>
            <w:vAlign w:val="center"/>
          </w:tcPr>
          <w:p>
            <w:pPr>
              <w:pStyle w:val="152"/>
              <w:spacing w:line="0" w:lineRule="atLeast"/>
              <w:contextualSpacing w:val="0"/>
              <w:rPr>
                <w:rFonts w:ascii="Times New Roman" w:hAnsi="Times New Roman" w:cs="Times New Roman" w:eastAsiaTheme="minorEastAsia"/>
                <w:b w:val="0"/>
                <w:bCs w:val="0"/>
                <w:color w:val="auto"/>
                <w:kern w:val="2"/>
                <w:sz w:val="21"/>
                <w:szCs w:val="21"/>
                <w:lang w:val="en-US" w:eastAsia="zh-CN" w:bidi="ar-SA"/>
              </w:rPr>
            </w:pPr>
            <w:r>
              <w:rPr>
                <w:rFonts w:eastAsiaTheme="minorEastAsia"/>
                <w:b w:val="0"/>
                <w:color w:val="auto"/>
                <w:sz w:val="21"/>
                <w:szCs w:val="21"/>
              </w:rPr>
              <w:t>1</w:t>
            </w:r>
            <w:r>
              <w:rPr>
                <w:rFonts w:hAnsiTheme="minorEastAsia" w:eastAsiaTheme="minorEastAsia"/>
                <w:b w:val="0"/>
                <w:color w:val="auto"/>
                <w:sz w:val="21"/>
                <w:szCs w:val="21"/>
              </w:rPr>
              <w:t>小时平均</w:t>
            </w:r>
          </w:p>
        </w:tc>
        <w:tc>
          <w:tcPr>
            <w:tcW w:w="1842" w:type="dxa"/>
            <w:vAlign w:val="center"/>
          </w:tcPr>
          <w:p>
            <w:pPr>
              <w:pStyle w:val="152"/>
              <w:spacing w:line="0" w:lineRule="atLeast"/>
              <w:contextualSpacing w:val="0"/>
              <w:rPr>
                <w:rFonts w:ascii="Times New Roman" w:hAnsi="Times New Roman" w:cs="Times New Roman" w:eastAsiaTheme="minorEastAsia"/>
                <w:b w:val="0"/>
                <w:bCs w:val="0"/>
                <w:color w:val="auto"/>
                <w:kern w:val="2"/>
                <w:sz w:val="21"/>
                <w:szCs w:val="21"/>
                <w:lang w:val="en-US" w:eastAsia="zh-CN" w:bidi="ar-SA"/>
              </w:rPr>
            </w:pPr>
            <w:r>
              <w:rPr>
                <w:rFonts w:eastAsiaTheme="minorEastAsia"/>
                <w:b w:val="0"/>
                <w:color w:val="auto"/>
                <w:sz w:val="21"/>
                <w:szCs w:val="21"/>
              </w:rPr>
              <w:t>200</w:t>
            </w:r>
          </w:p>
        </w:tc>
        <w:tc>
          <w:tcPr>
            <w:tcW w:w="3311" w:type="dxa"/>
            <w:vMerge w:val="restart"/>
            <w:vAlign w:val="center"/>
          </w:tcPr>
          <w:p>
            <w:pPr>
              <w:pStyle w:val="152"/>
              <w:spacing w:line="0" w:lineRule="atLeast"/>
              <w:contextualSpacing w:val="0"/>
              <w:rPr>
                <w:rFonts w:hAnsiTheme="minorEastAsia" w:eastAsiaTheme="minorEastAsia"/>
                <w:b w:val="0"/>
                <w:color w:val="auto"/>
                <w:sz w:val="21"/>
                <w:szCs w:val="21"/>
              </w:rPr>
            </w:pPr>
            <w:r>
              <w:rPr>
                <w:rFonts w:hAnsiTheme="minorEastAsia" w:eastAsiaTheme="minorEastAsia"/>
                <w:b w:val="0"/>
                <w:color w:val="auto"/>
                <w:sz w:val="21"/>
                <w:szCs w:val="21"/>
              </w:rPr>
              <w:t>《环境影响评价技术导则大气环境》（</w:t>
            </w:r>
            <w:r>
              <w:rPr>
                <w:rFonts w:eastAsiaTheme="minorEastAsia"/>
                <w:b w:val="0"/>
                <w:color w:val="auto"/>
                <w:sz w:val="21"/>
                <w:szCs w:val="21"/>
              </w:rPr>
              <w:t>HJ2.2-2018</w:t>
            </w:r>
            <w:r>
              <w:rPr>
                <w:rFonts w:hAnsiTheme="minorEastAsia" w:eastAsiaTheme="minorEastAsia"/>
                <w:b w:val="0"/>
                <w:color w:val="auto"/>
                <w:sz w:val="21"/>
                <w:szCs w:val="21"/>
              </w:rPr>
              <w:t>）附录</w:t>
            </w:r>
            <w:r>
              <w:rPr>
                <w:rFonts w:eastAsiaTheme="minorEastAsia"/>
                <w:b w:val="0"/>
                <w:color w:val="auto"/>
                <w:sz w:val="21"/>
                <w:szCs w:val="21"/>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26" w:type="dxa"/>
            <w:vAlign w:val="center"/>
          </w:tcPr>
          <w:p>
            <w:pPr>
              <w:pStyle w:val="152"/>
              <w:spacing w:line="0" w:lineRule="atLeast"/>
              <w:contextualSpacing w:val="0"/>
              <w:rPr>
                <w:rFonts w:ascii="Times New Roman" w:hAnsi="Times New Roman" w:cs="Times New Roman" w:eastAsiaTheme="minorEastAsia"/>
                <w:b w:val="0"/>
                <w:bCs w:val="0"/>
                <w:color w:val="auto"/>
                <w:kern w:val="2"/>
                <w:sz w:val="21"/>
                <w:szCs w:val="21"/>
                <w:lang w:val="en-US" w:eastAsia="zh-CN" w:bidi="ar-SA"/>
              </w:rPr>
            </w:pPr>
            <w:r>
              <w:rPr>
                <w:rFonts w:eastAsiaTheme="minorEastAsia"/>
                <w:b w:val="0"/>
                <w:color w:val="auto"/>
                <w:sz w:val="21"/>
                <w:szCs w:val="21"/>
              </w:rPr>
              <w:t>H</w:t>
            </w:r>
            <w:r>
              <w:rPr>
                <w:rFonts w:eastAsiaTheme="minorEastAsia"/>
                <w:b w:val="0"/>
                <w:color w:val="auto"/>
                <w:sz w:val="21"/>
                <w:szCs w:val="21"/>
                <w:vertAlign w:val="subscript"/>
              </w:rPr>
              <w:t>2</w:t>
            </w:r>
            <w:r>
              <w:rPr>
                <w:rFonts w:eastAsiaTheme="minorEastAsia"/>
                <w:b w:val="0"/>
                <w:color w:val="auto"/>
                <w:sz w:val="21"/>
                <w:szCs w:val="21"/>
              </w:rPr>
              <w:t>S</w:t>
            </w:r>
          </w:p>
        </w:tc>
        <w:tc>
          <w:tcPr>
            <w:tcW w:w="1843" w:type="dxa"/>
            <w:vAlign w:val="center"/>
          </w:tcPr>
          <w:p>
            <w:pPr>
              <w:pStyle w:val="152"/>
              <w:spacing w:line="0" w:lineRule="atLeast"/>
              <w:contextualSpacing w:val="0"/>
              <w:rPr>
                <w:rFonts w:ascii="Times New Roman" w:hAnsi="Times New Roman" w:cs="Times New Roman" w:eastAsiaTheme="minorEastAsia"/>
                <w:b w:val="0"/>
                <w:bCs w:val="0"/>
                <w:color w:val="auto"/>
                <w:kern w:val="2"/>
                <w:sz w:val="21"/>
                <w:szCs w:val="21"/>
                <w:lang w:val="en-US" w:eastAsia="zh-CN" w:bidi="ar-SA"/>
              </w:rPr>
            </w:pPr>
            <w:r>
              <w:rPr>
                <w:rFonts w:eastAsiaTheme="minorEastAsia"/>
                <w:b w:val="0"/>
                <w:color w:val="auto"/>
                <w:sz w:val="21"/>
                <w:szCs w:val="21"/>
              </w:rPr>
              <w:t>1</w:t>
            </w:r>
            <w:r>
              <w:rPr>
                <w:rFonts w:hAnsiTheme="minorEastAsia" w:eastAsiaTheme="minorEastAsia"/>
                <w:b w:val="0"/>
                <w:color w:val="auto"/>
                <w:sz w:val="21"/>
                <w:szCs w:val="21"/>
              </w:rPr>
              <w:t>小时平均</w:t>
            </w:r>
          </w:p>
        </w:tc>
        <w:tc>
          <w:tcPr>
            <w:tcW w:w="1842" w:type="dxa"/>
            <w:vAlign w:val="center"/>
          </w:tcPr>
          <w:p>
            <w:pPr>
              <w:pStyle w:val="152"/>
              <w:spacing w:line="0" w:lineRule="atLeast"/>
              <w:contextualSpacing w:val="0"/>
              <w:rPr>
                <w:rFonts w:ascii="Times New Roman" w:hAnsi="Times New Roman" w:cs="Times New Roman" w:eastAsiaTheme="minorEastAsia"/>
                <w:b w:val="0"/>
                <w:bCs w:val="0"/>
                <w:color w:val="auto"/>
                <w:kern w:val="2"/>
                <w:sz w:val="21"/>
                <w:szCs w:val="21"/>
                <w:lang w:val="en-US" w:eastAsia="zh-CN" w:bidi="ar-SA"/>
              </w:rPr>
            </w:pPr>
            <w:r>
              <w:rPr>
                <w:rFonts w:eastAsiaTheme="minorEastAsia"/>
                <w:b w:val="0"/>
                <w:color w:val="auto"/>
                <w:sz w:val="21"/>
                <w:szCs w:val="21"/>
              </w:rPr>
              <w:t>10</w:t>
            </w:r>
          </w:p>
        </w:tc>
        <w:tc>
          <w:tcPr>
            <w:tcW w:w="3311" w:type="dxa"/>
            <w:vMerge w:val="continue"/>
            <w:vAlign w:val="center"/>
          </w:tcPr>
          <w:p>
            <w:pPr>
              <w:pStyle w:val="152"/>
              <w:spacing w:line="0" w:lineRule="atLeast"/>
              <w:contextualSpacing w:val="0"/>
              <w:rPr>
                <w:rFonts w:hAnsiTheme="minorEastAsia" w:eastAsiaTheme="minorEastAsia"/>
                <w:b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2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eastAsiaTheme="minorEastAsia"/>
                <w:b w:val="0"/>
                <w:color w:val="auto"/>
                <w:sz w:val="21"/>
                <w:szCs w:val="21"/>
              </w:rPr>
            </w:pPr>
            <w:r>
              <w:rPr>
                <w:rFonts w:hint="default" w:ascii="Times New Roman" w:hAnsi="Times New Roman" w:eastAsia="宋体" w:cs="Times New Roman"/>
                <w:smallCaps w:val="0"/>
                <w:snapToGrid w:val="0"/>
                <w:color w:val="auto"/>
                <w:kern w:val="2"/>
                <w:sz w:val="21"/>
                <w:szCs w:val="21"/>
                <w:lang w:val="en-US" w:eastAsia="zh-CN" w:bidi="ar-SA"/>
              </w:rPr>
              <w:t>氮氧化物</w:t>
            </w:r>
            <w:r>
              <w:rPr>
                <w:rFonts w:hint="default" w:ascii="Times New Roman" w:hAnsi="Times New Roman" w:eastAsia="宋体" w:cs="Times New Roman"/>
                <w:smallCaps w:val="0"/>
                <w:snapToGrid w:val="0"/>
                <w:color w:val="auto"/>
                <w:kern w:val="2"/>
                <w:sz w:val="21"/>
                <w:szCs w:val="21"/>
                <w:lang w:val="en-US" w:eastAsia="en-US" w:bidi="ar-SA"/>
              </w:rPr>
              <w:t>（NO</w:t>
            </w:r>
            <w:r>
              <w:rPr>
                <w:rFonts w:hint="default" w:ascii="Times New Roman" w:hAnsi="Times New Roman" w:eastAsia="宋体" w:cs="Times New Roman"/>
                <w:smallCaps w:val="0"/>
                <w:snapToGrid w:val="0"/>
                <w:color w:val="auto"/>
                <w:kern w:val="2"/>
                <w:sz w:val="21"/>
                <w:szCs w:val="21"/>
                <w:lang w:val="en-US" w:eastAsia="zh-CN" w:bidi="ar-SA"/>
              </w:rPr>
              <w:t>x</w:t>
            </w:r>
            <w:r>
              <w:rPr>
                <w:rFonts w:hint="default" w:ascii="Times New Roman" w:hAnsi="Times New Roman" w:eastAsia="宋体" w:cs="Times New Roman"/>
                <w:smallCaps w:val="0"/>
                <w:snapToGrid w:val="0"/>
                <w:color w:val="auto"/>
                <w:kern w:val="2"/>
                <w:sz w:val="21"/>
                <w:szCs w:val="21"/>
                <w:lang w:val="en-US" w:eastAsia="en-US" w:bidi="ar-SA"/>
              </w:rPr>
              <w:t>）</w:t>
            </w:r>
          </w:p>
        </w:tc>
        <w:tc>
          <w:tcPr>
            <w:tcW w:w="184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eastAsiaTheme="minorEastAsia"/>
                <w:b w:val="0"/>
                <w:color w:val="auto"/>
                <w:sz w:val="21"/>
                <w:szCs w:val="21"/>
              </w:rPr>
            </w:pPr>
            <w:r>
              <w:rPr>
                <w:rFonts w:hint="default" w:ascii="Times New Roman" w:hAnsi="Times New Roman" w:eastAsia="宋体" w:cs="Times New Roman"/>
                <w:smallCaps w:val="0"/>
                <w:snapToGrid w:val="0"/>
                <w:color w:val="auto"/>
                <w:kern w:val="2"/>
                <w:sz w:val="21"/>
                <w:szCs w:val="21"/>
                <w:lang w:val="en-US" w:eastAsia="en-US" w:bidi="ar-SA"/>
              </w:rPr>
              <w:t>1小时</w:t>
            </w:r>
          </w:p>
        </w:tc>
        <w:tc>
          <w:tcPr>
            <w:tcW w:w="1842"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eastAsiaTheme="minorEastAsia"/>
                <w:b w:val="0"/>
                <w:color w:val="auto"/>
                <w:sz w:val="21"/>
                <w:szCs w:val="21"/>
              </w:rPr>
            </w:pPr>
            <w:r>
              <w:rPr>
                <w:rFonts w:hint="default" w:ascii="Times New Roman" w:hAnsi="Times New Roman" w:cs="Times New Roman"/>
                <w:smallCaps w:val="0"/>
                <w:snapToGrid w:val="0"/>
                <w:color w:val="auto"/>
                <w:kern w:val="2"/>
                <w:sz w:val="21"/>
                <w:szCs w:val="21"/>
                <w:lang w:val="en-US" w:eastAsia="zh-CN" w:bidi="ar-SA"/>
              </w:rPr>
              <w:t>250</w:t>
            </w:r>
          </w:p>
        </w:tc>
        <w:tc>
          <w:tcPr>
            <w:tcW w:w="3311" w:type="dxa"/>
            <w:vMerge w:val="restart"/>
            <w:vAlign w:val="center"/>
          </w:tcPr>
          <w:p>
            <w:pPr>
              <w:pStyle w:val="152"/>
              <w:spacing w:line="0" w:lineRule="atLeast"/>
              <w:contextualSpacing w:val="0"/>
              <w:rPr>
                <w:rFonts w:hAnsiTheme="minorEastAsia" w:eastAsiaTheme="minorEastAsia"/>
                <w:b w:val="0"/>
                <w:color w:val="auto"/>
                <w:sz w:val="21"/>
                <w:szCs w:val="21"/>
              </w:rPr>
            </w:pPr>
            <w:r>
              <w:rPr>
                <w:rFonts w:hint="default" w:hAnsiTheme="minorEastAsia" w:eastAsiaTheme="minorEastAsia"/>
                <w:b w:val="0"/>
                <w:color w:val="auto"/>
                <w:sz w:val="21"/>
                <w:szCs w:val="21"/>
                <w:lang w:val="en-US" w:eastAsia="zh-CN"/>
              </w:rPr>
              <w:t>《环境空气质量标准》（GB3095-2012）二级标准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2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eastAsiaTheme="minorEastAsia"/>
                <w:b w:val="0"/>
                <w:color w:val="FF0000"/>
                <w:sz w:val="21"/>
                <w:szCs w:val="21"/>
              </w:rPr>
            </w:pPr>
            <w:r>
              <w:rPr>
                <w:rFonts w:hint="default" w:ascii="Times New Roman" w:hAnsi="Times New Roman" w:eastAsia="宋体" w:cs="Times New Roman"/>
                <w:smallCaps w:val="0"/>
                <w:snapToGrid w:val="0"/>
                <w:color w:val="auto"/>
                <w:kern w:val="2"/>
                <w:sz w:val="21"/>
                <w:szCs w:val="21"/>
                <w:lang w:val="en-US" w:eastAsia="zh-CN" w:bidi="ar-SA"/>
              </w:rPr>
              <w:t>二氧化硫</w:t>
            </w:r>
          </w:p>
        </w:tc>
        <w:tc>
          <w:tcPr>
            <w:tcW w:w="184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eastAsiaTheme="minorEastAsia"/>
                <w:b w:val="0"/>
                <w:color w:val="FF0000"/>
                <w:sz w:val="21"/>
                <w:szCs w:val="21"/>
              </w:rPr>
            </w:pPr>
            <w:r>
              <w:rPr>
                <w:rFonts w:hint="default" w:ascii="Times New Roman" w:hAnsi="Times New Roman" w:cs="Times New Roman"/>
                <w:smallCaps w:val="0"/>
                <w:snapToGrid w:val="0"/>
                <w:color w:val="auto"/>
                <w:kern w:val="2"/>
                <w:sz w:val="21"/>
                <w:szCs w:val="21"/>
                <w:lang w:val="en-US" w:eastAsia="zh-CN" w:bidi="ar-SA"/>
              </w:rPr>
              <w:t>1小时</w:t>
            </w:r>
          </w:p>
        </w:tc>
        <w:tc>
          <w:tcPr>
            <w:tcW w:w="1842"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eastAsiaTheme="minorEastAsia"/>
                <w:b w:val="0"/>
                <w:color w:val="FF0000"/>
                <w:sz w:val="21"/>
                <w:szCs w:val="21"/>
              </w:rPr>
            </w:pPr>
            <w:r>
              <w:rPr>
                <w:rFonts w:hint="default" w:ascii="Times New Roman" w:hAnsi="Times New Roman" w:cs="Times New Roman"/>
                <w:smallCaps w:val="0"/>
                <w:snapToGrid w:val="0"/>
                <w:color w:val="auto"/>
                <w:kern w:val="2"/>
                <w:sz w:val="21"/>
                <w:szCs w:val="21"/>
                <w:lang w:val="en-US" w:eastAsia="zh-CN" w:bidi="ar-SA"/>
              </w:rPr>
              <w:t>500</w:t>
            </w:r>
          </w:p>
        </w:tc>
        <w:tc>
          <w:tcPr>
            <w:tcW w:w="3311" w:type="dxa"/>
            <w:vMerge w:val="continue"/>
            <w:vAlign w:val="center"/>
          </w:tcPr>
          <w:p>
            <w:pPr>
              <w:pStyle w:val="152"/>
              <w:spacing w:line="0" w:lineRule="atLeast"/>
              <w:contextualSpacing w:val="0"/>
              <w:rPr>
                <w:rFonts w:eastAsiaTheme="minorEastAsia"/>
                <w:b w:val="0"/>
                <w:color w:val="FF000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2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eastAsiaTheme="minorEastAsia"/>
                <w:b w:val="0"/>
                <w:color w:val="FF0000"/>
                <w:sz w:val="21"/>
                <w:szCs w:val="21"/>
              </w:rPr>
            </w:pPr>
            <w:r>
              <w:rPr>
                <w:rFonts w:hint="default" w:ascii="Times New Roman" w:hAnsi="Times New Roman" w:cs="Times New Roman"/>
                <w:smallCaps w:val="0"/>
                <w:snapToGrid w:val="0"/>
                <w:color w:val="auto"/>
                <w:kern w:val="2"/>
                <w:sz w:val="21"/>
                <w:szCs w:val="21"/>
                <w:lang w:val="en-US" w:eastAsia="zh-CN" w:bidi="ar-SA"/>
              </w:rPr>
              <w:t>颗粒物（PM</w:t>
            </w:r>
            <w:r>
              <w:rPr>
                <w:rFonts w:hint="default" w:ascii="Times New Roman" w:hAnsi="Times New Roman" w:cs="Times New Roman"/>
                <w:smallCaps w:val="0"/>
                <w:snapToGrid w:val="0"/>
                <w:color w:val="auto"/>
                <w:kern w:val="2"/>
                <w:sz w:val="21"/>
                <w:szCs w:val="21"/>
                <w:vertAlign w:val="subscript"/>
                <w:lang w:val="en-US" w:eastAsia="zh-CN" w:bidi="ar-SA"/>
              </w:rPr>
              <w:t>10</w:t>
            </w:r>
            <w:r>
              <w:rPr>
                <w:rFonts w:hint="default" w:ascii="Times New Roman" w:hAnsi="Times New Roman" w:cs="Times New Roman"/>
                <w:smallCaps w:val="0"/>
                <w:snapToGrid w:val="0"/>
                <w:color w:val="auto"/>
                <w:kern w:val="2"/>
                <w:sz w:val="21"/>
                <w:szCs w:val="21"/>
                <w:lang w:val="en-US" w:eastAsia="zh-CN" w:bidi="ar-SA"/>
              </w:rPr>
              <w:t>）</w:t>
            </w:r>
          </w:p>
        </w:tc>
        <w:tc>
          <w:tcPr>
            <w:tcW w:w="184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eastAsiaTheme="minorEastAsia"/>
                <w:b w:val="0"/>
                <w:color w:val="FF0000"/>
                <w:sz w:val="21"/>
                <w:szCs w:val="21"/>
              </w:rPr>
            </w:pPr>
            <w:r>
              <w:rPr>
                <w:rFonts w:hint="default" w:ascii="Times New Roman" w:hAnsi="Times New Roman" w:cs="Times New Roman"/>
                <w:smallCaps w:val="0"/>
                <w:snapToGrid w:val="0"/>
                <w:color w:val="auto"/>
                <w:kern w:val="2"/>
                <w:sz w:val="21"/>
                <w:szCs w:val="21"/>
                <w:lang w:val="en-US" w:eastAsia="zh-CN" w:bidi="ar-SA"/>
              </w:rPr>
              <w:t>24小时</w:t>
            </w:r>
          </w:p>
        </w:tc>
        <w:tc>
          <w:tcPr>
            <w:tcW w:w="1842"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eastAsiaTheme="minorEastAsia"/>
                <w:b w:val="0"/>
                <w:color w:val="FF0000"/>
                <w:sz w:val="21"/>
                <w:szCs w:val="21"/>
              </w:rPr>
            </w:pPr>
            <w:r>
              <w:rPr>
                <w:rFonts w:hint="default" w:ascii="Times New Roman" w:hAnsi="Times New Roman" w:cs="Times New Roman"/>
                <w:smallCaps w:val="0"/>
                <w:snapToGrid w:val="0"/>
                <w:color w:val="auto"/>
                <w:kern w:val="2"/>
                <w:sz w:val="21"/>
                <w:szCs w:val="21"/>
                <w:lang w:val="en-US" w:eastAsia="zh-CN" w:bidi="ar-SA"/>
              </w:rPr>
              <w:t>150</w:t>
            </w:r>
          </w:p>
        </w:tc>
        <w:tc>
          <w:tcPr>
            <w:tcW w:w="3311" w:type="dxa"/>
            <w:vMerge w:val="continue"/>
            <w:vAlign w:val="center"/>
          </w:tcPr>
          <w:p>
            <w:pPr>
              <w:pStyle w:val="74"/>
              <w:adjustRightInd/>
              <w:snapToGrid/>
              <w:spacing w:line="0" w:lineRule="atLeast"/>
              <w:ind w:firstLine="0" w:firstLineChars="0"/>
              <w:jc w:val="center"/>
              <w:rPr>
                <w:rFonts w:ascii="Times New Roman" w:hAnsi="Times New Roman" w:cs="Times New Roman"/>
                <w:color w:val="FF0000"/>
                <w:kern w:val="0"/>
                <w:sz w:val="21"/>
                <w:szCs w:val="21"/>
              </w:rPr>
            </w:pPr>
          </w:p>
        </w:tc>
      </w:tr>
    </w:tbl>
    <w:p>
      <w:pPr>
        <w:pStyle w:val="152"/>
        <w:rPr>
          <w:rFonts w:hint="eastAsia" w:eastAsia="宋体"/>
          <w:color w:val="auto"/>
          <w:highlight w:val="none"/>
          <w:lang w:eastAsia="zh-CN"/>
        </w:rPr>
      </w:pPr>
      <w:r>
        <w:rPr>
          <w:color w:val="auto"/>
          <w:highlight w:val="none"/>
        </w:rPr>
        <w:t>表5-2-2  主要废气污染源参数一览表(点源)</w:t>
      </w:r>
    </w:p>
    <w:tbl>
      <w:tblPr>
        <w:tblStyle w:val="46"/>
        <w:tblpPr w:leftFromText="180" w:rightFromText="180" w:vertAnchor="text" w:tblpXSpec="center" w:tblpY="1"/>
        <w:tblOverlap w:val="never"/>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23"/>
        <w:gridCol w:w="358"/>
        <w:gridCol w:w="882"/>
        <w:gridCol w:w="934"/>
        <w:gridCol w:w="521"/>
        <w:gridCol w:w="521"/>
        <w:gridCol w:w="521"/>
        <w:gridCol w:w="632"/>
        <w:gridCol w:w="334"/>
        <w:gridCol w:w="474"/>
        <w:gridCol w:w="223"/>
        <w:gridCol w:w="599"/>
        <w:gridCol w:w="599"/>
        <w:gridCol w:w="516"/>
        <w:gridCol w:w="509"/>
        <w:gridCol w:w="5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802" w:hRule="atLeast"/>
        </w:trPr>
        <w:tc>
          <w:tcPr>
            <w:tcW w:w="223"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编号</w:t>
            </w:r>
          </w:p>
        </w:tc>
        <w:tc>
          <w:tcPr>
            <w:tcW w:w="358"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名称</w:t>
            </w:r>
          </w:p>
        </w:tc>
        <w:tc>
          <w:tcPr>
            <w:tcW w:w="1816" w:type="dxa"/>
            <w:gridSpan w:val="2"/>
            <w:vAlign w:val="center"/>
          </w:tcPr>
          <w:p>
            <w:pPr>
              <w:spacing w:line="0" w:lineRule="atLeast"/>
              <w:jc w:val="center"/>
              <w:rPr>
                <w:rFonts w:eastAsiaTheme="minorEastAsia"/>
                <w:color w:val="auto"/>
                <w:szCs w:val="21"/>
              </w:rPr>
            </w:pPr>
            <w:r>
              <w:rPr>
                <w:rFonts w:hAnsiTheme="minorEastAsia" w:eastAsiaTheme="minorEastAsia"/>
                <w:color w:val="auto"/>
                <w:szCs w:val="21"/>
              </w:rPr>
              <w:t>排气筒底部中心坐标（</w:t>
            </w:r>
            <w:r>
              <w:rPr>
                <w:rFonts w:eastAsiaTheme="minorEastAsia"/>
                <w:color w:val="auto"/>
                <w:szCs w:val="21"/>
                <w:vertAlign w:val="superscript"/>
              </w:rPr>
              <w:t>o</w:t>
            </w:r>
            <w:r>
              <w:rPr>
                <w:rFonts w:hAnsiTheme="minorEastAsia" w:eastAsiaTheme="minorEastAsia"/>
                <w:color w:val="auto"/>
                <w:szCs w:val="21"/>
              </w:rPr>
              <w:t>）</w:t>
            </w:r>
          </w:p>
        </w:tc>
        <w:tc>
          <w:tcPr>
            <w:tcW w:w="521"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排气筒底部海拔高度（</w:t>
            </w:r>
            <w:r>
              <w:rPr>
                <w:rFonts w:eastAsiaTheme="minorEastAsia"/>
                <w:color w:val="auto"/>
                <w:szCs w:val="21"/>
              </w:rPr>
              <w:t>m</w:t>
            </w:r>
            <w:r>
              <w:rPr>
                <w:rFonts w:hAnsiTheme="minorEastAsia" w:eastAsiaTheme="minorEastAsia"/>
                <w:color w:val="auto"/>
                <w:szCs w:val="21"/>
              </w:rPr>
              <w:t>）</w:t>
            </w:r>
          </w:p>
        </w:tc>
        <w:tc>
          <w:tcPr>
            <w:tcW w:w="521"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排气筒高度（</w:t>
            </w:r>
            <w:r>
              <w:rPr>
                <w:rFonts w:eastAsiaTheme="minorEastAsia"/>
                <w:color w:val="auto"/>
                <w:szCs w:val="21"/>
              </w:rPr>
              <w:t>m</w:t>
            </w:r>
            <w:r>
              <w:rPr>
                <w:rFonts w:hAnsiTheme="minorEastAsia" w:eastAsiaTheme="minorEastAsia"/>
                <w:color w:val="auto"/>
                <w:szCs w:val="21"/>
              </w:rPr>
              <w:t>）</w:t>
            </w:r>
          </w:p>
        </w:tc>
        <w:tc>
          <w:tcPr>
            <w:tcW w:w="521"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排气筒出口内径（</w:t>
            </w:r>
            <w:r>
              <w:rPr>
                <w:rFonts w:eastAsiaTheme="minorEastAsia"/>
                <w:color w:val="auto"/>
                <w:szCs w:val="21"/>
              </w:rPr>
              <w:t>m</w:t>
            </w:r>
            <w:r>
              <w:rPr>
                <w:rFonts w:hAnsiTheme="minorEastAsia" w:eastAsiaTheme="minorEastAsia"/>
                <w:color w:val="auto"/>
                <w:szCs w:val="21"/>
              </w:rPr>
              <w:t>）</w:t>
            </w:r>
          </w:p>
        </w:tc>
        <w:tc>
          <w:tcPr>
            <w:tcW w:w="632"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烟气流速（</w:t>
            </w:r>
            <w:r>
              <w:rPr>
                <w:rFonts w:eastAsiaTheme="minorEastAsia"/>
                <w:color w:val="auto"/>
                <w:szCs w:val="21"/>
              </w:rPr>
              <w:t>m/s</w:t>
            </w:r>
            <w:r>
              <w:rPr>
                <w:rFonts w:hAnsiTheme="minorEastAsia" w:eastAsiaTheme="minorEastAsia"/>
                <w:color w:val="auto"/>
                <w:szCs w:val="21"/>
              </w:rPr>
              <w:t>）</w:t>
            </w:r>
          </w:p>
        </w:tc>
        <w:tc>
          <w:tcPr>
            <w:tcW w:w="334"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烟气温度</w:t>
            </w:r>
          </w:p>
          <w:p>
            <w:pPr>
              <w:spacing w:line="0" w:lineRule="atLeast"/>
              <w:jc w:val="center"/>
              <w:rPr>
                <w:rFonts w:eastAsiaTheme="minorEastAsia"/>
                <w:color w:val="auto"/>
                <w:szCs w:val="21"/>
              </w:rPr>
            </w:pPr>
            <w:r>
              <w:rPr>
                <w:rFonts w:eastAsiaTheme="minorEastAsia"/>
                <w:color w:val="auto"/>
                <w:szCs w:val="21"/>
              </w:rPr>
              <w:t>(</w:t>
            </w:r>
            <w:r>
              <w:rPr>
                <w:rFonts w:hAnsiTheme="minorEastAsia" w:eastAsiaTheme="minorEastAsia"/>
                <w:color w:val="auto"/>
                <w:szCs w:val="21"/>
              </w:rPr>
              <w:t>℃</w:t>
            </w:r>
            <w:r>
              <w:rPr>
                <w:rFonts w:eastAsiaTheme="minorEastAsia"/>
                <w:color w:val="auto"/>
                <w:szCs w:val="21"/>
              </w:rPr>
              <w:t>)</w:t>
            </w:r>
          </w:p>
        </w:tc>
        <w:tc>
          <w:tcPr>
            <w:tcW w:w="474"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年排放小时数（</w:t>
            </w:r>
            <w:r>
              <w:rPr>
                <w:rFonts w:eastAsiaTheme="minorEastAsia"/>
                <w:color w:val="auto"/>
                <w:szCs w:val="21"/>
              </w:rPr>
              <w:t>h</w:t>
            </w:r>
            <w:r>
              <w:rPr>
                <w:rFonts w:hAnsiTheme="minorEastAsia" w:eastAsiaTheme="minorEastAsia"/>
                <w:color w:val="auto"/>
                <w:szCs w:val="21"/>
              </w:rPr>
              <w:t>）</w:t>
            </w:r>
          </w:p>
        </w:tc>
        <w:tc>
          <w:tcPr>
            <w:tcW w:w="223" w:type="dxa"/>
            <w:vMerge w:val="restart"/>
            <w:vAlign w:val="center"/>
          </w:tcPr>
          <w:p>
            <w:pPr>
              <w:spacing w:line="0" w:lineRule="atLeast"/>
              <w:contextualSpacing/>
              <w:jc w:val="center"/>
              <w:rPr>
                <w:rFonts w:eastAsiaTheme="minorEastAsia"/>
                <w:color w:val="auto"/>
                <w:szCs w:val="21"/>
              </w:rPr>
            </w:pPr>
            <w:r>
              <w:rPr>
                <w:rFonts w:hAnsiTheme="minorEastAsia" w:eastAsiaTheme="minorEastAsia"/>
                <w:color w:val="auto"/>
                <w:szCs w:val="21"/>
              </w:rPr>
              <w:t>排放工况</w:t>
            </w:r>
          </w:p>
        </w:tc>
        <w:tc>
          <w:tcPr>
            <w:tcW w:w="2739" w:type="dxa"/>
            <w:gridSpan w:val="5"/>
            <w:vMerge w:val="restart"/>
            <w:vAlign w:val="center"/>
          </w:tcPr>
          <w:p>
            <w:pPr>
              <w:spacing w:line="0" w:lineRule="atLeast"/>
              <w:contextualSpacing/>
              <w:jc w:val="center"/>
              <w:rPr>
                <w:rFonts w:hAnsiTheme="minorEastAsia" w:eastAsiaTheme="minorEastAsia"/>
                <w:color w:val="auto"/>
                <w:szCs w:val="21"/>
              </w:rPr>
            </w:pPr>
            <w:r>
              <w:rPr>
                <w:rFonts w:hAnsiTheme="minorEastAsia" w:eastAsiaTheme="minorEastAsia"/>
                <w:color w:val="auto"/>
                <w:szCs w:val="21"/>
              </w:rPr>
              <w:t>污染物排放速率（</w:t>
            </w:r>
            <w:r>
              <w:rPr>
                <w:rFonts w:eastAsiaTheme="minorEastAsia"/>
                <w:color w:val="auto"/>
                <w:szCs w:val="21"/>
              </w:rPr>
              <w:t>kg/h</w:t>
            </w:r>
            <w:r>
              <w:rPr>
                <w:rFonts w:hAnsiTheme="minorEastAsia" w:eastAsiaTheme="minorEastAsia"/>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12" w:hRule="atLeast"/>
        </w:trPr>
        <w:tc>
          <w:tcPr>
            <w:tcW w:w="223" w:type="dxa"/>
            <w:vMerge w:val="continue"/>
            <w:vAlign w:val="center"/>
          </w:tcPr>
          <w:p>
            <w:pPr>
              <w:spacing w:line="0" w:lineRule="atLeast"/>
              <w:jc w:val="center"/>
              <w:rPr>
                <w:rFonts w:eastAsiaTheme="minorEastAsia"/>
                <w:color w:val="auto"/>
                <w:szCs w:val="21"/>
              </w:rPr>
            </w:pPr>
          </w:p>
        </w:tc>
        <w:tc>
          <w:tcPr>
            <w:tcW w:w="358" w:type="dxa"/>
            <w:vMerge w:val="continue"/>
            <w:vAlign w:val="center"/>
          </w:tcPr>
          <w:p>
            <w:pPr>
              <w:spacing w:line="0" w:lineRule="atLeast"/>
              <w:jc w:val="center"/>
              <w:rPr>
                <w:rFonts w:eastAsiaTheme="minorEastAsia"/>
                <w:color w:val="auto"/>
                <w:szCs w:val="21"/>
              </w:rPr>
            </w:pPr>
          </w:p>
        </w:tc>
        <w:tc>
          <w:tcPr>
            <w:tcW w:w="882"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经度</w:t>
            </w:r>
          </w:p>
        </w:tc>
        <w:tc>
          <w:tcPr>
            <w:tcW w:w="934"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纬度</w:t>
            </w:r>
          </w:p>
        </w:tc>
        <w:tc>
          <w:tcPr>
            <w:tcW w:w="521" w:type="dxa"/>
            <w:vMerge w:val="continue"/>
            <w:vAlign w:val="center"/>
          </w:tcPr>
          <w:p>
            <w:pPr>
              <w:spacing w:line="0" w:lineRule="atLeast"/>
              <w:jc w:val="center"/>
              <w:rPr>
                <w:rFonts w:eastAsiaTheme="minorEastAsia"/>
                <w:color w:val="auto"/>
                <w:szCs w:val="21"/>
              </w:rPr>
            </w:pPr>
          </w:p>
        </w:tc>
        <w:tc>
          <w:tcPr>
            <w:tcW w:w="521" w:type="dxa"/>
            <w:vMerge w:val="continue"/>
            <w:vAlign w:val="center"/>
          </w:tcPr>
          <w:p>
            <w:pPr>
              <w:spacing w:line="0" w:lineRule="atLeast"/>
              <w:jc w:val="center"/>
              <w:rPr>
                <w:rFonts w:eastAsiaTheme="minorEastAsia"/>
                <w:color w:val="auto"/>
                <w:szCs w:val="21"/>
              </w:rPr>
            </w:pPr>
          </w:p>
        </w:tc>
        <w:tc>
          <w:tcPr>
            <w:tcW w:w="521" w:type="dxa"/>
            <w:vMerge w:val="continue"/>
            <w:vAlign w:val="center"/>
          </w:tcPr>
          <w:p>
            <w:pPr>
              <w:spacing w:line="0" w:lineRule="atLeast"/>
              <w:jc w:val="center"/>
              <w:rPr>
                <w:rFonts w:eastAsiaTheme="minorEastAsia"/>
                <w:color w:val="auto"/>
                <w:szCs w:val="21"/>
              </w:rPr>
            </w:pPr>
          </w:p>
        </w:tc>
        <w:tc>
          <w:tcPr>
            <w:tcW w:w="632" w:type="dxa"/>
            <w:vMerge w:val="continue"/>
            <w:vAlign w:val="center"/>
          </w:tcPr>
          <w:p>
            <w:pPr>
              <w:spacing w:line="0" w:lineRule="atLeast"/>
              <w:jc w:val="center"/>
              <w:rPr>
                <w:rFonts w:eastAsiaTheme="minorEastAsia"/>
                <w:color w:val="auto"/>
                <w:szCs w:val="21"/>
              </w:rPr>
            </w:pPr>
          </w:p>
        </w:tc>
        <w:tc>
          <w:tcPr>
            <w:tcW w:w="334" w:type="dxa"/>
            <w:vMerge w:val="continue"/>
            <w:vAlign w:val="center"/>
          </w:tcPr>
          <w:p>
            <w:pPr>
              <w:widowControl/>
              <w:spacing w:line="0" w:lineRule="atLeast"/>
              <w:jc w:val="center"/>
              <w:rPr>
                <w:rFonts w:eastAsiaTheme="minorEastAsia"/>
                <w:color w:val="auto"/>
                <w:szCs w:val="21"/>
              </w:rPr>
            </w:pPr>
          </w:p>
        </w:tc>
        <w:tc>
          <w:tcPr>
            <w:tcW w:w="474" w:type="dxa"/>
            <w:vMerge w:val="continue"/>
            <w:vAlign w:val="center"/>
          </w:tcPr>
          <w:p>
            <w:pPr>
              <w:spacing w:line="0" w:lineRule="atLeast"/>
              <w:jc w:val="center"/>
              <w:rPr>
                <w:rFonts w:eastAsiaTheme="minorEastAsia"/>
                <w:color w:val="auto"/>
                <w:szCs w:val="21"/>
              </w:rPr>
            </w:pPr>
          </w:p>
        </w:tc>
        <w:tc>
          <w:tcPr>
            <w:tcW w:w="223" w:type="dxa"/>
            <w:vMerge w:val="continue"/>
            <w:vAlign w:val="center"/>
          </w:tcPr>
          <w:p>
            <w:pPr>
              <w:spacing w:line="0" w:lineRule="atLeast"/>
              <w:jc w:val="center"/>
              <w:rPr>
                <w:rFonts w:eastAsiaTheme="minorEastAsia"/>
                <w:color w:val="auto"/>
                <w:szCs w:val="21"/>
              </w:rPr>
            </w:pPr>
          </w:p>
        </w:tc>
        <w:tc>
          <w:tcPr>
            <w:tcW w:w="2739" w:type="dxa"/>
            <w:gridSpan w:val="5"/>
            <w:vMerge w:val="continue"/>
            <w:vAlign w:val="center"/>
          </w:tcPr>
          <w:p>
            <w:pPr>
              <w:spacing w:line="0" w:lineRule="atLeast"/>
              <w:jc w:val="center"/>
              <w:rPr>
                <w:rFonts w:eastAsiaTheme="minorEastAsia"/>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172" w:hRule="atLeast"/>
        </w:trPr>
        <w:tc>
          <w:tcPr>
            <w:tcW w:w="223" w:type="dxa"/>
            <w:vMerge w:val="continue"/>
            <w:vAlign w:val="center"/>
          </w:tcPr>
          <w:p>
            <w:pPr>
              <w:spacing w:line="0" w:lineRule="atLeast"/>
              <w:jc w:val="center"/>
              <w:rPr>
                <w:rFonts w:eastAsiaTheme="minorEastAsia"/>
                <w:color w:val="auto"/>
                <w:szCs w:val="21"/>
              </w:rPr>
            </w:pPr>
          </w:p>
        </w:tc>
        <w:tc>
          <w:tcPr>
            <w:tcW w:w="358" w:type="dxa"/>
            <w:vMerge w:val="continue"/>
            <w:vAlign w:val="center"/>
          </w:tcPr>
          <w:p>
            <w:pPr>
              <w:spacing w:line="0" w:lineRule="atLeast"/>
              <w:jc w:val="center"/>
              <w:rPr>
                <w:rFonts w:eastAsiaTheme="minorEastAsia"/>
                <w:color w:val="auto"/>
                <w:szCs w:val="21"/>
              </w:rPr>
            </w:pPr>
          </w:p>
        </w:tc>
        <w:tc>
          <w:tcPr>
            <w:tcW w:w="882" w:type="dxa"/>
            <w:vMerge w:val="continue"/>
            <w:vAlign w:val="center"/>
          </w:tcPr>
          <w:p>
            <w:pPr>
              <w:spacing w:line="0" w:lineRule="atLeast"/>
              <w:jc w:val="center"/>
              <w:rPr>
                <w:rFonts w:eastAsiaTheme="minorEastAsia"/>
                <w:color w:val="auto"/>
                <w:szCs w:val="21"/>
              </w:rPr>
            </w:pPr>
          </w:p>
        </w:tc>
        <w:tc>
          <w:tcPr>
            <w:tcW w:w="934" w:type="dxa"/>
            <w:vMerge w:val="continue"/>
            <w:vAlign w:val="center"/>
          </w:tcPr>
          <w:p>
            <w:pPr>
              <w:spacing w:line="0" w:lineRule="atLeast"/>
              <w:jc w:val="center"/>
              <w:rPr>
                <w:rFonts w:eastAsiaTheme="minorEastAsia"/>
                <w:color w:val="auto"/>
                <w:szCs w:val="21"/>
              </w:rPr>
            </w:pPr>
          </w:p>
        </w:tc>
        <w:tc>
          <w:tcPr>
            <w:tcW w:w="521" w:type="dxa"/>
            <w:vMerge w:val="continue"/>
            <w:vAlign w:val="center"/>
          </w:tcPr>
          <w:p>
            <w:pPr>
              <w:spacing w:line="0" w:lineRule="atLeast"/>
              <w:jc w:val="center"/>
              <w:rPr>
                <w:rFonts w:eastAsiaTheme="minorEastAsia"/>
                <w:color w:val="auto"/>
                <w:szCs w:val="21"/>
              </w:rPr>
            </w:pPr>
          </w:p>
        </w:tc>
        <w:tc>
          <w:tcPr>
            <w:tcW w:w="521" w:type="dxa"/>
            <w:vMerge w:val="continue"/>
            <w:vAlign w:val="center"/>
          </w:tcPr>
          <w:p>
            <w:pPr>
              <w:spacing w:line="0" w:lineRule="atLeast"/>
              <w:jc w:val="center"/>
              <w:rPr>
                <w:rFonts w:eastAsiaTheme="minorEastAsia"/>
                <w:color w:val="auto"/>
                <w:szCs w:val="21"/>
              </w:rPr>
            </w:pPr>
          </w:p>
        </w:tc>
        <w:tc>
          <w:tcPr>
            <w:tcW w:w="521" w:type="dxa"/>
            <w:vMerge w:val="continue"/>
            <w:vAlign w:val="center"/>
          </w:tcPr>
          <w:p>
            <w:pPr>
              <w:spacing w:line="0" w:lineRule="atLeast"/>
              <w:jc w:val="center"/>
              <w:rPr>
                <w:rFonts w:eastAsiaTheme="minorEastAsia"/>
                <w:color w:val="auto"/>
                <w:szCs w:val="21"/>
              </w:rPr>
            </w:pPr>
          </w:p>
        </w:tc>
        <w:tc>
          <w:tcPr>
            <w:tcW w:w="632" w:type="dxa"/>
            <w:vMerge w:val="continue"/>
            <w:vAlign w:val="center"/>
          </w:tcPr>
          <w:p>
            <w:pPr>
              <w:spacing w:line="0" w:lineRule="atLeast"/>
              <w:jc w:val="center"/>
              <w:rPr>
                <w:rFonts w:eastAsiaTheme="minorEastAsia"/>
                <w:color w:val="auto"/>
                <w:szCs w:val="21"/>
              </w:rPr>
            </w:pPr>
          </w:p>
        </w:tc>
        <w:tc>
          <w:tcPr>
            <w:tcW w:w="334" w:type="dxa"/>
            <w:vMerge w:val="continue"/>
            <w:vAlign w:val="center"/>
          </w:tcPr>
          <w:p>
            <w:pPr>
              <w:widowControl/>
              <w:spacing w:line="0" w:lineRule="atLeast"/>
              <w:jc w:val="center"/>
              <w:rPr>
                <w:rFonts w:eastAsiaTheme="minorEastAsia"/>
                <w:color w:val="auto"/>
                <w:szCs w:val="21"/>
              </w:rPr>
            </w:pPr>
          </w:p>
        </w:tc>
        <w:tc>
          <w:tcPr>
            <w:tcW w:w="474" w:type="dxa"/>
            <w:vMerge w:val="continue"/>
            <w:vAlign w:val="center"/>
          </w:tcPr>
          <w:p>
            <w:pPr>
              <w:spacing w:line="0" w:lineRule="atLeast"/>
              <w:jc w:val="center"/>
              <w:rPr>
                <w:rFonts w:eastAsiaTheme="minorEastAsia"/>
                <w:color w:val="auto"/>
                <w:szCs w:val="21"/>
              </w:rPr>
            </w:pPr>
          </w:p>
        </w:tc>
        <w:tc>
          <w:tcPr>
            <w:tcW w:w="223" w:type="dxa"/>
            <w:vMerge w:val="continue"/>
            <w:vAlign w:val="center"/>
          </w:tcPr>
          <w:p>
            <w:pPr>
              <w:spacing w:line="0" w:lineRule="atLeast"/>
              <w:jc w:val="center"/>
              <w:rPr>
                <w:rFonts w:eastAsiaTheme="minorEastAsia"/>
                <w:color w:val="auto"/>
                <w:szCs w:val="21"/>
              </w:rPr>
            </w:pPr>
          </w:p>
        </w:tc>
        <w:tc>
          <w:tcPr>
            <w:tcW w:w="599" w:type="dxa"/>
            <w:vAlign w:val="center"/>
          </w:tcPr>
          <w:p>
            <w:pPr>
              <w:spacing w:line="0" w:lineRule="atLeast"/>
              <w:jc w:val="center"/>
              <w:rPr>
                <w:rFonts w:eastAsiaTheme="minorEastAsia"/>
                <w:color w:val="auto"/>
                <w:szCs w:val="21"/>
              </w:rPr>
            </w:pPr>
            <w:r>
              <w:rPr>
                <w:rFonts w:eastAsiaTheme="minorEastAsia"/>
                <w:color w:val="auto"/>
                <w:szCs w:val="21"/>
              </w:rPr>
              <w:t>NH</w:t>
            </w:r>
            <w:r>
              <w:rPr>
                <w:rFonts w:eastAsiaTheme="minorEastAsia"/>
                <w:color w:val="auto"/>
                <w:szCs w:val="21"/>
                <w:vertAlign w:val="subscript"/>
              </w:rPr>
              <w:t>3</w:t>
            </w:r>
          </w:p>
        </w:tc>
        <w:tc>
          <w:tcPr>
            <w:tcW w:w="599" w:type="dxa"/>
            <w:vAlign w:val="center"/>
          </w:tcPr>
          <w:p>
            <w:pPr>
              <w:spacing w:line="0" w:lineRule="atLeast"/>
              <w:jc w:val="center"/>
              <w:rPr>
                <w:rFonts w:eastAsiaTheme="minorEastAsia"/>
                <w:color w:val="auto"/>
                <w:szCs w:val="21"/>
              </w:rPr>
            </w:pPr>
            <w:r>
              <w:rPr>
                <w:rFonts w:eastAsiaTheme="minorEastAsia"/>
                <w:color w:val="auto"/>
                <w:szCs w:val="21"/>
              </w:rPr>
              <w:t>H</w:t>
            </w:r>
            <w:r>
              <w:rPr>
                <w:rFonts w:eastAsiaTheme="minorEastAsia"/>
                <w:color w:val="auto"/>
                <w:szCs w:val="21"/>
                <w:vertAlign w:val="subscript"/>
              </w:rPr>
              <w:t>2</w:t>
            </w:r>
            <w:r>
              <w:rPr>
                <w:rFonts w:eastAsiaTheme="minorEastAsia"/>
                <w:color w:val="auto"/>
                <w:szCs w:val="21"/>
              </w:rPr>
              <w:t>S</w:t>
            </w:r>
          </w:p>
        </w:tc>
        <w:tc>
          <w:tcPr>
            <w:tcW w:w="516" w:type="dxa"/>
            <w:vAlign w:val="center"/>
          </w:tcPr>
          <w:p>
            <w:pPr>
              <w:spacing w:line="0" w:lineRule="atLeast"/>
              <w:jc w:val="center"/>
              <w:rPr>
                <w:rFonts w:hint="eastAsia" w:eastAsiaTheme="minorEastAsia"/>
                <w:color w:val="auto"/>
                <w:szCs w:val="21"/>
                <w:lang w:val="en-US" w:eastAsia="zh-CN"/>
              </w:rPr>
            </w:pPr>
            <w:r>
              <w:rPr>
                <w:rFonts w:hint="eastAsia" w:eastAsiaTheme="minorEastAsia"/>
                <w:color w:val="auto"/>
                <w:szCs w:val="21"/>
                <w:lang w:val="en-US" w:eastAsia="zh-CN"/>
              </w:rPr>
              <w:t>颗粒物</w:t>
            </w:r>
          </w:p>
        </w:tc>
        <w:tc>
          <w:tcPr>
            <w:tcW w:w="509" w:type="dxa"/>
            <w:vAlign w:val="center"/>
          </w:tcPr>
          <w:p>
            <w:pPr>
              <w:spacing w:line="0" w:lineRule="atLeast"/>
              <w:jc w:val="center"/>
              <w:rPr>
                <w:rFonts w:eastAsiaTheme="minorEastAsia"/>
                <w:color w:val="FF0000"/>
                <w:szCs w:val="21"/>
              </w:rPr>
            </w:pPr>
            <w:r>
              <w:rPr>
                <w:snapToGrid w:val="0"/>
                <w:color w:val="auto"/>
                <w:kern w:val="0"/>
                <w:highlight w:val="none"/>
              </w:rPr>
              <w:t>NO</w:t>
            </w:r>
            <w:r>
              <w:rPr>
                <w:snapToGrid w:val="0"/>
                <w:color w:val="auto"/>
                <w:kern w:val="0"/>
                <w:highlight w:val="none"/>
                <w:vertAlign w:val="subscript"/>
              </w:rPr>
              <w:t>x</w:t>
            </w:r>
          </w:p>
        </w:tc>
        <w:tc>
          <w:tcPr>
            <w:tcW w:w="516" w:type="dxa"/>
            <w:vAlign w:val="center"/>
          </w:tcPr>
          <w:p>
            <w:pPr>
              <w:spacing w:line="0" w:lineRule="atLeast"/>
              <w:jc w:val="center"/>
              <w:rPr>
                <w:rFonts w:eastAsiaTheme="minorEastAsia"/>
                <w:color w:val="FF0000"/>
                <w:szCs w:val="21"/>
              </w:rPr>
            </w:pPr>
            <w:r>
              <w:rPr>
                <w:snapToGrid w:val="0"/>
                <w:color w:val="auto"/>
                <w:kern w:val="0"/>
                <w:highlight w:val="none"/>
              </w:rPr>
              <w:t>SO</w:t>
            </w:r>
            <w:r>
              <w:rPr>
                <w:snapToGrid w:val="0"/>
                <w:color w:val="auto"/>
                <w:kern w:val="0"/>
                <w:highlight w:val="none"/>
                <w:vertAlign w:val="sub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814" w:hRule="atLeast"/>
        </w:trPr>
        <w:tc>
          <w:tcPr>
            <w:tcW w:w="223" w:type="dxa"/>
            <w:vAlign w:val="center"/>
          </w:tcPr>
          <w:p>
            <w:pPr>
              <w:spacing w:line="0" w:lineRule="atLeast"/>
              <w:jc w:val="center"/>
              <w:rPr>
                <w:rFonts w:eastAsiaTheme="minorEastAsia"/>
                <w:bCs/>
                <w:color w:val="auto"/>
                <w:szCs w:val="21"/>
              </w:rPr>
            </w:pPr>
            <w:r>
              <w:rPr>
                <w:rFonts w:eastAsiaTheme="minorEastAsia"/>
                <w:bCs/>
                <w:color w:val="auto"/>
                <w:szCs w:val="21"/>
              </w:rPr>
              <w:t>1</w:t>
            </w:r>
          </w:p>
        </w:tc>
        <w:tc>
          <w:tcPr>
            <w:tcW w:w="358" w:type="dxa"/>
            <w:vAlign w:val="center"/>
          </w:tcPr>
          <w:p>
            <w:pPr>
              <w:spacing w:line="0" w:lineRule="atLeast"/>
              <w:jc w:val="center"/>
              <w:rPr>
                <w:rFonts w:eastAsiaTheme="minorEastAsia"/>
                <w:bCs/>
                <w:color w:val="auto"/>
                <w:szCs w:val="21"/>
              </w:rPr>
            </w:pPr>
            <w:r>
              <w:rPr>
                <w:rFonts w:hint="eastAsia" w:hAnsiTheme="minorEastAsia" w:eastAsiaTheme="minorEastAsia"/>
                <w:bCs/>
                <w:color w:val="auto"/>
                <w:szCs w:val="21"/>
              </w:rPr>
              <w:t>屠宰</w:t>
            </w:r>
            <w:r>
              <w:rPr>
                <w:rFonts w:hAnsiTheme="minorEastAsia" w:eastAsiaTheme="minorEastAsia"/>
                <w:bCs/>
                <w:color w:val="auto"/>
                <w:szCs w:val="21"/>
              </w:rPr>
              <w:t>车间排气筒</w:t>
            </w:r>
          </w:p>
        </w:tc>
        <w:tc>
          <w:tcPr>
            <w:tcW w:w="882" w:type="dxa"/>
            <w:vAlign w:val="center"/>
          </w:tcPr>
          <w:p>
            <w:pPr>
              <w:jc w:val="center"/>
              <w:rPr>
                <w:rFonts w:eastAsiaTheme="minorEastAsia"/>
                <w:color w:val="auto"/>
                <w:szCs w:val="21"/>
              </w:rPr>
            </w:pPr>
            <w:r>
              <w:rPr>
                <w:rFonts w:eastAsiaTheme="minorEastAsia"/>
                <w:color w:val="auto"/>
                <w:szCs w:val="21"/>
              </w:rPr>
              <w:t>127.80981302</w:t>
            </w:r>
          </w:p>
        </w:tc>
        <w:tc>
          <w:tcPr>
            <w:tcW w:w="934" w:type="dxa"/>
            <w:vAlign w:val="center"/>
          </w:tcPr>
          <w:p>
            <w:pPr>
              <w:jc w:val="center"/>
              <w:rPr>
                <w:rFonts w:eastAsiaTheme="minorEastAsia"/>
                <w:color w:val="auto"/>
                <w:szCs w:val="21"/>
              </w:rPr>
            </w:pPr>
            <w:r>
              <w:rPr>
                <w:rFonts w:eastAsiaTheme="minorEastAsia"/>
                <w:color w:val="auto"/>
                <w:szCs w:val="21"/>
              </w:rPr>
              <w:t>45.30522157</w:t>
            </w:r>
          </w:p>
        </w:tc>
        <w:tc>
          <w:tcPr>
            <w:tcW w:w="521" w:type="dxa"/>
            <w:vAlign w:val="center"/>
          </w:tcPr>
          <w:p>
            <w:pPr>
              <w:jc w:val="center"/>
              <w:rPr>
                <w:rFonts w:hint="default" w:eastAsiaTheme="minorEastAsia"/>
                <w:color w:val="auto"/>
                <w:szCs w:val="21"/>
                <w:lang w:val="en-US" w:eastAsia="zh-CN"/>
              </w:rPr>
            </w:pPr>
            <w:r>
              <w:rPr>
                <w:rFonts w:hint="eastAsia" w:eastAsiaTheme="minorEastAsia"/>
                <w:color w:val="auto"/>
                <w:szCs w:val="21"/>
                <w:lang w:val="en-US" w:eastAsia="zh-CN"/>
              </w:rPr>
              <w:t>236</w:t>
            </w:r>
          </w:p>
        </w:tc>
        <w:tc>
          <w:tcPr>
            <w:tcW w:w="521" w:type="dxa"/>
            <w:vAlign w:val="center"/>
          </w:tcPr>
          <w:p>
            <w:pPr>
              <w:spacing w:line="0" w:lineRule="atLeast"/>
              <w:jc w:val="center"/>
              <w:rPr>
                <w:rFonts w:eastAsiaTheme="minorEastAsia"/>
                <w:color w:val="auto"/>
                <w:szCs w:val="21"/>
              </w:rPr>
            </w:pPr>
            <w:r>
              <w:rPr>
                <w:rFonts w:eastAsiaTheme="minorEastAsia"/>
                <w:color w:val="auto"/>
                <w:szCs w:val="21"/>
              </w:rPr>
              <w:t>15</w:t>
            </w:r>
          </w:p>
        </w:tc>
        <w:tc>
          <w:tcPr>
            <w:tcW w:w="521" w:type="dxa"/>
            <w:vAlign w:val="center"/>
          </w:tcPr>
          <w:p>
            <w:pPr>
              <w:spacing w:line="0" w:lineRule="atLeast"/>
              <w:jc w:val="center"/>
              <w:rPr>
                <w:rFonts w:hint="eastAsia" w:eastAsiaTheme="minorEastAsia"/>
                <w:color w:val="auto"/>
                <w:szCs w:val="21"/>
                <w:lang w:eastAsia="zh-CN"/>
              </w:rPr>
            </w:pPr>
            <w:r>
              <w:rPr>
                <w:rFonts w:eastAsiaTheme="minorEastAsia"/>
                <w:color w:val="auto"/>
                <w:szCs w:val="21"/>
              </w:rPr>
              <w:t>0.</w:t>
            </w:r>
            <w:r>
              <w:rPr>
                <w:rFonts w:hint="eastAsia" w:eastAsiaTheme="minorEastAsia"/>
                <w:color w:val="auto"/>
                <w:szCs w:val="21"/>
              </w:rPr>
              <w:t>3</w:t>
            </w:r>
            <w:r>
              <w:rPr>
                <w:rFonts w:hint="eastAsia" w:eastAsiaTheme="minorEastAsia"/>
                <w:color w:val="auto"/>
                <w:szCs w:val="21"/>
                <w:lang w:val="en-US" w:eastAsia="zh-CN"/>
              </w:rPr>
              <w:t>0</w:t>
            </w:r>
          </w:p>
        </w:tc>
        <w:tc>
          <w:tcPr>
            <w:tcW w:w="632" w:type="dxa"/>
            <w:vAlign w:val="center"/>
          </w:tcPr>
          <w:p>
            <w:pPr>
              <w:spacing w:line="0" w:lineRule="atLeast"/>
              <w:jc w:val="center"/>
              <w:rPr>
                <w:rFonts w:hint="default" w:eastAsiaTheme="minorEastAsia"/>
                <w:color w:val="auto"/>
                <w:szCs w:val="21"/>
                <w:lang w:val="en-US" w:eastAsia="zh-CN"/>
              </w:rPr>
            </w:pPr>
            <w:r>
              <w:rPr>
                <w:rFonts w:hint="eastAsia" w:eastAsiaTheme="minorEastAsia"/>
                <w:color w:val="auto"/>
                <w:szCs w:val="21"/>
                <w:lang w:val="en-US" w:eastAsia="zh-CN"/>
              </w:rPr>
              <w:t>19.66</w:t>
            </w:r>
          </w:p>
        </w:tc>
        <w:tc>
          <w:tcPr>
            <w:tcW w:w="334" w:type="dxa"/>
            <w:vAlign w:val="center"/>
          </w:tcPr>
          <w:p>
            <w:pPr>
              <w:spacing w:line="0" w:lineRule="atLeast"/>
              <w:jc w:val="center"/>
              <w:rPr>
                <w:rFonts w:eastAsiaTheme="minorEastAsia"/>
                <w:color w:val="auto"/>
                <w:szCs w:val="21"/>
              </w:rPr>
            </w:pPr>
            <w:r>
              <w:rPr>
                <w:rFonts w:eastAsiaTheme="minorEastAsia"/>
                <w:color w:val="auto"/>
                <w:szCs w:val="21"/>
              </w:rPr>
              <w:t>20</w:t>
            </w:r>
          </w:p>
        </w:tc>
        <w:tc>
          <w:tcPr>
            <w:tcW w:w="474" w:type="dxa"/>
            <w:vAlign w:val="center"/>
          </w:tcPr>
          <w:p>
            <w:pPr>
              <w:spacing w:line="0" w:lineRule="atLeast"/>
              <w:jc w:val="center"/>
              <w:rPr>
                <w:rFonts w:eastAsiaTheme="minorEastAsia"/>
                <w:color w:val="auto"/>
                <w:szCs w:val="21"/>
              </w:rPr>
            </w:pPr>
            <w:r>
              <w:rPr>
                <w:rFonts w:hint="eastAsia" w:eastAsiaTheme="minorEastAsia"/>
                <w:color w:val="auto"/>
                <w:szCs w:val="21"/>
              </w:rPr>
              <w:t>2400</w:t>
            </w:r>
          </w:p>
        </w:tc>
        <w:tc>
          <w:tcPr>
            <w:tcW w:w="223" w:type="dxa"/>
            <w:vMerge w:val="restart"/>
            <w:vAlign w:val="center"/>
          </w:tcPr>
          <w:p>
            <w:pPr>
              <w:spacing w:line="0" w:lineRule="atLeast"/>
              <w:jc w:val="center"/>
              <w:rPr>
                <w:rFonts w:eastAsiaTheme="minorEastAsia"/>
                <w:color w:val="FF0000"/>
                <w:szCs w:val="21"/>
              </w:rPr>
            </w:pPr>
            <w:r>
              <w:rPr>
                <w:rFonts w:hAnsiTheme="minorEastAsia" w:eastAsiaTheme="minorEastAsia"/>
                <w:color w:val="auto"/>
                <w:szCs w:val="21"/>
              </w:rPr>
              <w:t>正常排放工况</w:t>
            </w:r>
          </w:p>
        </w:tc>
        <w:tc>
          <w:tcPr>
            <w:tcW w:w="599" w:type="dxa"/>
            <w:vAlign w:val="center"/>
          </w:tcPr>
          <w:p>
            <w:pPr>
              <w:spacing w:line="0" w:lineRule="atLeast"/>
              <w:jc w:val="center"/>
              <w:rPr>
                <w:rFonts w:eastAsiaTheme="minorEastAsia"/>
                <w:color w:val="FF0000"/>
                <w:szCs w:val="21"/>
              </w:rPr>
            </w:pPr>
            <w:r>
              <w:rPr>
                <w:rFonts w:hint="eastAsia" w:hAnsi="Times New Roman"/>
                <w:snapToGrid w:val="0"/>
                <w:color w:val="auto"/>
                <w:lang w:val="en-US" w:eastAsia="zh-CN"/>
              </w:rPr>
              <w:t>0.031</w:t>
            </w:r>
          </w:p>
        </w:tc>
        <w:tc>
          <w:tcPr>
            <w:tcW w:w="599" w:type="dxa"/>
            <w:vAlign w:val="center"/>
          </w:tcPr>
          <w:p>
            <w:pPr>
              <w:spacing w:line="0" w:lineRule="atLeast"/>
              <w:jc w:val="center"/>
              <w:rPr>
                <w:rFonts w:eastAsiaTheme="minorEastAsia"/>
                <w:color w:val="FF0000"/>
                <w:szCs w:val="21"/>
              </w:rPr>
            </w:pPr>
            <w:r>
              <w:rPr>
                <w:rFonts w:hAnsi="Times New Roman"/>
                <w:snapToGrid w:val="0"/>
                <w:color w:val="auto"/>
              </w:rPr>
              <w:t>0.00</w:t>
            </w:r>
            <w:r>
              <w:rPr>
                <w:rFonts w:hint="eastAsia" w:hAnsi="Times New Roman"/>
                <w:snapToGrid w:val="0"/>
                <w:color w:val="auto"/>
                <w:lang w:val="en-US" w:eastAsia="zh-CN"/>
              </w:rPr>
              <w:t>3</w:t>
            </w:r>
            <w:r>
              <w:rPr>
                <w:rFonts w:hint="eastAsia" w:hAnsi="Times New Roman"/>
                <w:snapToGrid w:val="0"/>
                <w:color w:val="auto"/>
              </w:rPr>
              <w:t>3</w:t>
            </w:r>
          </w:p>
        </w:tc>
        <w:tc>
          <w:tcPr>
            <w:tcW w:w="516" w:type="dxa"/>
            <w:vAlign w:val="center"/>
          </w:tcPr>
          <w:p>
            <w:pPr>
              <w:pStyle w:val="84"/>
              <w:snapToGrid w:val="0"/>
              <w:rPr>
                <w:color w:val="FF0000"/>
              </w:rPr>
            </w:pPr>
            <w:r>
              <w:rPr>
                <w:color w:val="auto"/>
                <w:highlight w:val="none"/>
                <w:lang w:val="en-US"/>
              </w:rPr>
              <w:t>/</w:t>
            </w:r>
          </w:p>
        </w:tc>
        <w:tc>
          <w:tcPr>
            <w:tcW w:w="509" w:type="dxa"/>
            <w:vAlign w:val="center"/>
          </w:tcPr>
          <w:p>
            <w:pPr>
              <w:pStyle w:val="84"/>
              <w:snapToGrid w:val="0"/>
              <w:rPr>
                <w:color w:val="FF0000"/>
              </w:rPr>
            </w:pPr>
            <w:r>
              <w:rPr>
                <w:color w:val="auto"/>
                <w:highlight w:val="none"/>
                <w:lang w:val="en-US"/>
              </w:rPr>
              <w:t>/</w:t>
            </w:r>
          </w:p>
        </w:tc>
        <w:tc>
          <w:tcPr>
            <w:tcW w:w="516" w:type="dxa"/>
            <w:vAlign w:val="center"/>
          </w:tcPr>
          <w:p>
            <w:pPr>
              <w:pStyle w:val="84"/>
              <w:snapToGrid w:val="0"/>
              <w:rPr>
                <w:color w:val="FF0000"/>
              </w:rPr>
            </w:pPr>
            <w:r>
              <w:rPr>
                <w:color w:val="auto"/>
                <w:highlight w:val="none"/>
                <w:lang w:val="en-U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72" w:hRule="atLeast"/>
        </w:trPr>
        <w:tc>
          <w:tcPr>
            <w:tcW w:w="223" w:type="dxa"/>
            <w:vAlign w:val="center"/>
          </w:tcPr>
          <w:p>
            <w:pPr>
              <w:spacing w:line="0" w:lineRule="atLeast"/>
              <w:jc w:val="center"/>
              <w:rPr>
                <w:rFonts w:eastAsiaTheme="minorEastAsia"/>
                <w:bCs/>
                <w:color w:val="auto"/>
                <w:szCs w:val="21"/>
              </w:rPr>
            </w:pPr>
            <w:r>
              <w:rPr>
                <w:rFonts w:hint="eastAsia" w:eastAsiaTheme="minorEastAsia"/>
                <w:bCs/>
                <w:color w:val="auto"/>
                <w:szCs w:val="21"/>
              </w:rPr>
              <w:t>2</w:t>
            </w:r>
          </w:p>
        </w:tc>
        <w:tc>
          <w:tcPr>
            <w:tcW w:w="358" w:type="dxa"/>
            <w:vAlign w:val="center"/>
          </w:tcPr>
          <w:p>
            <w:pPr>
              <w:spacing w:line="0" w:lineRule="atLeast"/>
              <w:jc w:val="center"/>
              <w:rPr>
                <w:rFonts w:hAnsiTheme="minorEastAsia" w:eastAsiaTheme="minorEastAsia"/>
                <w:bCs/>
                <w:color w:val="auto"/>
                <w:szCs w:val="21"/>
              </w:rPr>
            </w:pPr>
            <w:r>
              <w:rPr>
                <w:rFonts w:hAnsiTheme="minorEastAsia" w:eastAsiaTheme="minorEastAsia"/>
                <w:bCs/>
                <w:color w:val="auto"/>
                <w:szCs w:val="21"/>
              </w:rPr>
              <w:t>污水处理站排气筒</w:t>
            </w:r>
          </w:p>
        </w:tc>
        <w:tc>
          <w:tcPr>
            <w:tcW w:w="882" w:type="dxa"/>
            <w:vAlign w:val="center"/>
          </w:tcPr>
          <w:p>
            <w:pPr>
              <w:jc w:val="center"/>
              <w:rPr>
                <w:rFonts w:eastAsiaTheme="minorEastAsia"/>
                <w:color w:val="auto"/>
                <w:szCs w:val="21"/>
              </w:rPr>
            </w:pPr>
            <w:r>
              <w:rPr>
                <w:rFonts w:eastAsiaTheme="minorEastAsia"/>
                <w:color w:val="auto"/>
                <w:szCs w:val="21"/>
              </w:rPr>
              <w:t>127.80992568</w:t>
            </w:r>
          </w:p>
        </w:tc>
        <w:tc>
          <w:tcPr>
            <w:tcW w:w="934" w:type="dxa"/>
            <w:vAlign w:val="center"/>
          </w:tcPr>
          <w:p>
            <w:pPr>
              <w:jc w:val="center"/>
              <w:rPr>
                <w:rFonts w:eastAsiaTheme="minorEastAsia"/>
                <w:color w:val="auto"/>
                <w:szCs w:val="21"/>
              </w:rPr>
            </w:pPr>
            <w:r>
              <w:rPr>
                <w:rFonts w:eastAsiaTheme="minorEastAsia"/>
                <w:color w:val="auto"/>
                <w:szCs w:val="21"/>
              </w:rPr>
              <w:t>45.30532721</w:t>
            </w:r>
          </w:p>
        </w:tc>
        <w:tc>
          <w:tcPr>
            <w:tcW w:w="521" w:type="dxa"/>
            <w:vAlign w:val="center"/>
          </w:tcPr>
          <w:p>
            <w:pPr>
              <w:jc w:val="center"/>
              <w:rPr>
                <w:rFonts w:hint="default" w:eastAsiaTheme="minorEastAsia"/>
                <w:color w:val="auto"/>
                <w:szCs w:val="21"/>
                <w:lang w:val="en-US" w:eastAsia="zh-CN"/>
              </w:rPr>
            </w:pPr>
            <w:r>
              <w:rPr>
                <w:rFonts w:hint="eastAsia" w:eastAsiaTheme="minorEastAsia"/>
                <w:color w:val="auto"/>
                <w:szCs w:val="21"/>
                <w:lang w:val="en-US" w:eastAsia="zh-CN"/>
              </w:rPr>
              <w:t>236</w:t>
            </w:r>
          </w:p>
        </w:tc>
        <w:tc>
          <w:tcPr>
            <w:tcW w:w="521" w:type="dxa"/>
            <w:vAlign w:val="center"/>
          </w:tcPr>
          <w:p>
            <w:pPr>
              <w:spacing w:line="0" w:lineRule="atLeast"/>
              <w:jc w:val="center"/>
              <w:rPr>
                <w:rFonts w:eastAsiaTheme="minorEastAsia"/>
                <w:color w:val="auto"/>
                <w:szCs w:val="21"/>
              </w:rPr>
            </w:pPr>
            <w:r>
              <w:rPr>
                <w:rFonts w:hint="eastAsia" w:eastAsiaTheme="minorEastAsia"/>
                <w:color w:val="auto"/>
                <w:szCs w:val="21"/>
              </w:rPr>
              <w:t>15</w:t>
            </w:r>
          </w:p>
        </w:tc>
        <w:tc>
          <w:tcPr>
            <w:tcW w:w="521" w:type="dxa"/>
            <w:vAlign w:val="center"/>
          </w:tcPr>
          <w:p>
            <w:pPr>
              <w:spacing w:line="0" w:lineRule="atLeast"/>
              <w:jc w:val="center"/>
              <w:rPr>
                <w:rFonts w:eastAsiaTheme="minorEastAsia"/>
                <w:color w:val="auto"/>
                <w:szCs w:val="21"/>
              </w:rPr>
            </w:pPr>
            <w:r>
              <w:rPr>
                <w:rFonts w:eastAsiaTheme="minorEastAsia"/>
                <w:color w:val="auto"/>
                <w:szCs w:val="21"/>
              </w:rPr>
              <w:t>0.</w:t>
            </w:r>
            <w:r>
              <w:rPr>
                <w:rFonts w:hint="eastAsia" w:eastAsiaTheme="minorEastAsia"/>
                <w:color w:val="auto"/>
                <w:szCs w:val="21"/>
              </w:rPr>
              <w:t>30</w:t>
            </w:r>
          </w:p>
        </w:tc>
        <w:tc>
          <w:tcPr>
            <w:tcW w:w="632" w:type="dxa"/>
            <w:vAlign w:val="center"/>
          </w:tcPr>
          <w:p>
            <w:pPr>
              <w:spacing w:line="0" w:lineRule="atLeast"/>
              <w:jc w:val="center"/>
              <w:rPr>
                <w:rFonts w:eastAsiaTheme="minorEastAsia"/>
                <w:color w:val="auto"/>
                <w:szCs w:val="21"/>
              </w:rPr>
            </w:pPr>
            <w:r>
              <w:rPr>
                <w:rFonts w:hint="eastAsia" w:eastAsiaTheme="minorEastAsia"/>
                <w:color w:val="auto"/>
                <w:szCs w:val="21"/>
                <w:lang w:val="en-US" w:eastAsia="zh-CN"/>
              </w:rPr>
              <w:t>19.66</w:t>
            </w:r>
          </w:p>
        </w:tc>
        <w:tc>
          <w:tcPr>
            <w:tcW w:w="334" w:type="dxa"/>
            <w:vAlign w:val="center"/>
          </w:tcPr>
          <w:p>
            <w:pPr>
              <w:spacing w:line="0" w:lineRule="atLeast"/>
              <w:jc w:val="center"/>
              <w:rPr>
                <w:rFonts w:eastAsiaTheme="minorEastAsia"/>
                <w:color w:val="auto"/>
                <w:szCs w:val="21"/>
              </w:rPr>
            </w:pPr>
            <w:r>
              <w:rPr>
                <w:rFonts w:eastAsiaTheme="minorEastAsia"/>
                <w:color w:val="auto"/>
                <w:szCs w:val="21"/>
              </w:rPr>
              <w:t>20</w:t>
            </w:r>
          </w:p>
        </w:tc>
        <w:tc>
          <w:tcPr>
            <w:tcW w:w="474" w:type="dxa"/>
            <w:vAlign w:val="center"/>
          </w:tcPr>
          <w:p>
            <w:pPr>
              <w:spacing w:line="0" w:lineRule="atLeast"/>
              <w:jc w:val="center"/>
              <w:rPr>
                <w:rFonts w:eastAsiaTheme="minorEastAsia"/>
                <w:color w:val="auto"/>
                <w:szCs w:val="21"/>
              </w:rPr>
            </w:pPr>
            <w:r>
              <w:rPr>
                <w:rFonts w:hint="eastAsia" w:eastAsiaTheme="minorEastAsia"/>
                <w:color w:val="auto"/>
                <w:szCs w:val="21"/>
              </w:rPr>
              <w:t>2400</w:t>
            </w:r>
          </w:p>
        </w:tc>
        <w:tc>
          <w:tcPr>
            <w:tcW w:w="223" w:type="dxa"/>
            <w:vMerge w:val="continue"/>
            <w:vAlign w:val="center"/>
          </w:tcPr>
          <w:p>
            <w:pPr>
              <w:spacing w:line="0" w:lineRule="atLeast"/>
              <w:jc w:val="center"/>
              <w:rPr>
                <w:rFonts w:hAnsiTheme="minorEastAsia" w:eastAsiaTheme="minorEastAsia"/>
                <w:color w:val="FF0000"/>
                <w:szCs w:val="21"/>
              </w:rPr>
            </w:pPr>
          </w:p>
        </w:tc>
        <w:tc>
          <w:tcPr>
            <w:tcW w:w="599" w:type="dxa"/>
            <w:vAlign w:val="center"/>
          </w:tcPr>
          <w:p>
            <w:pPr>
              <w:spacing w:line="0" w:lineRule="atLeast"/>
              <w:jc w:val="center"/>
              <w:rPr>
                <w:rFonts w:eastAsiaTheme="minorEastAsia"/>
                <w:color w:val="FF0000"/>
                <w:szCs w:val="21"/>
              </w:rPr>
            </w:pPr>
            <w:r>
              <w:rPr>
                <w:rFonts w:hint="eastAsia" w:hAnsi="Times New Roman"/>
                <w:bCs/>
                <w:color w:val="auto"/>
                <w:lang w:val="en-US" w:eastAsia="zh-CN"/>
              </w:rPr>
              <w:t>0.0046</w:t>
            </w:r>
          </w:p>
        </w:tc>
        <w:tc>
          <w:tcPr>
            <w:tcW w:w="599" w:type="dxa"/>
            <w:vAlign w:val="center"/>
          </w:tcPr>
          <w:p>
            <w:pPr>
              <w:spacing w:line="0" w:lineRule="atLeast"/>
              <w:jc w:val="center"/>
              <w:rPr>
                <w:rFonts w:eastAsiaTheme="minorEastAsia"/>
                <w:color w:val="FF0000"/>
                <w:szCs w:val="21"/>
              </w:rPr>
            </w:pPr>
            <w:r>
              <w:rPr>
                <w:rFonts w:hint="eastAsia" w:hAnsi="Times New Roman"/>
                <w:bCs/>
                <w:color w:val="auto"/>
                <w:lang w:val="en-US" w:eastAsia="zh-CN"/>
              </w:rPr>
              <w:t>0.00018</w:t>
            </w:r>
          </w:p>
        </w:tc>
        <w:tc>
          <w:tcPr>
            <w:tcW w:w="516" w:type="dxa"/>
            <w:vAlign w:val="center"/>
          </w:tcPr>
          <w:p>
            <w:pPr>
              <w:pStyle w:val="84"/>
              <w:snapToGrid w:val="0"/>
              <w:rPr>
                <w:rFonts w:hint="eastAsia"/>
                <w:bCs/>
                <w:color w:val="FF0000"/>
                <w:kern w:val="0"/>
              </w:rPr>
            </w:pPr>
            <w:r>
              <w:rPr>
                <w:color w:val="auto"/>
                <w:highlight w:val="none"/>
                <w:lang w:val="en-US"/>
              </w:rPr>
              <w:t>/</w:t>
            </w:r>
          </w:p>
        </w:tc>
        <w:tc>
          <w:tcPr>
            <w:tcW w:w="509" w:type="dxa"/>
            <w:vAlign w:val="center"/>
          </w:tcPr>
          <w:p>
            <w:pPr>
              <w:pStyle w:val="84"/>
              <w:snapToGrid w:val="0"/>
              <w:rPr>
                <w:rFonts w:hint="eastAsia"/>
                <w:bCs/>
                <w:color w:val="FF0000"/>
                <w:kern w:val="0"/>
              </w:rPr>
            </w:pPr>
            <w:r>
              <w:rPr>
                <w:color w:val="auto"/>
                <w:highlight w:val="none"/>
                <w:lang w:val="en-US"/>
              </w:rPr>
              <w:t>/</w:t>
            </w:r>
          </w:p>
        </w:tc>
        <w:tc>
          <w:tcPr>
            <w:tcW w:w="516" w:type="dxa"/>
            <w:vAlign w:val="center"/>
          </w:tcPr>
          <w:p>
            <w:pPr>
              <w:pStyle w:val="84"/>
              <w:snapToGrid w:val="0"/>
              <w:rPr>
                <w:rFonts w:hint="eastAsia"/>
                <w:bCs/>
                <w:color w:val="FF0000"/>
                <w:kern w:val="0"/>
              </w:rPr>
            </w:pPr>
            <w:r>
              <w:rPr>
                <w:color w:val="auto"/>
                <w:highlight w:val="none"/>
                <w:lang w:val="en-U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57" w:hRule="atLeast"/>
        </w:trPr>
        <w:tc>
          <w:tcPr>
            <w:tcW w:w="223" w:type="dxa"/>
            <w:vAlign w:val="center"/>
          </w:tcPr>
          <w:p>
            <w:pPr>
              <w:spacing w:line="0" w:lineRule="atLeast"/>
              <w:jc w:val="center"/>
              <w:rPr>
                <w:rFonts w:eastAsiaTheme="minorEastAsia"/>
                <w:bCs/>
                <w:color w:val="auto"/>
                <w:szCs w:val="21"/>
              </w:rPr>
            </w:pPr>
            <w:r>
              <w:rPr>
                <w:rFonts w:hint="eastAsia" w:eastAsiaTheme="minorEastAsia"/>
                <w:bCs/>
                <w:color w:val="auto"/>
                <w:szCs w:val="21"/>
              </w:rPr>
              <w:t>3</w:t>
            </w:r>
          </w:p>
        </w:tc>
        <w:tc>
          <w:tcPr>
            <w:tcW w:w="358" w:type="dxa"/>
            <w:vAlign w:val="center"/>
          </w:tcPr>
          <w:p>
            <w:pPr>
              <w:spacing w:line="0" w:lineRule="atLeast"/>
              <w:jc w:val="center"/>
              <w:rPr>
                <w:rFonts w:hAnsiTheme="minorEastAsia" w:eastAsiaTheme="minorEastAsia"/>
                <w:bCs/>
                <w:color w:val="auto"/>
                <w:szCs w:val="21"/>
              </w:rPr>
            </w:pPr>
            <w:r>
              <w:rPr>
                <w:rFonts w:hAnsiTheme="minorEastAsia" w:eastAsiaTheme="minorEastAsia"/>
                <w:bCs/>
                <w:color w:val="auto"/>
                <w:szCs w:val="21"/>
              </w:rPr>
              <w:t>待宰间排气筒</w:t>
            </w:r>
          </w:p>
        </w:tc>
        <w:tc>
          <w:tcPr>
            <w:tcW w:w="882" w:type="dxa"/>
            <w:vAlign w:val="center"/>
          </w:tcPr>
          <w:p>
            <w:pPr>
              <w:jc w:val="center"/>
              <w:rPr>
                <w:rFonts w:eastAsiaTheme="minorEastAsia"/>
                <w:color w:val="auto"/>
                <w:szCs w:val="21"/>
              </w:rPr>
            </w:pPr>
            <w:r>
              <w:rPr>
                <w:rFonts w:eastAsiaTheme="minorEastAsia"/>
                <w:color w:val="auto"/>
                <w:szCs w:val="21"/>
              </w:rPr>
              <w:t>127.81007051</w:t>
            </w:r>
          </w:p>
        </w:tc>
        <w:tc>
          <w:tcPr>
            <w:tcW w:w="934" w:type="dxa"/>
            <w:vAlign w:val="center"/>
          </w:tcPr>
          <w:p>
            <w:pPr>
              <w:jc w:val="center"/>
              <w:rPr>
                <w:rFonts w:eastAsiaTheme="minorEastAsia"/>
                <w:color w:val="auto"/>
                <w:szCs w:val="21"/>
              </w:rPr>
            </w:pPr>
            <w:r>
              <w:rPr>
                <w:rFonts w:eastAsiaTheme="minorEastAsia"/>
                <w:color w:val="auto"/>
                <w:szCs w:val="21"/>
              </w:rPr>
              <w:t>45.30531212</w:t>
            </w:r>
          </w:p>
        </w:tc>
        <w:tc>
          <w:tcPr>
            <w:tcW w:w="521" w:type="dxa"/>
            <w:vAlign w:val="center"/>
          </w:tcPr>
          <w:p>
            <w:pPr>
              <w:jc w:val="center"/>
              <w:rPr>
                <w:rFonts w:hint="default" w:eastAsiaTheme="minorEastAsia"/>
                <w:color w:val="auto"/>
                <w:szCs w:val="21"/>
                <w:lang w:val="en-US" w:eastAsia="zh-CN"/>
              </w:rPr>
            </w:pPr>
            <w:r>
              <w:rPr>
                <w:rFonts w:hint="eastAsia" w:eastAsiaTheme="minorEastAsia"/>
                <w:color w:val="auto"/>
                <w:szCs w:val="21"/>
                <w:lang w:val="en-US" w:eastAsia="zh-CN"/>
              </w:rPr>
              <w:t>236</w:t>
            </w:r>
          </w:p>
        </w:tc>
        <w:tc>
          <w:tcPr>
            <w:tcW w:w="521" w:type="dxa"/>
            <w:vAlign w:val="center"/>
          </w:tcPr>
          <w:p>
            <w:pPr>
              <w:spacing w:line="0" w:lineRule="atLeast"/>
              <w:jc w:val="center"/>
              <w:rPr>
                <w:rFonts w:eastAsiaTheme="minorEastAsia"/>
                <w:color w:val="auto"/>
                <w:szCs w:val="21"/>
              </w:rPr>
            </w:pPr>
            <w:r>
              <w:rPr>
                <w:rFonts w:hint="eastAsia" w:eastAsiaTheme="minorEastAsia"/>
                <w:color w:val="auto"/>
                <w:szCs w:val="21"/>
              </w:rPr>
              <w:t>15</w:t>
            </w:r>
          </w:p>
        </w:tc>
        <w:tc>
          <w:tcPr>
            <w:tcW w:w="521" w:type="dxa"/>
            <w:vAlign w:val="center"/>
          </w:tcPr>
          <w:p>
            <w:pPr>
              <w:spacing w:line="0" w:lineRule="atLeast"/>
              <w:jc w:val="center"/>
              <w:rPr>
                <w:rFonts w:hint="eastAsia" w:eastAsiaTheme="minorEastAsia"/>
                <w:color w:val="auto"/>
                <w:szCs w:val="21"/>
                <w:lang w:eastAsia="zh-CN"/>
              </w:rPr>
            </w:pPr>
            <w:r>
              <w:rPr>
                <w:rFonts w:hint="eastAsia" w:eastAsiaTheme="minorEastAsia"/>
                <w:color w:val="auto"/>
                <w:szCs w:val="21"/>
              </w:rPr>
              <w:t>0.3</w:t>
            </w:r>
            <w:r>
              <w:rPr>
                <w:rFonts w:hint="eastAsia" w:eastAsiaTheme="minorEastAsia"/>
                <w:color w:val="auto"/>
                <w:szCs w:val="21"/>
                <w:lang w:val="en-US" w:eastAsia="zh-CN"/>
              </w:rPr>
              <w:t>0</w:t>
            </w:r>
          </w:p>
        </w:tc>
        <w:tc>
          <w:tcPr>
            <w:tcW w:w="632" w:type="dxa"/>
            <w:vAlign w:val="center"/>
          </w:tcPr>
          <w:p>
            <w:pPr>
              <w:spacing w:line="0" w:lineRule="atLeast"/>
              <w:jc w:val="center"/>
              <w:rPr>
                <w:rFonts w:eastAsiaTheme="minorEastAsia"/>
                <w:color w:val="auto"/>
                <w:szCs w:val="21"/>
              </w:rPr>
            </w:pPr>
            <w:r>
              <w:rPr>
                <w:rFonts w:hint="eastAsia" w:eastAsiaTheme="minorEastAsia"/>
                <w:color w:val="auto"/>
                <w:szCs w:val="21"/>
                <w:lang w:val="en-US" w:eastAsia="zh-CN"/>
              </w:rPr>
              <w:t>19.66</w:t>
            </w:r>
          </w:p>
        </w:tc>
        <w:tc>
          <w:tcPr>
            <w:tcW w:w="334" w:type="dxa"/>
            <w:vAlign w:val="center"/>
          </w:tcPr>
          <w:p>
            <w:pPr>
              <w:spacing w:line="0" w:lineRule="atLeast"/>
              <w:jc w:val="center"/>
              <w:rPr>
                <w:rFonts w:eastAsiaTheme="minorEastAsia"/>
                <w:color w:val="auto"/>
                <w:szCs w:val="21"/>
              </w:rPr>
            </w:pPr>
            <w:r>
              <w:rPr>
                <w:rFonts w:hint="eastAsia" w:eastAsiaTheme="minorEastAsia"/>
                <w:color w:val="auto"/>
                <w:szCs w:val="21"/>
              </w:rPr>
              <w:t>20</w:t>
            </w:r>
          </w:p>
        </w:tc>
        <w:tc>
          <w:tcPr>
            <w:tcW w:w="474" w:type="dxa"/>
            <w:vAlign w:val="center"/>
          </w:tcPr>
          <w:p>
            <w:pPr>
              <w:spacing w:line="0" w:lineRule="atLeast"/>
              <w:jc w:val="center"/>
              <w:rPr>
                <w:rFonts w:eastAsiaTheme="minorEastAsia"/>
                <w:color w:val="auto"/>
                <w:szCs w:val="21"/>
              </w:rPr>
            </w:pPr>
            <w:r>
              <w:rPr>
                <w:rFonts w:hint="eastAsia" w:eastAsiaTheme="minorEastAsia"/>
                <w:color w:val="auto"/>
                <w:szCs w:val="21"/>
              </w:rPr>
              <w:t>7200</w:t>
            </w:r>
          </w:p>
        </w:tc>
        <w:tc>
          <w:tcPr>
            <w:tcW w:w="223" w:type="dxa"/>
            <w:vMerge w:val="continue"/>
            <w:vAlign w:val="center"/>
          </w:tcPr>
          <w:p>
            <w:pPr>
              <w:spacing w:line="0" w:lineRule="atLeast"/>
              <w:jc w:val="center"/>
              <w:rPr>
                <w:rFonts w:hAnsiTheme="minorEastAsia" w:eastAsiaTheme="minorEastAsia"/>
                <w:color w:val="FF0000"/>
                <w:szCs w:val="21"/>
              </w:rPr>
            </w:pPr>
          </w:p>
        </w:tc>
        <w:tc>
          <w:tcPr>
            <w:tcW w:w="599" w:type="dxa"/>
            <w:vAlign w:val="center"/>
          </w:tcPr>
          <w:p>
            <w:pPr>
              <w:spacing w:line="0" w:lineRule="atLeast"/>
              <w:jc w:val="center"/>
              <w:rPr>
                <w:bCs/>
                <w:color w:val="FF0000"/>
              </w:rPr>
            </w:pPr>
            <w:r>
              <w:rPr>
                <w:rFonts w:hAnsi="Times New Roman"/>
                <w:snapToGrid w:val="0"/>
                <w:color w:val="auto"/>
              </w:rPr>
              <w:t>0.</w:t>
            </w:r>
            <w:r>
              <w:rPr>
                <w:rFonts w:hint="eastAsia" w:hAnsi="Times New Roman"/>
                <w:snapToGrid w:val="0"/>
                <w:color w:val="auto"/>
              </w:rPr>
              <w:t>000</w:t>
            </w:r>
            <w:r>
              <w:rPr>
                <w:rFonts w:hint="eastAsia" w:hAnsi="Times New Roman"/>
                <w:snapToGrid w:val="0"/>
                <w:color w:val="auto"/>
                <w:lang w:val="en-US" w:eastAsia="zh-CN"/>
              </w:rPr>
              <w:t>69</w:t>
            </w:r>
          </w:p>
        </w:tc>
        <w:tc>
          <w:tcPr>
            <w:tcW w:w="599" w:type="dxa"/>
            <w:vAlign w:val="center"/>
          </w:tcPr>
          <w:p>
            <w:pPr>
              <w:spacing w:line="0" w:lineRule="atLeast"/>
              <w:jc w:val="center"/>
              <w:rPr>
                <w:bCs/>
                <w:color w:val="FF0000"/>
              </w:rPr>
            </w:pPr>
            <w:r>
              <w:rPr>
                <w:rFonts w:hAnsi="Times New Roman"/>
                <w:snapToGrid w:val="0"/>
                <w:color w:val="auto"/>
                <w:szCs w:val="24"/>
              </w:rPr>
              <w:t>0.0</w:t>
            </w:r>
            <w:r>
              <w:rPr>
                <w:rFonts w:hint="eastAsia" w:hAnsi="Times New Roman"/>
                <w:snapToGrid w:val="0"/>
                <w:color w:val="auto"/>
                <w:szCs w:val="24"/>
              </w:rPr>
              <w:t>00</w:t>
            </w:r>
            <w:r>
              <w:rPr>
                <w:rFonts w:hint="eastAsia" w:hAnsi="Times New Roman"/>
                <w:snapToGrid w:val="0"/>
                <w:color w:val="auto"/>
                <w:szCs w:val="24"/>
                <w:lang w:val="en-US" w:eastAsia="zh-CN"/>
              </w:rPr>
              <w:t>11</w:t>
            </w:r>
          </w:p>
        </w:tc>
        <w:tc>
          <w:tcPr>
            <w:tcW w:w="516" w:type="dxa"/>
            <w:vAlign w:val="center"/>
          </w:tcPr>
          <w:p>
            <w:pPr>
              <w:pStyle w:val="84"/>
              <w:snapToGrid w:val="0"/>
              <w:rPr>
                <w:bCs/>
                <w:color w:val="FF0000"/>
              </w:rPr>
            </w:pPr>
            <w:r>
              <w:rPr>
                <w:color w:val="auto"/>
                <w:highlight w:val="none"/>
                <w:lang w:val="en-US"/>
              </w:rPr>
              <w:t>/</w:t>
            </w:r>
          </w:p>
        </w:tc>
        <w:tc>
          <w:tcPr>
            <w:tcW w:w="509" w:type="dxa"/>
            <w:vAlign w:val="center"/>
          </w:tcPr>
          <w:p>
            <w:pPr>
              <w:pStyle w:val="84"/>
              <w:snapToGrid w:val="0"/>
              <w:rPr>
                <w:bCs/>
                <w:color w:val="FF0000"/>
              </w:rPr>
            </w:pPr>
            <w:r>
              <w:rPr>
                <w:color w:val="auto"/>
                <w:highlight w:val="none"/>
                <w:lang w:val="en-US"/>
              </w:rPr>
              <w:t>/</w:t>
            </w:r>
          </w:p>
        </w:tc>
        <w:tc>
          <w:tcPr>
            <w:tcW w:w="516" w:type="dxa"/>
            <w:vAlign w:val="center"/>
          </w:tcPr>
          <w:p>
            <w:pPr>
              <w:pStyle w:val="84"/>
              <w:snapToGrid w:val="0"/>
              <w:rPr>
                <w:bCs/>
                <w:color w:val="FF0000"/>
              </w:rPr>
            </w:pPr>
            <w:r>
              <w:rPr>
                <w:color w:val="auto"/>
                <w:highlight w:val="none"/>
                <w:lang w:val="en-U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327" w:hRule="atLeast"/>
        </w:trPr>
        <w:tc>
          <w:tcPr>
            <w:tcW w:w="223" w:type="dxa"/>
            <w:vAlign w:val="center"/>
          </w:tcPr>
          <w:p>
            <w:pPr>
              <w:spacing w:line="0" w:lineRule="atLeast"/>
              <w:jc w:val="center"/>
              <w:rPr>
                <w:rFonts w:hint="eastAsia" w:eastAsiaTheme="minorEastAsia"/>
                <w:bCs/>
                <w:color w:val="auto"/>
                <w:szCs w:val="21"/>
                <w:lang w:val="en-US" w:eastAsia="zh-CN"/>
              </w:rPr>
            </w:pPr>
            <w:r>
              <w:rPr>
                <w:rFonts w:hint="eastAsia" w:eastAsiaTheme="minorEastAsia"/>
                <w:bCs/>
                <w:color w:val="auto"/>
                <w:szCs w:val="21"/>
                <w:lang w:val="en-US" w:eastAsia="zh-CN"/>
              </w:rPr>
              <w:t>4</w:t>
            </w:r>
          </w:p>
        </w:tc>
        <w:tc>
          <w:tcPr>
            <w:tcW w:w="358" w:type="dxa"/>
            <w:vAlign w:val="center"/>
          </w:tcPr>
          <w:p>
            <w:pPr>
              <w:spacing w:line="0" w:lineRule="atLeast"/>
              <w:jc w:val="center"/>
              <w:rPr>
                <w:rFonts w:hint="default" w:hAnsiTheme="minorEastAsia" w:eastAsiaTheme="minorEastAsia"/>
                <w:bCs/>
                <w:color w:val="auto"/>
                <w:szCs w:val="21"/>
                <w:lang w:val="en-US" w:eastAsia="zh-CN"/>
              </w:rPr>
            </w:pPr>
            <w:r>
              <w:rPr>
                <w:rFonts w:hint="eastAsia" w:hAnsiTheme="minorEastAsia" w:eastAsiaTheme="minorEastAsia"/>
                <w:bCs/>
                <w:color w:val="auto"/>
                <w:szCs w:val="21"/>
                <w:lang w:val="en-US" w:eastAsia="zh-CN"/>
              </w:rPr>
              <w:t>锅炉房烟囱</w:t>
            </w:r>
          </w:p>
        </w:tc>
        <w:tc>
          <w:tcPr>
            <w:tcW w:w="882" w:type="dxa"/>
            <w:vAlign w:val="center"/>
          </w:tcPr>
          <w:p>
            <w:pPr>
              <w:jc w:val="center"/>
              <w:rPr>
                <w:rFonts w:eastAsiaTheme="minorEastAsia"/>
                <w:color w:val="auto"/>
                <w:szCs w:val="21"/>
              </w:rPr>
            </w:pPr>
            <w:r>
              <w:rPr>
                <w:rFonts w:eastAsiaTheme="minorEastAsia"/>
                <w:color w:val="auto"/>
                <w:szCs w:val="21"/>
              </w:rPr>
              <w:t>127.81234235</w:t>
            </w:r>
          </w:p>
        </w:tc>
        <w:tc>
          <w:tcPr>
            <w:tcW w:w="934" w:type="dxa"/>
            <w:vAlign w:val="center"/>
          </w:tcPr>
          <w:p>
            <w:pPr>
              <w:jc w:val="center"/>
              <w:rPr>
                <w:rFonts w:eastAsiaTheme="minorEastAsia"/>
                <w:color w:val="auto"/>
                <w:szCs w:val="21"/>
              </w:rPr>
            </w:pPr>
            <w:r>
              <w:rPr>
                <w:rFonts w:eastAsiaTheme="minorEastAsia"/>
                <w:color w:val="auto"/>
                <w:szCs w:val="21"/>
              </w:rPr>
              <w:t>45.30431228</w:t>
            </w:r>
          </w:p>
        </w:tc>
        <w:tc>
          <w:tcPr>
            <w:tcW w:w="521" w:type="dxa"/>
            <w:vAlign w:val="center"/>
          </w:tcPr>
          <w:p>
            <w:pPr>
              <w:jc w:val="center"/>
              <w:rPr>
                <w:rFonts w:hint="default" w:eastAsiaTheme="minorEastAsia"/>
                <w:color w:val="auto"/>
                <w:szCs w:val="21"/>
                <w:lang w:val="en-US" w:eastAsia="zh-CN"/>
              </w:rPr>
            </w:pPr>
            <w:r>
              <w:rPr>
                <w:rFonts w:hint="eastAsia" w:eastAsiaTheme="minorEastAsia"/>
                <w:color w:val="auto"/>
                <w:szCs w:val="21"/>
                <w:lang w:val="en-US" w:eastAsia="zh-CN"/>
              </w:rPr>
              <w:t>236</w:t>
            </w:r>
          </w:p>
        </w:tc>
        <w:tc>
          <w:tcPr>
            <w:tcW w:w="521" w:type="dxa"/>
            <w:vAlign w:val="center"/>
          </w:tcPr>
          <w:p>
            <w:pPr>
              <w:spacing w:line="0" w:lineRule="atLeast"/>
              <w:jc w:val="center"/>
              <w:rPr>
                <w:rFonts w:hint="default" w:eastAsiaTheme="minorEastAsia"/>
                <w:color w:val="auto"/>
                <w:szCs w:val="21"/>
                <w:lang w:val="en-US" w:eastAsia="zh-CN"/>
              </w:rPr>
            </w:pPr>
            <w:r>
              <w:rPr>
                <w:rFonts w:hint="eastAsia" w:eastAsiaTheme="minorEastAsia"/>
                <w:color w:val="auto"/>
                <w:szCs w:val="21"/>
                <w:lang w:val="en-US" w:eastAsia="zh-CN"/>
              </w:rPr>
              <w:t>30</w:t>
            </w:r>
          </w:p>
        </w:tc>
        <w:tc>
          <w:tcPr>
            <w:tcW w:w="521" w:type="dxa"/>
            <w:vAlign w:val="center"/>
          </w:tcPr>
          <w:p>
            <w:pPr>
              <w:spacing w:line="0" w:lineRule="atLeast"/>
              <w:jc w:val="center"/>
              <w:rPr>
                <w:rFonts w:hint="default" w:eastAsiaTheme="minorEastAsia"/>
                <w:color w:val="auto"/>
                <w:szCs w:val="21"/>
                <w:lang w:val="en-US" w:eastAsia="zh-CN"/>
              </w:rPr>
            </w:pPr>
            <w:r>
              <w:rPr>
                <w:rFonts w:hint="eastAsia" w:eastAsiaTheme="minorEastAsia"/>
                <w:color w:val="auto"/>
                <w:szCs w:val="21"/>
                <w:lang w:val="en-US" w:eastAsia="zh-CN"/>
              </w:rPr>
              <w:t>0.30</w:t>
            </w:r>
          </w:p>
        </w:tc>
        <w:tc>
          <w:tcPr>
            <w:tcW w:w="632" w:type="dxa"/>
            <w:vAlign w:val="center"/>
          </w:tcPr>
          <w:p>
            <w:pPr>
              <w:spacing w:line="0" w:lineRule="atLeast"/>
              <w:jc w:val="center"/>
              <w:rPr>
                <w:rFonts w:hint="default" w:eastAsiaTheme="minorEastAsia"/>
                <w:color w:val="auto"/>
                <w:szCs w:val="21"/>
                <w:lang w:val="en-US" w:eastAsia="zh-CN"/>
              </w:rPr>
            </w:pPr>
            <w:r>
              <w:rPr>
                <w:rFonts w:hint="eastAsia" w:eastAsiaTheme="minorEastAsia"/>
                <w:color w:val="auto"/>
                <w:szCs w:val="21"/>
                <w:lang w:val="en-US" w:eastAsia="zh-CN"/>
              </w:rPr>
              <w:t>3.11</w:t>
            </w:r>
          </w:p>
        </w:tc>
        <w:tc>
          <w:tcPr>
            <w:tcW w:w="334" w:type="dxa"/>
            <w:vAlign w:val="center"/>
          </w:tcPr>
          <w:p>
            <w:pPr>
              <w:spacing w:line="0" w:lineRule="atLeast"/>
              <w:jc w:val="center"/>
              <w:rPr>
                <w:rFonts w:hint="default" w:eastAsiaTheme="minorEastAsia"/>
                <w:color w:val="auto"/>
                <w:szCs w:val="21"/>
                <w:lang w:val="en-US" w:eastAsia="zh-CN"/>
              </w:rPr>
            </w:pPr>
            <w:r>
              <w:rPr>
                <w:rFonts w:hint="eastAsia" w:eastAsiaTheme="minorEastAsia"/>
                <w:color w:val="auto"/>
                <w:szCs w:val="21"/>
                <w:lang w:val="en-US" w:eastAsia="zh-CN"/>
              </w:rPr>
              <w:t>80</w:t>
            </w:r>
          </w:p>
        </w:tc>
        <w:tc>
          <w:tcPr>
            <w:tcW w:w="474" w:type="dxa"/>
            <w:vAlign w:val="center"/>
          </w:tcPr>
          <w:p>
            <w:pPr>
              <w:spacing w:line="0" w:lineRule="atLeast"/>
              <w:jc w:val="center"/>
              <w:rPr>
                <w:rFonts w:hint="default" w:eastAsiaTheme="minorEastAsia"/>
                <w:color w:val="auto"/>
                <w:szCs w:val="21"/>
                <w:lang w:val="en-US" w:eastAsia="zh-CN"/>
              </w:rPr>
            </w:pPr>
            <w:r>
              <w:rPr>
                <w:rFonts w:hint="eastAsia" w:eastAsiaTheme="minorEastAsia"/>
                <w:color w:val="auto"/>
                <w:szCs w:val="21"/>
                <w:lang w:val="en-US" w:eastAsia="zh-CN"/>
              </w:rPr>
              <w:t>3600</w:t>
            </w:r>
          </w:p>
        </w:tc>
        <w:tc>
          <w:tcPr>
            <w:tcW w:w="223" w:type="dxa"/>
            <w:vMerge w:val="continue"/>
            <w:vAlign w:val="center"/>
          </w:tcPr>
          <w:p>
            <w:pPr>
              <w:spacing w:line="0" w:lineRule="atLeast"/>
              <w:jc w:val="center"/>
              <w:rPr>
                <w:rFonts w:hAnsiTheme="minorEastAsia" w:eastAsiaTheme="minorEastAsia"/>
                <w:color w:val="FF0000"/>
                <w:szCs w:val="21"/>
              </w:rPr>
            </w:pPr>
          </w:p>
        </w:tc>
        <w:tc>
          <w:tcPr>
            <w:tcW w:w="599" w:type="dxa"/>
            <w:vAlign w:val="center"/>
          </w:tcPr>
          <w:p>
            <w:pPr>
              <w:pStyle w:val="84"/>
              <w:snapToGrid w:val="0"/>
              <w:rPr>
                <w:bCs/>
                <w:color w:val="FF0000"/>
              </w:rPr>
            </w:pPr>
            <w:r>
              <w:rPr>
                <w:color w:val="auto"/>
                <w:highlight w:val="none"/>
                <w:lang w:val="en-US"/>
              </w:rPr>
              <w:t>/</w:t>
            </w:r>
          </w:p>
        </w:tc>
        <w:tc>
          <w:tcPr>
            <w:tcW w:w="599" w:type="dxa"/>
            <w:vAlign w:val="center"/>
          </w:tcPr>
          <w:p>
            <w:pPr>
              <w:pStyle w:val="84"/>
              <w:snapToGrid w:val="0"/>
              <w:rPr>
                <w:bCs/>
                <w:color w:val="FF0000"/>
              </w:rPr>
            </w:pPr>
            <w:r>
              <w:rPr>
                <w:color w:val="auto"/>
                <w:highlight w:val="none"/>
                <w:lang w:val="en-US"/>
              </w:rPr>
              <w:t>/</w:t>
            </w:r>
          </w:p>
        </w:tc>
        <w:tc>
          <w:tcPr>
            <w:tcW w:w="516" w:type="dxa"/>
            <w:vAlign w:val="center"/>
          </w:tcPr>
          <w:p>
            <w:pPr>
              <w:spacing w:line="0" w:lineRule="atLeast"/>
              <w:jc w:val="center"/>
              <w:rPr>
                <w:bCs/>
                <w:color w:val="FF0000"/>
              </w:rPr>
            </w:pPr>
            <w:r>
              <w:rPr>
                <w:rFonts w:hint="eastAsia" w:hAnsi="Times New Roman"/>
                <w:snapToGrid w:val="0"/>
                <w:color w:val="auto"/>
                <w:szCs w:val="22"/>
                <w:lang w:val="en-US" w:eastAsia="zh-CN"/>
              </w:rPr>
              <w:t>0.0206</w:t>
            </w:r>
          </w:p>
        </w:tc>
        <w:tc>
          <w:tcPr>
            <w:tcW w:w="509" w:type="dxa"/>
            <w:vAlign w:val="center"/>
          </w:tcPr>
          <w:p>
            <w:pPr>
              <w:spacing w:line="0" w:lineRule="atLeast"/>
              <w:jc w:val="center"/>
              <w:rPr>
                <w:bCs/>
                <w:color w:val="FF0000"/>
              </w:rPr>
            </w:pPr>
            <w:r>
              <w:rPr>
                <w:rFonts w:hint="eastAsia" w:hAnsi="Times New Roman" w:eastAsia="宋体"/>
                <w:snapToGrid w:val="0"/>
                <w:color w:val="auto"/>
                <w:szCs w:val="22"/>
                <w:lang w:val="en-US" w:eastAsia="zh-CN"/>
              </w:rPr>
              <w:t>0.1186</w:t>
            </w:r>
          </w:p>
        </w:tc>
        <w:tc>
          <w:tcPr>
            <w:tcW w:w="516" w:type="dxa"/>
            <w:vAlign w:val="center"/>
          </w:tcPr>
          <w:p>
            <w:pPr>
              <w:spacing w:line="0" w:lineRule="atLeast"/>
              <w:jc w:val="center"/>
              <w:rPr>
                <w:bCs/>
                <w:color w:val="FF0000"/>
              </w:rPr>
            </w:pPr>
            <w:r>
              <w:rPr>
                <w:rFonts w:hint="eastAsia" w:hAnsi="Times New Roman" w:eastAsia="宋体"/>
                <w:snapToGrid w:val="0"/>
                <w:color w:val="auto"/>
                <w:szCs w:val="22"/>
                <w:lang w:val="en-US" w:eastAsia="zh-CN"/>
              </w:rPr>
              <w:t>0.0281</w:t>
            </w:r>
          </w:p>
        </w:tc>
      </w:tr>
    </w:tbl>
    <w:p>
      <w:pPr>
        <w:spacing w:line="360" w:lineRule="auto"/>
        <w:ind w:firstLine="482"/>
        <w:jc w:val="center"/>
        <w:rPr>
          <w:b/>
          <w:color w:val="auto"/>
          <w:sz w:val="24"/>
        </w:rPr>
      </w:pPr>
      <w:r>
        <w:rPr>
          <w:b/>
          <w:color w:val="auto"/>
          <w:sz w:val="24"/>
        </w:rPr>
        <w:t>表5-2-3主要废气污染源参数一览表(矩形面源)</w:t>
      </w:r>
    </w:p>
    <w:tbl>
      <w:tblPr>
        <w:tblStyle w:val="4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2"/>
        <w:gridCol w:w="642"/>
        <w:gridCol w:w="990"/>
        <w:gridCol w:w="893"/>
        <w:gridCol w:w="651"/>
        <w:gridCol w:w="651"/>
        <w:gridCol w:w="651"/>
        <w:gridCol w:w="591"/>
        <w:gridCol w:w="651"/>
        <w:gridCol w:w="607"/>
        <w:gridCol w:w="372"/>
        <w:gridCol w:w="725"/>
        <w:gridCol w:w="7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 w:hRule="atLeast"/>
          <w:jc w:val="center"/>
        </w:trPr>
        <w:tc>
          <w:tcPr>
            <w:tcW w:w="372"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编号</w:t>
            </w:r>
          </w:p>
        </w:tc>
        <w:tc>
          <w:tcPr>
            <w:tcW w:w="642"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名称</w:t>
            </w:r>
          </w:p>
        </w:tc>
        <w:tc>
          <w:tcPr>
            <w:tcW w:w="1883" w:type="dxa"/>
            <w:gridSpan w:val="2"/>
            <w:vAlign w:val="center"/>
          </w:tcPr>
          <w:p>
            <w:pPr>
              <w:spacing w:line="0" w:lineRule="atLeast"/>
              <w:jc w:val="center"/>
              <w:rPr>
                <w:rFonts w:eastAsiaTheme="minorEastAsia"/>
                <w:color w:val="auto"/>
                <w:szCs w:val="21"/>
              </w:rPr>
            </w:pPr>
            <w:r>
              <w:rPr>
                <w:rFonts w:hAnsiTheme="minorEastAsia" w:eastAsiaTheme="minorEastAsia"/>
                <w:color w:val="auto"/>
                <w:szCs w:val="21"/>
              </w:rPr>
              <w:t>面源各顶点坐标（</w:t>
            </w:r>
            <w:r>
              <w:rPr>
                <w:rFonts w:eastAsiaTheme="minorEastAsia"/>
                <w:color w:val="auto"/>
                <w:szCs w:val="21"/>
              </w:rPr>
              <w:t>°</w:t>
            </w:r>
            <w:r>
              <w:rPr>
                <w:rFonts w:hAnsiTheme="minorEastAsia" w:eastAsiaTheme="minorEastAsia"/>
                <w:color w:val="auto"/>
                <w:szCs w:val="21"/>
              </w:rPr>
              <w:t>）</w:t>
            </w:r>
          </w:p>
        </w:tc>
        <w:tc>
          <w:tcPr>
            <w:tcW w:w="651"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面源海拔高度（</w:t>
            </w:r>
            <w:r>
              <w:rPr>
                <w:rFonts w:eastAsiaTheme="minorEastAsia"/>
                <w:color w:val="auto"/>
                <w:szCs w:val="21"/>
              </w:rPr>
              <w:t>m</w:t>
            </w:r>
            <w:r>
              <w:rPr>
                <w:rFonts w:hAnsiTheme="minorEastAsia" w:eastAsiaTheme="minorEastAsia"/>
                <w:color w:val="auto"/>
                <w:szCs w:val="21"/>
              </w:rPr>
              <w:t>）</w:t>
            </w:r>
          </w:p>
        </w:tc>
        <w:tc>
          <w:tcPr>
            <w:tcW w:w="651"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面源长度（</w:t>
            </w:r>
            <w:r>
              <w:rPr>
                <w:rFonts w:eastAsiaTheme="minorEastAsia"/>
                <w:color w:val="auto"/>
                <w:szCs w:val="21"/>
              </w:rPr>
              <w:t>m</w:t>
            </w:r>
            <w:r>
              <w:rPr>
                <w:rFonts w:hAnsiTheme="minorEastAsia" w:eastAsiaTheme="minorEastAsia"/>
                <w:color w:val="auto"/>
                <w:szCs w:val="21"/>
              </w:rPr>
              <w:t>）</w:t>
            </w:r>
          </w:p>
        </w:tc>
        <w:tc>
          <w:tcPr>
            <w:tcW w:w="651"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面源宽度（</w:t>
            </w:r>
            <w:r>
              <w:rPr>
                <w:rFonts w:eastAsiaTheme="minorEastAsia"/>
                <w:color w:val="auto"/>
                <w:szCs w:val="21"/>
              </w:rPr>
              <w:t>m</w:t>
            </w:r>
            <w:r>
              <w:rPr>
                <w:rFonts w:hAnsiTheme="minorEastAsia" w:eastAsiaTheme="minorEastAsia"/>
                <w:color w:val="auto"/>
                <w:szCs w:val="21"/>
              </w:rPr>
              <w:t>）</w:t>
            </w:r>
          </w:p>
        </w:tc>
        <w:tc>
          <w:tcPr>
            <w:tcW w:w="591"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与正北向夹角（</w:t>
            </w:r>
            <w:r>
              <w:rPr>
                <w:rFonts w:eastAsiaTheme="minorEastAsia"/>
                <w:color w:val="auto"/>
                <w:szCs w:val="21"/>
              </w:rPr>
              <w:t>°</w:t>
            </w:r>
            <w:r>
              <w:rPr>
                <w:rFonts w:hAnsiTheme="minorEastAsia" w:eastAsiaTheme="minorEastAsia"/>
                <w:color w:val="auto"/>
                <w:szCs w:val="21"/>
              </w:rPr>
              <w:t>）</w:t>
            </w:r>
          </w:p>
        </w:tc>
        <w:tc>
          <w:tcPr>
            <w:tcW w:w="651"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面源有效排放高度（</w:t>
            </w:r>
            <w:r>
              <w:rPr>
                <w:rFonts w:eastAsiaTheme="minorEastAsia"/>
                <w:color w:val="auto"/>
                <w:szCs w:val="21"/>
              </w:rPr>
              <w:t>m</w:t>
            </w:r>
            <w:r>
              <w:rPr>
                <w:rFonts w:hAnsiTheme="minorEastAsia" w:eastAsiaTheme="minorEastAsia"/>
                <w:color w:val="auto"/>
                <w:szCs w:val="21"/>
              </w:rPr>
              <w:t>）</w:t>
            </w:r>
          </w:p>
        </w:tc>
        <w:tc>
          <w:tcPr>
            <w:tcW w:w="607"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年排放小时数（</w:t>
            </w:r>
            <w:r>
              <w:rPr>
                <w:rFonts w:eastAsiaTheme="minorEastAsia"/>
                <w:color w:val="auto"/>
                <w:szCs w:val="21"/>
              </w:rPr>
              <w:t>h</w:t>
            </w:r>
            <w:r>
              <w:rPr>
                <w:rFonts w:hAnsiTheme="minorEastAsia" w:eastAsiaTheme="minorEastAsia"/>
                <w:color w:val="auto"/>
                <w:szCs w:val="21"/>
              </w:rPr>
              <w:t>）</w:t>
            </w:r>
          </w:p>
        </w:tc>
        <w:tc>
          <w:tcPr>
            <w:tcW w:w="372"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排放工况</w:t>
            </w:r>
          </w:p>
        </w:tc>
        <w:tc>
          <w:tcPr>
            <w:tcW w:w="1451" w:type="dxa"/>
            <w:gridSpan w:val="2"/>
            <w:vAlign w:val="center"/>
          </w:tcPr>
          <w:p>
            <w:pPr>
              <w:spacing w:line="0" w:lineRule="atLeast"/>
              <w:jc w:val="center"/>
              <w:rPr>
                <w:rFonts w:eastAsiaTheme="minorEastAsia"/>
                <w:color w:val="auto"/>
                <w:szCs w:val="21"/>
              </w:rPr>
            </w:pPr>
            <w:r>
              <w:rPr>
                <w:rFonts w:hAnsiTheme="minorEastAsia" w:eastAsiaTheme="minorEastAsia"/>
                <w:color w:val="auto"/>
                <w:szCs w:val="21"/>
              </w:rPr>
              <w:t>污染物排放速率（</w:t>
            </w:r>
            <w:r>
              <w:rPr>
                <w:rFonts w:eastAsiaTheme="minorEastAsia"/>
                <w:color w:val="auto"/>
                <w:szCs w:val="21"/>
              </w:rPr>
              <w:t>kg/h</w:t>
            </w:r>
            <w:r>
              <w:rPr>
                <w:rFonts w:hAnsiTheme="minorEastAsia" w:eastAsiaTheme="minorEastAsia"/>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372" w:type="dxa"/>
            <w:vMerge w:val="continue"/>
            <w:vAlign w:val="center"/>
          </w:tcPr>
          <w:p>
            <w:pPr>
              <w:spacing w:line="0" w:lineRule="atLeast"/>
              <w:jc w:val="center"/>
              <w:rPr>
                <w:rFonts w:eastAsiaTheme="minorEastAsia"/>
                <w:color w:val="auto"/>
                <w:szCs w:val="21"/>
              </w:rPr>
            </w:pPr>
          </w:p>
        </w:tc>
        <w:tc>
          <w:tcPr>
            <w:tcW w:w="642" w:type="dxa"/>
            <w:vMerge w:val="continue"/>
            <w:vAlign w:val="center"/>
          </w:tcPr>
          <w:p>
            <w:pPr>
              <w:spacing w:line="0" w:lineRule="atLeast"/>
              <w:jc w:val="center"/>
              <w:rPr>
                <w:rFonts w:eastAsiaTheme="minorEastAsia"/>
                <w:color w:val="auto"/>
                <w:szCs w:val="21"/>
              </w:rPr>
            </w:pPr>
          </w:p>
        </w:tc>
        <w:tc>
          <w:tcPr>
            <w:tcW w:w="990" w:type="dxa"/>
            <w:vAlign w:val="center"/>
          </w:tcPr>
          <w:p>
            <w:pPr>
              <w:spacing w:line="0" w:lineRule="atLeast"/>
              <w:jc w:val="center"/>
              <w:rPr>
                <w:rFonts w:eastAsiaTheme="minorEastAsia"/>
                <w:color w:val="auto"/>
                <w:szCs w:val="21"/>
              </w:rPr>
            </w:pPr>
            <w:r>
              <w:rPr>
                <w:rFonts w:hAnsiTheme="minorEastAsia" w:eastAsiaTheme="minorEastAsia"/>
                <w:color w:val="auto"/>
                <w:szCs w:val="21"/>
              </w:rPr>
              <w:t>经度</w:t>
            </w:r>
          </w:p>
        </w:tc>
        <w:tc>
          <w:tcPr>
            <w:tcW w:w="893" w:type="dxa"/>
            <w:vAlign w:val="center"/>
          </w:tcPr>
          <w:p>
            <w:pPr>
              <w:spacing w:line="0" w:lineRule="atLeast"/>
              <w:jc w:val="center"/>
              <w:rPr>
                <w:rFonts w:eastAsiaTheme="minorEastAsia"/>
                <w:color w:val="auto"/>
                <w:szCs w:val="21"/>
              </w:rPr>
            </w:pPr>
            <w:r>
              <w:rPr>
                <w:rFonts w:hAnsiTheme="minorEastAsia" w:eastAsiaTheme="minorEastAsia"/>
                <w:color w:val="auto"/>
                <w:szCs w:val="21"/>
              </w:rPr>
              <w:t>纬度</w:t>
            </w:r>
          </w:p>
        </w:tc>
        <w:tc>
          <w:tcPr>
            <w:tcW w:w="651" w:type="dxa"/>
            <w:vMerge w:val="continue"/>
            <w:vAlign w:val="center"/>
          </w:tcPr>
          <w:p>
            <w:pPr>
              <w:spacing w:line="0" w:lineRule="atLeast"/>
              <w:jc w:val="center"/>
              <w:rPr>
                <w:rFonts w:eastAsiaTheme="minorEastAsia"/>
                <w:color w:val="auto"/>
                <w:szCs w:val="21"/>
              </w:rPr>
            </w:pPr>
          </w:p>
        </w:tc>
        <w:tc>
          <w:tcPr>
            <w:tcW w:w="651" w:type="dxa"/>
            <w:vMerge w:val="continue"/>
            <w:vAlign w:val="center"/>
          </w:tcPr>
          <w:p>
            <w:pPr>
              <w:spacing w:line="0" w:lineRule="atLeast"/>
              <w:jc w:val="center"/>
              <w:rPr>
                <w:rFonts w:eastAsiaTheme="minorEastAsia"/>
                <w:color w:val="auto"/>
                <w:szCs w:val="21"/>
              </w:rPr>
            </w:pPr>
          </w:p>
        </w:tc>
        <w:tc>
          <w:tcPr>
            <w:tcW w:w="651" w:type="dxa"/>
            <w:vMerge w:val="continue"/>
            <w:vAlign w:val="center"/>
          </w:tcPr>
          <w:p>
            <w:pPr>
              <w:spacing w:line="0" w:lineRule="atLeast"/>
              <w:jc w:val="center"/>
              <w:rPr>
                <w:rFonts w:eastAsiaTheme="minorEastAsia"/>
                <w:color w:val="auto"/>
                <w:szCs w:val="21"/>
              </w:rPr>
            </w:pPr>
          </w:p>
        </w:tc>
        <w:tc>
          <w:tcPr>
            <w:tcW w:w="591" w:type="dxa"/>
            <w:vMerge w:val="continue"/>
            <w:vAlign w:val="center"/>
          </w:tcPr>
          <w:p>
            <w:pPr>
              <w:spacing w:line="0" w:lineRule="atLeast"/>
              <w:jc w:val="center"/>
              <w:rPr>
                <w:rFonts w:eastAsiaTheme="minorEastAsia"/>
                <w:color w:val="auto"/>
                <w:szCs w:val="21"/>
              </w:rPr>
            </w:pPr>
          </w:p>
        </w:tc>
        <w:tc>
          <w:tcPr>
            <w:tcW w:w="651" w:type="dxa"/>
            <w:vMerge w:val="continue"/>
            <w:vAlign w:val="center"/>
          </w:tcPr>
          <w:p>
            <w:pPr>
              <w:spacing w:line="0" w:lineRule="atLeast"/>
              <w:jc w:val="center"/>
              <w:rPr>
                <w:rFonts w:eastAsiaTheme="minorEastAsia"/>
                <w:color w:val="auto"/>
                <w:szCs w:val="21"/>
              </w:rPr>
            </w:pPr>
          </w:p>
        </w:tc>
        <w:tc>
          <w:tcPr>
            <w:tcW w:w="607" w:type="dxa"/>
            <w:vMerge w:val="continue"/>
            <w:vAlign w:val="center"/>
          </w:tcPr>
          <w:p>
            <w:pPr>
              <w:spacing w:line="0" w:lineRule="atLeast"/>
              <w:jc w:val="center"/>
              <w:rPr>
                <w:rFonts w:eastAsiaTheme="minorEastAsia"/>
                <w:color w:val="auto"/>
                <w:szCs w:val="21"/>
              </w:rPr>
            </w:pPr>
          </w:p>
        </w:tc>
        <w:tc>
          <w:tcPr>
            <w:tcW w:w="372" w:type="dxa"/>
            <w:vMerge w:val="continue"/>
            <w:vAlign w:val="center"/>
          </w:tcPr>
          <w:p>
            <w:pPr>
              <w:spacing w:line="0" w:lineRule="atLeast"/>
              <w:jc w:val="center"/>
              <w:rPr>
                <w:rFonts w:eastAsiaTheme="minorEastAsia"/>
                <w:color w:val="auto"/>
                <w:szCs w:val="21"/>
              </w:rPr>
            </w:pPr>
          </w:p>
        </w:tc>
        <w:tc>
          <w:tcPr>
            <w:tcW w:w="725" w:type="dxa"/>
            <w:vAlign w:val="center"/>
          </w:tcPr>
          <w:p>
            <w:pPr>
              <w:spacing w:line="0" w:lineRule="atLeast"/>
              <w:jc w:val="center"/>
              <w:rPr>
                <w:rFonts w:eastAsiaTheme="minorEastAsia"/>
                <w:color w:val="auto"/>
                <w:szCs w:val="21"/>
              </w:rPr>
            </w:pPr>
            <w:r>
              <w:rPr>
                <w:rFonts w:eastAsiaTheme="minorEastAsia"/>
                <w:color w:val="auto"/>
                <w:szCs w:val="21"/>
              </w:rPr>
              <w:t>NH</w:t>
            </w:r>
            <w:r>
              <w:rPr>
                <w:rFonts w:eastAsiaTheme="minorEastAsia"/>
                <w:color w:val="auto"/>
                <w:szCs w:val="21"/>
                <w:vertAlign w:val="subscript"/>
              </w:rPr>
              <w:t>3</w:t>
            </w:r>
          </w:p>
        </w:tc>
        <w:tc>
          <w:tcPr>
            <w:tcW w:w="726" w:type="dxa"/>
            <w:vAlign w:val="center"/>
          </w:tcPr>
          <w:p>
            <w:pPr>
              <w:spacing w:line="0" w:lineRule="atLeast"/>
              <w:jc w:val="center"/>
              <w:rPr>
                <w:rFonts w:eastAsiaTheme="minorEastAsia"/>
                <w:color w:val="auto"/>
                <w:szCs w:val="21"/>
              </w:rPr>
            </w:pPr>
            <w:r>
              <w:rPr>
                <w:rFonts w:eastAsiaTheme="minorEastAsia"/>
                <w:color w:val="auto"/>
                <w:szCs w:val="21"/>
              </w:rPr>
              <w:t>H</w:t>
            </w:r>
            <w:r>
              <w:rPr>
                <w:rFonts w:eastAsiaTheme="minorEastAsia"/>
                <w:color w:val="auto"/>
                <w:szCs w:val="21"/>
                <w:vertAlign w:val="subscript"/>
              </w:rPr>
              <w:t>2</w:t>
            </w:r>
            <w:r>
              <w:rPr>
                <w:rFonts w:eastAsiaTheme="minorEastAsia"/>
                <w:color w:val="auto"/>
                <w:szCs w:val="21"/>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372" w:type="dxa"/>
            <w:vAlign w:val="center"/>
          </w:tcPr>
          <w:p>
            <w:pPr>
              <w:spacing w:line="0" w:lineRule="atLeast"/>
              <w:jc w:val="center"/>
              <w:rPr>
                <w:rFonts w:eastAsiaTheme="minorEastAsia"/>
                <w:color w:val="auto"/>
                <w:szCs w:val="21"/>
              </w:rPr>
            </w:pPr>
            <w:r>
              <w:rPr>
                <w:rFonts w:eastAsiaTheme="minorEastAsia"/>
                <w:color w:val="auto"/>
                <w:szCs w:val="21"/>
              </w:rPr>
              <w:t>1</w:t>
            </w:r>
          </w:p>
        </w:tc>
        <w:tc>
          <w:tcPr>
            <w:tcW w:w="642" w:type="dxa"/>
            <w:vAlign w:val="center"/>
          </w:tcPr>
          <w:p>
            <w:pPr>
              <w:spacing w:line="0" w:lineRule="atLeast"/>
              <w:jc w:val="center"/>
              <w:rPr>
                <w:rFonts w:eastAsiaTheme="minorEastAsia"/>
                <w:bCs/>
                <w:color w:val="auto"/>
                <w:szCs w:val="21"/>
              </w:rPr>
            </w:pPr>
            <w:r>
              <w:rPr>
                <w:rFonts w:hint="eastAsia" w:hAnsiTheme="minorEastAsia" w:eastAsiaTheme="minorEastAsia"/>
                <w:bCs/>
                <w:color w:val="auto"/>
                <w:szCs w:val="21"/>
              </w:rPr>
              <w:t>屠宰</w:t>
            </w:r>
            <w:r>
              <w:rPr>
                <w:rFonts w:hAnsiTheme="minorEastAsia" w:eastAsiaTheme="minorEastAsia"/>
                <w:bCs/>
                <w:color w:val="auto"/>
                <w:szCs w:val="21"/>
              </w:rPr>
              <w:t>车间</w:t>
            </w:r>
          </w:p>
        </w:tc>
        <w:tc>
          <w:tcPr>
            <w:tcW w:w="990" w:type="dxa"/>
            <w:vAlign w:val="center"/>
          </w:tcPr>
          <w:p>
            <w:pPr>
              <w:jc w:val="center"/>
              <w:rPr>
                <w:rFonts w:eastAsiaTheme="minorEastAsia"/>
                <w:color w:val="auto"/>
                <w:szCs w:val="21"/>
              </w:rPr>
            </w:pPr>
            <w:r>
              <w:rPr>
                <w:rFonts w:eastAsiaTheme="minorEastAsia"/>
                <w:color w:val="auto"/>
                <w:szCs w:val="21"/>
              </w:rPr>
              <w:t>127.81004906</w:t>
            </w:r>
          </w:p>
        </w:tc>
        <w:tc>
          <w:tcPr>
            <w:tcW w:w="893" w:type="dxa"/>
            <w:vAlign w:val="center"/>
          </w:tcPr>
          <w:p>
            <w:pPr>
              <w:jc w:val="center"/>
              <w:rPr>
                <w:rFonts w:eastAsiaTheme="minorEastAsia"/>
                <w:color w:val="auto"/>
                <w:szCs w:val="21"/>
              </w:rPr>
            </w:pPr>
            <w:r>
              <w:rPr>
                <w:rFonts w:eastAsiaTheme="minorEastAsia"/>
                <w:color w:val="auto"/>
                <w:szCs w:val="21"/>
              </w:rPr>
              <w:t>45.30505556</w:t>
            </w:r>
          </w:p>
        </w:tc>
        <w:tc>
          <w:tcPr>
            <w:tcW w:w="651" w:type="dxa"/>
            <w:vAlign w:val="center"/>
          </w:tcPr>
          <w:p>
            <w:pPr>
              <w:jc w:val="center"/>
              <w:rPr>
                <w:rFonts w:eastAsiaTheme="minorEastAsia"/>
                <w:color w:val="FF0000"/>
                <w:szCs w:val="21"/>
              </w:rPr>
            </w:pPr>
            <w:r>
              <w:rPr>
                <w:rFonts w:hint="eastAsia" w:eastAsiaTheme="minorEastAsia"/>
                <w:color w:val="auto"/>
                <w:szCs w:val="21"/>
                <w:lang w:val="en-US" w:eastAsia="zh-CN"/>
              </w:rPr>
              <w:t>236</w:t>
            </w:r>
          </w:p>
        </w:tc>
        <w:tc>
          <w:tcPr>
            <w:tcW w:w="651" w:type="dxa"/>
            <w:vAlign w:val="center"/>
          </w:tcPr>
          <w:p>
            <w:pPr>
              <w:jc w:val="center"/>
              <w:rPr>
                <w:rFonts w:hint="eastAsia" w:eastAsiaTheme="minorEastAsia"/>
                <w:color w:val="auto"/>
                <w:szCs w:val="21"/>
                <w:lang w:val="en-US" w:eastAsia="zh-CN"/>
              </w:rPr>
            </w:pPr>
            <w:r>
              <w:rPr>
                <w:rFonts w:hint="eastAsia" w:eastAsiaTheme="minorEastAsia"/>
                <w:color w:val="auto"/>
                <w:szCs w:val="21"/>
              </w:rPr>
              <w:t>5</w:t>
            </w:r>
            <w:r>
              <w:rPr>
                <w:rFonts w:hint="eastAsia" w:eastAsiaTheme="minorEastAsia"/>
                <w:color w:val="auto"/>
                <w:szCs w:val="21"/>
                <w:lang w:val="en-US" w:eastAsia="zh-CN"/>
              </w:rPr>
              <w:t>0</w:t>
            </w:r>
          </w:p>
        </w:tc>
        <w:tc>
          <w:tcPr>
            <w:tcW w:w="651" w:type="dxa"/>
            <w:vAlign w:val="center"/>
          </w:tcPr>
          <w:p>
            <w:pPr>
              <w:jc w:val="center"/>
              <w:rPr>
                <w:rFonts w:hint="default" w:eastAsiaTheme="minorEastAsia"/>
                <w:color w:val="auto"/>
                <w:szCs w:val="21"/>
                <w:lang w:val="en-US" w:eastAsia="zh-CN"/>
              </w:rPr>
            </w:pPr>
            <w:r>
              <w:rPr>
                <w:rFonts w:hint="eastAsia" w:eastAsiaTheme="minorEastAsia"/>
                <w:color w:val="auto"/>
                <w:szCs w:val="21"/>
                <w:lang w:val="en-US" w:eastAsia="zh-CN"/>
              </w:rPr>
              <w:t>40</w:t>
            </w:r>
          </w:p>
        </w:tc>
        <w:tc>
          <w:tcPr>
            <w:tcW w:w="591" w:type="dxa"/>
            <w:vAlign w:val="center"/>
          </w:tcPr>
          <w:p>
            <w:pPr>
              <w:spacing w:line="0" w:lineRule="atLeast"/>
              <w:jc w:val="center"/>
              <w:rPr>
                <w:rFonts w:hint="default" w:eastAsiaTheme="minorEastAsia"/>
                <w:color w:val="auto"/>
                <w:szCs w:val="21"/>
                <w:lang w:val="en-US" w:eastAsia="zh-CN"/>
              </w:rPr>
            </w:pPr>
            <w:r>
              <w:rPr>
                <w:rFonts w:hint="eastAsia" w:eastAsiaTheme="minorEastAsia"/>
                <w:color w:val="auto"/>
                <w:szCs w:val="21"/>
                <w:lang w:val="en-US" w:eastAsia="zh-CN"/>
              </w:rPr>
              <w:t>20</w:t>
            </w:r>
          </w:p>
        </w:tc>
        <w:tc>
          <w:tcPr>
            <w:tcW w:w="651" w:type="dxa"/>
            <w:vAlign w:val="center"/>
          </w:tcPr>
          <w:p>
            <w:pPr>
              <w:spacing w:line="0" w:lineRule="atLeast"/>
              <w:jc w:val="center"/>
              <w:rPr>
                <w:rFonts w:hint="eastAsia" w:eastAsiaTheme="minorEastAsia"/>
                <w:color w:val="auto"/>
                <w:szCs w:val="21"/>
                <w:highlight w:val="none"/>
                <w:lang w:eastAsia="zh-CN"/>
              </w:rPr>
            </w:pPr>
            <w:r>
              <w:rPr>
                <w:rFonts w:hint="eastAsia" w:eastAsiaTheme="minorEastAsia"/>
                <w:color w:val="auto"/>
                <w:szCs w:val="21"/>
                <w:highlight w:val="none"/>
                <w:lang w:val="en-US" w:eastAsia="zh-CN"/>
              </w:rPr>
              <w:t>4</w:t>
            </w:r>
          </w:p>
        </w:tc>
        <w:tc>
          <w:tcPr>
            <w:tcW w:w="607" w:type="dxa"/>
            <w:vAlign w:val="center"/>
          </w:tcPr>
          <w:p>
            <w:pPr>
              <w:spacing w:line="0" w:lineRule="atLeast"/>
              <w:jc w:val="center"/>
              <w:rPr>
                <w:rFonts w:eastAsiaTheme="minorEastAsia"/>
                <w:color w:val="auto"/>
                <w:szCs w:val="21"/>
              </w:rPr>
            </w:pPr>
            <w:r>
              <w:rPr>
                <w:rFonts w:hint="eastAsia" w:eastAsiaTheme="minorEastAsia"/>
                <w:color w:val="auto"/>
                <w:szCs w:val="21"/>
              </w:rPr>
              <w:t>2400</w:t>
            </w:r>
          </w:p>
        </w:tc>
        <w:tc>
          <w:tcPr>
            <w:tcW w:w="372"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正常排放</w:t>
            </w:r>
          </w:p>
        </w:tc>
        <w:tc>
          <w:tcPr>
            <w:tcW w:w="725" w:type="dxa"/>
            <w:vAlign w:val="center"/>
          </w:tcPr>
          <w:p>
            <w:pPr>
              <w:spacing w:line="0" w:lineRule="atLeast"/>
              <w:jc w:val="center"/>
              <w:rPr>
                <w:rFonts w:eastAsiaTheme="minorEastAsia"/>
                <w:color w:val="auto"/>
                <w:szCs w:val="21"/>
              </w:rPr>
            </w:pPr>
            <w:r>
              <w:rPr>
                <w:rFonts w:hint="eastAsia" w:hAnsi="Times New Roman"/>
                <w:color w:val="auto"/>
                <w:lang w:val="en-US" w:eastAsia="zh-CN"/>
              </w:rPr>
              <w:t>0.026</w:t>
            </w:r>
          </w:p>
        </w:tc>
        <w:tc>
          <w:tcPr>
            <w:tcW w:w="726" w:type="dxa"/>
            <w:vAlign w:val="center"/>
          </w:tcPr>
          <w:p>
            <w:pPr>
              <w:spacing w:line="0" w:lineRule="atLeast"/>
              <w:jc w:val="center"/>
              <w:rPr>
                <w:rFonts w:eastAsiaTheme="minorEastAsia"/>
                <w:color w:val="auto"/>
                <w:szCs w:val="21"/>
              </w:rPr>
            </w:pPr>
            <w:r>
              <w:rPr>
                <w:rFonts w:hint="eastAsia" w:hAnsi="Times New Roman"/>
                <w:color w:val="auto"/>
                <w:szCs w:val="24"/>
                <w:lang w:val="en-US" w:eastAsia="zh-CN"/>
              </w:rPr>
              <w:t>0.0027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372" w:type="dxa"/>
            <w:vAlign w:val="center"/>
          </w:tcPr>
          <w:p>
            <w:pPr>
              <w:spacing w:line="0" w:lineRule="atLeast"/>
              <w:jc w:val="center"/>
              <w:rPr>
                <w:rFonts w:eastAsiaTheme="minorEastAsia"/>
                <w:color w:val="auto"/>
                <w:szCs w:val="21"/>
              </w:rPr>
            </w:pPr>
            <w:r>
              <w:rPr>
                <w:rFonts w:hint="eastAsia" w:eastAsiaTheme="minorEastAsia"/>
                <w:color w:val="auto"/>
                <w:szCs w:val="21"/>
              </w:rPr>
              <w:t>2</w:t>
            </w:r>
          </w:p>
        </w:tc>
        <w:tc>
          <w:tcPr>
            <w:tcW w:w="642" w:type="dxa"/>
            <w:vAlign w:val="center"/>
          </w:tcPr>
          <w:p>
            <w:pPr>
              <w:spacing w:line="0" w:lineRule="atLeast"/>
              <w:jc w:val="center"/>
              <w:rPr>
                <w:rFonts w:hAnsiTheme="minorEastAsia" w:eastAsiaTheme="minorEastAsia"/>
                <w:bCs/>
                <w:color w:val="auto"/>
                <w:szCs w:val="21"/>
              </w:rPr>
            </w:pPr>
            <w:r>
              <w:rPr>
                <w:rFonts w:hAnsiTheme="minorEastAsia" w:eastAsiaTheme="minorEastAsia"/>
                <w:bCs/>
                <w:color w:val="auto"/>
                <w:szCs w:val="21"/>
              </w:rPr>
              <w:t>污水处理站</w:t>
            </w:r>
          </w:p>
        </w:tc>
        <w:tc>
          <w:tcPr>
            <w:tcW w:w="990" w:type="dxa"/>
            <w:vAlign w:val="center"/>
          </w:tcPr>
          <w:p>
            <w:pPr>
              <w:jc w:val="center"/>
              <w:rPr>
                <w:rFonts w:eastAsiaTheme="minorEastAsia"/>
                <w:color w:val="auto"/>
                <w:szCs w:val="21"/>
              </w:rPr>
            </w:pPr>
            <w:r>
              <w:rPr>
                <w:rFonts w:eastAsiaTheme="minorEastAsia"/>
                <w:color w:val="auto"/>
                <w:szCs w:val="21"/>
              </w:rPr>
              <w:t>127.81000882</w:t>
            </w:r>
          </w:p>
        </w:tc>
        <w:tc>
          <w:tcPr>
            <w:tcW w:w="893" w:type="dxa"/>
            <w:vAlign w:val="center"/>
          </w:tcPr>
          <w:p>
            <w:pPr>
              <w:jc w:val="center"/>
              <w:rPr>
                <w:rFonts w:eastAsiaTheme="minorEastAsia"/>
                <w:color w:val="auto"/>
                <w:szCs w:val="21"/>
              </w:rPr>
            </w:pPr>
            <w:r>
              <w:rPr>
                <w:rFonts w:eastAsiaTheme="minorEastAsia"/>
                <w:color w:val="auto"/>
                <w:szCs w:val="21"/>
              </w:rPr>
              <w:t>45.30526118</w:t>
            </w:r>
          </w:p>
        </w:tc>
        <w:tc>
          <w:tcPr>
            <w:tcW w:w="651" w:type="dxa"/>
            <w:vAlign w:val="center"/>
          </w:tcPr>
          <w:p>
            <w:pPr>
              <w:jc w:val="center"/>
              <w:rPr>
                <w:rFonts w:eastAsiaTheme="minorEastAsia"/>
                <w:color w:val="FF0000"/>
                <w:szCs w:val="21"/>
              </w:rPr>
            </w:pPr>
            <w:r>
              <w:rPr>
                <w:rFonts w:hint="eastAsia" w:eastAsiaTheme="minorEastAsia"/>
                <w:color w:val="auto"/>
                <w:szCs w:val="21"/>
                <w:lang w:val="en-US" w:eastAsia="zh-CN"/>
              </w:rPr>
              <w:t>236</w:t>
            </w:r>
          </w:p>
        </w:tc>
        <w:tc>
          <w:tcPr>
            <w:tcW w:w="651" w:type="dxa"/>
            <w:vAlign w:val="center"/>
          </w:tcPr>
          <w:p>
            <w:pPr>
              <w:jc w:val="center"/>
              <w:rPr>
                <w:rFonts w:hint="default" w:eastAsiaTheme="minorEastAsia"/>
                <w:color w:val="auto"/>
                <w:szCs w:val="21"/>
                <w:lang w:val="en-US" w:eastAsia="zh-CN"/>
              </w:rPr>
            </w:pPr>
            <w:r>
              <w:rPr>
                <w:rFonts w:hint="eastAsia" w:eastAsiaTheme="minorEastAsia"/>
                <w:color w:val="auto"/>
                <w:szCs w:val="21"/>
                <w:lang w:val="en-US" w:eastAsia="zh-CN"/>
              </w:rPr>
              <w:t>10</w:t>
            </w:r>
          </w:p>
        </w:tc>
        <w:tc>
          <w:tcPr>
            <w:tcW w:w="651" w:type="dxa"/>
            <w:vAlign w:val="center"/>
          </w:tcPr>
          <w:p>
            <w:pPr>
              <w:jc w:val="center"/>
              <w:rPr>
                <w:rFonts w:hint="default" w:eastAsiaTheme="minorEastAsia"/>
                <w:color w:val="auto"/>
                <w:szCs w:val="21"/>
                <w:lang w:val="en-US" w:eastAsia="zh-CN"/>
              </w:rPr>
            </w:pPr>
            <w:r>
              <w:rPr>
                <w:rFonts w:hint="eastAsia" w:eastAsiaTheme="minorEastAsia"/>
                <w:color w:val="auto"/>
                <w:szCs w:val="21"/>
                <w:lang w:val="en-US" w:eastAsia="zh-CN"/>
              </w:rPr>
              <w:t>10</w:t>
            </w:r>
          </w:p>
        </w:tc>
        <w:tc>
          <w:tcPr>
            <w:tcW w:w="591" w:type="dxa"/>
            <w:vAlign w:val="center"/>
          </w:tcPr>
          <w:p>
            <w:pPr>
              <w:spacing w:line="0" w:lineRule="atLeast"/>
              <w:jc w:val="center"/>
              <w:rPr>
                <w:rFonts w:hint="default" w:eastAsiaTheme="minorEastAsia"/>
                <w:color w:val="auto"/>
                <w:szCs w:val="21"/>
                <w:lang w:val="en-US" w:eastAsia="zh-CN"/>
              </w:rPr>
            </w:pPr>
            <w:r>
              <w:rPr>
                <w:rFonts w:hint="eastAsia" w:eastAsiaTheme="minorEastAsia"/>
                <w:color w:val="auto"/>
                <w:szCs w:val="21"/>
                <w:lang w:val="en-US" w:eastAsia="zh-CN"/>
              </w:rPr>
              <w:t>20</w:t>
            </w:r>
          </w:p>
        </w:tc>
        <w:tc>
          <w:tcPr>
            <w:tcW w:w="651" w:type="dxa"/>
            <w:vAlign w:val="center"/>
          </w:tcPr>
          <w:p>
            <w:pPr>
              <w:spacing w:line="0" w:lineRule="atLeast"/>
              <w:jc w:val="center"/>
              <w:rPr>
                <w:rFonts w:hint="eastAsia" w:eastAsiaTheme="minorEastAsia"/>
                <w:color w:val="auto"/>
                <w:szCs w:val="21"/>
                <w:highlight w:val="none"/>
                <w:lang w:eastAsia="zh-CN"/>
              </w:rPr>
            </w:pPr>
            <w:r>
              <w:rPr>
                <w:rFonts w:hint="eastAsia" w:eastAsiaTheme="minorEastAsia"/>
                <w:color w:val="auto"/>
                <w:szCs w:val="21"/>
                <w:highlight w:val="none"/>
                <w:lang w:val="en-US" w:eastAsia="zh-CN"/>
              </w:rPr>
              <w:t>4</w:t>
            </w:r>
          </w:p>
        </w:tc>
        <w:tc>
          <w:tcPr>
            <w:tcW w:w="607" w:type="dxa"/>
            <w:vAlign w:val="center"/>
          </w:tcPr>
          <w:p>
            <w:pPr>
              <w:spacing w:line="0" w:lineRule="atLeast"/>
              <w:jc w:val="center"/>
              <w:rPr>
                <w:rFonts w:eastAsiaTheme="minorEastAsia"/>
                <w:color w:val="auto"/>
                <w:szCs w:val="21"/>
              </w:rPr>
            </w:pPr>
            <w:r>
              <w:rPr>
                <w:rFonts w:hint="eastAsia" w:eastAsiaTheme="minorEastAsia"/>
                <w:color w:val="auto"/>
                <w:szCs w:val="21"/>
              </w:rPr>
              <w:t>2400</w:t>
            </w:r>
          </w:p>
        </w:tc>
        <w:tc>
          <w:tcPr>
            <w:tcW w:w="372" w:type="dxa"/>
            <w:vMerge w:val="continue"/>
            <w:vAlign w:val="center"/>
          </w:tcPr>
          <w:p>
            <w:pPr>
              <w:spacing w:line="0" w:lineRule="atLeast"/>
              <w:jc w:val="center"/>
              <w:rPr>
                <w:rFonts w:hAnsiTheme="minorEastAsia" w:eastAsiaTheme="minorEastAsia"/>
                <w:color w:val="auto"/>
                <w:szCs w:val="21"/>
              </w:rPr>
            </w:pPr>
          </w:p>
        </w:tc>
        <w:tc>
          <w:tcPr>
            <w:tcW w:w="725" w:type="dxa"/>
            <w:vAlign w:val="center"/>
          </w:tcPr>
          <w:p>
            <w:pPr>
              <w:spacing w:line="0" w:lineRule="atLeast"/>
              <w:jc w:val="center"/>
              <w:rPr>
                <w:rFonts w:eastAsiaTheme="minorEastAsia"/>
                <w:color w:val="auto"/>
                <w:szCs w:val="21"/>
              </w:rPr>
            </w:pPr>
            <w:r>
              <w:rPr>
                <w:rFonts w:hint="eastAsia" w:hAnsi="Times New Roman"/>
                <w:color w:val="auto"/>
                <w:lang w:val="en-US" w:eastAsia="zh-CN"/>
              </w:rPr>
              <w:t>0.0038</w:t>
            </w:r>
          </w:p>
        </w:tc>
        <w:tc>
          <w:tcPr>
            <w:tcW w:w="726" w:type="dxa"/>
            <w:vAlign w:val="center"/>
          </w:tcPr>
          <w:p>
            <w:pPr>
              <w:spacing w:line="0" w:lineRule="atLeast"/>
              <w:jc w:val="center"/>
              <w:rPr>
                <w:rFonts w:eastAsiaTheme="minorEastAsia"/>
                <w:color w:val="auto"/>
                <w:szCs w:val="21"/>
              </w:rPr>
            </w:pPr>
            <w:r>
              <w:rPr>
                <w:rFonts w:hint="eastAsia" w:hAnsi="Times New Roman"/>
                <w:color w:val="auto"/>
                <w:lang w:val="en-US" w:eastAsia="zh-CN"/>
              </w:rPr>
              <w:t>0.00015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372" w:type="dxa"/>
            <w:vAlign w:val="center"/>
          </w:tcPr>
          <w:p>
            <w:pPr>
              <w:spacing w:line="0" w:lineRule="atLeast"/>
              <w:jc w:val="center"/>
              <w:rPr>
                <w:rFonts w:eastAsiaTheme="minorEastAsia"/>
                <w:color w:val="auto"/>
                <w:szCs w:val="21"/>
              </w:rPr>
            </w:pPr>
            <w:r>
              <w:rPr>
                <w:rFonts w:hint="eastAsia" w:eastAsiaTheme="minorEastAsia"/>
                <w:color w:val="auto"/>
                <w:szCs w:val="21"/>
              </w:rPr>
              <w:t>3</w:t>
            </w:r>
          </w:p>
        </w:tc>
        <w:tc>
          <w:tcPr>
            <w:tcW w:w="642" w:type="dxa"/>
            <w:vAlign w:val="center"/>
          </w:tcPr>
          <w:p>
            <w:pPr>
              <w:spacing w:line="0" w:lineRule="atLeast"/>
              <w:jc w:val="center"/>
              <w:rPr>
                <w:rFonts w:hAnsiTheme="minorEastAsia" w:eastAsiaTheme="minorEastAsia"/>
                <w:bCs/>
                <w:color w:val="auto"/>
                <w:szCs w:val="21"/>
              </w:rPr>
            </w:pPr>
            <w:r>
              <w:rPr>
                <w:rFonts w:hAnsiTheme="minorEastAsia" w:eastAsiaTheme="minorEastAsia"/>
                <w:bCs/>
                <w:color w:val="auto"/>
                <w:szCs w:val="21"/>
              </w:rPr>
              <w:t>待宰间</w:t>
            </w:r>
          </w:p>
        </w:tc>
        <w:tc>
          <w:tcPr>
            <w:tcW w:w="990" w:type="dxa"/>
            <w:vAlign w:val="center"/>
          </w:tcPr>
          <w:p>
            <w:pPr>
              <w:jc w:val="center"/>
              <w:rPr>
                <w:rFonts w:eastAsiaTheme="minorEastAsia"/>
                <w:color w:val="auto"/>
                <w:szCs w:val="21"/>
              </w:rPr>
            </w:pPr>
            <w:r>
              <w:rPr>
                <w:rFonts w:eastAsiaTheme="minorEastAsia"/>
                <w:color w:val="auto"/>
                <w:szCs w:val="21"/>
              </w:rPr>
              <w:t>127.81025022</w:t>
            </w:r>
          </w:p>
        </w:tc>
        <w:tc>
          <w:tcPr>
            <w:tcW w:w="893" w:type="dxa"/>
            <w:vAlign w:val="center"/>
          </w:tcPr>
          <w:p>
            <w:pPr>
              <w:jc w:val="center"/>
              <w:rPr>
                <w:rFonts w:eastAsiaTheme="minorEastAsia"/>
                <w:color w:val="auto"/>
                <w:szCs w:val="21"/>
              </w:rPr>
            </w:pPr>
            <w:r>
              <w:rPr>
                <w:rFonts w:eastAsiaTheme="minorEastAsia"/>
                <w:color w:val="auto"/>
                <w:szCs w:val="21"/>
              </w:rPr>
              <w:t>45.30525175</w:t>
            </w:r>
          </w:p>
        </w:tc>
        <w:tc>
          <w:tcPr>
            <w:tcW w:w="651" w:type="dxa"/>
            <w:vAlign w:val="center"/>
          </w:tcPr>
          <w:p>
            <w:pPr>
              <w:jc w:val="center"/>
              <w:rPr>
                <w:rFonts w:eastAsiaTheme="minorEastAsia"/>
                <w:color w:val="FF0000"/>
                <w:szCs w:val="21"/>
              </w:rPr>
            </w:pPr>
            <w:r>
              <w:rPr>
                <w:rFonts w:hint="eastAsia" w:eastAsiaTheme="minorEastAsia"/>
                <w:color w:val="auto"/>
                <w:szCs w:val="21"/>
                <w:lang w:val="en-US" w:eastAsia="zh-CN"/>
              </w:rPr>
              <w:t>236</w:t>
            </w:r>
          </w:p>
        </w:tc>
        <w:tc>
          <w:tcPr>
            <w:tcW w:w="651" w:type="dxa"/>
            <w:vAlign w:val="center"/>
          </w:tcPr>
          <w:p>
            <w:pPr>
              <w:jc w:val="center"/>
              <w:rPr>
                <w:rFonts w:hint="default" w:eastAsiaTheme="minorEastAsia"/>
                <w:color w:val="auto"/>
                <w:szCs w:val="21"/>
                <w:lang w:val="en-US" w:eastAsia="zh-CN"/>
              </w:rPr>
            </w:pPr>
            <w:r>
              <w:rPr>
                <w:rFonts w:hint="eastAsia" w:eastAsiaTheme="minorEastAsia"/>
                <w:color w:val="auto"/>
                <w:szCs w:val="21"/>
                <w:lang w:val="en-US" w:eastAsia="zh-CN"/>
              </w:rPr>
              <w:t>40</w:t>
            </w:r>
          </w:p>
        </w:tc>
        <w:tc>
          <w:tcPr>
            <w:tcW w:w="651" w:type="dxa"/>
            <w:vAlign w:val="center"/>
          </w:tcPr>
          <w:p>
            <w:pPr>
              <w:jc w:val="center"/>
              <w:rPr>
                <w:rFonts w:hint="default" w:eastAsiaTheme="minorEastAsia"/>
                <w:color w:val="auto"/>
                <w:szCs w:val="21"/>
                <w:lang w:val="en-US" w:eastAsia="zh-CN"/>
              </w:rPr>
            </w:pPr>
            <w:r>
              <w:rPr>
                <w:rFonts w:hint="eastAsia" w:eastAsiaTheme="minorEastAsia"/>
                <w:color w:val="auto"/>
                <w:szCs w:val="21"/>
                <w:lang w:val="en-US" w:eastAsia="zh-CN"/>
              </w:rPr>
              <w:t>15</w:t>
            </w:r>
          </w:p>
        </w:tc>
        <w:tc>
          <w:tcPr>
            <w:tcW w:w="591" w:type="dxa"/>
            <w:vAlign w:val="center"/>
          </w:tcPr>
          <w:p>
            <w:pPr>
              <w:spacing w:line="0" w:lineRule="atLeast"/>
              <w:jc w:val="center"/>
              <w:rPr>
                <w:rFonts w:hint="default" w:eastAsiaTheme="minorEastAsia"/>
                <w:color w:val="auto"/>
                <w:szCs w:val="21"/>
                <w:lang w:val="en-US" w:eastAsia="zh-CN"/>
              </w:rPr>
            </w:pPr>
            <w:r>
              <w:rPr>
                <w:rFonts w:hint="eastAsia" w:eastAsiaTheme="minorEastAsia"/>
                <w:color w:val="auto"/>
                <w:szCs w:val="21"/>
                <w:lang w:val="en-US" w:eastAsia="zh-CN"/>
              </w:rPr>
              <w:t>15</w:t>
            </w:r>
          </w:p>
        </w:tc>
        <w:tc>
          <w:tcPr>
            <w:tcW w:w="651" w:type="dxa"/>
            <w:vAlign w:val="center"/>
          </w:tcPr>
          <w:p>
            <w:pPr>
              <w:spacing w:line="0" w:lineRule="atLeast"/>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2</w:t>
            </w:r>
          </w:p>
        </w:tc>
        <w:tc>
          <w:tcPr>
            <w:tcW w:w="607" w:type="dxa"/>
            <w:vAlign w:val="center"/>
          </w:tcPr>
          <w:p>
            <w:pPr>
              <w:spacing w:line="0" w:lineRule="atLeast"/>
              <w:jc w:val="center"/>
              <w:rPr>
                <w:rFonts w:eastAsiaTheme="minorEastAsia"/>
                <w:color w:val="auto"/>
                <w:szCs w:val="21"/>
              </w:rPr>
            </w:pPr>
            <w:r>
              <w:rPr>
                <w:rFonts w:hint="eastAsia" w:eastAsiaTheme="minorEastAsia"/>
                <w:color w:val="auto"/>
                <w:szCs w:val="21"/>
              </w:rPr>
              <w:t>7200</w:t>
            </w:r>
          </w:p>
        </w:tc>
        <w:tc>
          <w:tcPr>
            <w:tcW w:w="372" w:type="dxa"/>
            <w:vMerge w:val="continue"/>
            <w:vAlign w:val="center"/>
          </w:tcPr>
          <w:p>
            <w:pPr>
              <w:spacing w:line="0" w:lineRule="atLeast"/>
              <w:jc w:val="center"/>
              <w:rPr>
                <w:rFonts w:hAnsiTheme="minorEastAsia" w:eastAsiaTheme="minorEastAsia"/>
                <w:color w:val="auto"/>
                <w:szCs w:val="21"/>
              </w:rPr>
            </w:pPr>
          </w:p>
        </w:tc>
        <w:tc>
          <w:tcPr>
            <w:tcW w:w="725" w:type="dxa"/>
            <w:vAlign w:val="center"/>
          </w:tcPr>
          <w:p>
            <w:pPr>
              <w:spacing w:line="0" w:lineRule="atLeast"/>
              <w:jc w:val="center"/>
              <w:rPr>
                <w:rFonts w:eastAsiaTheme="minorEastAsia"/>
                <w:color w:val="auto"/>
                <w:szCs w:val="21"/>
              </w:rPr>
            </w:pPr>
            <w:r>
              <w:rPr>
                <w:rFonts w:hint="eastAsia" w:hAnsi="Times New Roman"/>
                <w:bCs/>
                <w:snapToGrid w:val="0"/>
                <w:color w:val="auto"/>
                <w:szCs w:val="24"/>
                <w:lang w:val="en-US" w:eastAsia="zh-CN"/>
              </w:rPr>
              <w:t>0.00057</w:t>
            </w:r>
          </w:p>
        </w:tc>
        <w:tc>
          <w:tcPr>
            <w:tcW w:w="726" w:type="dxa"/>
            <w:vAlign w:val="center"/>
          </w:tcPr>
          <w:p>
            <w:pPr>
              <w:spacing w:line="0" w:lineRule="atLeast"/>
              <w:jc w:val="center"/>
              <w:rPr>
                <w:rFonts w:eastAsiaTheme="minorEastAsia"/>
                <w:color w:val="auto"/>
                <w:szCs w:val="21"/>
              </w:rPr>
            </w:pPr>
            <w:r>
              <w:rPr>
                <w:rFonts w:hint="eastAsia" w:eastAsiaTheme="minorEastAsia"/>
                <w:color w:val="auto"/>
                <w:szCs w:val="21"/>
                <w:lang w:val="en-US" w:eastAsia="zh-CN"/>
              </w:rPr>
              <w:t>0.00009</w:t>
            </w:r>
          </w:p>
        </w:tc>
      </w:tr>
    </w:tbl>
    <w:p>
      <w:pPr>
        <w:spacing w:line="360" w:lineRule="auto"/>
        <w:ind w:firstLine="482"/>
        <w:jc w:val="center"/>
        <w:rPr>
          <w:b/>
          <w:color w:val="auto"/>
          <w:sz w:val="24"/>
        </w:rPr>
      </w:pPr>
      <w:r>
        <w:rPr>
          <w:b/>
          <w:color w:val="auto"/>
          <w:sz w:val="24"/>
        </w:rPr>
        <w:t>表5-2-</w:t>
      </w:r>
      <w:r>
        <w:rPr>
          <w:rFonts w:hint="eastAsia"/>
          <w:b/>
          <w:color w:val="auto"/>
          <w:sz w:val="24"/>
        </w:rPr>
        <w:t>4</w:t>
      </w:r>
      <w:r>
        <w:rPr>
          <w:b/>
          <w:color w:val="auto"/>
          <w:sz w:val="24"/>
        </w:rPr>
        <w:t>估算模式参数表</w:t>
      </w:r>
    </w:p>
    <w:tbl>
      <w:tblPr>
        <w:tblStyle w:val="46"/>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350"/>
        <w:gridCol w:w="1510"/>
        <w:gridCol w:w="1355"/>
        <w:gridCol w:w="430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678" w:type="pct"/>
            <w:gridSpan w:val="2"/>
            <w:vAlign w:val="center"/>
          </w:tcPr>
          <w:p>
            <w:pPr>
              <w:spacing w:line="0" w:lineRule="atLeast"/>
              <w:jc w:val="center"/>
              <w:rPr>
                <w:color w:val="auto"/>
                <w:szCs w:val="21"/>
              </w:rPr>
            </w:pPr>
            <w:r>
              <w:rPr>
                <w:color w:val="auto"/>
                <w:szCs w:val="21"/>
              </w:rPr>
              <w:t>参数</w:t>
            </w:r>
          </w:p>
        </w:tc>
        <w:tc>
          <w:tcPr>
            <w:tcW w:w="795" w:type="pct"/>
            <w:vAlign w:val="center"/>
          </w:tcPr>
          <w:p>
            <w:pPr>
              <w:spacing w:line="0" w:lineRule="atLeast"/>
              <w:jc w:val="center"/>
              <w:rPr>
                <w:color w:val="auto"/>
                <w:szCs w:val="21"/>
              </w:rPr>
            </w:pPr>
            <w:r>
              <w:rPr>
                <w:color w:val="auto"/>
                <w:szCs w:val="21"/>
              </w:rPr>
              <w:t>取值</w:t>
            </w:r>
          </w:p>
        </w:tc>
        <w:tc>
          <w:tcPr>
            <w:tcW w:w="2526" w:type="pct"/>
            <w:vAlign w:val="center"/>
          </w:tcPr>
          <w:p>
            <w:pPr>
              <w:spacing w:line="0" w:lineRule="atLeast"/>
              <w:jc w:val="center"/>
              <w:rPr>
                <w:color w:val="auto"/>
                <w:szCs w:val="21"/>
              </w:rPr>
            </w:pPr>
            <w:r>
              <w:rPr>
                <w:color w:val="auto"/>
                <w:kern w:val="21"/>
                <w:szCs w:val="21"/>
              </w:rPr>
              <w:t>参数选取依据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2" w:type="pct"/>
            <w:vMerge w:val="restart"/>
            <w:vAlign w:val="center"/>
          </w:tcPr>
          <w:p>
            <w:pPr>
              <w:spacing w:line="0" w:lineRule="atLeast"/>
              <w:jc w:val="center"/>
              <w:rPr>
                <w:color w:val="auto"/>
                <w:szCs w:val="21"/>
              </w:rPr>
            </w:pPr>
            <w:r>
              <w:rPr>
                <w:color w:val="auto"/>
                <w:szCs w:val="21"/>
              </w:rPr>
              <w:t>城市农村/选项</w:t>
            </w:r>
          </w:p>
        </w:tc>
        <w:tc>
          <w:tcPr>
            <w:tcW w:w="886" w:type="pct"/>
            <w:vAlign w:val="center"/>
          </w:tcPr>
          <w:p>
            <w:pPr>
              <w:spacing w:line="0" w:lineRule="atLeast"/>
              <w:jc w:val="center"/>
              <w:rPr>
                <w:color w:val="auto"/>
                <w:szCs w:val="21"/>
              </w:rPr>
            </w:pPr>
            <w:r>
              <w:rPr>
                <w:color w:val="auto"/>
                <w:szCs w:val="21"/>
              </w:rPr>
              <w:t>城市/农村</w:t>
            </w:r>
          </w:p>
        </w:tc>
        <w:tc>
          <w:tcPr>
            <w:tcW w:w="795" w:type="pct"/>
            <w:vAlign w:val="center"/>
          </w:tcPr>
          <w:p>
            <w:pPr>
              <w:spacing w:line="0" w:lineRule="atLeast"/>
              <w:jc w:val="center"/>
              <w:rPr>
                <w:color w:val="auto"/>
                <w:szCs w:val="21"/>
              </w:rPr>
            </w:pPr>
            <w:r>
              <w:rPr>
                <w:color w:val="auto"/>
                <w:szCs w:val="21"/>
              </w:rPr>
              <w:t>农村</w:t>
            </w:r>
          </w:p>
        </w:tc>
        <w:tc>
          <w:tcPr>
            <w:tcW w:w="2526" w:type="pct"/>
            <w:vAlign w:val="center"/>
          </w:tcPr>
          <w:p>
            <w:pPr>
              <w:spacing w:line="0" w:lineRule="atLeast"/>
              <w:jc w:val="center"/>
              <w:rPr>
                <w:color w:val="auto"/>
                <w:szCs w:val="21"/>
              </w:rPr>
            </w:pPr>
            <w:r>
              <w:rPr>
                <w:color w:val="auto"/>
                <w:szCs w:val="21"/>
              </w:rPr>
              <w:t>根据《环境影响评价技术导则 大气环境》（HJ 2.2-2018）附录B中B.6.1 城市/农村选项：“当项目周边3km半径范围内一半以上面积属于城市建成区或者规划区时，选择城市，否则选择农村”。根据对本项目厂址周边3km半径范围内的为农村，故本次评价选取农村选项。</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2" w:type="pct"/>
            <w:vMerge w:val="continue"/>
            <w:vAlign w:val="center"/>
          </w:tcPr>
          <w:p>
            <w:pPr>
              <w:spacing w:line="0" w:lineRule="atLeast"/>
              <w:jc w:val="center"/>
              <w:rPr>
                <w:color w:val="auto"/>
                <w:szCs w:val="21"/>
              </w:rPr>
            </w:pPr>
          </w:p>
        </w:tc>
        <w:tc>
          <w:tcPr>
            <w:tcW w:w="886" w:type="pct"/>
            <w:vAlign w:val="center"/>
          </w:tcPr>
          <w:p>
            <w:pPr>
              <w:spacing w:line="0" w:lineRule="atLeast"/>
              <w:jc w:val="center"/>
              <w:rPr>
                <w:color w:val="auto"/>
                <w:szCs w:val="21"/>
              </w:rPr>
            </w:pPr>
            <w:r>
              <w:rPr>
                <w:color w:val="auto"/>
                <w:szCs w:val="21"/>
              </w:rPr>
              <w:t>人口数(城市人口数)</w:t>
            </w:r>
          </w:p>
        </w:tc>
        <w:tc>
          <w:tcPr>
            <w:tcW w:w="795" w:type="pct"/>
            <w:vAlign w:val="center"/>
          </w:tcPr>
          <w:p>
            <w:pPr>
              <w:spacing w:line="0" w:lineRule="atLeast"/>
              <w:jc w:val="center"/>
              <w:rPr>
                <w:color w:val="auto"/>
                <w:szCs w:val="21"/>
              </w:rPr>
            </w:pPr>
            <w:r>
              <w:rPr>
                <w:color w:val="auto"/>
                <w:szCs w:val="21"/>
              </w:rPr>
              <w:t>/</w:t>
            </w:r>
          </w:p>
        </w:tc>
        <w:tc>
          <w:tcPr>
            <w:tcW w:w="2526" w:type="pct"/>
            <w:vAlign w:val="center"/>
          </w:tcPr>
          <w:p>
            <w:pPr>
              <w:spacing w:line="0" w:lineRule="atLeast"/>
              <w:jc w:val="center"/>
              <w:rPr>
                <w:color w:val="auto"/>
                <w:szCs w:val="21"/>
              </w:rPr>
            </w:pPr>
            <w:r>
              <w:rPr>
                <w:rFonts w:hint="eastAsia"/>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678" w:type="pct"/>
            <w:gridSpan w:val="2"/>
            <w:vAlign w:val="center"/>
          </w:tcPr>
          <w:p>
            <w:pPr>
              <w:spacing w:line="0" w:lineRule="atLeast"/>
              <w:jc w:val="center"/>
              <w:rPr>
                <w:color w:val="auto"/>
                <w:szCs w:val="21"/>
              </w:rPr>
            </w:pPr>
            <w:r>
              <w:rPr>
                <w:color w:val="auto"/>
                <w:szCs w:val="21"/>
              </w:rPr>
              <w:t>最高环境温度</w:t>
            </w:r>
          </w:p>
        </w:tc>
        <w:tc>
          <w:tcPr>
            <w:tcW w:w="795" w:type="pct"/>
            <w:vAlign w:val="center"/>
          </w:tcPr>
          <w:p>
            <w:pPr>
              <w:spacing w:line="0" w:lineRule="atLeast"/>
              <w:jc w:val="center"/>
              <w:rPr>
                <w:color w:val="auto"/>
                <w:szCs w:val="21"/>
              </w:rPr>
            </w:pPr>
            <w:r>
              <w:rPr>
                <w:rFonts w:hint="eastAsia"/>
                <w:color w:val="auto"/>
                <w:szCs w:val="21"/>
                <w:lang w:eastAsia="zh-CN"/>
              </w:rPr>
              <w:t>35.4</w:t>
            </w:r>
            <w:r>
              <w:rPr>
                <w:color w:val="auto"/>
                <w:szCs w:val="21"/>
              </w:rPr>
              <w:t>℃</w:t>
            </w:r>
          </w:p>
        </w:tc>
        <w:tc>
          <w:tcPr>
            <w:tcW w:w="2526" w:type="pct"/>
            <w:vMerge w:val="restart"/>
            <w:vAlign w:val="center"/>
          </w:tcPr>
          <w:p>
            <w:pPr>
              <w:spacing w:line="0" w:lineRule="atLeast"/>
              <w:jc w:val="center"/>
              <w:rPr>
                <w:color w:val="auto"/>
                <w:szCs w:val="21"/>
              </w:rPr>
            </w:pPr>
            <w:r>
              <w:rPr>
                <w:color w:val="auto"/>
                <w:szCs w:val="21"/>
              </w:rPr>
              <w:t>最高及最低环境温度取值来源于</w:t>
            </w:r>
            <w:r>
              <w:rPr>
                <w:rFonts w:hint="eastAsia"/>
                <w:color w:val="auto"/>
                <w:szCs w:val="21"/>
                <w:lang w:eastAsia="zh-CN"/>
              </w:rPr>
              <w:t>尚志市</w:t>
            </w:r>
            <w:r>
              <w:rPr>
                <w:color w:val="auto"/>
                <w:szCs w:val="21"/>
              </w:rPr>
              <w:t>二十年气象数据统计结果</w:t>
            </w:r>
            <w:r>
              <w:rPr>
                <w:rFonts w:hint="eastAsia"/>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678" w:type="pct"/>
            <w:gridSpan w:val="2"/>
            <w:vAlign w:val="center"/>
          </w:tcPr>
          <w:p>
            <w:pPr>
              <w:spacing w:line="0" w:lineRule="atLeast"/>
              <w:jc w:val="center"/>
              <w:rPr>
                <w:color w:val="auto"/>
                <w:szCs w:val="21"/>
              </w:rPr>
            </w:pPr>
            <w:r>
              <w:rPr>
                <w:color w:val="auto"/>
                <w:szCs w:val="21"/>
              </w:rPr>
              <w:t>最低环境温度</w:t>
            </w:r>
          </w:p>
        </w:tc>
        <w:tc>
          <w:tcPr>
            <w:tcW w:w="795" w:type="pct"/>
            <w:vAlign w:val="center"/>
          </w:tcPr>
          <w:p>
            <w:pPr>
              <w:spacing w:line="0" w:lineRule="atLeast"/>
              <w:jc w:val="center"/>
              <w:rPr>
                <w:color w:val="auto"/>
                <w:szCs w:val="21"/>
              </w:rPr>
            </w:pPr>
            <w:r>
              <w:rPr>
                <w:color w:val="auto"/>
                <w:szCs w:val="21"/>
              </w:rPr>
              <w:t>-38.1℃</w:t>
            </w:r>
          </w:p>
        </w:tc>
        <w:tc>
          <w:tcPr>
            <w:tcW w:w="2526" w:type="pct"/>
            <w:vMerge w:val="continue"/>
            <w:vAlign w:val="center"/>
          </w:tcPr>
          <w:p>
            <w:pPr>
              <w:spacing w:line="0" w:lineRule="atLeast"/>
              <w:jc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678" w:type="pct"/>
            <w:gridSpan w:val="2"/>
            <w:vAlign w:val="center"/>
          </w:tcPr>
          <w:p>
            <w:pPr>
              <w:spacing w:line="0" w:lineRule="atLeast"/>
              <w:jc w:val="center"/>
              <w:rPr>
                <w:color w:val="auto"/>
                <w:szCs w:val="21"/>
              </w:rPr>
            </w:pPr>
            <w:r>
              <w:rPr>
                <w:color w:val="auto"/>
                <w:szCs w:val="21"/>
              </w:rPr>
              <w:t>土地利用类型</w:t>
            </w:r>
          </w:p>
        </w:tc>
        <w:tc>
          <w:tcPr>
            <w:tcW w:w="795" w:type="pct"/>
            <w:vAlign w:val="center"/>
          </w:tcPr>
          <w:p>
            <w:pPr>
              <w:spacing w:line="0" w:lineRule="atLeast"/>
              <w:jc w:val="center"/>
              <w:rPr>
                <w:color w:val="auto"/>
                <w:szCs w:val="21"/>
              </w:rPr>
            </w:pPr>
            <w:r>
              <w:rPr>
                <w:color w:val="auto"/>
                <w:szCs w:val="21"/>
              </w:rPr>
              <w:t>农作地</w:t>
            </w:r>
          </w:p>
        </w:tc>
        <w:tc>
          <w:tcPr>
            <w:tcW w:w="2526" w:type="pct"/>
            <w:vAlign w:val="center"/>
          </w:tcPr>
          <w:p>
            <w:pPr>
              <w:spacing w:line="0" w:lineRule="atLeast"/>
              <w:jc w:val="center"/>
              <w:rPr>
                <w:color w:val="auto"/>
                <w:szCs w:val="21"/>
              </w:rPr>
            </w:pPr>
            <w:r>
              <w:rPr>
                <w:color w:val="auto"/>
                <w:szCs w:val="21"/>
              </w:rPr>
              <w:t>厂址周边3km半径范围内占地面积最大的土地利用类型为农作地，故本次评价选取农作地。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678" w:type="pct"/>
            <w:gridSpan w:val="2"/>
            <w:vAlign w:val="center"/>
          </w:tcPr>
          <w:p>
            <w:pPr>
              <w:spacing w:line="0" w:lineRule="atLeast"/>
              <w:jc w:val="center"/>
              <w:rPr>
                <w:color w:val="auto"/>
                <w:szCs w:val="21"/>
              </w:rPr>
            </w:pPr>
            <w:r>
              <w:rPr>
                <w:color w:val="auto"/>
                <w:szCs w:val="21"/>
              </w:rPr>
              <w:t>区域湿度条件</w:t>
            </w:r>
          </w:p>
        </w:tc>
        <w:tc>
          <w:tcPr>
            <w:tcW w:w="795" w:type="pct"/>
            <w:vAlign w:val="center"/>
          </w:tcPr>
          <w:p>
            <w:pPr>
              <w:spacing w:line="0" w:lineRule="atLeast"/>
              <w:jc w:val="center"/>
              <w:rPr>
                <w:color w:val="auto"/>
                <w:szCs w:val="21"/>
              </w:rPr>
            </w:pPr>
            <w:r>
              <w:rPr>
                <w:color w:val="auto"/>
                <w:szCs w:val="21"/>
              </w:rPr>
              <w:t>中等湿度</w:t>
            </w:r>
          </w:p>
        </w:tc>
        <w:tc>
          <w:tcPr>
            <w:tcW w:w="2526" w:type="pct"/>
            <w:vAlign w:val="center"/>
          </w:tcPr>
          <w:p>
            <w:pPr>
              <w:spacing w:line="0" w:lineRule="atLeast"/>
              <w:jc w:val="center"/>
              <w:rPr>
                <w:color w:val="auto"/>
                <w:szCs w:val="21"/>
              </w:rPr>
            </w:pPr>
            <w:r>
              <w:rPr>
                <w:color w:val="auto"/>
                <w:szCs w:val="21"/>
              </w:rPr>
              <w:t>根据中国干湿地区划分图判断，本项目属于中等湿度气候。</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2" w:type="pct"/>
            <w:vMerge w:val="restart"/>
            <w:vAlign w:val="center"/>
          </w:tcPr>
          <w:p>
            <w:pPr>
              <w:spacing w:line="0" w:lineRule="atLeast"/>
              <w:jc w:val="center"/>
              <w:rPr>
                <w:color w:val="auto"/>
                <w:szCs w:val="21"/>
              </w:rPr>
            </w:pPr>
            <w:r>
              <w:rPr>
                <w:color w:val="auto"/>
                <w:szCs w:val="21"/>
              </w:rPr>
              <w:t>是否考虑地形</w:t>
            </w:r>
          </w:p>
        </w:tc>
        <w:tc>
          <w:tcPr>
            <w:tcW w:w="886" w:type="pct"/>
            <w:vAlign w:val="center"/>
          </w:tcPr>
          <w:p>
            <w:pPr>
              <w:spacing w:line="0" w:lineRule="atLeast"/>
              <w:jc w:val="center"/>
              <w:rPr>
                <w:color w:val="auto"/>
                <w:szCs w:val="21"/>
              </w:rPr>
            </w:pPr>
            <w:r>
              <w:rPr>
                <w:color w:val="auto"/>
                <w:szCs w:val="21"/>
              </w:rPr>
              <w:t>考虑地形</w:t>
            </w:r>
          </w:p>
        </w:tc>
        <w:tc>
          <w:tcPr>
            <w:tcW w:w="795" w:type="pct"/>
            <w:vAlign w:val="center"/>
          </w:tcPr>
          <w:p>
            <w:pPr>
              <w:spacing w:line="0" w:lineRule="atLeast"/>
              <w:jc w:val="center"/>
              <w:rPr>
                <w:color w:val="auto"/>
                <w:szCs w:val="21"/>
              </w:rPr>
            </w:pPr>
            <w:r>
              <w:rPr>
                <w:color w:val="auto"/>
                <w:szCs w:val="21"/>
              </w:rPr>
              <w:t>是</w:t>
            </w:r>
          </w:p>
        </w:tc>
        <w:tc>
          <w:tcPr>
            <w:tcW w:w="2526" w:type="pct"/>
            <w:vAlign w:val="center"/>
          </w:tcPr>
          <w:p>
            <w:pPr>
              <w:spacing w:line="0" w:lineRule="atLeast"/>
              <w:jc w:val="center"/>
              <w:rPr>
                <w:color w:val="auto"/>
                <w:szCs w:val="21"/>
              </w:rPr>
            </w:pPr>
            <w:r>
              <w:rPr>
                <w:color w:val="auto"/>
                <w:szCs w:val="21"/>
              </w:rPr>
              <w:t>根据《环境影响评价技术导则 大气环境》（HJ 2.2-2018）中5.3.2.2：“编制环境影响报告书的项目在采用估算模型计算评价等级时，应输入地形参数”。故本次评价考虑地形。</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2" w:type="pct"/>
            <w:vMerge w:val="continue"/>
            <w:vAlign w:val="center"/>
          </w:tcPr>
          <w:p>
            <w:pPr>
              <w:spacing w:line="0" w:lineRule="atLeast"/>
              <w:jc w:val="center"/>
              <w:rPr>
                <w:color w:val="auto"/>
                <w:szCs w:val="21"/>
              </w:rPr>
            </w:pPr>
          </w:p>
        </w:tc>
        <w:tc>
          <w:tcPr>
            <w:tcW w:w="886" w:type="pct"/>
            <w:vAlign w:val="center"/>
          </w:tcPr>
          <w:p>
            <w:pPr>
              <w:spacing w:line="0" w:lineRule="atLeast"/>
              <w:jc w:val="center"/>
              <w:rPr>
                <w:color w:val="auto"/>
                <w:szCs w:val="21"/>
              </w:rPr>
            </w:pPr>
            <w:r>
              <w:rPr>
                <w:color w:val="auto"/>
                <w:szCs w:val="21"/>
              </w:rPr>
              <w:t>地形数据分辨率(m)</w:t>
            </w:r>
          </w:p>
        </w:tc>
        <w:tc>
          <w:tcPr>
            <w:tcW w:w="795" w:type="pct"/>
            <w:vAlign w:val="center"/>
          </w:tcPr>
          <w:p>
            <w:pPr>
              <w:spacing w:line="0" w:lineRule="atLeast"/>
              <w:jc w:val="center"/>
              <w:rPr>
                <w:color w:val="auto"/>
                <w:szCs w:val="21"/>
              </w:rPr>
            </w:pPr>
            <w:r>
              <w:rPr>
                <w:color w:val="auto"/>
                <w:szCs w:val="21"/>
              </w:rPr>
              <w:t>90</w:t>
            </w:r>
          </w:p>
        </w:tc>
        <w:tc>
          <w:tcPr>
            <w:tcW w:w="2526" w:type="pct"/>
            <w:vAlign w:val="center"/>
          </w:tcPr>
          <w:p>
            <w:pPr>
              <w:spacing w:line="0" w:lineRule="atLeast"/>
              <w:jc w:val="center"/>
              <w:rPr>
                <w:color w:val="auto"/>
                <w:szCs w:val="21"/>
              </w:rPr>
            </w:pPr>
            <w:r>
              <w:rPr>
                <w:color w:val="auto"/>
                <w:szCs w:val="21"/>
              </w:rPr>
              <w:t>根据EIA2018大气预测软件的DEM地形文件，地形数据分辨率90m。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2" w:type="pct"/>
            <w:vMerge w:val="restart"/>
            <w:vAlign w:val="center"/>
          </w:tcPr>
          <w:p>
            <w:pPr>
              <w:spacing w:line="0" w:lineRule="atLeast"/>
              <w:jc w:val="center"/>
              <w:rPr>
                <w:color w:val="auto"/>
                <w:szCs w:val="21"/>
              </w:rPr>
            </w:pPr>
            <w:r>
              <w:rPr>
                <w:color w:val="auto"/>
                <w:szCs w:val="21"/>
              </w:rPr>
              <w:t>是否考虑海岸线熏烟</w:t>
            </w:r>
          </w:p>
        </w:tc>
        <w:tc>
          <w:tcPr>
            <w:tcW w:w="886" w:type="pct"/>
            <w:vAlign w:val="center"/>
          </w:tcPr>
          <w:p>
            <w:pPr>
              <w:spacing w:line="0" w:lineRule="atLeast"/>
              <w:jc w:val="center"/>
              <w:rPr>
                <w:color w:val="auto"/>
                <w:szCs w:val="21"/>
              </w:rPr>
            </w:pPr>
            <w:r>
              <w:rPr>
                <w:color w:val="auto"/>
                <w:szCs w:val="21"/>
              </w:rPr>
              <w:t>考虑海岸线熏烟</w:t>
            </w:r>
          </w:p>
        </w:tc>
        <w:tc>
          <w:tcPr>
            <w:tcW w:w="795" w:type="pct"/>
            <w:vAlign w:val="center"/>
          </w:tcPr>
          <w:p>
            <w:pPr>
              <w:spacing w:line="0" w:lineRule="atLeast"/>
              <w:jc w:val="center"/>
              <w:rPr>
                <w:color w:val="auto"/>
                <w:szCs w:val="21"/>
              </w:rPr>
            </w:pPr>
            <w:r>
              <w:rPr>
                <w:color w:val="auto"/>
                <w:szCs w:val="21"/>
              </w:rPr>
              <w:t>否</w:t>
            </w:r>
          </w:p>
        </w:tc>
        <w:tc>
          <w:tcPr>
            <w:tcW w:w="2526" w:type="pct"/>
            <w:vAlign w:val="center"/>
          </w:tcPr>
          <w:p>
            <w:pPr>
              <w:spacing w:line="0" w:lineRule="atLeast"/>
              <w:jc w:val="center"/>
              <w:rPr>
                <w:color w:val="auto"/>
                <w:szCs w:val="21"/>
              </w:rPr>
            </w:pPr>
            <w:r>
              <w:rPr>
                <w:color w:val="auto"/>
                <w:szCs w:val="21"/>
              </w:rPr>
              <w:t>根据《环境影响评价技术导则 大气环境》（HJ 2.2-2018）附录B中B6.2岸边熏烟选项：“对估算模型AERSCREEN,当污染源附近3km范围内有大型水体时，需选择岸边熏烟选项”。本项目附近3km范围内无大型水体时，故不考虑岸边熏烟。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2" w:type="pct"/>
            <w:vMerge w:val="continue"/>
            <w:vAlign w:val="center"/>
          </w:tcPr>
          <w:p>
            <w:pPr>
              <w:spacing w:line="0" w:lineRule="atLeast"/>
              <w:jc w:val="center"/>
              <w:rPr>
                <w:color w:val="auto"/>
                <w:szCs w:val="21"/>
              </w:rPr>
            </w:pPr>
          </w:p>
        </w:tc>
        <w:tc>
          <w:tcPr>
            <w:tcW w:w="886" w:type="pct"/>
            <w:vAlign w:val="center"/>
          </w:tcPr>
          <w:p>
            <w:pPr>
              <w:spacing w:line="0" w:lineRule="atLeast"/>
              <w:jc w:val="center"/>
              <w:rPr>
                <w:color w:val="auto"/>
                <w:szCs w:val="21"/>
              </w:rPr>
            </w:pPr>
            <w:r>
              <w:rPr>
                <w:color w:val="auto"/>
                <w:szCs w:val="21"/>
              </w:rPr>
              <w:t>海岸线距离/km</w:t>
            </w:r>
          </w:p>
        </w:tc>
        <w:tc>
          <w:tcPr>
            <w:tcW w:w="795" w:type="pct"/>
            <w:vAlign w:val="center"/>
          </w:tcPr>
          <w:p>
            <w:pPr>
              <w:spacing w:line="0" w:lineRule="atLeast"/>
              <w:jc w:val="center"/>
              <w:rPr>
                <w:color w:val="auto"/>
                <w:szCs w:val="21"/>
              </w:rPr>
            </w:pPr>
            <w:r>
              <w:rPr>
                <w:color w:val="auto"/>
                <w:szCs w:val="21"/>
              </w:rPr>
              <w:t>/</w:t>
            </w:r>
          </w:p>
        </w:tc>
        <w:tc>
          <w:tcPr>
            <w:tcW w:w="2526" w:type="pct"/>
            <w:vAlign w:val="center"/>
          </w:tcPr>
          <w:p>
            <w:pPr>
              <w:spacing w:line="0" w:lineRule="atLeast"/>
              <w:jc w:val="center"/>
              <w:rPr>
                <w:color w:val="auto"/>
                <w:szCs w:val="21"/>
              </w:rPr>
            </w:pPr>
            <w:r>
              <w:rPr>
                <w:rFonts w:hint="eastAsia"/>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2" w:type="pct"/>
            <w:vMerge w:val="continue"/>
            <w:vAlign w:val="center"/>
          </w:tcPr>
          <w:p>
            <w:pPr>
              <w:spacing w:line="0" w:lineRule="atLeast"/>
              <w:jc w:val="center"/>
              <w:rPr>
                <w:color w:val="auto"/>
                <w:szCs w:val="21"/>
              </w:rPr>
            </w:pPr>
          </w:p>
        </w:tc>
        <w:tc>
          <w:tcPr>
            <w:tcW w:w="886" w:type="pct"/>
            <w:vAlign w:val="center"/>
          </w:tcPr>
          <w:p>
            <w:pPr>
              <w:spacing w:line="0" w:lineRule="atLeast"/>
              <w:jc w:val="center"/>
              <w:rPr>
                <w:color w:val="auto"/>
                <w:szCs w:val="21"/>
              </w:rPr>
            </w:pPr>
            <w:r>
              <w:rPr>
                <w:color w:val="auto"/>
                <w:szCs w:val="21"/>
              </w:rPr>
              <w:t>海岸线方向/</w:t>
            </w:r>
            <w:r>
              <w:rPr>
                <w:color w:val="auto"/>
                <w:szCs w:val="21"/>
                <w:vertAlign w:val="superscript"/>
              </w:rPr>
              <w:t>o</w:t>
            </w:r>
          </w:p>
        </w:tc>
        <w:tc>
          <w:tcPr>
            <w:tcW w:w="795" w:type="pct"/>
            <w:vAlign w:val="center"/>
          </w:tcPr>
          <w:p>
            <w:pPr>
              <w:spacing w:line="0" w:lineRule="atLeast"/>
              <w:jc w:val="center"/>
              <w:rPr>
                <w:color w:val="auto"/>
                <w:szCs w:val="21"/>
              </w:rPr>
            </w:pPr>
            <w:r>
              <w:rPr>
                <w:color w:val="auto"/>
                <w:szCs w:val="21"/>
              </w:rPr>
              <w:t>/</w:t>
            </w:r>
          </w:p>
        </w:tc>
        <w:tc>
          <w:tcPr>
            <w:tcW w:w="2526" w:type="pct"/>
            <w:vAlign w:val="center"/>
          </w:tcPr>
          <w:p>
            <w:pPr>
              <w:spacing w:line="0" w:lineRule="atLeast"/>
              <w:jc w:val="center"/>
              <w:rPr>
                <w:color w:val="auto"/>
                <w:szCs w:val="21"/>
              </w:rPr>
            </w:pPr>
            <w:r>
              <w:rPr>
                <w:rFonts w:hint="eastAsia"/>
                <w:color w:val="auto"/>
                <w:szCs w:val="21"/>
              </w:rPr>
              <w:t>/</w:t>
            </w:r>
          </w:p>
        </w:tc>
      </w:tr>
    </w:tbl>
    <w:p>
      <w:pPr>
        <w:spacing w:line="360" w:lineRule="auto"/>
        <w:ind w:firstLine="482"/>
        <w:jc w:val="center"/>
        <w:rPr>
          <w:b/>
          <w:color w:val="auto"/>
          <w:sz w:val="24"/>
        </w:rPr>
      </w:pPr>
      <w:r>
        <w:rPr>
          <w:b/>
          <w:color w:val="auto"/>
          <w:sz w:val="24"/>
        </w:rPr>
        <w:t>表5-2-</w:t>
      </w:r>
      <w:r>
        <w:rPr>
          <w:rFonts w:hint="eastAsia"/>
          <w:b/>
          <w:color w:val="auto"/>
          <w:sz w:val="24"/>
        </w:rPr>
        <w:t>5</w:t>
      </w:r>
      <w:r>
        <w:rPr>
          <w:b/>
          <w:color w:val="auto"/>
          <w:sz w:val="24"/>
        </w:rPr>
        <w:t>有组织排放估算模式的计算结果</w:t>
      </w:r>
    </w:p>
    <w:tbl>
      <w:tblPr>
        <w:tblStyle w:val="46"/>
        <w:tblW w:w="84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87"/>
        <w:gridCol w:w="1985"/>
        <w:gridCol w:w="1559"/>
        <w:gridCol w:w="1559"/>
        <w:gridCol w:w="15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787" w:type="dxa"/>
            <w:vMerge w:val="restart"/>
            <w:vAlign w:val="center"/>
          </w:tcPr>
          <w:p>
            <w:pPr>
              <w:spacing w:line="0" w:lineRule="atLeast"/>
              <w:contextualSpacing/>
              <w:jc w:val="center"/>
              <w:rPr>
                <w:rFonts w:eastAsiaTheme="minorEastAsia"/>
                <w:color w:val="auto"/>
                <w:szCs w:val="21"/>
              </w:rPr>
            </w:pPr>
            <w:r>
              <w:rPr>
                <w:rFonts w:hAnsiTheme="minorEastAsia" w:eastAsiaTheme="minorEastAsia"/>
                <w:color w:val="auto"/>
                <w:szCs w:val="21"/>
              </w:rPr>
              <w:t>距离（</w:t>
            </w:r>
            <w:r>
              <w:rPr>
                <w:rFonts w:eastAsiaTheme="minorEastAsia"/>
                <w:color w:val="auto"/>
                <w:szCs w:val="21"/>
              </w:rPr>
              <w:t>m</w:t>
            </w:r>
            <w:r>
              <w:rPr>
                <w:rFonts w:hAnsiTheme="minorEastAsia" w:eastAsiaTheme="minorEastAsia"/>
                <w:color w:val="auto"/>
                <w:szCs w:val="21"/>
              </w:rPr>
              <w:t>）</w:t>
            </w:r>
          </w:p>
        </w:tc>
        <w:tc>
          <w:tcPr>
            <w:tcW w:w="6691" w:type="dxa"/>
            <w:gridSpan w:val="4"/>
            <w:vAlign w:val="center"/>
          </w:tcPr>
          <w:p>
            <w:pPr>
              <w:spacing w:line="0" w:lineRule="atLeast"/>
              <w:contextualSpacing/>
              <w:jc w:val="center"/>
              <w:rPr>
                <w:rFonts w:eastAsiaTheme="minorEastAsia"/>
                <w:color w:val="auto"/>
                <w:szCs w:val="21"/>
              </w:rPr>
            </w:pPr>
            <w:r>
              <w:rPr>
                <w:rFonts w:hint="eastAsia" w:hAnsiTheme="minorEastAsia" w:eastAsiaTheme="minorEastAsia"/>
                <w:color w:val="auto"/>
                <w:szCs w:val="21"/>
              </w:rPr>
              <w:t>屠宰</w:t>
            </w:r>
            <w:r>
              <w:rPr>
                <w:rFonts w:hAnsiTheme="minorEastAsia" w:eastAsiaTheme="minorEastAsia"/>
                <w:color w:val="auto"/>
                <w:szCs w:val="21"/>
              </w:rPr>
              <w:t>车间排气筒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787" w:type="dxa"/>
            <w:vMerge w:val="continue"/>
            <w:vAlign w:val="center"/>
          </w:tcPr>
          <w:p>
            <w:pPr>
              <w:spacing w:line="0" w:lineRule="atLeast"/>
              <w:contextualSpacing/>
              <w:jc w:val="center"/>
              <w:rPr>
                <w:rFonts w:eastAsiaTheme="minorEastAsia"/>
                <w:color w:val="auto"/>
                <w:szCs w:val="21"/>
              </w:rPr>
            </w:pPr>
          </w:p>
        </w:tc>
        <w:tc>
          <w:tcPr>
            <w:tcW w:w="3544" w:type="dxa"/>
            <w:gridSpan w:val="2"/>
            <w:vAlign w:val="center"/>
          </w:tcPr>
          <w:p>
            <w:pPr>
              <w:spacing w:line="0" w:lineRule="atLeast"/>
              <w:contextualSpacing/>
              <w:jc w:val="center"/>
              <w:rPr>
                <w:rFonts w:eastAsiaTheme="minorEastAsia"/>
                <w:color w:val="auto"/>
                <w:szCs w:val="21"/>
              </w:rPr>
            </w:pPr>
            <w:r>
              <w:rPr>
                <w:rFonts w:eastAsiaTheme="minorEastAsia"/>
                <w:color w:val="auto"/>
                <w:szCs w:val="21"/>
              </w:rPr>
              <w:t>NH</w:t>
            </w:r>
            <w:r>
              <w:rPr>
                <w:rFonts w:eastAsiaTheme="minorEastAsia"/>
                <w:color w:val="auto"/>
                <w:szCs w:val="21"/>
                <w:vertAlign w:val="subscript"/>
              </w:rPr>
              <w:t>3</w:t>
            </w:r>
          </w:p>
        </w:tc>
        <w:tc>
          <w:tcPr>
            <w:tcW w:w="3147" w:type="dxa"/>
            <w:gridSpan w:val="2"/>
            <w:vAlign w:val="center"/>
          </w:tcPr>
          <w:p>
            <w:pPr>
              <w:spacing w:line="0" w:lineRule="atLeast"/>
              <w:contextualSpacing/>
              <w:jc w:val="center"/>
              <w:rPr>
                <w:rFonts w:eastAsiaTheme="minorEastAsia"/>
                <w:color w:val="auto"/>
                <w:szCs w:val="21"/>
              </w:rPr>
            </w:pPr>
            <w:r>
              <w:rPr>
                <w:rFonts w:eastAsiaTheme="minorEastAsia"/>
                <w:color w:val="auto"/>
                <w:szCs w:val="21"/>
              </w:rPr>
              <w:t>H</w:t>
            </w:r>
            <w:r>
              <w:rPr>
                <w:rFonts w:eastAsiaTheme="minorEastAsia"/>
                <w:color w:val="auto"/>
                <w:szCs w:val="21"/>
                <w:vertAlign w:val="subscript"/>
              </w:rPr>
              <w:t>2</w:t>
            </w:r>
            <w:r>
              <w:rPr>
                <w:rFonts w:eastAsiaTheme="minorEastAsia"/>
                <w:color w:val="auto"/>
                <w:szCs w:val="21"/>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1787" w:type="dxa"/>
            <w:vMerge w:val="continue"/>
            <w:vAlign w:val="center"/>
          </w:tcPr>
          <w:p>
            <w:pPr>
              <w:spacing w:line="0" w:lineRule="atLeast"/>
              <w:contextualSpacing/>
              <w:jc w:val="center"/>
              <w:rPr>
                <w:rFonts w:eastAsiaTheme="minorEastAsia"/>
                <w:color w:val="auto"/>
                <w:szCs w:val="21"/>
              </w:rPr>
            </w:pPr>
          </w:p>
        </w:tc>
        <w:tc>
          <w:tcPr>
            <w:tcW w:w="1985" w:type="dxa"/>
            <w:vAlign w:val="center"/>
          </w:tcPr>
          <w:p>
            <w:pPr>
              <w:spacing w:line="0" w:lineRule="atLeast"/>
              <w:contextualSpacing/>
              <w:jc w:val="center"/>
              <w:rPr>
                <w:rFonts w:eastAsiaTheme="minorEastAsia"/>
                <w:color w:val="auto"/>
                <w:szCs w:val="21"/>
              </w:rPr>
            </w:pPr>
            <w:r>
              <w:rPr>
                <w:rFonts w:hAnsiTheme="minorEastAsia" w:eastAsiaTheme="minorEastAsia"/>
                <w:color w:val="auto"/>
                <w:kern w:val="0"/>
                <w:szCs w:val="21"/>
              </w:rPr>
              <w:t>预测质量浓度</w:t>
            </w:r>
            <w:r>
              <w:rPr>
                <w:rFonts w:eastAsiaTheme="minorEastAsia"/>
                <w:color w:val="auto"/>
                <w:kern w:val="0"/>
                <w:szCs w:val="21"/>
              </w:rPr>
              <w:t>/(μg/m</w:t>
            </w:r>
            <w:r>
              <w:rPr>
                <w:rFonts w:eastAsiaTheme="minorEastAsia"/>
                <w:color w:val="auto"/>
                <w:kern w:val="0"/>
                <w:szCs w:val="21"/>
                <w:vertAlign w:val="superscript"/>
              </w:rPr>
              <w:t>3</w:t>
            </w:r>
            <w:r>
              <w:rPr>
                <w:rFonts w:eastAsiaTheme="minorEastAsia"/>
                <w:color w:val="auto"/>
                <w:kern w:val="0"/>
                <w:szCs w:val="21"/>
              </w:rPr>
              <w:t>)</w:t>
            </w:r>
          </w:p>
        </w:tc>
        <w:tc>
          <w:tcPr>
            <w:tcW w:w="1559" w:type="dxa"/>
            <w:vAlign w:val="center"/>
          </w:tcPr>
          <w:p>
            <w:pPr>
              <w:spacing w:line="0" w:lineRule="atLeast"/>
              <w:contextualSpacing/>
              <w:jc w:val="center"/>
              <w:rPr>
                <w:rFonts w:eastAsiaTheme="minorEastAsia"/>
                <w:color w:val="auto"/>
                <w:szCs w:val="21"/>
              </w:rPr>
            </w:pPr>
            <w:r>
              <w:rPr>
                <w:rFonts w:hAnsiTheme="minorEastAsia" w:eastAsiaTheme="minorEastAsia"/>
                <w:color w:val="auto"/>
                <w:szCs w:val="21"/>
              </w:rPr>
              <w:t>占标率</w:t>
            </w:r>
            <w:r>
              <w:rPr>
                <w:rFonts w:eastAsiaTheme="minorEastAsia"/>
                <w:color w:val="auto"/>
                <w:szCs w:val="21"/>
              </w:rPr>
              <w:t>%</w:t>
            </w:r>
          </w:p>
        </w:tc>
        <w:tc>
          <w:tcPr>
            <w:tcW w:w="1559" w:type="dxa"/>
            <w:vAlign w:val="center"/>
          </w:tcPr>
          <w:p>
            <w:pPr>
              <w:spacing w:line="0" w:lineRule="atLeast"/>
              <w:contextualSpacing/>
              <w:jc w:val="center"/>
              <w:rPr>
                <w:rFonts w:eastAsiaTheme="minorEastAsia"/>
                <w:color w:val="auto"/>
                <w:szCs w:val="21"/>
              </w:rPr>
            </w:pPr>
            <w:r>
              <w:rPr>
                <w:rFonts w:hAnsiTheme="minorEastAsia" w:eastAsiaTheme="minorEastAsia"/>
                <w:color w:val="auto"/>
                <w:kern w:val="0"/>
                <w:szCs w:val="21"/>
              </w:rPr>
              <w:t>预测质量浓度</w:t>
            </w:r>
            <w:r>
              <w:rPr>
                <w:rFonts w:eastAsiaTheme="minorEastAsia"/>
                <w:color w:val="auto"/>
                <w:kern w:val="0"/>
                <w:szCs w:val="21"/>
              </w:rPr>
              <w:t>/(μg/m</w:t>
            </w:r>
            <w:r>
              <w:rPr>
                <w:rFonts w:eastAsiaTheme="minorEastAsia"/>
                <w:color w:val="auto"/>
                <w:kern w:val="0"/>
                <w:szCs w:val="21"/>
                <w:vertAlign w:val="superscript"/>
              </w:rPr>
              <w:t>3</w:t>
            </w:r>
            <w:r>
              <w:rPr>
                <w:rFonts w:eastAsiaTheme="minorEastAsia"/>
                <w:color w:val="auto"/>
                <w:kern w:val="0"/>
                <w:szCs w:val="21"/>
              </w:rPr>
              <w:t>)</w:t>
            </w:r>
          </w:p>
        </w:tc>
        <w:tc>
          <w:tcPr>
            <w:tcW w:w="1588" w:type="dxa"/>
            <w:vAlign w:val="center"/>
          </w:tcPr>
          <w:p>
            <w:pPr>
              <w:tabs>
                <w:tab w:val="left" w:pos="420"/>
              </w:tabs>
              <w:autoSpaceDE w:val="0"/>
              <w:autoSpaceDN w:val="0"/>
              <w:spacing w:line="0" w:lineRule="atLeast"/>
              <w:contextualSpacing/>
              <w:jc w:val="center"/>
              <w:rPr>
                <w:rFonts w:eastAsiaTheme="minorEastAsia"/>
                <w:color w:val="auto"/>
                <w:kern w:val="0"/>
                <w:szCs w:val="21"/>
              </w:rPr>
            </w:pPr>
            <w:r>
              <w:rPr>
                <w:rFonts w:hAnsiTheme="minorEastAsia" w:eastAsiaTheme="minorEastAsia"/>
                <w:color w:val="auto"/>
                <w:kern w:val="0"/>
                <w:szCs w:val="21"/>
              </w:rPr>
              <w:t>占标率</w:t>
            </w:r>
            <w:r>
              <w:rPr>
                <w:rFonts w:eastAsiaTheme="minorEastAsia"/>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50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3.70E-03</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1.85</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3.94E-04</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100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5.79E-03</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2.89</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6.16E-04</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6.16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200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8.55E-03</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4.27</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9.10E-04</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9.10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300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7.57E-03</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3.78</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8.06E-04</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8.06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400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6.38E-03</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3.19</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6.79E-04</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6.79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500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6.21E-03</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3.11</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6.61E-04</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6.61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600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5.76E-03</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2.88</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6.13E-04</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6.13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700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5.26E-03</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2.63</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5.60E-04</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5.60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800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4.77E-03</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2.39</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5.08E-04</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5.08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900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4.33E-03</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2.17</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4.61E-04</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4.61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1000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3.95E-03</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1.97</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4.20E-04</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4.20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1</w:t>
            </w:r>
            <w:r>
              <w:rPr>
                <w:rFonts w:hint="eastAsia" w:eastAsiaTheme="minorEastAsia"/>
                <w:color w:val="auto"/>
                <w:szCs w:val="21"/>
              </w:rPr>
              <w:t>6</w:t>
            </w:r>
            <w:r>
              <w:rPr>
                <w:rFonts w:eastAsiaTheme="minorEastAsia"/>
                <w:color w:val="auto"/>
                <w:szCs w:val="21"/>
              </w:rPr>
              <w:t>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2.43E-03</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1.22</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2.59E-04</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2000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2.24E-03</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1.12</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2.38E-04</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2500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2.00E-03</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1.00</w:t>
            </w:r>
          </w:p>
        </w:tc>
        <w:tc>
          <w:tcPr>
            <w:tcW w:w="1559" w:type="dxa"/>
            <w:vAlign w:val="center"/>
          </w:tcPr>
          <w:p>
            <w:pPr>
              <w:spacing w:line="0" w:lineRule="atLeast"/>
              <w:contextualSpacing/>
              <w:jc w:val="center"/>
              <w:rPr>
                <w:rFonts w:eastAsiaTheme="minorEastAsia"/>
                <w:color w:val="auto"/>
                <w:szCs w:val="21"/>
              </w:rPr>
            </w:pPr>
            <w:r>
              <w:rPr>
                <w:rFonts w:hint="eastAsia"/>
              </w:rPr>
              <w:t>2.13E-04</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10000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8.40E-04</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0.42</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8.94E-05</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20000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4.30E-04</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0.21</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4.57E-05</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25000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3.40E-04</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0.17</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3.61E-05</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787" w:type="dxa"/>
            <w:vAlign w:val="center"/>
          </w:tcPr>
          <w:p>
            <w:pPr>
              <w:spacing w:line="0" w:lineRule="atLeast"/>
              <w:contextualSpacing/>
              <w:jc w:val="center"/>
              <w:rPr>
                <w:rFonts w:eastAsiaTheme="minorEastAsia"/>
                <w:color w:val="auto"/>
                <w:szCs w:val="21"/>
              </w:rPr>
            </w:pPr>
            <w:r>
              <w:rPr>
                <w:rFonts w:hAnsiTheme="minorEastAsia" w:eastAsiaTheme="minorEastAsia"/>
                <w:color w:val="auto"/>
                <w:szCs w:val="21"/>
              </w:rPr>
              <w:t>下风向最大浓度</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8.59E-03</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4.29</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9.14E-04</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highlight w:val="none"/>
              </w:rPr>
              <w:t>9.14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jc w:val="center"/>
        </w:trPr>
        <w:tc>
          <w:tcPr>
            <w:tcW w:w="1787" w:type="dxa"/>
            <w:vAlign w:val="center"/>
          </w:tcPr>
          <w:p>
            <w:pPr>
              <w:spacing w:line="0" w:lineRule="atLeast"/>
              <w:contextualSpacing/>
              <w:jc w:val="center"/>
              <w:rPr>
                <w:rFonts w:eastAsiaTheme="minorEastAsia"/>
                <w:color w:val="auto"/>
                <w:szCs w:val="21"/>
              </w:rPr>
            </w:pPr>
            <w:r>
              <w:rPr>
                <w:rFonts w:hAnsiTheme="minorEastAsia" w:eastAsiaTheme="minorEastAsia"/>
                <w:color w:val="auto"/>
                <w:szCs w:val="21"/>
              </w:rPr>
              <w:t>下风向最大浓度出现距离</w:t>
            </w:r>
          </w:p>
        </w:tc>
        <w:tc>
          <w:tcPr>
            <w:tcW w:w="6691" w:type="dxa"/>
            <w:gridSpan w:val="4"/>
            <w:vAlign w:val="center"/>
          </w:tcPr>
          <w:p>
            <w:pPr>
              <w:spacing w:line="0" w:lineRule="atLeast"/>
              <w:contextualSpacing/>
              <w:jc w:val="center"/>
              <w:rPr>
                <w:rFonts w:eastAsiaTheme="minorEastAsia"/>
                <w:color w:val="auto"/>
                <w:szCs w:val="21"/>
              </w:rPr>
            </w:pPr>
            <w:r>
              <w:rPr>
                <w:rFonts w:hint="eastAsia" w:eastAsiaTheme="minorEastAsia"/>
                <w:color w:val="auto"/>
                <w:szCs w:val="21"/>
                <w:lang w:val="en-US" w:eastAsia="zh-CN"/>
              </w:rPr>
              <w:t>212</w:t>
            </w:r>
            <w:r>
              <w:rPr>
                <w:rFonts w:eastAsiaTheme="minorEastAsia"/>
                <w:color w:val="auto"/>
                <w:szCs w:val="21"/>
              </w:rPr>
              <w:t>m</w:t>
            </w:r>
          </w:p>
        </w:tc>
      </w:tr>
    </w:tbl>
    <w:p>
      <w:pPr>
        <w:spacing w:line="360" w:lineRule="auto"/>
        <w:ind w:firstLine="482"/>
        <w:jc w:val="center"/>
        <w:rPr>
          <w:b/>
          <w:color w:val="auto"/>
          <w:sz w:val="24"/>
        </w:rPr>
      </w:pPr>
      <w:r>
        <w:rPr>
          <w:b/>
          <w:color w:val="auto"/>
          <w:sz w:val="24"/>
        </w:rPr>
        <w:t>表5-2-</w:t>
      </w:r>
      <w:r>
        <w:rPr>
          <w:rFonts w:hint="eastAsia"/>
          <w:b/>
          <w:color w:val="auto"/>
          <w:sz w:val="24"/>
        </w:rPr>
        <w:t>6</w:t>
      </w:r>
      <w:r>
        <w:rPr>
          <w:b/>
          <w:color w:val="auto"/>
          <w:sz w:val="24"/>
        </w:rPr>
        <w:t>有组织排放估算模式的计算结果</w:t>
      </w:r>
    </w:p>
    <w:tbl>
      <w:tblPr>
        <w:tblStyle w:val="46"/>
        <w:tblW w:w="84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87"/>
        <w:gridCol w:w="1985"/>
        <w:gridCol w:w="1559"/>
        <w:gridCol w:w="1559"/>
        <w:gridCol w:w="15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787" w:type="dxa"/>
            <w:vMerge w:val="restart"/>
            <w:vAlign w:val="center"/>
          </w:tcPr>
          <w:p>
            <w:pPr>
              <w:spacing w:line="0" w:lineRule="atLeast"/>
              <w:contextualSpacing/>
              <w:jc w:val="center"/>
              <w:rPr>
                <w:rFonts w:eastAsiaTheme="minorEastAsia"/>
                <w:color w:val="auto"/>
                <w:szCs w:val="21"/>
              </w:rPr>
            </w:pPr>
            <w:r>
              <w:rPr>
                <w:rFonts w:hAnsiTheme="minorEastAsia" w:eastAsiaTheme="minorEastAsia"/>
                <w:color w:val="auto"/>
                <w:szCs w:val="21"/>
              </w:rPr>
              <w:t>距离（</w:t>
            </w:r>
            <w:r>
              <w:rPr>
                <w:rFonts w:eastAsiaTheme="minorEastAsia"/>
                <w:color w:val="auto"/>
                <w:szCs w:val="21"/>
              </w:rPr>
              <w:t>m</w:t>
            </w:r>
            <w:r>
              <w:rPr>
                <w:rFonts w:hAnsiTheme="minorEastAsia" w:eastAsiaTheme="minorEastAsia"/>
                <w:color w:val="auto"/>
                <w:szCs w:val="21"/>
              </w:rPr>
              <w:t>）</w:t>
            </w:r>
          </w:p>
        </w:tc>
        <w:tc>
          <w:tcPr>
            <w:tcW w:w="6691" w:type="dxa"/>
            <w:gridSpan w:val="4"/>
            <w:vAlign w:val="center"/>
          </w:tcPr>
          <w:p>
            <w:pPr>
              <w:spacing w:line="0" w:lineRule="atLeast"/>
              <w:contextualSpacing/>
              <w:jc w:val="center"/>
              <w:rPr>
                <w:rFonts w:eastAsiaTheme="minorEastAsia"/>
                <w:color w:val="auto"/>
                <w:szCs w:val="21"/>
              </w:rPr>
            </w:pPr>
            <w:r>
              <w:rPr>
                <w:rFonts w:hint="eastAsia" w:hAnsiTheme="minorEastAsia" w:eastAsiaTheme="minorEastAsia"/>
                <w:color w:val="auto"/>
                <w:szCs w:val="21"/>
              </w:rPr>
              <w:t>污水处理站</w:t>
            </w:r>
            <w:r>
              <w:rPr>
                <w:rFonts w:hAnsiTheme="minorEastAsia" w:eastAsiaTheme="minorEastAsia"/>
                <w:color w:val="auto"/>
                <w:szCs w:val="21"/>
              </w:rPr>
              <w:t>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787" w:type="dxa"/>
            <w:vMerge w:val="continue"/>
            <w:vAlign w:val="center"/>
          </w:tcPr>
          <w:p>
            <w:pPr>
              <w:spacing w:line="0" w:lineRule="atLeast"/>
              <w:contextualSpacing/>
              <w:jc w:val="center"/>
              <w:rPr>
                <w:rFonts w:eastAsiaTheme="minorEastAsia"/>
                <w:color w:val="auto"/>
                <w:szCs w:val="21"/>
              </w:rPr>
            </w:pPr>
          </w:p>
        </w:tc>
        <w:tc>
          <w:tcPr>
            <w:tcW w:w="3544" w:type="dxa"/>
            <w:gridSpan w:val="2"/>
            <w:vAlign w:val="center"/>
          </w:tcPr>
          <w:p>
            <w:pPr>
              <w:spacing w:line="0" w:lineRule="atLeast"/>
              <w:contextualSpacing/>
              <w:jc w:val="center"/>
              <w:rPr>
                <w:rFonts w:eastAsiaTheme="minorEastAsia"/>
                <w:color w:val="auto"/>
                <w:szCs w:val="21"/>
              </w:rPr>
            </w:pPr>
            <w:r>
              <w:rPr>
                <w:rFonts w:eastAsiaTheme="minorEastAsia"/>
                <w:color w:val="auto"/>
                <w:szCs w:val="21"/>
              </w:rPr>
              <w:t>NH</w:t>
            </w:r>
            <w:r>
              <w:rPr>
                <w:rFonts w:eastAsiaTheme="minorEastAsia"/>
                <w:color w:val="auto"/>
                <w:szCs w:val="21"/>
                <w:vertAlign w:val="subscript"/>
              </w:rPr>
              <w:t>3</w:t>
            </w:r>
          </w:p>
        </w:tc>
        <w:tc>
          <w:tcPr>
            <w:tcW w:w="3147" w:type="dxa"/>
            <w:gridSpan w:val="2"/>
            <w:vAlign w:val="center"/>
          </w:tcPr>
          <w:p>
            <w:pPr>
              <w:spacing w:line="0" w:lineRule="atLeast"/>
              <w:contextualSpacing/>
              <w:jc w:val="center"/>
              <w:rPr>
                <w:rFonts w:eastAsiaTheme="minorEastAsia"/>
                <w:color w:val="auto"/>
                <w:szCs w:val="21"/>
              </w:rPr>
            </w:pPr>
            <w:r>
              <w:rPr>
                <w:rFonts w:eastAsiaTheme="minorEastAsia"/>
                <w:color w:val="auto"/>
                <w:szCs w:val="21"/>
              </w:rPr>
              <w:t>H</w:t>
            </w:r>
            <w:r>
              <w:rPr>
                <w:rFonts w:eastAsiaTheme="minorEastAsia"/>
                <w:color w:val="auto"/>
                <w:szCs w:val="21"/>
                <w:vertAlign w:val="subscript"/>
              </w:rPr>
              <w:t>2</w:t>
            </w:r>
            <w:r>
              <w:rPr>
                <w:rFonts w:eastAsiaTheme="minorEastAsia"/>
                <w:color w:val="auto"/>
                <w:szCs w:val="21"/>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1787" w:type="dxa"/>
            <w:vMerge w:val="continue"/>
            <w:vAlign w:val="center"/>
          </w:tcPr>
          <w:p>
            <w:pPr>
              <w:spacing w:line="0" w:lineRule="atLeast"/>
              <w:contextualSpacing/>
              <w:jc w:val="center"/>
              <w:rPr>
                <w:rFonts w:eastAsiaTheme="minorEastAsia"/>
                <w:color w:val="auto"/>
                <w:szCs w:val="21"/>
              </w:rPr>
            </w:pPr>
          </w:p>
        </w:tc>
        <w:tc>
          <w:tcPr>
            <w:tcW w:w="1985" w:type="dxa"/>
            <w:vAlign w:val="center"/>
          </w:tcPr>
          <w:p>
            <w:pPr>
              <w:spacing w:line="0" w:lineRule="atLeast"/>
              <w:contextualSpacing/>
              <w:jc w:val="center"/>
              <w:rPr>
                <w:rFonts w:eastAsiaTheme="minorEastAsia"/>
                <w:color w:val="auto"/>
                <w:szCs w:val="21"/>
              </w:rPr>
            </w:pPr>
            <w:r>
              <w:rPr>
                <w:rFonts w:hAnsiTheme="minorEastAsia" w:eastAsiaTheme="minorEastAsia"/>
                <w:color w:val="auto"/>
                <w:kern w:val="0"/>
                <w:szCs w:val="21"/>
              </w:rPr>
              <w:t>预测质量浓度</w:t>
            </w:r>
            <w:r>
              <w:rPr>
                <w:rFonts w:eastAsiaTheme="minorEastAsia"/>
                <w:color w:val="auto"/>
                <w:kern w:val="0"/>
                <w:szCs w:val="21"/>
              </w:rPr>
              <w:t>/(μg/m</w:t>
            </w:r>
            <w:r>
              <w:rPr>
                <w:rFonts w:eastAsiaTheme="minorEastAsia"/>
                <w:color w:val="auto"/>
                <w:kern w:val="0"/>
                <w:szCs w:val="21"/>
                <w:vertAlign w:val="superscript"/>
              </w:rPr>
              <w:t>3</w:t>
            </w:r>
            <w:r>
              <w:rPr>
                <w:rFonts w:eastAsiaTheme="minorEastAsia"/>
                <w:color w:val="auto"/>
                <w:kern w:val="0"/>
                <w:szCs w:val="21"/>
              </w:rPr>
              <w:t>)</w:t>
            </w:r>
          </w:p>
        </w:tc>
        <w:tc>
          <w:tcPr>
            <w:tcW w:w="1559" w:type="dxa"/>
            <w:vAlign w:val="center"/>
          </w:tcPr>
          <w:p>
            <w:pPr>
              <w:spacing w:line="0" w:lineRule="atLeast"/>
              <w:contextualSpacing/>
              <w:jc w:val="center"/>
              <w:rPr>
                <w:rFonts w:eastAsiaTheme="minorEastAsia"/>
                <w:color w:val="auto"/>
                <w:szCs w:val="21"/>
              </w:rPr>
            </w:pPr>
            <w:r>
              <w:rPr>
                <w:rFonts w:hAnsiTheme="minorEastAsia" w:eastAsiaTheme="minorEastAsia"/>
                <w:color w:val="auto"/>
                <w:szCs w:val="21"/>
              </w:rPr>
              <w:t>占标率</w:t>
            </w:r>
            <w:r>
              <w:rPr>
                <w:rFonts w:eastAsiaTheme="minorEastAsia"/>
                <w:color w:val="auto"/>
                <w:szCs w:val="21"/>
              </w:rPr>
              <w:t>%</w:t>
            </w:r>
          </w:p>
        </w:tc>
        <w:tc>
          <w:tcPr>
            <w:tcW w:w="1559" w:type="dxa"/>
            <w:vAlign w:val="center"/>
          </w:tcPr>
          <w:p>
            <w:pPr>
              <w:spacing w:line="0" w:lineRule="atLeast"/>
              <w:contextualSpacing/>
              <w:jc w:val="center"/>
              <w:rPr>
                <w:rFonts w:eastAsiaTheme="minorEastAsia"/>
                <w:color w:val="auto"/>
                <w:szCs w:val="21"/>
              </w:rPr>
            </w:pPr>
            <w:r>
              <w:rPr>
                <w:rFonts w:hAnsiTheme="minorEastAsia" w:eastAsiaTheme="minorEastAsia"/>
                <w:color w:val="auto"/>
                <w:kern w:val="0"/>
                <w:szCs w:val="21"/>
              </w:rPr>
              <w:t>预测质量浓度</w:t>
            </w:r>
            <w:r>
              <w:rPr>
                <w:rFonts w:eastAsiaTheme="minorEastAsia"/>
                <w:color w:val="auto"/>
                <w:kern w:val="0"/>
                <w:szCs w:val="21"/>
              </w:rPr>
              <w:t>/(μg/m</w:t>
            </w:r>
            <w:r>
              <w:rPr>
                <w:rFonts w:eastAsiaTheme="minorEastAsia"/>
                <w:color w:val="auto"/>
                <w:kern w:val="0"/>
                <w:szCs w:val="21"/>
                <w:vertAlign w:val="superscript"/>
              </w:rPr>
              <w:t>3</w:t>
            </w:r>
            <w:r>
              <w:rPr>
                <w:rFonts w:eastAsiaTheme="minorEastAsia"/>
                <w:color w:val="auto"/>
                <w:kern w:val="0"/>
                <w:szCs w:val="21"/>
              </w:rPr>
              <w:t>)</w:t>
            </w:r>
          </w:p>
        </w:tc>
        <w:tc>
          <w:tcPr>
            <w:tcW w:w="1588" w:type="dxa"/>
            <w:vAlign w:val="center"/>
          </w:tcPr>
          <w:p>
            <w:pPr>
              <w:tabs>
                <w:tab w:val="left" w:pos="420"/>
              </w:tabs>
              <w:autoSpaceDE w:val="0"/>
              <w:autoSpaceDN w:val="0"/>
              <w:spacing w:line="0" w:lineRule="atLeast"/>
              <w:contextualSpacing/>
              <w:jc w:val="center"/>
              <w:rPr>
                <w:rFonts w:eastAsiaTheme="minorEastAsia"/>
                <w:color w:val="auto"/>
                <w:kern w:val="0"/>
                <w:szCs w:val="21"/>
              </w:rPr>
            </w:pPr>
            <w:r>
              <w:rPr>
                <w:rFonts w:hAnsiTheme="minorEastAsia" w:eastAsiaTheme="minorEastAsia"/>
                <w:color w:val="auto"/>
                <w:kern w:val="0"/>
                <w:szCs w:val="21"/>
              </w:rPr>
              <w:t>占标率</w:t>
            </w:r>
            <w:r>
              <w:rPr>
                <w:rFonts w:eastAsiaTheme="minorEastAsia"/>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50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1.53E-04</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0.08</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5.98E-06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100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2.39E-04</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0.12</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9.34E-06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200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3.52E-04</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0.18</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1.38E-05</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300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3.12E-04</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0.16</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1.22E-05</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400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2.63E-04</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0.13</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1.03E-05</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500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2.56E-04</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0.13</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1.00E-05</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600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2.38E-04</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0.12</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9.30E-06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700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2.17E-04</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0.12</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8.48E-06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800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1.97E-04</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0.10</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7.70E-06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900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1.79E-04</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0.09</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6.99E-06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1000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1.63E-04</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0.07</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6.37E-06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1</w:t>
            </w:r>
            <w:r>
              <w:rPr>
                <w:rFonts w:hint="eastAsia" w:eastAsiaTheme="minorEastAsia"/>
                <w:color w:val="auto"/>
                <w:szCs w:val="21"/>
              </w:rPr>
              <w:t>6</w:t>
            </w:r>
            <w:r>
              <w:rPr>
                <w:rFonts w:eastAsiaTheme="minorEastAsia"/>
                <w:color w:val="auto"/>
                <w:szCs w:val="21"/>
              </w:rPr>
              <w:t>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1.00E-04</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0.05</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3.93E-06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2000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9.22E-05</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0.05</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3.61E-06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2500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8.26E-05</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0.04</w:t>
            </w:r>
          </w:p>
        </w:tc>
        <w:tc>
          <w:tcPr>
            <w:tcW w:w="1559" w:type="dxa"/>
            <w:vAlign w:val="center"/>
          </w:tcPr>
          <w:p>
            <w:pPr>
              <w:spacing w:line="0" w:lineRule="atLeast"/>
              <w:contextualSpacing/>
              <w:jc w:val="center"/>
              <w:rPr>
                <w:rFonts w:eastAsiaTheme="minorEastAsia"/>
                <w:color w:val="auto"/>
                <w:szCs w:val="21"/>
              </w:rPr>
            </w:pPr>
            <w:r>
              <w:rPr>
                <w:rFonts w:hint="eastAsia"/>
              </w:rPr>
              <w:t>3.23E-06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10000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3.46E-05</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0.02</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1.35E-06</w:t>
            </w:r>
          </w:p>
        </w:tc>
        <w:tc>
          <w:tcPr>
            <w:tcW w:w="1588" w:type="dxa"/>
            <w:vAlign w:val="center"/>
          </w:tcPr>
          <w:p>
            <w:pPr>
              <w:spacing w:line="0" w:lineRule="atLeast"/>
              <w:contextualSpacing/>
              <w:jc w:val="center"/>
              <w:rPr>
                <w:rFonts w:eastAsiaTheme="minorEastAsia"/>
                <w:color w:val="auto"/>
                <w:szCs w:val="21"/>
              </w:rPr>
            </w:pPr>
            <w:r>
              <w:rPr>
                <w:rFonts w:hint="eastAsia"/>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20000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1.77E-05</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0.01</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6.93E-07</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25000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1.40E-05</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0.01</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5.48E-07</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787" w:type="dxa"/>
            <w:vAlign w:val="center"/>
          </w:tcPr>
          <w:p>
            <w:pPr>
              <w:spacing w:line="0" w:lineRule="atLeast"/>
              <w:contextualSpacing/>
              <w:jc w:val="center"/>
              <w:rPr>
                <w:rFonts w:eastAsiaTheme="minorEastAsia"/>
                <w:color w:val="auto"/>
                <w:szCs w:val="21"/>
              </w:rPr>
            </w:pPr>
            <w:r>
              <w:rPr>
                <w:rFonts w:hAnsiTheme="minorEastAsia" w:eastAsiaTheme="minorEastAsia"/>
                <w:color w:val="auto"/>
                <w:szCs w:val="21"/>
              </w:rPr>
              <w:t>下风向最大浓度</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3.54E-04</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0.18</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1.38E-05</w:t>
            </w:r>
          </w:p>
        </w:tc>
        <w:tc>
          <w:tcPr>
            <w:tcW w:w="1588" w:type="dxa"/>
            <w:vAlign w:val="center"/>
          </w:tcPr>
          <w:p>
            <w:pPr>
              <w:spacing w:line="0" w:lineRule="atLeast"/>
              <w:contextualSpacing/>
              <w:jc w:val="center"/>
              <w:rPr>
                <w:rFonts w:eastAsiaTheme="minorEastAsia"/>
                <w:color w:val="auto"/>
                <w:szCs w:val="21"/>
              </w:rPr>
            </w:pPr>
            <w:r>
              <w:rPr>
                <w:rFonts w:hint="eastAsia"/>
              </w:rPr>
              <w:t>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jc w:val="center"/>
        </w:trPr>
        <w:tc>
          <w:tcPr>
            <w:tcW w:w="1787" w:type="dxa"/>
            <w:vAlign w:val="center"/>
          </w:tcPr>
          <w:p>
            <w:pPr>
              <w:spacing w:line="0" w:lineRule="atLeast"/>
              <w:contextualSpacing/>
              <w:jc w:val="center"/>
              <w:rPr>
                <w:rFonts w:eastAsiaTheme="minorEastAsia"/>
                <w:color w:val="auto"/>
                <w:szCs w:val="21"/>
              </w:rPr>
            </w:pPr>
            <w:r>
              <w:rPr>
                <w:rFonts w:hAnsiTheme="minorEastAsia" w:eastAsiaTheme="minorEastAsia"/>
                <w:color w:val="auto"/>
                <w:szCs w:val="21"/>
              </w:rPr>
              <w:t>下风向最大浓度出现距离</w:t>
            </w:r>
          </w:p>
        </w:tc>
        <w:tc>
          <w:tcPr>
            <w:tcW w:w="6691" w:type="dxa"/>
            <w:gridSpan w:val="4"/>
            <w:vAlign w:val="center"/>
          </w:tcPr>
          <w:p>
            <w:pPr>
              <w:spacing w:line="0" w:lineRule="atLeast"/>
              <w:contextualSpacing/>
              <w:jc w:val="center"/>
              <w:rPr>
                <w:rFonts w:eastAsiaTheme="minorEastAsia"/>
                <w:color w:val="auto"/>
                <w:szCs w:val="21"/>
              </w:rPr>
            </w:pPr>
            <w:r>
              <w:rPr>
                <w:rFonts w:hint="eastAsia" w:eastAsiaTheme="minorEastAsia"/>
                <w:color w:val="auto"/>
                <w:szCs w:val="21"/>
                <w:lang w:val="en-US" w:eastAsia="zh-CN"/>
              </w:rPr>
              <w:t>212</w:t>
            </w:r>
            <w:r>
              <w:rPr>
                <w:rFonts w:eastAsiaTheme="minorEastAsia"/>
                <w:color w:val="auto"/>
                <w:szCs w:val="21"/>
              </w:rPr>
              <w:t>m</w:t>
            </w:r>
          </w:p>
        </w:tc>
      </w:tr>
    </w:tbl>
    <w:p>
      <w:pPr>
        <w:spacing w:line="360" w:lineRule="auto"/>
        <w:ind w:firstLine="482"/>
        <w:jc w:val="center"/>
        <w:rPr>
          <w:b/>
          <w:color w:val="auto"/>
          <w:sz w:val="24"/>
        </w:rPr>
      </w:pPr>
      <w:r>
        <w:rPr>
          <w:b/>
          <w:color w:val="auto"/>
          <w:sz w:val="24"/>
        </w:rPr>
        <w:t>表5-2-</w:t>
      </w:r>
      <w:r>
        <w:rPr>
          <w:rFonts w:hint="eastAsia"/>
          <w:b/>
          <w:color w:val="auto"/>
          <w:sz w:val="24"/>
        </w:rPr>
        <w:t>7</w:t>
      </w:r>
      <w:r>
        <w:rPr>
          <w:b/>
          <w:color w:val="auto"/>
          <w:sz w:val="24"/>
        </w:rPr>
        <w:t>有组织排放估算模式的计算结果</w:t>
      </w:r>
    </w:p>
    <w:tbl>
      <w:tblPr>
        <w:tblStyle w:val="46"/>
        <w:tblW w:w="84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87"/>
        <w:gridCol w:w="1985"/>
        <w:gridCol w:w="1559"/>
        <w:gridCol w:w="1559"/>
        <w:gridCol w:w="15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787" w:type="dxa"/>
            <w:vMerge w:val="restart"/>
            <w:vAlign w:val="center"/>
          </w:tcPr>
          <w:p>
            <w:pPr>
              <w:spacing w:line="0" w:lineRule="atLeast"/>
              <w:contextualSpacing/>
              <w:jc w:val="center"/>
              <w:rPr>
                <w:rFonts w:eastAsiaTheme="minorEastAsia"/>
                <w:color w:val="auto"/>
                <w:szCs w:val="21"/>
              </w:rPr>
            </w:pPr>
            <w:r>
              <w:rPr>
                <w:rFonts w:hAnsiTheme="minorEastAsia" w:eastAsiaTheme="minorEastAsia"/>
                <w:color w:val="auto"/>
                <w:szCs w:val="21"/>
              </w:rPr>
              <w:t>距离（</w:t>
            </w:r>
            <w:r>
              <w:rPr>
                <w:rFonts w:eastAsiaTheme="minorEastAsia"/>
                <w:color w:val="auto"/>
                <w:szCs w:val="21"/>
              </w:rPr>
              <w:t>m</w:t>
            </w:r>
            <w:r>
              <w:rPr>
                <w:rFonts w:hAnsiTheme="minorEastAsia" w:eastAsiaTheme="minorEastAsia"/>
                <w:color w:val="auto"/>
                <w:szCs w:val="21"/>
              </w:rPr>
              <w:t>）</w:t>
            </w:r>
          </w:p>
        </w:tc>
        <w:tc>
          <w:tcPr>
            <w:tcW w:w="6691" w:type="dxa"/>
            <w:gridSpan w:val="4"/>
            <w:vAlign w:val="center"/>
          </w:tcPr>
          <w:p>
            <w:pPr>
              <w:spacing w:line="0" w:lineRule="atLeast"/>
              <w:contextualSpacing/>
              <w:jc w:val="center"/>
              <w:rPr>
                <w:rFonts w:eastAsiaTheme="minorEastAsia"/>
                <w:color w:val="auto"/>
                <w:szCs w:val="21"/>
              </w:rPr>
            </w:pPr>
            <w:r>
              <w:rPr>
                <w:rFonts w:hint="eastAsia" w:hAnsiTheme="minorEastAsia" w:eastAsiaTheme="minorEastAsia"/>
                <w:color w:val="auto"/>
                <w:szCs w:val="21"/>
              </w:rPr>
              <w:t>待宰间</w:t>
            </w:r>
            <w:r>
              <w:rPr>
                <w:rFonts w:hAnsiTheme="minorEastAsia" w:eastAsiaTheme="minorEastAsia"/>
                <w:color w:val="auto"/>
                <w:szCs w:val="21"/>
              </w:rPr>
              <w:t>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787" w:type="dxa"/>
            <w:vMerge w:val="continue"/>
            <w:vAlign w:val="center"/>
          </w:tcPr>
          <w:p>
            <w:pPr>
              <w:spacing w:line="0" w:lineRule="atLeast"/>
              <w:contextualSpacing/>
              <w:jc w:val="center"/>
              <w:rPr>
                <w:rFonts w:eastAsiaTheme="minorEastAsia"/>
                <w:color w:val="auto"/>
                <w:szCs w:val="21"/>
              </w:rPr>
            </w:pPr>
          </w:p>
        </w:tc>
        <w:tc>
          <w:tcPr>
            <w:tcW w:w="3544" w:type="dxa"/>
            <w:gridSpan w:val="2"/>
            <w:vAlign w:val="center"/>
          </w:tcPr>
          <w:p>
            <w:pPr>
              <w:spacing w:line="0" w:lineRule="atLeast"/>
              <w:contextualSpacing/>
              <w:jc w:val="center"/>
              <w:rPr>
                <w:rFonts w:eastAsiaTheme="minorEastAsia"/>
                <w:color w:val="auto"/>
                <w:szCs w:val="21"/>
              </w:rPr>
            </w:pPr>
            <w:r>
              <w:rPr>
                <w:rFonts w:eastAsiaTheme="minorEastAsia"/>
                <w:color w:val="auto"/>
                <w:szCs w:val="21"/>
              </w:rPr>
              <w:t>NH</w:t>
            </w:r>
            <w:r>
              <w:rPr>
                <w:rFonts w:eastAsiaTheme="minorEastAsia"/>
                <w:color w:val="auto"/>
                <w:szCs w:val="21"/>
                <w:vertAlign w:val="subscript"/>
              </w:rPr>
              <w:t>3</w:t>
            </w:r>
          </w:p>
        </w:tc>
        <w:tc>
          <w:tcPr>
            <w:tcW w:w="3147" w:type="dxa"/>
            <w:gridSpan w:val="2"/>
            <w:vAlign w:val="center"/>
          </w:tcPr>
          <w:p>
            <w:pPr>
              <w:spacing w:line="0" w:lineRule="atLeast"/>
              <w:contextualSpacing/>
              <w:jc w:val="center"/>
              <w:rPr>
                <w:rFonts w:eastAsiaTheme="minorEastAsia"/>
                <w:color w:val="auto"/>
                <w:szCs w:val="21"/>
              </w:rPr>
            </w:pPr>
            <w:r>
              <w:rPr>
                <w:rFonts w:eastAsiaTheme="minorEastAsia"/>
                <w:color w:val="auto"/>
                <w:szCs w:val="21"/>
              </w:rPr>
              <w:t>H</w:t>
            </w:r>
            <w:r>
              <w:rPr>
                <w:rFonts w:eastAsiaTheme="minorEastAsia"/>
                <w:color w:val="auto"/>
                <w:szCs w:val="21"/>
                <w:vertAlign w:val="subscript"/>
              </w:rPr>
              <w:t>2</w:t>
            </w:r>
            <w:r>
              <w:rPr>
                <w:rFonts w:eastAsiaTheme="minorEastAsia"/>
                <w:color w:val="auto"/>
                <w:szCs w:val="21"/>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1787" w:type="dxa"/>
            <w:vMerge w:val="continue"/>
            <w:vAlign w:val="center"/>
          </w:tcPr>
          <w:p>
            <w:pPr>
              <w:spacing w:line="0" w:lineRule="atLeast"/>
              <w:contextualSpacing/>
              <w:jc w:val="center"/>
              <w:rPr>
                <w:rFonts w:eastAsiaTheme="minorEastAsia"/>
                <w:color w:val="auto"/>
                <w:szCs w:val="21"/>
              </w:rPr>
            </w:pPr>
          </w:p>
        </w:tc>
        <w:tc>
          <w:tcPr>
            <w:tcW w:w="1985" w:type="dxa"/>
            <w:vAlign w:val="center"/>
          </w:tcPr>
          <w:p>
            <w:pPr>
              <w:spacing w:line="0" w:lineRule="atLeast"/>
              <w:contextualSpacing/>
              <w:jc w:val="center"/>
              <w:rPr>
                <w:rFonts w:eastAsiaTheme="minorEastAsia"/>
                <w:color w:val="auto"/>
                <w:szCs w:val="21"/>
              </w:rPr>
            </w:pPr>
            <w:r>
              <w:rPr>
                <w:rFonts w:hAnsiTheme="minorEastAsia" w:eastAsiaTheme="minorEastAsia"/>
                <w:color w:val="auto"/>
                <w:kern w:val="0"/>
                <w:szCs w:val="21"/>
              </w:rPr>
              <w:t>预测质量浓度</w:t>
            </w:r>
            <w:r>
              <w:rPr>
                <w:rFonts w:eastAsiaTheme="minorEastAsia"/>
                <w:color w:val="auto"/>
                <w:kern w:val="0"/>
                <w:szCs w:val="21"/>
              </w:rPr>
              <w:t>/(μg/m</w:t>
            </w:r>
            <w:r>
              <w:rPr>
                <w:rFonts w:eastAsiaTheme="minorEastAsia"/>
                <w:color w:val="auto"/>
                <w:kern w:val="0"/>
                <w:szCs w:val="21"/>
                <w:vertAlign w:val="superscript"/>
              </w:rPr>
              <w:t>3</w:t>
            </w:r>
            <w:r>
              <w:rPr>
                <w:rFonts w:eastAsiaTheme="minorEastAsia"/>
                <w:color w:val="auto"/>
                <w:kern w:val="0"/>
                <w:szCs w:val="21"/>
              </w:rPr>
              <w:t>)</w:t>
            </w:r>
          </w:p>
        </w:tc>
        <w:tc>
          <w:tcPr>
            <w:tcW w:w="1559" w:type="dxa"/>
            <w:vAlign w:val="center"/>
          </w:tcPr>
          <w:p>
            <w:pPr>
              <w:spacing w:line="0" w:lineRule="atLeast"/>
              <w:contextualSpacing/>
              <w:jc w:val="center"/>
              <w:rPr>
                <w:rFonts w:eastAsiaTheme="minorEastAsia"/>
                <w:color w:val="auto"/>
                <w:szCs w:val="21"/>
              </w:rPr>
            </w:pPr>
            <w:r>
              <w:rPr>
                <w:rFonts w:hAnsiTheme="minorEastAsia" w:eastAsiaTheme="minorEastAsia"/>
                <w:color w:val="auto"/>
                <w:szCs w:val="21"/>
              </w:rPr>
              <w:t>占标率</w:t>
            </w:r>
            <w:r>
              <w:rPr>
                <w:rFonts w:eastAsiaTheme="minorEastAsia"/>
                <w:color w:val="auto"/>
                <w:szCs w:val="21"/>
              </w:rPr>
              <w:t>%</w:t>
            </w:r>
          </w:p>
        </w:tc>
        <w:tc>
          <w:tcPr>
            <w:tcW w:w="1559" w:type="dxa"/>
            <w:vAlign w:val="center"/>
          </w:tcPr>
          <w:p>
            <w:pPr>
              <w:spacing w:line="0" w:lineRule="atLeast"/>
              <w:contextualSpacing/>
              <w:jc w:val="center"/>
              <w:rPr>
                <w:rFonts w:eastAsiaTheme="minorEastAsia"/>
                <w:color w:val="auto"/>
                <w:szCs w:val="21"/>
              </w:rPr>
            </w:pPr>
            <w:r>
              <w:rPr>
                <w:rFonts w:hAnsiTheme="minorEastAsia" w:eastAsiaTheme="minorEastAsia"/>
                <w:color w:val="auto"/>
                <w:kern w:val="0"/>
                <w:szCs w:val="21"/>
              </w:rPr>
              <w:t>预测质量浓度</w:t>
            </w:r>
            <w:r>
              <w:rPr>
                <w:rFonts w:eastAsiaTheme="minorEastAsia"/>
                <w:color w:val="auto"/>
                <w:kern w:val="0"/>
                <w:szCs w:val="21"/>
              </w:rPr>
              <w:t>/(μg/m</w:t>
            </w:r>
            <w:r>
              <w:rPr>
                <w:rFonts w:eastAsiaTheme="minorEastAsia"/>
                <w:color w:val="auto"/>
                <w:kern w:val="0"/>
                <w:szCs w:val="21"/>
                <w:vertAlign w:val="superscript"/>
              </w:rPr>
              <w:t>3</w:t>
            </w:r>
            <w:r>
              <w:rPr>
                <w:rFonts w:eastAsiaTheme="minorEastAsia"/>
                <w:color w:val="auto"/>
                <w:kern w:val="0"/>
                <w:szCs w:val="21"/>
              </w:rPr>
              <w:t>)</w:t>
            </w:r>
          </w:p>
        </w:tc>
        <w:tc>
          <w:tcPr>
            <w:tcW w:w="1588" w:type="dxa"/>
            <w:vAlign w:val="center"/>
          </w:tcPr>
          <w:p>
            <w:pPr>
              <w:tabs>
                <w:tab w:val="left" w:pos="420"/>
              </w:tabs>
              <w:autoSpaceDE w:val="0"/>
              <w:autoSpaceDN w:val="0"/>
              <w:spacing w:line="0" w:lineRule="atLeast"/>
              <w:contextualSpacing/>
              <w:jc w:val="center"/>
              <w:rPr>
                <w:rFonts w:eastAsiaTheme="minorEastAsia"/>
                <w:color w:val="auto"/>
                <w:kern w:val="0"/>
                <w:szCs w:val="21"/>
              </w:rPr>
            </w:pPr>
            <w:r>
              <w:rPr>
                <w:rFonts w:hAnsiTheme="minorEastAsia" w:eastAsiaTheme="minorEastAsia"/>
                <w:color w:val="auto"/>
                <w:kern w:val="0"/>
                <w:szCs w:val="21"/>
              </w:rPr>
              <w:t>占标率</w:t>
            </w:r>
            <w:r>
              <w:rPr>
                <w:rFonts w:eastAsiaTheme="minorEastAsia"/>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50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2.29E-05</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0.01</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3.65E-06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100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3.58E-05</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0.02</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5.71E-06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200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5.29E-05</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0.03</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8.43E-06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300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4.68E-05</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0.02</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7.46E-06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400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3.95E-05</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0.02</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6.29E-06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500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3.84E-05</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0.02</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6.12E-06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600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3.56E-05</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0.02</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5.68E-06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700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3.25E-05</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0.02</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5.18E-06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800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2.95E-05</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0.01</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4.70E-06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900</w:t>
            </w:r>
          </w:p>
        </w:tc>
        <w:tc>
          <w:tcPr>
            <w:tcW w:w="1985" w:type="dxa"/>
            <w:vAlign w:val="center"/>
          </w:tcPr>
          <w:p>
            <w:pPr>
              <w:spacing w:line="0" w:lineRule="atLeast"/>
              <w:contextualSpacing/>
              <w:jc w:val="center"/>
              <w:rPr>
                <w:rFonts w:eastAsiaTheme="minorEastAsia"/>
                <w:color w:val="auto"/>
                <w:szCs w:val="21"/>
              </w:rPr>
            </w:pPr>
            <w:r>
              <w:rPr>
                <w:rFonts w:hint="eastAsia"/>
              </w:rPr>
              <w:t>2.68E-05</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0.01</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4.27E-06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1000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2.44E-05</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0.01</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3.89E-06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1</w:t>
            </w:r>
            <w:r>
              <w:rPr>
                <w:rFonts w:hint="eastAsia" w:eastAsiaTheme="minorEastAsia"/>
                <w:color w:val="auto"/>
                <w:szCs w:val="21"/>
              </w:rPr>
              <w:t>6</w:t>
            </w:r>
            <w:r>
              <w:rPr>
                <w:rFonts w:eastAsiaTheme="minorEastAsia"/>
                <w:color w:val="auto"/>
                <w:szCs w:val="21"/>
              </w:rPr>
              <w:t>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1.51E-05</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0.01</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2.40E-06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2000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1.38E-05</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0.01</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2.20E-06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eastAsiaTheme="minorEastAsia"/>
                <w:color w:val="auto"/>
                <w:szCs w:val="21"/>
              </w:rPr>
              <w:t>2500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1.24E-05</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0.01</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1.98E-06</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10000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5.19E-06</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0.00</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8.28E-07</w:t>
            </w:r>
          </w:p>
        </w:tc>
        <w:tc>
          <w:tcPr>
            <w:tcW w:w="1588"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20000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2.66E-06</w:t>
            </w:r>
          </w:p>
        </w:tc>
        <w:tc>
          <w:tcPr>
            <w:tcW w:w="1559" w:type="dxa"/>
            <w:vAlign w:val="center"/>
          </w:tcPr>
          <w:p>
            <w:pPr>
              <w:spacing w:line="0" w:lineRule="atLeast"/>
              <w:contextualSpacing/>
              <w:jc w:val="center"/>
              <w:rPr>
                <w:rFonts w:eastAsiaTheme="minorEastAsia"/>
                <w:color w:val="auto"/>
                <w:szCs w:val="21"/>
              </w:rPr>
            </w:pPr>
            <w:r>
              <w:rPr>
                <w:rFonts w:hint="eastAsia"/>
              </w:rPr>
              <w:t>0.00</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4.24E-07</w:t>
            </w:r>
          </w:p>
        </w:tc>
        <w:tc>
          <w:tcPr>
            <w:tcW w:w="1588" w:type="dxa"/>
            <w:vAlign w:val="center"/>
          </w:tcPr>
          <w:p>
            <w:pPr>
              <w:spacing w:line="0" w:lineRule="atLeast"/>
              <w:contextualSpacing/>
              <w:jc w:val="center"/>
              <w:rPr>
                <w:rFonts w:eastAsiaTheme="minorEastAsia"/>
                <w:color w:val="auto"/>
                <w:szCs w:val="21"/>
              </w:rPr>
            </w:pPr>
            <w:r>
              <w:rPr>
                <w:rFonts w:hint="eastAsia"/>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87"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25000</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2.10E-06</w:t>
            </w:r>
          </w:p>
        </w:tc>
        <w:tc>
          <w:tcPr>
            <w:tcW w:w="1559" w:type="dxa"/>
            <w:vAlign w:val="center"/>
          </w:tcPr>
          <w:p>
            <w:pPr>
              <w:spacing w:line="0" w:lineRule="atLeast"/>
              <w:contextualSpacing/>
              <w:jc w:val="center"/>
              <w:rPr>
                <w:rFonts w:eastAsiaTheme="minorEastAsia"/>
                <w:color w:val="auto"/>
                <w:szCs w:val="21"/>
              </w:rPr>
            </w:pPr>
            <w:r>
              <w:rPr>
                <w:rFonts w:hint="eastAsia"/>
              </w:rPr>
              <w:t>0.00</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3.35E-07</w:t>
            </w:r>
          </w:p>
        </w:tc>
        <w:tc>
          <w:tcPr>
            <w:tcW w:w="1588" w:type="dxa"/>
            <w:vAlign w:val="center"/>
          </w:tcPr>
          <w:p>
            <w:pPr>
              <w:spacing w:line="0" w:lineRule="atLeast"/>
              <w:contextualSpacing/>
              <w:jc w:val="center"/>
              <w:rPr>
                <w:rFonts w:eastAsiaTheme="minorEastAsia"/>
                <w:color w:val="auto"/>
                <w:szCs w:val="21"/>
              </w:rPr>
            </w:pPr>
            <w:r>
              <w:rPr>
                <w:rFonts w:hint="eastAsia"/>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787" w:type="dxa"/>
            <w:vAlign w:val="center"/>
          </w:tcPr>
          <w:p>
            <w:pPr>
              <w:spacing w:line="0" w:lineRule="atLeast"/>
              <w:contextualSpacing/>
              <w:jc w:val="center"/>
              <w:rPr>
                <w:rFonts w:eastAsiaTheme="minorEastAsia"/>
                <w:color w:val="auto"/>
                <w:szCs w:val="21"/>
              </w:rPr>
            </w:pPr>
            <w:r>
              <w:rPr>
                <w:rFonts w:hAnsiTheme="minorEastAsia" w:eastAsiaTheme="minorEastAsia"/>
                <w:color w:val="auto"/>
                <w:szCs w:val="21"/>
              </w:rPr>
              <w:t>下风向最大浓度</w:t>
            </w:r>
          </w:p>
        </w:tc>
        <w:tc>
          <w:tcPr>
            <w:tcW w:w="1985"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5.31E-05</w:t>
            </w:r>
          </w:p>
        </w:tc>
        <w:tc>
          <w:tcPr>
            <w:tcW w:w="1559" w:type="dxa"/>
            <w:vAlign w:val="center"/>
          </w:tcPr>
          <w:p>
            <w:pPr>
              <w:spacing w:line="0" w:lineRule="atLeast"/>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0.03</w:t>
            </w:r>
          </w:p>
        </w:tc>
        <w:tc>
          <w:tcPr>
            <w:tcW w:w="1559" w:type="dxa"/>
            <w:vAlign w:val="center"/>
          </w:tcPr>
          <w:p>
            <w:pPr>
              <w:spacing w:line="0" w:lineRule="atLeast"/>
              <w:contextualSpacing/>
              <w:jc w:val="center"/>
              <w:rPr>
                <w:rFonts w:eastAsiaTheme="minorEastAsia"/>
                <w:color w:val="auto"/>
                <w:szCs w:val="21"/>
              </w:rPr>
            </w:pPr>
            <w:r>
              <w:rPr>
                <w:rFonts w:hint="eastAsia" w:eastAsiaTheme="minorEastAsia"/>
                <w:color w:val="auto"/>
                <w:szCs w:val="21"/>
              </w:rPr>
              <w:t>8.46E-06</w:t>
            </w:r>
          </w:p>
        </w:tc>
        <w:tc>
          <w:tcPr>
            <w:tcW w:w="1588" w:type="dxa"/>
            <w:vAlign w:val="center"/>
          </w:tcPr>
          <w:p>
            <w:pPr>
              <w:spacing w:line="0" w:lineRule="atLeast"/>
              <w:contextualSpacing/>
              <w:jc w:val="center"/>
              <w:rPr>
                <w:rFonts w:hint="default" w:eastAsiaTheme="minorEastAsia"/>
                <w:color w:val="auto"/>
                <w:szCs w:val="21"/>
                <w:lang w:val="en-US" w:eastAsia="zh-CN"/>
              </w:rPr>
            </w:pPr>
            <w:r>
              <w:rPr>
                <w:rFonts w:hint="eastAsia" w:eastAsiaTheme="minorEastAsia"/>
                <w:color w:val="auto"/>
                <w:szCs w:val="21"/>
                <w:lang w:val="en-US" w:eastAsia="zh-CN"/>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jc w:val="center"/>
        </w:trPr>
        <w:tc>
          <w:tcPr>
            <w:tcW w:w="1787" w:type="dxa"/>
            <w:vAlign w:val="center"/>
          </w:tcPr>
          <w:p>
            <w:pPr>
              <w:spacing w:line="0" w:lineRule="atLeast"/>
              <w:contextualSpacing/>
              <w:jc w:val="center"/>
              <w:rPr>
                <w:rFonts w:eastAsiaTheme="minorEastAsia"/>
                <w:color w:val="auto"/>
                <w:szCs w:val="21"/>
              </w:rPr>
            </w:pPr>
            <w:r>
              <w:rPr>
                <w:rFonts w:hAnsiTheme="minorEastAsia" w:eastAsiaTheme="minorEastAsia"/>
                <w:color w:val="auto"/>
                <w:szCs w:val="21"/>
              </w:rPr>
              <w:t>下风向最大浓度出现距离</w:t>
            </w:r>
          </w:p>
        </w:tc>
        <w:tc>
          <w:tcPr>
            <w:tcW w:w="6691" w:type="dxa"/>
            <w:gridSpan w:val="4"/>
            <w:vAlign w:val="center"/>
          </w:tcPr>
          <w:p>
            <w:pPr>
              <w:spacing w:line="0" w:lineRule="atLeast"/>
              <w:contextualSpacing/>
              <w:jc w:val="center"/>
              <w:rPr>
                <w:rFonts w:eastAsiaTheme="minorEastAsia"/>
                <w:color w:val="auto"/>
                <w:szCs w:val="21"/>
              </w:rPr>
            </w:pPr>
            <w:r>
              <w:rPr>
                <w:rFonts w:hint="eastAsia" w:eastAsiaTheme="minorEastAsia"/>
                <w:color w:val="auto"/>
                <w:szCs w:val="21"/>
                <w:lang w:val="en-US" w:eastAsia="zh-CN"/>
              </w:rPr>
              <w:t>212</w:t>
            </w:r>
            <w:r>
              <w:rPr>
                <w:rFonts w:eastAsiaTheme="minorEastAsia"/>
                <w:color w:val="auto"/>
                <w:szCs w:val="21"/>
              </w:rPr>
              <w:t>m</w:t>
            </w:r>
          </w:p>
        </w:tc>
      </w:tr>
    </w:tbl>
    <w:p>
      <w:pPr>
        <w:spacing w:line="360" w:lineRule="auto"/>
        <w:ind w:firstLine="482"/>
        <w:jc w:val="center"/>
        <w:rPr>
          <w:b/>
          <w:color w:val="auto"/>
          <w:sz w:val="24"/>
          <w:highlight w:val="none"/>
        </w:rPr>
      </w:pPr>
      <w:r>
        <w:rPr>
          <w:b/>
          <w:color w:val="auto"/>
          <w:sz w:val="24"/>
          <w:highlight w:val="none"/>
        </w:rPr>
        <w:t>表5-2-</w:t>
      </w:r>
      <w:r>
        <w:rPr>
          <w:rFonts w:hint="eastAsia"/>
          <w:b/>
          <w:color w:val="auto"/>
          <w:sz w:val="24"/>
          <w:highlight w:val="none"/>
          <w:lang w:val="en-US" w:eastAsia="zh-CN"/>
        </w:rPr>
        <w:t>8</w:t>
      </w:r>
      <w:r>
        <w:rPr>
          <w:b/>
          <w:color w:val="auto"/>
          <w:sz w:val="24"/>
          <w:highlight w:val="none"/>
        </w:rPr>
        <w:t>有组织排放估算模式的计算结果</w:t>
      </w:r>
    </w:p>
    <w:tbl>
      <w:tblPr>
        <w:tblStyle w:val="4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34"/>
        <w:gridCol w:w="1336"/>
        <w:gridCol w:w="940"/>
        <w:gridCol w:w="1385"/>
        <w:gridCol w:w="971"/>
        <w:gridCol w:w="1384"/>
        <w:gridCol w:w="9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0" w:type="auto"/>
            <w:vMerge w:val="restart"/>
            <w:vAlign w:val="center"/>
          </w:tcPr>
          <w:p>
            <w:pPr>
              <w:spacing w:line="0" w:lineRule="atLeast"/>
              <w:contextualSpacing/>
              <w:jc w:val="center"/>
              <w:rPr>
                <w:rFonts w:eastAsiaTheme="minorEastAsia"/>
                <w:color w:val="auto"/>
                <w:szCs w:val="21"/>
                <w:highlight w:val="none"/>
              </w:rPr>
            </w:pPr>
            <w:r>
              <w:rPr>
                <w:rFonts w:hAnsiTheme="minorEastAsia" w:eastAsiaTheme="minorEastAsia"/>
                <w:color w:val="auto"/>
                <w:szCs w:val="21"/>
                <w:highlight w:val="none"/>
              </w:rPr>
              <w:t>距离（</w:t>
            </w:r>
            <w:r>
              <w:rPr>
                <w:rFonts w:eastAsiaTheme="minorEastAsia"/>
                <w:color w:val="auto"/>
                <w:szCs w:val="21"/>
                <w:highlight w:val="none"/>
              </w:rPr>
              <w:t>m</w:t>
            </w:r>
            <w:r>
              <w:rPr>
                <w:rFonts w:hAnsiTheme="minorEastAsia" w:eastAsiaTheme="minorEastAsia"/>
                <w:color w:val="auto"/>
                <w:szCs w:val="21"/>
                <w:highlight w:val="none"/>
              </w:rPr>
              <w:t>）</w:t>
            </w:r>
          </w:p>
        </w:tc>
        <w:tc>
          <w:tcPr>
            <w:tcW w:w="0" w:type="auto"/>
            <w:gridSpan w:val="6"/>
            <w:vAlign w:val="center"/>
          </w:tcPr>
          <w:p>
            <w:pPr>
              <w:spacing w:line="0" w:lineRule="atLeast"/>
              <w:contextualSpacing/>
              <w:jc w:val="center"/>
              <w:rPr>
                <w:rFonts w:hint="eastAsia" w:hAnsiTheme="minorEastAsia" w:eastAsiaTheme="minorEastAsia"/>
                <w:color w:val="auto"/>
                <w:szCs w:val="21"/>
                <w:highlight w:val="none"/>
                <w:lang w:val="en-US" w:eastAsia="zh-CN"/>
              </w:rPr>
            </w:pPr>
            <w:r>
              <w:rPr>
                <w:rFonts w:hint="eastAsia" w:hAnsiTheme="minorEastAsia" w:eastAsiaTheme="minorEastAsia"/>
                <w:color w:val="auto"/>
                <w:szCs w:val="21"/>
                <w:highlight w:val="none"/>
                <w:lang w:val="en-US" w:eastAsia="zh-CN"/>
              </w:rPr>
              <w:t>锅炉房烟囱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0" w:type="auto"/>
            <w:vMerge w:val="continue"/>
            <w:vAlign w:val="center"/>
          </w:tcPr>
          <w:p>
            <w:pPr>
              <w:spacing w:line="0" w:lineRule="atLeast"/>
              <w:contextualSpacing/>
              <w:jc w:val="center"/>
              <w:rPr>
                <w:rFonts w:eastAsiaTheme="minorEastAsia"/>
                <w:color w:val="auto"/>
                <w:szCs w:val="21"/>
                <w:highlight w:val="none"/>
              </w:rPr>
            </w:pPr>
          </w:p>
        </w:tc>
        <w:tc>
          <w:tcPr>
            <w:tcW w:w="0" w:type="auto"/>
            <w:gridSpan w:val="2"/>
            <w:vAlign w:val="center"/>
          </w:tcPr>
          <w:p>
            <w:pPr>
              <w:spacing w:line="0" w:lineRule="atLeast"/>
              <w:contextualSpacing/>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颗粒物</w:t>
            </w:r>
          </w:p>
        </w:tc>
        <w:tc>
          <w:tcPr>
            <w:tcW w:w="0" w:type="auto"/>
            <w:gridSpan w:val="2"/>
            <w:vAlign w:val="center"/>
          </w:tcPr>
          <w:p>
            <w:pPr>
              <w:spacing w:line="0" w:lineRule="atLeast"/>
              <w:contextualSpacing/>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二氧化硫</w:t>
            </w:r>
          </w:p>
        </w:tc>
        <w:tc>
          <w:tcPr>
            <w:tcW w:w="0" w:type="auto"/>
            <w:gridSpan w:val="2"/>
            <w:vAlign w:val="center"/>
          </w:tcPr>
          <w:p>
            <w:pPr>
              <w:spacing w:line="0" w:lineRule="atLeast"/>
              <w:contextualSpacing/>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氮氧化物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0" w:type="auto"/>
            <w:vMerge w:val="continue"/>
            <w:vAlign w:val="center"/>
          </w:tcPr>
          <w:p>
            <w:pPr>
              <w:spacing w:line="0" w:lineRule="atLeast"/>
              <w:contextualSpacing/>
              <w:jc w:val="center"/>
              <w:rPr>
                <w:rFonts w:eastAsiaTheme="minorEastAsia"/>
                <w:color w:val="auto"/>
                <w:szCs w:val="21"/>
                <w:highlight w:val="none"/>
              </w:rPr>
            </w:pPr>
          </w:p>
        </w:tc>
        <w:tc>
          <w:tcPr>
            <w:tcW w:w="1336" w:type="dxa"/>
            <w:vAlign w:val="center"/>
          </w:tcPr>
          <w:p>
            <w:pPr>
              <w:spacing w:line="0" w:lineRule="atLeast"/>
              <w:contextualSpacing/>
              <w:jc w:val="center"/>
              <w:rPr>
                <w:rFonts w:eastAsiaTheme="minorEastAsia"/>
                <w:color w:val="auto"/>
                <w:szCs w:val="21"/>
                <w:highlight w:val="none"/>
              </w:rPr>
            </w:pPr>
            <w:r>
              <w:rPr>
                <w:rFonts w:hAnsiTheme="minorEastAsia" w:eastAsiaTheme="minorEastAsia"/>
                <w:color w:val="auto"/>
                <w:kern w:val="0"/>
                <w:szCs w:val="21"/>
                <w:highlight w:val="none"/>
              </w:rPr>
              <w:t>预测质量浓度</w:t>
            </w:r>
            <w:r>
              <w:rPr>
                <w:rFonts w:eastAsiaTheme="minorEastAsia"/>
                <w:color w:val="auto"/>
                <w:kern w:val="0"/>
                <w:szCs w:val="21"/>
                <w:highlight w:val="none"/>
              </w:rPr>
              <w:t>/(μg/m</w:t>
            </w:r>
            <w:r>
              <w:rPr>
                <w:rFonts w:eastAsiaTheme="minorEastAsia"/>
                <w:color w:val="auto"/>
                <w:kern w:val="0"/>
                <w:szCs w:val="21"/>
                <w:highlight w:val="none"/>
                <w:vertAlign w:val="superscript"/>
              </w:rPr>
              <w:t>3</w:t>
            </w:r>
            <w:r>
              <w:rPr>
                <w:rFonts w:eastAsiaTheme="minorEastAsia"/>
                <w:color w:val="auto"/>
                <w:kern w:val="0"/>
                <w:szCs w:val="21"/>
                <w:highlight w:val="none"/>
              </w:rPr>
              <w:t>)</w:t>
            </w:r>
          </w:p>
        </w:tc>
        <w:tc>
          <w:tcPr>
            <w:tcW w:w="940" w:type="dxa"/>
            <w:vAlign w:val="center"/>
          </w:tcPr>
          <w:p>
            <w:pPr>
              <w:spacing w:line="0" w:lineRule="atLeast"/>
              <w:contextualSpacing/>
              <w:jc w:val="center"/>
              <w:rPr>
                <w:rFonts w:eastAsiaTheme="minorEastAsia"/>
                <w:color w:val="auto"/>
                <w:szCs w:val="21"/>
                <w:highlight w:val="none"/>
              </w:rPr>
            </w:pPr>
            <w:r>
              <w:rPr>
                <w:rFonts w:hAnsiTheme="minorEastAsia" w:eastAsiaTheme="minorEastAsia"/>
                <w:color w:val="auto"/>
                <w:szCs w:val="21"/>
                <w:highlight w:val="none"/>
              </w:rPr>
              <w:t>占标率</w:t>
            </w:r>
            <w:r>
              <w:rPr>
                <w:rFonts w:eastAsiaTheme="minorEastAsia"/>
                <w:color w:val="auto"/>
                <w:szCs w:val="21"/>
                <w:highlight w:val="none"/>
              </w:rPr>
              <w:t>%</w:t>
            </w:r>
          </w:p>
        </w:tc>
        <w:tc>
          <w:tcPr>
            <w:tcW w:w="1385" w:type="dxa"/>
            <w:vAlign w:val="center"/>
          </w:tcPr>
          <w:p>
            <w:pPr>
              <w:spacing w:line="0" w:lineRule="atLeast"/>
              <w:contextualSpacing/>
              <w:jc w:val="center"/>
              <w:rPr>
                <w:rFonts w:eastAsiaTheme="minorEastAsia"/>
                <w:color w:val="auto"/>
                <w:szCs w:val="21"/>
                <w:highlight w:val="none"/>
              </w:rPr>
            </w:pPr>
            <w:r>
              <w:rPr>
                <w:rFonts w:hAnsiTheme="minorEastAsia" w:eastAsiaTheme="minorEastAsia"/>
                <w:color w:val="auto"/>
                <w:kern w:val="0"/>
                <w:szCs w:val="21"/>
                <w:highlight w:val="none"/>
              </w:rPr>
              <w:t>预测质量浓度</w:t>
            </w:r>
            <w:r>
              <w:rPr>
                <w:rFonts w:eastAsiaTheme="minorEastAsia"/>
                <w:color w:val="auto"/>
                <w:kern w:val="0"/>
                <w:szCs w:val="21"/>
                <w:highlight w:val="none"/>
              </w:rPr>
              <w:t>/(μg/m</w:t>
            </w:r>
            <w:r>
              <w:rPr>
                <w:rFonts w:eastAsiaTheme="minorEastAsia"/>
                <w:color w:val="auto"/>
                <w:kern w:val="0"/>
                <w:szCs w:val="21"/>
                <w:highlight w:val="none"/>
                <w:vertAlign w:val="superscript"/>
              </w:rPr>
              <w:t>3</w:t>
            </w:r>
            <w:r>
              <w:rPr>
                <w:rFonts w:eastAsiaTheme="minorEastAsia"/>
                <w:color w:val="auto"/>
                <w:kern w:val="0"/>
                <w:szCs w:val="21"/>
                <w:highlight w:val="none"/>
              </w:rPr>
              <w:t>)</w:t>
            </w:r>
          </w:p>
        </w:tc>
        <w:tc>
          <w:tcPr>
            <w:tcW w:w="971" w:type="dxa"/>
            <w:vAlign w:val="center"/>
          </w:tcPr>
          <w:p>
            <w:pPr>
              <w:tabs>
                <w:tab w:val="left" w:pos="420"/>
              </w:tabs>
              <w:autoSpaceDE w:val="0"/>
              <w:autoSpaceDN w:val="0"/>
              <w:spacing w:line="0" w:lineRule="atLeast"/>
              <w:contextualSpacing/>
              <w:jc w:val="center"/>
              <w:rPr>
                <w:rFonts w:eastAsiaTheme="minorEastAsia"/>
                <w:color w:val="auto"/>
                <w:kern w:val="0"/>
                <w:szCs w:val="21"/>
                <w:highlight w:val="none"/>
              </w:rPr>
            </w:pPr>
            <w:r>
              <w:rPr>
                <w:rFonts w:hAnsiTheme="minorEastAsia" w:eastAsiaTheme="minorEastAsia"/>
                <w:color w:val="auto"/>
                <w:kern w:val="0"/>
                <w:szCs w:val="21"/>
                <w:highlight w:val="none"/>
              </w:rPr>
              <w:t>占标率</w:t>
            </w:r>
            <w:r>
              <w:rPr>
                <w:rFonts w:eastAsiaTheme="minorEastAsia"/>
                <w:color w:val="auto"/>
                <w:kern w:val="0"/>
                <w:szCs w:val="21"/>
                <w:highlight w:val="none"/>
              </w:rPr>
              <w:t>/(%)</w:t>
            </w:r>
          </w:p>
        </w:tc>
        <w:tc>
          <w:tcPr>
            <w:tcW w:w="1384" w:type="dxa"/>
            <w:vAlign w:val="center"/>
          </w:tcPr>
          <w:p>
            <w:pPr>
              <w:spacing w:line="0" w:lineRule="atLeast"/>
              <w:contextualSpacing/>
              <w:jc w:val="center"/>
              <w:rPr>
                <w:rFonts w:hAnsiTheme="minorEastAsia" w:eastAsiaTheme="minorEastAsia"/>
                <w:color w:val="auto"/>
                <w:kern w:val="0"/>
                <w:szCs w:val="21"/>
                <w:highlight w:val="none"/>
              </w:rPr>
            </w:pPr>
            <w:r>
              <w:rPr>
                <w:rFonts w:hAnsiTheme="minorEastAsia" w:eastAsiaTheme="minorEastAsia"/>
                <w:color w:val="auto"/>
                <w:kern w:val="0"/>
                <w:szCs w:val="21"/>
                <w:highlight w:val="none"/>
              </w:rPr>
              <w:t>预测质量浓度</w:t>
            </w:r>
            <w:r>
              <w:rPr>
                <w:rFonts w:eastAsiaTheme="minorEastAsia"/>
                <w:color w:val="auto"/>
                <w:kern w:val="0"/>
                <w:szCs w:val="21"/>
                <w:highlight w:val="none"/>
              </w:rPr>
              <w:t>/(μg/m</w:t>
            </w:r>
            <w:r>
              <w:rPr>
                <w:rFonts w:eastAsiaTheme="minorEastAsia"/>
                <w:color w:val="auto"/>
                <w:kern w:val="0"/>
                <w:szCs w:val="21"/>
                <w:highlight w:val="none"/>
                <w:vertAlign w:val="superscript"/>
              </w:rPr>
              <w:t>3</w:t>
            </w:r>
            <w:r>
              <w:rPr>
                <w:rFonts w:eastAsiaTheme="minorEastAsia"/>
                <w:color w:val="auto"/>
                <w:kern w:val="0"/>
                <w:szCs w:val="21"/>
                <w:highlight w:val="none"/>
              </w:rPr>
              <w:t>)</w:t>
            </w:r>
          </w:p>
        </w:tc>
        <w:tc>
          <w:tcPr>
            <w:tcW w:w="972" w:type="dxa"/>
            <w:vAlign w:val="center"/>
          </w:tcPr>
          <w:p>
            <w:pPr>
              <w:tabs>
                <w:tab w:val="left" w:pos="420"/>
              </w:tabs>
              <w:autoSpaceDE w:val="0"/>
              <w:autoSpaceDN w:val="0"/>
              <w:spacing w:line="0" w:lineRule="atLeast"/>
              <w:contextualSpacing/>
              <w:jc w:val="center"/>
              <w:rPr>
                <w:rFonts w:hAnsiTheme="minorEastAsia" w:eastAsiaTheme="minorEastAsia"/>
                <w:color w:val="auto"/>
                <w:kern w:val="0"/>
                <w:szCs w:val="21"/>
                <w:highlight w:val="none"/>
              </w:rPr>
            </w:pPr>
            <w:r>
              <w:rPr>
                <w:rFonts w:hAnsiTheme="minorEastAsia" w:eastAsiaTheme="minorEastAsia"/>
                <w:color w:val="auto"/>
                <w:kern w:val="0"/>
                <w:szCs w:val="21"/>
                <w:highlight w:val="none"/>
              </w:rPr>
              <w:t>占标率</w:t>
            </w:r>
            <w:r>
              <w:rPr>
                <w:rFonts w:eastAsiaTheme="minorEastAsia"/>
                <w:color w:val="auto"/>
                <w:kern w:val="0"/>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0" w:type="auto"/>
            <w:vAlign w:val="center"/>
          </w:tcPr>
          <w:p>
            <w:pPr>
              <w:spacing w:line="0" w:lineRule="atLeast"/>
              <w:contextualSpacing/>
              <w:jc w:val="center"/>
              <w:rPr>
                <w:rFonts w:eastAsiaTheme="minorEastAsia"/>
                <w:color w:val="auto"/>
                <w:szCs w:val="21"/>
                <w:highlight w:val="none"/>
              </w:rPr>
            </w:pPr>
            <w:r>
              <w:rPr>
                <w:rFonts w:eastAsiaTheme="minorEastAsia"/>
                <w:color w:val="auto"/>
                <w:szCs w:val="21"/>
                <w:highlight w:val="none"/>
              </w:rPr>
              <w:t>50</w:t>
            </w:r>
          </w:p>
        </w:tc>
        <w:tc>
          <w:tcPr>
            <w:tcW w:w="133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3.87E-04</w:t>
            </w:r>
          </w:p>
        </w:tc>
        <w:tc>
          <w:tcPr>
            <w:tcW w:w="94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0.04</w:t>
            </w:r>
          </w:p>
        </w:tc>
        <w:tc>
          <w:tcPr>
            <w:tcW w:w="1385"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5.27E-04</w:t>
            </w:r>
          </w:p>
        </w:tc>
        <w:tc>
          <w:tcPr>
            <w:tcW w:w="971"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0.11</w:t>
            </w:r>
          </w:p>
        </w:tc>
        <w:tc>
          <w:tcPr>
            <w:tcW w:w="138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2.23E-03</w:t>
            </w:r>
          </w:p>
        </w:tc>
        <w:tc>
          <w:tcPr>
            <w:tcW w:w="97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eastAsiaTheme="minorEastAsia"/>
                <w:color w:val="auto"/>
                <w:szCs w:val="21"/>
                <w:highlight w:val="none"/>
              </w:rPr>
            </w:pPr>
            <w:r>
              <w:rPr>
                <w:rFonts w:eastAsiaTheme="minorEastAsia"/>
                <w:color w:val="auto"/>
                <w:szCs w:val="21"/>
                <w:highlight w:val="none"/>
              </w:rPr>
              <w:t>100</w:t>
            </w:r>
          </w:p>
        </w:tc>
        <w:tc>
          <w:tcPr>
            <w:tcW w:w="133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4.68E-04</w:t>
            </w:r>
          </w:p>
        </w:tc>
        <w:tc>
          <w:tcPr>
            <w:tcW w:w="94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0.05</w:t>
            </w:r>
          </w:p>
        </w:tc>
        <w:tc>
          <w:tcPr>
            <w:tcW w:w="1385"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6.38E-04</w:t>
            </w:r>
          </w:p>
        </w:tc>
        <w:tc>
          <w:tcPr>
            <w:tcW w:w="971"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0.13</w:t>
            </w:r>
          </w:p>
        </w:tc>
        <w:tc>
          <w:tcPr>
            <w:tcW w:w="1384" w:type="dxa"/>
            <w:vAlign w:val="center"/>
          </w:tcPr>
          <w:p>
            <w:pPr>
              <w:spacing w:line="0" w:lineRule="atLeast"/>
              <w:contextualSpacing/>
              <w:jc w:val="center"/>
              <w:rPr>
                <w:rFonts w:eastAsiaTheme="minorEastAsia"/>
                <w:color w:val="auto"/>
                <w:szCs w:val="21"/>
                <w:highlight w:val="none"/>
              </w:rPr>
            </w:pPr>
            <w:r>
              <w:rPr>
                <w:rFonts w:hint="eastAsia"/>
                <w:highlight w:val="none"/>
              </w:rPr>
              <w:t>2.69E-03</w:t>
            </w:r>
          </w:p>
        </w:tc>
        <w:tc>
          <w:tcPr>
            <w:tcW w:w="97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eastAsiaTheme="minorEastAsia"/>
                <w:color w:val="auto"/>
                <w:szCs w:val="21"/>
                <w:highlight w:val="none"/>
              </w:rPr>
            </w:pPr>
            <w:r>
              <w:rPr>
                <w:rFonts w:eastAsiaTheme="minorEastAsia"/>
                <w:color w:val="auto"/>
                <w:szCs w:val="21"/>
                <w:highlight w:val="none"/>
              </w:rPr>
              <w:t>200</w:t>
            </w:r>
          </w:p>
        </w:tc>
        <w:tc>
          <w:tcPr>
            <w:tcW w:w="133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5.02E-04</w:t>
            </w:r>
          </w:p>
        </w:tc>
        <w:tc>
          <w:tcPr>
            <w:tcW w:w="94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0.06</w:t>
            </w:r>
          </w:p>
        </w:tc>
        <w:tc>
          <w:tcPr>
            <w:tcW w:w="1385"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6.84E-04</w:t>
            </w:r>
          </w:p>
        </w:tc>
        <w:tc>
          <w:tcPr>
            <w:tcW w:w="971"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0.14</w:t>
            </w:r>
          </w:p>
        </w:tc>
        <w:tc>
          <w:tcPr>
            <w:tcW w:w="138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2.89E-03</w:t>
            </w:r>
          </w:p>
        </w:tc>
        <w:tc>
          <w:tcPr>
            <w:tcW w:w="97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eastAsiaTheme="minorEastAsia"/>
                <w:color w:val="auto"/>
                <w:szCs w:val="21"/>
                <w:highlight w:val="none"/>
              </w:rPr>
            </w:pPr>
            <w:r>
              <w:rPr>
                <w:rFonts w:eastAsiaTheme="minorEastAsia"/>
                <w:color w:val="auto"/>
                <w:szCs w:val="21"/>
                <w:highlight w:val="none"/>
              </w:rPr>
              <w:t>300</w:t>
            </w:r>
          </w:p>
        </w:tc>
        <w:tc>
          <w:tcPr>
            <w:tcW w:w="133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4.33E-04</w:t>
            </w:r>
          </w:p>
        </w:tc>
        <w:tc>
          <w:tcPr>
            <w:tcW w:w="94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0.05</w:t>
            </w:r>
          </w:p>
        </w:tc>
        <w:tc>
          <w:tcPr>
            <w:tcW w:w="1385"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5.91E-04</w:t>
            </w:r>
          </w:p>
        </w:tc>
        <w:tc>
          <w:tcPr>
            <w:tcW w:w="971"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0.12</w:t>
            </w:r>
          </w:p>
        </w:tc>
        <w:tc>
          <w:tcPr>
            <w:tcW w:w="138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2.49E-03</w:t>
            </w:r>
          </w:p>
        </w:tc>
        <w:tc>
          <w:tcPr>
            <w:tcW w:w="97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eastAsiaTheme="minorEastAsia"/>
                <w:color w:val="auto"/>
                <w:szCs w:val="21"/>
                <w:highlight w:val="none"/>
              </w:rPr>
            </w:pPr>
            <w:r>
              <w:rPr>
                <w:rFonts w:eastAsiaTheme="minorEastAsia"/>
                <w:color w:val="auto"/>
                <w:szCs w:val="21"/>
                <w:highlight w:val="none"/>
              </w:rPr>
              <w:t>400</w:t>
            </w:r>
          </w:p>
        </w:tc>
        <w:tc>
          <w:tcPr>
            <w:tcW w:w="133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3.63E-04</w:t>
            </w:r>
          </w:p>
        </w:tc>
        <w:tc>
          <w:tcPr>
            <w:tcW w:w="94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0.04</w:t>
            </w:r>
          </w:p>
        </w:tc>
        <w:tc>
          <w:tcPr>
            <w:tcW w:w="1385"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4.95E-04</w:t>
            </w:r>
          </w:p>
        </w:tc>
        <w:tc>
          <w:tcPr>
            <w:tcW w:w="971"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0.10</w:t>
            </w:r>
          </w:p>
        </w:tc>
        <w:tc>
          <w:tcPr>
            <w:tcW w:w="138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2.09E-03</w:t>
            </w:r>
          </w:p>
        </w:tc>
        <w:tc>
          <w:tcPr>
            <w:tcW w:w="97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0" w:type="auto"/>
            <w:vAlign w:val="center"/>
          </w:tcPr>
          <w:p>
            <w:pPr>
              <w:spacing w:line="0" w:lineRule="atLeast"/>
              <w:contextualSpacing/>
              <w:jc w:val="center"/>
              <w:rPr>
                <w:rFonts w:eastAsiaTheme="minorEastAsia"/>
                <w:color w:val="auto"/>
                <w:szCs w:val="21"/>
                <w:highlight w:val="none"/>
              </w:rPr>
            </w:pPr>
            <w:r>
              <w:rPr>
                <w:rFonts w:eastAsiaTheme="minorEastAsia"/>
                <w:color w:val="auto"/>
                <w:szCs w:val="21"/>
                <w:highlight w:val="none"/>
              </w:rPr>
              <w:t>500</w:t>
            </w:r>
          </w:p>
        </w:tc>
        <w:tc>
          <w:tcPr>
            <w:tcW w:w="133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3.08E-04</w:t>
            </w:r>
          </w:p>
        </w:tc>
        <w:tc>
          <w:tcPr>
            <w:tcW w:w="94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0.03</w:t>
            </w:r>
          </w:p>
        </w:tc>
        <w:tc>
          <w:tcPr>
            <w:tcW w:w="1385"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4.20E-04</w:t>
            </w:r>
          </w:p>
        </w:tc>
        <w:tc>
          <w:tcPr>
            <w:tcW w:w="971"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0.08</w:t>
            </w:r>
          </w:p>
        </w:tc>
        <w:tc>
          <w:tcPr>
            <w:tcW w:w="138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1.77E-03</w:t>
            </w:r>
          </w:p>
        </w:tc>
        <w:tc>
          <w:tcPr>
            <w:tcW w:w="97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eastAsiaTheme="minorEastAsia"/>
                <w:color w:val="auto"/>
                <w:szCs w:val="21"/>
                <w:highlight w:val="none"/>
              </w:rPr>
            </w:pPr>
            <w:r>
              <w:rPr>
                <w:rFonts w:eastAsiaTheme="minorEastAsia"/>
                <w:color w:val="auto"/>
                <w:szCs w:val="21"/>
                <w:highlight w:val="none"/>
              </w:rPr>
              <w:t>600</w:t>
            </w:r>
          </w:p>
        </w:tc>
        <w:tc>
          <w:tcPr>
            <w:tcW w:w="133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2.67E-04</w:t>
            </w:r>
          </w:p>
        </w:tc>
        <w:tc>
          <w:tcPr>
            <w:tcW w:w="94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0.03</w:t>
            </w:r>
          </w:p>
        </w:tc>
        <w:tc>
          <w:tcPr>
            <w:tcW w:w="1385"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3.64E-04</w:t>
            </w:r>
          </w:p>
        </w:tc>
        <w:tc>
          <w:tcPr>
            <w:tcW w:w="971" w:type="dxa"/>
            <w:vAlign w:val="center"/>
          </w:tcPr>
          <w:p>
            <w:pPr>
              <w:spacing w:line="0" w:lineRule="atLeast"/>
              <w:contextualSpacing/>
              <w:jc w:val="center"/>
              <w:rPr>
                <w:rFonts w:eastAsiaTheme="minorEastAsia"/>
                <w:color w:val="auto"/>
                <w:szCs w:val="21"/>
                <w:highlight w:val="none"/>
              </w:rPr>
            </w:pPr>
            <w:r>
              <w:rPr>
                <w:rFonts w:hint="eastAsia"/>
                <w:highlight w:val="none"/>
              </w:rPr>
              <w:t>0.07</w:t>
            </w:r>
          </w:p>
        </w:tc>
        <w:tc>
          <w:tcPr>
            <w:tcW w:w="138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1.54E-03</w:t>
            </w:r>
          </w:p>
        </w:tc>
        <w:tc>
          <w:tcPr>
            <w:tcW w:w="97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eastAsiaTheme="minorEastAsia"/>
                <w:color w:val="auto"/>
                <w:szCs w:val="21"/>
                <w:highlight w:val="none"/>
              </w:rPr>
            </w:pPr>
            <w:r>
              <w:rPr>
                <w:rFonts w:eastAsiaTheme="minorEastAsia"/>
                <w:color w:val="auto"/>
                <w:szCs w:val="21"/>
                <w:highlight w:val="none"/>
              </w:rPr>
              <w:t>700</w:t>
            </w:r>
          </w:p>
        </w:tc>
        <w:tc>
          <w:tcPr>
            <w:tcW w:w="133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2.36E-04</w:t>
            </w:r>
          </w:p>
        </w:tc>
        <w:tc>
          <w:tcPr>
            <w:tcW w:w="94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0.03</w:t>
            </w:r>
          </w:p>
        </w:tc>
        <w:tc>
          <w:tcPr>
            <w:tcW w:w="1385"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3.22E-04</w:t>
            </w:r>
          </w:p>
        </w:tc>
        <w:tc>
          <w:tcPr>
            <w:tcW w:w="971"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0.06</w:t>
            </w:r>
          </w:p>
        </w:tc>
        <w:tc>
          <w:tcPr>
            <w:tcW w:w="138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1.36E-03</w:t>
            </w:r>
          </w:p>
        </w:tc>
        <w:tc>
          <w:tcPr>
            <w:tcW w:w="97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eastAsiaTheme="minorEastAsia"/>
                <w:color w:val="auto"/>
                <w:szCs w:val="21"/>
                <w:highlight w:val="none"/>
              </w:rPr>
            </w:pPr>
            <w:r>
              <w:rPr>
                <w:rFonts w:eastAsiaTheme="minorEastAsia"/>
                <w:color w:val="auto"/>
                <w:szCs w:val="21"/>
                <w:highlight w:val="none"/>
              </w:rPr>
              <w:t>800</w:t>
            </w:r>
          </w:p>
        </w:tc>
        <w:tc>
          <w:tcPr>
            <w:tcW w:w="133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2.11E-04</w:t>
            </w:r>
          </w:p>
        </w:tc>
        <w:tc>
          <w:tcPr>
            <w:tcW w:w="940" w:type="dxa"/>
            <w:vAlign w:val="center"/>
          </w:tcPr>
          <w:p>
            <w:pPr>
              <w:spacing w:line="0" w:lineRule="atLeast"/>
              <w:contextualSpacing/>
              <w:jc w:val="center"/>
              <w:rPr>
                <w:rFonts w:eastAsiaTheme="minorEastAsia"/>
                <w:color w:val="auto"/>
                <w:szCs w:val="21"/>
                <w:highlight w:val="none"/>
              </w:rPr>
            </w:pPr>
            <w:r>
              <w:rPr>
                <w:rFonts w:hint="eastAsia"/>
                <w:highlight w:val="none"/>
              </w:rPr>
              <w:t>0.02</w:t>
            </w:r>
          </w:p>
        </w:tc>
        <w:tc>
          <w:tcPr>
            <w:tcW w:w="1385"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2.88E-04</w:t>
            </w:r>
          </w:p>
        </w:tc>
        <w:tc>
          <w:tcPr>
            <w:tcW w:w="971"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0.06</w:t>
            </w:r>
          </w:p>
        </w:tc>
        <w:tc>
          <w:tcPr>
            <w:tcW w:w="138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1.22E-03</w:t>
            </w:r>
          </w:p>
        </w:tc>
        <w:tc>
          <w:tcPr>
            <w:tcW w:w="97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eastAsiaTheme="minorEastAsia"/>
                <w:color w:val="auto"/>
                <w:szCs w:val="21"/>
                <w:highlight w:val="none"/>
              </w:rPr>
            </w:pPr>
            <w:r>
              <w:rPr>
                <w:rFonts w:eastAsiaTheme="minorEastAsia"/>
                <w:color w:val="auto"/>
                <w:szCs w:val="21"/>
                <w:highlight w:val="none"/>
              </w:rPr>
              <w:t>900</w:t>
            </w:r>
          </w:p>
        </w:tc>
        <w:tc>
          <w:tcPr>
            <w:tcW w:w="133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2.16E-04</w:t>
            </w:r>
          </w:p>
        </w:tc>
        <w:tc>
          <w:tcPr>
            <w:tcW w:w="940" w:type="dxa"/>
            <w:vAlign w:val="center"/>
          </w:tcPr>
          <w:p>
            <w:pPr>
              <w:spacing w:line="0" w:lineRule="atLeast"/>
              <w:contextualSpacing/>
              <w:jc w:val="center"/>
              <w:rPr>
                <w:rFonts w:eastAsiaTheme="minorEastAsia"/>
                <w:color w:val="auto"/>
                <w:szCs w:val="21"/>
                <w:highlight w:val="none"/>
              </w:rPr>
            </w:pPr>
            <w:r>
              <w:rPr>
                <w:rFonts w:hint="eastAsia"/>
                <w:highlight w:val="none"/>
              </w:rPr>
              <w:t>0.02</w:t>
            </w:r>
          </w:p>
        </w:tc>
        <w:tc>
          <w:tcPr>
            <w:tcW w:w="1385"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2.94E-04</w:t>
            </w:r>
          </w:p>
        </w:tc>
        <w:tc>
          <w:tcPr>
            <w:tcW w:w="971"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0.06</w:t>
            </w:r>
          </w:p>
        </w:tc>
        <w:tc>
          <w:tcPr>
            <w:tcW w:w="138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1.24E-03</w:t>
            </w:r>
          </w:p>
        </w:tc>
        <w:tc>
          <w:tcPr>
            <w:tcW w:w="97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0" w:type="auto"/>
            <w:vAlign w:val="center"/>
          </w:tcPr>
          <w:p>
            <w:pPr>
              <w:spacing w:line="0" w:lineRule="atLeast"/>
              <w:contextualSpacing/>
              <w:jc w:val="center"/>
              <w:rPr>
                <w:rFonts w:eastAsiaTheme="minorEastAsia"/>
                <w:color w:val="auto"/>
                <w:szCs w:val="21"/>
                <w:highlight w:val="none"/>
              </w:rPr>
            </w:pPr>
            <w:r>
              <w:rPr>
                <w:rFonts w:eastAsiaTheme="minorEastAsia"/>
                <w:color w:val="auto"/>
                <w:szCs w:val="21"/>
                <w:highlight w:val="none"/>
              </w:rPr>
              <w:t>1000</w:t>
            </w:r>
          </w:p>
        </w:tc>
        <w:tc>
          <w:tcPr>
            <w:tcW w:w="133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2.10E-04</w:t>
            </w:r>
          </w:p>
        </w:tc>
        <w:tc>
          <w:tcPr>
            <w:tcW w:w="940" w:type="dxa"/>
            <w:vAlign w:val="center"/>
          </w:tcPr>
          <w:p>
            <w:pPr>
              <w:spacing w:line="0" w:lineRule="atLeast"/>
              <w:contextualSpacing/>
              <w:jc w:val="center"/>
              <w:rPr>
                <w:rFonts w:eastAsiaTheme="minorEastAsia"/>
                <w:color w:val="auto"/>
                <w:szCs w:val="21"/>
                <w:highlight w:val="none"/>
              </w:rPr>
            </w:pPr>
            <w:r>
              <w:rPr>
                <w:rFonts w:hint="eastAsia"/>
                <w:highlight w:val="none"/>
              </w:rPr>
              <w:t>0.02</w:t>
            </w:r>
          </w:p>
        </w:tc>
        <w:tc>
          <w:tcPr>
            <w:tcW w:w="1385"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2.87E-04</w:t>
            </w:r>
          </w:p>
        </w:tc>
        <w:tc>
          <w:tcPr>
            <w:tcW w:w="971"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0.06</w:t>
            </w:r>
          </w:p>
        </w:tc>
        <w:tc>
          <w:tcPr>
            <w:tcW w:w="138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1.21E-03</w:t>
            </w:r>
          </w:p>
        </w:tc>
        <w:tc>
          <w:tcPr>
            <w:tcW w:w="97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eastAsiaTheme="minorEastAsia"/>
                <w:color w:val="auto"/>
                <w:szCs w:val="21"/>
                <w:highlight w:val="none"/>
              </w:rPr>
            </w:pPr>
            <w:r>
              <w:rPr>
                <w:rFonts w:eastAsiaTheme="minorEastAsia"/>
                <w:color w:val="auto"/>
                <w:szCs w:val="21"/>
                <w:highlight w:val="none"/>
              </w:rPr>
              <w:t>1</w:t>
            </w:r>
            <w:r>
              <w:rPr>
                <w:rFonts w:hint="eastAsia" w:eastAsiaTheme="minorEastAsia"/>
                <w:color w:val="auto"/>
                <w:szCs w:val="21"/>
                <w:highlight w:val="none"/>
              </w:rPr>
              <w:t>6</w:t>
            </w:r>
            <w:r>
              <w:rPr>
                <w:rFonts w:eastAsiaTheme="minorEastAsia"/>
                <w:color w:val="auto"/>
                <w:szCs w:val="21"/>
                <w:highlight w:val="none"/>
              </w:rPr>
              <w:t>00</w:t>
            </w:r>
          </w:p>
        </w:tc>
        <w:tc>
          <w:tcPr>
            <w:tcW w:w="133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1.64E-04</w:t>
            </w:r>
          </w:p>
        </w:tc>
        <w:tc>
          <w:tcPr>
            <w:tcW w:w="94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0.02</w:t>
            </w:r>
          </w:p>
        </w:tc>
        <w:tc>
          <w:tcPr>
            <w:tcW w:w="1385"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2.24E-04</w:t>
            </w:r>
          </w:p>
        </w:tc>
        <w:tc>
          <w:tcPr>
            <w:tcW w:w="971"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0.04</w:t>
            </w:r>
          </w:p>
        </w:tc>
        <w:tc>
          <w:tcPr>
            <w:tcW w:w="138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9.44E-04</w:t>
            </w:r>
          </w:p>
        </w:tc>
        <w:tc>
          <w:tcPr>
            <w:tcW w:w="97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eastAsiaTheme="minorEastAsia"/>
                <w:color w:val="auto"/>
                <w:szCs w:val="21"/>
                <w:highlight w:val="none"/>
              </w:rPr>
            </w:pPr>
            <w:r>
              <w:rPr>
                <w:rFonts w:eastAsiaTheme="minorEastAsia"/>
                <w:color w:val="auto"/>
                <w:szCs w:val="21"/>
                <w:highlight w:val="none"/>
              </w:rPr>
              <w:t>2000</w:t>
            </w:r>
          </w:p>
        </w:tc>
        <w:tc>
          <w:tcPr>
            <w:tcW w:w="133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1.39E-04</w:t>
            </w:r>
          </w:p>
        </w:tc>
        <w:tc>
          <w:tcPr>
            <w:tcW w:w="94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0.02</w:t>
            </w:r>
          </w:p>
        </w:tc>
        <w:tc>
          <w:tcPr>
            <w:tcW w:w="1385"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1.90E-04</w:t>
            </w:r>
          </w:p>
        </w:tc>
        <w:tc>
          <w:tcPr>
            <w:tcW w:w="971"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0.04</w:t>
            </w:r>
          </w:p>
        </w:tc>
        <w:tc>
          <w:tcPr>
            <w:tcW w:w="138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8.00E-04</w:t>
            </w:r>
          </w:p>
        </w:tc>
        <w:tc>
          <w:tcPr>
            <w:tcW w:w="97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eastAsiaTheme="minorEastAsia"/>
                <w:color w:val="auto"/>
                <w:szCs w:val="21"/>
                <w:highlight w:val="none"/>
              </w:rPr>
            </w:pPr>
            <w:r>
              <w:rPr>
                <w:rFonts w:eastAsiaTheme="minorEastAsia"/>
                <w:color w:val="auto"/>
                <w:szCs w:val="21"/>
                <w:highlight w:val="none"/>
              </w:rPr>
              <w:t>2500</w:t>
            </w:r>
          </w:p>
        </w:tc>
        <w:tc>
          <w:tcPr>
            <w:tcW w:w="133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1.16E-04</w:t>
            </w:r>
          </w:p>
        </w:tc>
        <w:tc>
          <w:tcPr>
            <w:tcW w:w="940" w:type="dxa"/>
            <w:vAlign w:val="center"/>
          </w:tcPr>
          <w:p>
            <w:pPr>
              <w:spacing w:line="0" w:lineRule="atLeast"/>
              <w:contextualSpacing/>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0.01</w:t>
            </w:r>
          </w:p>
        </w:tc>
        <w:tc>
          <w:tcPr>
            <w:tcW w:w="1385"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1.59E-04</w:t>
            </w:r>
          </w:p>
        </w:tc>
        <w:tc>
          <w:tcPr>
            <w:tcW w:w="971"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0.03</w:t>
            </w:r>
          </w:p>
        </w:tc>
        <w:tc>
          <w:tcPr>
            <w:tcW w:w="138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6.69E-04</w:t>
            </w:r>
          </w:p>
        </w:tc>
        <w:tc>
          <w:tcPr>
            <w:tcW w:w="97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10000</w:t>
            </w:r>
          </w:p>
        </w:tc>
        <w:tc>
          <w:tcPr>
            <w:tcW w:w="133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4.59E-05</w:t>
            </w:r>
          </w:p>
        </w:tc>
        <w:tc>
          <w:tcPr>
            <w:tcW w:w="94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lang w:val="en-US" w:eastAsia="zh-CN"/>
              </w:rPr>
              <w:t>0.01</w:t>
            </w:r>
          </w:p>
        </w:tc>
        <w:tc>
          <w:tcPr>
            <w:tcW w:w="1385"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6.26E-05</w:t>
            </w:r>
          </w:p>
        </w:tc>
        <w:tc>
          <w:tcPr>
            <w:tcW w:w="971"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0.01</w:t>
            </w:r>
          </w:p>
        </w:tc>
        <w:tc>
          <w:tcPr>
            <w:tcW w:w="138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2.64E-04</w:t>
            </w:r>
          </w:p>
        </w:tc>
        <w:tc>
          <w:tcPr>
            <w:tcW w:w="97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20000</w:t>
            </w:r>
          </w:p>
        </w:tc>
        <w:tc>
          <w:tcPr>
            <w:tcW w:w="133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2.64E-05</w:t>
            </w:r>
          </w:p>
        </w:tc>
        <w:tc>
          <w:tcPr>
            <w:tcW w:w="940" w:type="dxa"/>
            <w:vAlign w:val="center"/>
          </w:tcPr>
          <w:p>
            <w:pPr>
              <w:spacing w:line="0" w:lineRule="atLeast"/>
              <w:contextualSpacing/>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0.00</w:t>
            </w:r>
          </w:p>
        </w:tc>
        <w:tc>
          <w:tcPr>
            <w:tcW w:w="1385"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3.60E-05</w:t>
            </w:r>
          </w:p>
        </w:tc>
        <w:tc>
          <w:tcPr>
            <w:tcW w:w="971"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0.01</w:t>
            </w:r>
          </w:p>
        </w:tc>
        <w:tc>
          <w:tcPr>
            <w:tcW w:w="138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1.52E-04</w:t>
            </w:r>
          </w:p>
        </w:tc>
        <w:tc>
          <w:tcPr>
            <w:tcW w:w="97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25000</w:t>
            </w:r>
          </w:p>
        </w:tc>
        <w:tc>
          <w:tcPr>
            <w:tcW w:w="133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2.24E-05</w:t>
            </w:r>
          </w:p>
        </w:tc>
        <w:tc>
          <w:tcPr>
            <w:tcW w:w="940" w:type="dxa"/>
            <w:vAlign w:val="center"/>
          </w:tcPr>
          <w:p>
            <w:pPr>
              <w:spacing w:line="0" w:lineRule="atLeast"/>
              <w:contextualSpacing/>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0.00</w:t>
            </w:r>
          </w:p>
        </w:tc>
        <w:tc>
          <w:tcPr>
            <w:tcW w:w="1385"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3.05E-05</w:t>
            </w:r>
          </w:p>
        </w:tc>
        <w:tc>
          <w:tcPr>
            <w:tcW w:w="971"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0.01</w:t>
            </w:r>
          </w:p>
        </w:tc>
        <w:tc>
          <w:tcPr>
            <w:tcW w:w="138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1.29E-04</w:t>
            </w:r>
          </w:p>
        </w:tc>
        <w:tc>
          <w:tcPr>
            <w:tcW w:w="97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0" w:type="auto"/>
            <w:vAlign w:val="center"/>
          </w:tcPr>
          <w:p>
            <w:pPr>
              <w:spacing w:line="0" w:lineRule="atLeast"/>
              <w:contextualSpacing/>
              <w:jc w:val="center"/>
              <w:rPr>
                <w:rFonts w:eastAsiaTheme="minorEastAsia"/>
                <w:color w:val="auto"/>
                <w:szCs w:val="21"/>
                <w:highlight w:val="none"/>
              </w:rPr>
            </w:pPr>
            <w:r>
              <w:rPr>
                <w:rFonts w:hAnsiTheme="minorEastAsia" w:eastAsiaTheme="minorEastAsia"/>
                <w:color w:val="auto"/>
                <w:szCs w:val="21"/>
                <w:highlight w:val="none"/>
              </w:rPr>
              <w:t>下风向最大浓度</w:t>
            </w:r>
          </w:p>
        </w:tc>
        <w:tc>
          <w:tcPr>
            <w:tcW w:w="133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5.17E-04</w:t>
            </w:r>
          </w:p>
        </w:tc>
        <w:tc>
          <w:tcPr>
            <w:tcW w:w="940" w:type="dxa"/>
            <w:vAlign w:val="center"/>
          </w:tcPr>
          <w:p>
            <w:pPr>
              <w:spacing w:line="0" w:lineRule="atLeast"/>
              <w:contextualSpacing/>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0.06</w:t>
            </w:r>
          </w:p>
        </w:tc>
        <w:tc>
          <w:tcPr>
            <w:tcW w:w="1385"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7.05E-04</w:t>
            </w:r>
          </w:p>
        </w:tc>
        <w:tc>
          <w:tcPr>
            <w:tcW w:w="971"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0.14</w:t>
            </w:r>
          </w:p>
        </w:tc>
        <w:tc>
          <w:tcPr>
            <w:tcW w:w="138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2.98E-03</w:t>
            </w:r>
          </w:p>
        </w:tc>
        <w:tc>
          <w:tcPr>
            <w:tcW w:w="972" w:type="dxa"/>
            <w:vAlign w:val="center"/>
          </w:tcPr>
          <w:p>
            <w:pPr>
              <w:spacing w:line="0" w:lineRule="atLeast"/>
              <w:contextualSpacing/>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1.49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jc w:val="center"/>
        </w:trPr>
        <w:tc>
          <w:tcPr>
            <w:tcW w:w="0" w:type="auto"/>
            <w:vAlign w:val="center"/>
          </w:tcPr>
          <w:p>
            <w:pPr>
              <w:spacing w:line="0" w:lineRule="atLeast"/>
              <w:contextualSpacing/>
              <w:jc w:val="center"/>
              <w:rPr>
                <w:rFonts w:eastAsiaTheme="minorEastAsia"/>
                <w:color w:val="auto"/>
                <w:szCs w:val="21"/>
                <w:highlight w:val="none"/>
              </w:rPr>
            </w:pPr>
            <w:r>
              <w:rPr>
                <w:rFonts w:hAnsiTheme="minorEastAsia" w:eastAsiaTheme="minorEastAsia"/>
                <w:color w:val="auto"/>
                <w:szCs w:val="21"/>
                <w:highlight w:val="none"/>
              </w:rPr>
              <w:t>下风向最大浓度出现距离</w:t>
            </w:r>
          </w:p>
        </w:tc>
        <w:tc>
          <w:tcPr>
            <w:tcW w:w="0" w:type="auto"/>
            <w:gridSpan w:val="6"/>
            <w:vAlign w:val="center"/>
          </w:tcPr>
          <w:p>
            <w:pPr>
              <w:spacing w:line="0" w:lineRule="atLeast"/>
              <w:contextualSpacing/>
              <w:jc w:val="center"/>
              <w:rPr>
                <w:rFonts w:hint="eastAsia" w:eastAsiaTheme="minorEastAsia"/>
                <w:color w:val="auto"/>
                <w:szCs w:val="21"/>
                <w:highlight w:val="none"/>
              </w:rPr>
            </w:pPr>
            <w:r>
              <w:rPr>
                <w:rFonts w:hint="eastAsia" w:eastAsiaTheme="minorEastAsia"/>
                <w:color w:val="auto"/>
                <w:szCs w:val="21"/>
                <w:highlight w:val="none"/>
                <w:lang w:val="en-US" w:eastAsia="zh-CN"/>
              </w:rPr>
              <w:t>161</w:t>
            </w:r>
            <w:r>
              <w:rPr>
                <w:rFonts w:eastAsiaTheme="minorEastAsia"/>
                <w:color w:val="auto"/>
                <w:szCs w:val="21"/>
                <w:highlight w:val="none"/>
              </w:rPr>
              <w:t>m</w:t>
            </w:r>
          </w:p>
        </w:tc>
      </w:tr>
    </w:tbl>
    <w:p>
      <w:pPr>
        <w:pStyle w:val="74"/>
        <w:adjustRightInd/>
        <w:snapToGrid/>
        <w:ind w:firstLine="0" w:firstLineChars="0"/>
        <w:jc w:val="center"/>
        <w:rPr>
          <w:rFonts w:ascii="Times New Roman" w:hAnsi="Times New Roman" w:eastAsia="宋体" w:cs="Times New Roman"/>
          <w:b/>
          <w:color w:val="FF0000"/>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74"/>
        <w:adjustRightInd/>
        <w:snapToGrid/>
        <w:ind w:firstLine="0" w:firstLineChars="0"/>
        <w:jc w:val="center"/>
        <w:rPr>
          <w:rFonts w:ascii="Times New Roman" w:hAnsi="Times New Roman" w:eastAsia="宋体" w:cs="Times New Roman"/>
          <w:b/>
          <w:color w:val="auto"/>
          <w:highlight w:val="none"/>
        </w:rPr>
      </w:pPr>
      <w:r>
        <w:rPr>
          <w:rFonts w:ascii="Times New Roman" w:hAnsi="Times New Roman" w:eastAsia="宋体" w:cs="Times New Roman"/>
          <w:b/>
          <w:color w:val="auto"/>
          <w:highlight w:val="none"/>
        </w:rPr>
        <w:t>表5-2-</w:t>
      </w:r>
      <w:r>
        <w:rPr>
          <w:rFonts w:hint="eastAsia" w:ascii="Times New Roman" w:hAnsi="Times New Roman" w:eastAsia="宋体" w:cs="Times New Roman"/>
          <w:b/>
          <w:color w:val="auto"/>
          <w:highlight w:val="none"/>
          <w:lang w:val="en-US" w:eastAsia="zh-CN"/>
        </w:rPr>
        <w:t>9</w:t>
      </w:r>
      <w:r>
        <w:rPr>
          <w:rFonts w:ascii="Times New Roman" w:hAnsi="Times New Roman" w:eastAsia="宋体" w:cs="Times New Roman"/>
          <w:b/>
          <w:color w:val="auto"/>
          <w:highlight w:val="none"/>
        </w:rPr>
        <w:t>无组织排放估算模式的计算结果（矩形面源）</w:t>
      </w:r>
    </w:p>
    <w:tbl>
      <w:tblPr>
        <w:tblStyle w:val="46"/>
        <w:tblW w:w="1417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6"/>
        <w:gridCol w:w="1294"/>
        <w:gridCol w:w="1039"/>
        <w:gridCol w:w="1212"/>
        <w:gridCol w:w="1123"/>
        <w:gridCol w:w="1050"/>
        <w:gridCol w:w="1050"/>
        <w:gridCol w:w="1050"/>
        <w:gridCol w:w="1050"/>
        <w:gridCol w:w="1210"/>
        <w:gridCol w:w="890"/>
        <w:gridCol w:w="1050"/>
        <w:gridCol w:w="10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1106" w:type="dxa"/>
            <w:vMerge w:val="restart"/>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cs="Times New Roman" w:hAnsiTheme="minorEastAsia"/>
                <w:color w:val="auto"/>
                <w:sz w:val="21"/>
                <w:szCs w:val="21"/>
                <w:highlight w:val="none"/>
              </w:rPr>
              <w:t>距离（</w:t>
            </w:r>
            <w:r>
              <w:rPr>
                <w:rFonts w:ascii="Times New Roman" w:hAnsi="Times New Roman" w:cs="Times New Roman"/>
                <w:color w:val="auto"/>
                <w:sz w:val="21"/>
                <w:szCs w:val="21"/>
                <w:highlight w:val="none"/>
              </w:rPr>
              <w:t>m</w:t>
            </w:r>
            <w:r>
              <w:rPr>
                <w:rFonts w:ascii="Times New Roman" w:cs="Times New Roman" w:hAnsiTheme="minorEastAsia"/>
                <w:color w:val="auto"/>
                <w:sz w:val="21"/>
                <w:szCs w:val="21"/>
                <w:highlight w:val="none"/>
              </w:rPr>
              <w:t>）</w:t>
            </w:r>
          </w:p>
        </w:tc>
        <w:tc>
          <w:tcPr>
            <w:tcW w:w="4668" w:type="dxa"/>
            <w:gridSpan w:val="4"/>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屠宰车间</w:t>
            </w:r>
          </w:p>
        </w:tc>
        <w:tc>
          <w:tcPr>
            <w:tcW w:w="4200" w:type="dxa"/>
            <w:gridSpan w:val="4"/>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污水处理站</w:t>
            </w:r>
          </w:p>
        </w:tc>
        <w:tc>
          <w:tcPr>
            <w:tcW w:w="4200" w:type="dxa"/>
            <w:gridSpan w:val="4"/>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待宰间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1106" w:type="dxa"/>
            <w:vMerge w:val="continue"/>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p>
        </w:tc>
        <w:tc>
          <w:tcPr>
            <w:tcW w:w="2333" w:type="dxa"/>
            <w:gridSpan w:val="2"/>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NH</w:t>
            </w:r>
            <w:r>
              <w:rPr>
                <w:rFonts w:ascii="Times New Roman" w:hAnsi="Times New Roman" w:cs="Times New Roman"/>
                <w:color w:val="auto"/>
                <w:sz w:val="21"/>
                <w:szCs w:val="21"/>
                <w:highlight w:val="none"/>
                <w:vertAlign w:val="subscript"/>
              </w:rPr>
              <w:t>3</w:t>
            </w:r>
          </w:p>
        </w:tc>
        <w:tc>
          <w:tcPr>
            <w:tcW w:w="2335" w:type="dxa"/>
            <w:gridSpan w:val="2"/>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H</w:t>
            </w:r>
            <w:r>
              <w:rPr>
                <w:rFonts w:ascii="Times New Roman" w:hAnsi="Times New Roman" w:cs="Times New Roman"/>
                <w:color w:val="auto"/>
                <w:sz w:val="21"/>
                <w:szCs w:val="21"/>
                <w:highlight w:val="none"/>
                <w:vertAlign w:val="subscript"/>
              </w:rPr>
              <w:t>2</w:t>
            </w:r>
            <w:r>
              <w:rPr>
                <w:rFonts w:ascii="Times New Roman" w:hAnsi="Times New Roman" w:cs="Times New Roman"/>
                <w:color w:val="auto"/>
                <w:sz w:val="21"/>
                <w:szCs w:val="21"/>
                <w:highlight w:val="none"/>
              </w:rPr>
              <w:t>S</w:t>
            </w:r>
          </w:p>
        </w:tc>
        <w:tc>
          <w:tcPr>
            <w:tcW w:w="2100" w:type="dxa"/>
            <w:gridSpan w:val="2"/>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NH</w:t>
            </w:r>
            <w:r>
              <w:rPr>
                <w:rFonts w:ascii="Times New Roman" w:hAnsi="Times New Roman" w:cs="Times New Roman"/>
                <w:color w:val="auto"/>
                <w:sz w:val="21"/>
                <w:szCs w:val="21"/>
                <w:highlight w:val="none"/>
                <w:vertAlign w:val="subscript"/>
              </w:rPr>
              <w:t>3</w:t>
            </w:r>
          </w:p>
        </w:tc>
        <w:tc>
          <w:tcPr>
            <w:tcW w:w="2100" w:type="dxa"/>
            <w:gridSpan w:val="2"/>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H</w:t>
            </w:r>
            <w:r>
              <w:rPr>
                <w:rFonts w:ascii="Times New Roman" w:hAnsi="Times New Roman" w:cs="Times New Roman"/>
                <w:color w:val="auto"/>
                <w:sz w:val="21"/>
                <w:szCs w:val="21"/>
                <w:highlight w:val="none"/>
                <w:vertAlign w:val="subscript"/>
              </w:rPr>
              <w:t>2</w:t>
            </w:r>
            <w:r>
              <w:rPr>
                <w:rFonts w:ascii="Times New Roman" w:hAnsi="Times New Roman" w:cs="Times New Roman"/>
                <w:color w:val="auto"/>
                <w:sz w:val="21"/>
                <w:szCs w:val="21"/>
                <w:highlight w:val="none"/>
              </w:rPr>
              <w:t>S</w:t>
            </w:r>
          </w:p>
        </w:tc>
        <w:tc>
          <w:tcPr>
            <w:tcW w:w="2100" w:type="dxa"/>
            <w:gridSpan w:val="2"/>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NH</w:t>
            </w:r>
            <w:r>
              <w:rPr>
                <w:rFonts w:ascii="Times New Roman" w:hAnsi="Times New Roman" w:cs="Times New Roman"/>
                <w:color w:val="auto"/>
                <w:sz w:val="21"/>
                <w:szCs w:val="21"/>
                <w:highlight w:val="none"/>
                <w:vertAlign w:val="subscript"/>
              </w:rPr>
              <w:t>3</w:t>
            </w:r>
          </w:p>
        </w:tc>
        <w:tc>
          <w:tcPr>
            <w:tcW w:w="2100" w:type="dxa"/>
            <w:gridSpan w:val="2"/>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H</w:t>
            </w:r>
            <w:r>
              <w:rPr>
                <w:rFonts w:ascii="Times New Roman" w:hAnsi="Times New Roman" w:cs="Times New Roman"/>
                <w:color w:val="auto"/>
                <w:sz w:val="21"/>
                <w:szCs w:val="21"/>
                <w:highlight w:val="none"/>
                <w:vertAlign w:val="subscript"/>
              </w:rPr>
              <w:t>2</w:t>
            </w:r>
            <w:r>
              <w:rPr>
                <w:rFonts w:ascii="Times New Roman" w:hAnsi="Times New Roman" w:cs="Times New Roman"/>
                <w:color w:val="auto"/>
                <w:sz w:val="21"/>
                <w:szCs w:val="21"/>
                <w:highlight w:val="none"/>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1106" w:type="dxa"/>
            <w:vMerge w:val="continue"/>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p>
        </w:tc>
        <w:tc>
          <w:tcPr>
            <w:tcW w:w="1294" w:type="dxa"/>
            <w:vAlign w:val="center"/>
          </w:tcPr>
          <w:p>
            <w:pPr>
              <w:spacing w:line="0" w:lineRule="atLeast"/>
              <w:contextualSpacing/>
              <w:jc w:val="center"/>
              <w:rPr>
                <w:rFonts w:eastAsiaTheme="minorEastAsia"/>
                <w:color w:val="auto"/>
                <w:szCs w:val="21"/>
                <w:highlight w:val="none"/>
              </w:rPr>
            </w:pPr>
            <w:r>
              <w:rPr>
                <w:rFonts w:hAnsiTheme="minorEastAsia" w:eastAsiaTheme="minorEastAsia"/>
                <w:color w:val="auto"/>
                <w:kern w:val="0"/>
                <w:szCs w:val="21"/>
                <w:highlight w:val="none"/>
              </w:rPr>
              <w:t>预测质量浓度</w:t>
            </w:r>
            <w:r>
              <w:rPr>
                <w:rFonts w:eastAsiaTheme="minorEastAsia"/>
                <w:color w:val="auto"/>
                <w:kern w:val="0"/>
                <w:szCs w:val="21"/>
                <w:highlight w:val="none"/>
              </w:rPr>
              <w:t>/(μg/m</w:t>
            </w:r>
            <w:r>
              <w:rPr>
                <w:rFonts w:eastAsiaTheme="minorEastAsia"/>
                <w:color w:val="auto"/>
                <w:kern w:val="0"/>
                <w:szCs w:val="21"/>
                <w:highlight w:val="none"/>
                <w:vertAlign w:val="superscript"/>
              </w:rPr>
              <w:t>3</w:t>
            </w:r>
            <w:r>
              <w:rPr>
                <w:rFonts w:eastAsiaTheme="minorEastAsia"/>
                <w:color w:val="auto"/>
                <w:kern w:val="0"/>
                <w:szCs w:val="21"/>
                <w:highlight w:val="none"/>
              </w:rPr>
              <w:t>)</w:t>
            </w:r>
          </w:p>
        </w:tc>
        <w:tc>
          <w:tcPr>
            <w:tcW w:w="1039" w:type="dxa"/>
            <w:vAlign w:val="center"/>
          </w:tcPr>
          <w:p>
            <w:pPr>
              <w:spacing w:line="0" w:lineRule="atLeast"/>
              <w:contextualSpacing/>
              <w:jc w:val="center"/>
              <w:rPr>
                <w:rFonts w:eastAsiaTheme="minorEastAsia"/>
                <w:color w:val="auto"/>
                <w:szCs w:val="21"/>
                <w:highlight w:val="none"/>
              </w:rPr>
            </w:pPr>
            <w:r>
              <w:rPr>
                <w:rFonts w:hAnsiTheme="minorEastAsia" w:eastAsiaTheme="minorEastAsia"/>
                <w:color w:val="auto"/>
                <w:szCs w:val="21"/>
                <w:highlight w:val="none"/>
              </w:rPr>
              <w:t>占标率</w:t>
            </w:r>
            <w:r>
              <w:rPr>
                <w:rFonts w:eastAsiaTheme="minorEastAsia"/>
                <w:color w:val="auto"/>
                <w:szCs w:val="21"/>
                <w:highlight w:val="none"/>
              </w:rPr>
              <w:t>%</w:t>
            </w:r>
          </w:p>
        </w:tc>
        <w:tc>
          <w:tcPr>
            <w:tcW w:w="1212" w:type="dxa"/>
            <w:vAlign w:val="center"/>
          </w:tcPr>
          <w:p>
            <w:pPr>
              <w:spacing w:line="0" w:lineRule="atLeast"/>
              <w:contextualSpacing/>
              <w:jc w:val="center"/>
              <w:rPr>
                <w:rFonts w:eastAsiaTheme="minorEastAsia"/>
                <w:color w:val="auto"/>
                <w:szCs w:val="21"/>
                <w:highlight w:val="none"/>
              </w:rPr>
            </w:pPr>
            <w:r>
              <w:rPr>
                <w:rFonts w:hAnsiTheme="minorEastAsia" w:eastAsiaTheme="minorEastAsia"/>
                <w:color w:val="auto"/>
                <w:kern w:val="0"/>
                <w:szCs w:val="21"/>
                <w:highlight w:val="none"/>
              </w:rPr>
              <w:t>预测质量浓度</w:t>
            </w:r>
            <w:r>
              <w:rPr>
                <w:rFonts w:eastAsiaTheme="minorEastAsia"/>
                <w:color w:val="auto"/>
                <w:kern w:val="0"/>
                <w:szCs w:val="21"/>
                <w:highlight w:val="none"/>
              </w:rPr>
              <w:t>/(μg/m</w:t>
            </w:r>
            <w:r>
              <w:rPr>
                <w:rFonts w:eastAsiaTheme="minorEastAsia"/>
                <w:color w:val="auto"/>
                <w:kern w:val="0"/>
                <w:szCs w:val="21"/>
                <w:highlight w:val="none"/>
                <w:vertAlign w:val="superscript"/>
              </w:rPr>
              <w:t>3</w:t>
            </w:r>
            <w:r>
              <w:rPr>
                <w:rFonts w:eastAsiaTheme="minorEastAsia"/>
                <w:color w:val="auto"/>
                <w:kern w:val="0"/>
                <w:szCs w:val="21"/>
                <w:highlight w:val="none"/>
              </w:rPr>
              <w:t>)</w:t>
            </w:r>
          </w:p>
        </w:tc>
        <w:tc>
          <w:tcPr>
            <w:tcW w:w="1123" w:type="dxa"/>
            <w:vAlign w:val="center"/>
          </w:tcPr>
          <w:p>
            <w:pPr>
              <w:tabs>
                <w:tab w:val="left" w:pos="420"/>
              </w:tabs>
              <w:autoSpaceDE w:val="0"/>
              <w:autoSpaceDN w:val="0"/>
              <w:spacing w:line="0" w:lineRule="atLeast"/>
              <w:contextualSpacing/>
              <w:jc w:val="center"/>
              <w:rPr>
                <w:rFonts w:eastAsiaTheme="minorEastAsia"/>
                <w:color w:val="auto"/>
                <w:kern w:val="0"/>
                <w:szCs w:val="21"/>
                <w:highlight w:val="none"/>
              </w:rPr>
            </w:pPr>
            <w:r>
              <w:rPr>
                <w:rFonts w:hAnsiTheme="minorEastAsia" w:eastAsiaTheme="minorEastAsia"/>
                <w:color w:val="auto"/>
                <w:kern w:val="0"/>
                <w:szCs w:val="21"/>
                <w:highlight w:val="none"/>
              </w:rPr>
              <w:t>占标率</w:t>
            </w:r>
            <w:r>
              <w:rPr>
                <w:rFonts w:eastAsiaTheme="minorEastAsia"/>
                <w:color w:val="auto"/>
                <w:kern w:val="0"/>
                <w:szCs w:val="21"/>
                <w:highlight w:val="none"/>
              </w:rPr>
              <w:t>/(%)</w:t>
            </w:r>
          </w:p>
        </w:tc>
        <w:tc>
          <w:tcPr>
            <w:tcW w:w="1050" w:type="dxa"/>
            <w:vAlign w:val="center"/>
          </w:tcPr>
          <w:p>
            <w:pPr>
              <w:spacing w:line="0" w:lineRule="atLeast"/>
              <w:contextualSpacing/>
              <w:jc w:val="center"/>
              <w:rPr>
                <w:rFonts w:eastAsiaTheme="minorEastAsia"/>
                <w:color w:val="auto"/>
                <w:szCs w:val="21"/>
                <w:highlight w:val="none"/>
              </w:rPr>
            </w:pPr>
            <w:r>
              <w:rPr>
                <w:rFonts w:hAnsiTheme="minorEastAsia" w:eastAsiaTheme="minorEastAsia"/>
                <w:color w:val="auto"/>
                <w:kern w:val="0"/>
                <w:szCs w:val="21"/>
                <w:highlight w:val="none"/>
              </w:rPr>
              <w:t>预测质量浓度</w:t>
            </w:r>
            <w:r>
              <w:rPr>
                <w:rFonts w:eastAsiaTheme="minorEastAsia"/>
                <w:color w:val="auto"/>
                <w:kern w:val="0"/>
                <w:szCs w:val="21"/>
                <w:highlight w:val="none"/>
              </w:rPr>
              <w:t>/(μg/m</w:t>
            </w:r>
            <w:r>
              <w:rPr>
                <w:rFonts w:eastAsiaTheme="minorEastAsia"/>
                <w:color w:val="auto"/>
                <w:kern w:val="0"/>
                <w:szCs w:val="21"/>
                <w:highlight w:val="none"/>
                <w:vertAlign w:val="superscript"/>
              </w:rPr>
              <w:t>3</w:t>
            </w:r>
            <w:r>
              <w:rPr>
                <w:rFonts w:eastAsiaTheme="minorEastAsia"/>
                <w:color w:val="auto"/>
                <w:kern w:val="0"/>
                <w:szCs w:val="21"/>
                <w:highlight w:val="none"/>
              </w:rPr>
              <w:t>)</w:t>
            </w:r>
          </w:p>
        </w:tc>
        <w:tc>
          <w:tcPr>
            <w:tcW w:w="1050" w:type="dxa"/>
            <w:vAlign w:val="center"/>
          </w:tcPr>
          <w:p>
            <w:pPr>
              <w:spacing w:line="0" w:lineRule="atLeast"/>
              <w:contextualSpacing/>
              <w:jc w:val="center"/>
              <w:rPr>
                <w:rFonts w:eastAsiaTheme="minorEastAsia"/>
                <w:color w:val="auto"/>
                <w:szCs w:val="21"/>
                <w:highlight w:val="none"/>
              </w:rPr>
            </w:pPr>
            <w:r>
              <w:rPr>
                <w:rFonts w:hAnsiTheme="minorEastAsia" w:eastAsiaTheme="minorEastAsia"/>
                <w:color w:val="auto"/>
                <w:szCs w:val="21"/>
                <w:highlight w:val="none"/>
              </w:rPr>
              <w:t>占标率</w:t>
            </w:r>
            <w:r>
              <w:rPr>
                <w:rFonts w:eastAsiaTheme="minorEastAsia"/>
                <w:color w:val="auto"/>
                <w:szCs w:val="21"/>
                <w:highlight w:val="none"/>
              </w:rPr>
              <w:t>%</w:t>
            </w:r>
          </w:p>
        </w:tc>
        <w:tc>
          <w:tcPr>
            <w:tcW w:w="1050" w:type="dxa"/>
            <w:vAlign w:val="center"/>
          </w:tcPr>
          <w:p>
            <w:pPr>
              <w:spacing w:line="0" w:lineRule="atLeast"/>
              <w:contextualSpacing/>
              <w:jc w:val="center"/>
              <w:rPr>
                <w:rFonts w:eastAsiaTheme="minorEastAsia"/>
                <w:color w:val="auto"/>
                <w:szCs w:val="21"/>
                <w:highlight w:val="none"/>
              </w:rPr>
            </w:pPr>
            <w:r>
              <w:rPr>
                <w:rFonts w:hAnsiTheme="minorEastAsia" w:eastAsiaTheme="minorEastAsia"/>
                <w:color w:val="auto"/>
                <w:kern w:val="0"/>
                <w:szCs w:val="21"/>
                <w:highlight w:val="none"/>
              </w:rPr>
              <w:t>预测质量浓度</w:t>
            </w:r>
            <w:r>
              <w:rPr>
                <w:rFonts w:eastAsiaTheme="minorEastAsia"/>
                <w:color w:val="auto"/>
                <w:kern w:val="0"/>
                <w:szCs w:val="21"/>
                <w:highlight w:val="none"/>
              </w:rPr>
              <w:t>/(μg/m</w:t>
            </w:r>
            <w:r>
              <w:rPr>
                <w:rFonts w:eastAsiaTheme="minorEastAsia"/>
                <w:color w:val="auto"/>
                <w:kern w:val="0"/>
                <w:szCs w:val="21"/>
                <w:highlight w:val="none"/>
                <w:vertAlign w:val="superscript"/>
              </w:rPr>
              <w:t>3</w:t>
            </w:r>
            <w:r>
              <w:rPr>
                <w:rFonts w:eastAsiaTheme="minorEastAsia"/>
                <w:color w:val="auto"/>
                <w:kern w:val="0"/>
                <w:szCs w:val="21"/>
                <w:highlight w:val="none"/>
              </w:rPr>
              <w:t>)</w:t>
            </w:r>
          </w:p>
        </w:tc>
        <w:tc>
          <w:tcPr>
            <w:tcW w:w="1050" w:type="dxa"/>
            <w:vAlign w:val="center"/>
          </w:tcPr>
          <w:p>
            <w:pPr>
              <w:tabs>
                <w:tab w:val="left" w:pos="420"/>
              </w:tabs>
              <w:autoSpaceDE w:val="0"/>
              <w:autoSpaceDN w:val="0"/>
              <w:spacing w:line="0" w:lineRule="atLeast"/>
              <w:contextualSpacing/>
              <w:jc w:val="center"/>
              <w:rPr>
                <w:rFonts w:eastAsiaTheme="minorEastAsia"/>
                <w:color w:val="auto"/>
                <w:kern w:val="0"/>
                <w:szCs w:val="21"/>
                <w:highlight w:val="none"/>
              </w:rPr>
            </w:pPr>
            <w:r>
              <w:rPr>
                <w:rFonts w:hAnsiTheme="minorEastAsia" w:eastAsiaTheme="minorEastAsia"/>
                <w:color w:val="auto"/>
                <w:kern w:val="0"/>
                <w:szCs w:val="21"/>
                <w:highlight w:val="none"/>
              </w:rPr>
              <w:t>占标率</w:t>
            </w:r>
            <w:r>
              <w:rPr>
                <w:rFonts w:eastAsiaTheme="minorEastAsia"/>
                <w:color w:val="auto"/>
                <w:kern w:val="0"/>
                <w:szCs w:val="21"/>
                <w:highlight w:val="none"/>
              </w:rPr>
              <w:t>/(%)</w:t>
            </w:r>
          </w:p>
        </w:tc>
        <w:tc>
          <w:tcPr>
            <w:tcW w:w="1210" w:type="dxa"/>
            <w:vAlign w:val="center"/>
          </w:tcPr>
          <w:p>
            <w:pPr>
              <w:spacing w:line="0" w:lineRule="atLeast"/>
              <w:contextualSpacing/>
              <w:jc w:val="center"/>
              <w:rPr>
                <w:rFonts w:eastAsiaTheme="minorEastAsia"/>
                <w:color w:val="auto"/>
                <w:szCs w:val="21"/>
                <w:highlight w:val="none"/>
              </w:rPr>
            </w:pPr>
            <w:r>
              <w:rPr>
                <w:rFonts w:hAnsiTheme="minorEastAsia" w:eastAsiaTheme="minorEastAsia"/>
                <w:color w:val="auto"/>
                <w:kern w:val="0"/>
                <w:szCs w:val="21"/>
                <w:highlight w:val="none"/>
              </w:rPr>
              <w:t>预测质量浓度</w:t>
            </w:r>
            <w:r>
              <w:rPr>
                <w:rFonts w:eastAsiaTheme="minorEastAsia"/>
                <w:color w:val="auto"/>
                <w:kern w:val="0"/>
                <w:szCs w:val="21"/>
                <w:highlight w:val="none"/>
              </w:rPr>
              <w:t>/(μg/m</w:t>
            </w:r>
            <w:r>
              <w:rPr>
                <w:rFonts w:eastAsiaTheme="minorEastAsia"/>
                <w:color w:val="auto"/>
                <w:kern w:val="0"/>
                <w:szCs w:val="21"/>
                <w:highlight w:val="none"/>
                <w:vertAlign w:val="superscript"/>
              </w:rPr>
              <w:t>3</w:t>
            </w:r>
            <w:r>
              <w:rPr>
                <w:rFonts w:eastAsiaTheme="minorEastAsia"/>
                <w:color w:val="auto"/>
                <w:kern w:val="0"/>
                <w:szCs w:val="21"/>
                <w:highlight w:val="none"/>
              </w:rPr>
              <w:t>)</w:t>
            </w:r>
          </w:p>
        </w:tc>
        <w:tc>
          <w:tcPr>
            <w:tcW w:w="890" w:type="dxa"/>
            <w:vAlign w:val="center"/>
          </w:tcPr>
          <w:p>
            <w:pPr>
              <w:spacing w:line="0" w:lineRule="atLeast"/>
              <w:contextualSpacing/>
              <w:jc w:val="center"/>
              <w:rPr>
                <w:rFonts w:eastAsiaTheme="minorEastAsia"/>
                <w:color w:val="auto"/>
                <w:szCs w:val="21"/>
                <w:highlight w:val="none"/>
              </w:rPr>
            </w:pPr>
            <w:r>
              <w:rPr>
                <w:rFonts w:hAnsiTheme="minorEastAsia" w:eastAsiaTheme="minorEastAsia"/>
                <w:color w:val="auto"/>
                <w:szCs w:val="21"/>
                <w:highlight w:val="none"/>
              </w:rPr>
              <w:t>占标率</w:t>
            </w:r>
            <w:r>
              <w:rPr>
                <w:rFonts w:eastAsiaTheme="minorEastAsia"/>
                <w:color w:val="auto"/>
                <w:szCs w:val="21"/>
                <w:highlight w:val="none"/>
              </w:rPr>
              <w:t>%</w:t>
            </w:r>
          </w:p>
        </w:tc>
        <w:tc>
          <w:tcPr>
            <w:tcW w:w="1050" w:type="dxa"/>
            <w:vAlign w:val="center"/>
          </w:tcPr>
          <w:p>
            <w:pPr>
              <w:spacing w:line="0" w:lineRule="atLeast"/>
              <w:contextualSpacing/>
              <w:jc w:val="center"/>
              <w:rPr>
                <w:rFonts w:eastAsiaTheme="minorEastAsia"/>
                <w:color w:val="auto"/>
                <w:szCs w:val="21"/>
                <w:highlight w:val="none"/>
              </w:rPr>
            </w:pPr>
            <w:r>
              <w:rPr>
                <w:rFonts w:hAnsiTheme="minorEastAsia" w:eastAsiaTheme="minorEastAsia"/>
                <w:color w:val="auto"/>
                <w:kern w:val="0"/>
                <w:szCs w:val="21"/>
                <w:highlight w:val="none"/>
              </w:rPr>
              <w:t>预测质量浓度</w:t>
            </w:r>
            <w:r>
              <w:rPr>
                <w:rFonts w:eastAsiaTheme="minorEastAsia"/>
                <w:color w:val="auto"/>
                <w:kern w:val="0"/>
                <w:szCs w:val="21"/>
                <w:highlight w:val="none"/>
              </w:rPr>
              <w:t>/(μg/m</w:t>
            </w:r>
            <w:r>
              <w:rPr>
                <w:rFonts w:eastAsiaTheme="minorEastAsia"/>
                <w:color w:val="auto"/>
                <w:kern w:val="0"/>
                <w:szCs w:val="21"/>
                <w:highlight w:val="none"/>
                <w:vertAlign w:val="superscript"/>
              </w:rPr>
              <w:t>3</w:t>
            </w:r>
            <w:r>
              <w:rPr>
                <w:rFonts w:eastAsiaTheme="minorEastAsia"/>
                <w:color w:val="auto"/>
                <w:kern w:val="0"/>
                <w:szCs w:val="21"/>
                <w:highlight w:val="none"/>
              </w:rPr>
              <w:t>)</w:t>
            </w:r>
          </w:p>
        </w:tc>
        <w:tc>
          <w:tcPr>
            <w:tcW w:w="1050" w:type="dxa"/>
            <w:vAlign w:val="center"/>
          </w:tcPr>
          <w:p>
            <w:pPr>
              <w:tabs>
                <w:tab w:val="left" w:pos="420"/>
              </w:tabs>
              <w:autoSpaceDE w:val="0"/>
              <w:autoSpaceDN w:val="0"/>
              <w:spacing w:line="0" w:lineRule="atLeast"/>
              <w:contextualSpacing/>
              <w:jc w:val="center"/>
              <w:rPr>
                <w:rFonts w:eastAsiaTheme="minorEastAsia"/>
                <w:color w:val="auto"/>
                <w:kern w:val="0"/>
                <w:szCs w:val="21"/>
                <w:highlight w:val="none"/>
              </w:rPr>
            </w:pPr>
            <w:r>
              <w:rPr>
                <w:rFonts w:hAnsiTheme="minorEastAsia" w:eastAsiaTheme="minorEastAsia"/>
                <w:color w:val="auto"/>
                <w:kern w:val="0"/>
                <w:szCs w:val="21"/>
                <w:highlight w:val="none"/>
              </w:rPr>
              <w:t>占标率</w:t>
            </w:r>
            <w:r>
              <w:rPr>
                <w:rFonts w:eastAsiaTheme="minorEastAsia"/>
                <w:color w:val="auto"/>
                <w:kern w:val="0"/>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106" w:type="dxa"/>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50</w:t>
            </w:r>
          </w:p>
        </w:tc>
        <w:tc>
          <w:tcPr>
            <w:tcW w:w="129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7.04E-03</w:t>
            </w:r>
          </w:p>
        </w:tc>
        <w:tc>
          <w:tcPr>
            <w:tcW w:w="1039"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3.52</w:t>
            </w:r>
          </w:p>
        </w:tc>
        <w:tc>
          <w:tcPr>
            <w:tcW w:w="121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7.31E-04</w:t>
            </w:r>
          </w:p>
        </w:tc>
        <w:tc>
          <w:tcPr>
            <w:tcW w:w="1123"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7.31</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3.69E-03</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1.85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1.46E-04</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1.46</w:t>
            </w:r>
          </w:p>
        </w:tc>
        <w:tc>
          <w:tcPr>
            <w:tcW w:w="121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2.56E-03</w:t>
            </w:r>
          </w:p>
        </w:tc>
        <w:tc>
          <w:tcPr>
            <w:tcW w:w="89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1.28</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4.05E-04</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4.05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 w:hRule="atLeast"/>
          <w:jc w:val="center"/>
        </w:trPr>
        <w:tc>
          <w:tcPr>
            <w:tcW w:w="1106" w:type="dxa"/>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100</w:t>
            </w:r>
          </w:p>
        </w:tc>
        <w:tc>
          <w:tcPr>
            <w:tcW w:w="129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5.31E-03</w:t>
            </w:r>
          </w:p>
        </w:tc>
        <w:tc>
          <w:tcPr>
            <w:tcW w:w="1039"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2.66</w:t>
            </w:r>
          </w:p>
        </w:tc>
        <w:tc>
          <w:tcPr>
            <w:tcW w:w="121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5.52E-04</w:t>
            </w:r>
          </w:p>
        </w:tc>
        <w:tc>
          <w:tcPr>
            <w:tcW w:w="1123" w:type="dxa"/>
            <w:vAlign w:val="center"/>
          </w:tcPr>
          <w:p>
            <w:pPr>
              <w:spacing w:line="0" w:lineRule="atLeast"/>
              <w:contextualSpacing/>
              <w:jc w:val="center"/>
              <w:rPr>
                <w:rFonts w:eastAsiaTheme="minorEastAsia"/>
                <w:color w:val="auto"/>
                <w:szCs w:val="21"/>
                <w:highlight w:val="none"/>
              </w:rPr>
            </w:pPr>
            <w:r>
              <w:rPr>
                <w:rFonts w:hint="eastAsia"/>
                <w:highlight w:val="none"/>
              </w:rPr>
              <w:t>5.52</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1.85E-03</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0.93</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7.32E-05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0.73</w:t>
            </w:r>
          </w:p>
        </w:tc>
        <w:tc>
          <w:tcPr>
            <w:tcW w:w="121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2.05E-03</w:t>
            </w:r>
          </w:p>
        </w:tc>
        <w:tc>
          <w:tcPr>
            <w:tcW w:w="89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1.02</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3.24E-04</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1106" w:type="dxa"/>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200</w:t>
            </w:r>
          </w:p>
        </w:tc>
        <w:tc>
          <w:tcPr>
            <w:tcW w:w="129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3.65E-03</w:t>
            </w:r>
          </w:p>
        </w:tc>
        <w:tc>
          <w:tcPr>
            <w:tcW w:w="1039"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1.83</w:t>
            </w:r>
          </w:p>
        </w:tc>
        <w:tc>
          <w:tcPr>
            <w:tcW w:w="121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3.79E-04</w:t>
            </w:r>
          </w:p>
        </w:tc>
        <w:tc>
          <w:tcPr>
            <w:tcW w:w="1123"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3.79</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1.43E-03</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0.71</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5.64E-05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0.56</w:t>
            </w:r>
          </w:p>
        </w:tc>
        <w:tc>
          <w:tcPr>
            <w:tcW w:w="121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1.29E-03</w:t>
            </w:r>
          </w:p>
        </w:tc>
        <w:tc>
          <w:tcPr>
            <w:tcW w:w="89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0.64</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2.03E-04</w:t>
            </w:r>
          </w:p>
        </w:tc>
        <w:tc>
          <w:tcPr>
            <w:tcW w:w="1050" w:type="dxa"/>
            <w:vAlign w:val="center"/>
          </w:tcPr>
          <w:p>
            <w:pPr>
              <w:spacing w:line="0" w:lineRule="atLeast"/>
              <w:contextualSpacing/>
              <w:jc w:val="center"/>
              <w:rPr>
                <w:rFonts w:eastAsiaTheme="minorEastAsia"/>
                <w:color w:val="auto"/>
                <w:szCs w:val="21"/>
                <w:highlight w:val="none"/>
              </w:rPr>
            </w:pPr>
            <w:r>
              <w:rPr>
                <w:rFonts w:hint="eastAsia"/>
                <w:highlight w:val="none"/>
              </w:rPr>
              <w:t>2.03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1106" w:type="dxa"/>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300</w:t>
            </w:r>
          </w:p>
        </w:tc>
        <w:tc>
          <w:tcPr>
            <w:tcW w:w="129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2.71E-03</w:t>
            </w:r>
          </w:p>
        </w:tc>
        <w:tc>
          <w:tcPr>
            <w:tcW w:w="1039"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1.36</w:t>
            </w:r>
          </w:p>
        </w:tc>
        <w:tc>
          <w:tcPr>
            <w:tcW w:w="121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2.82E-04</w:t>
            </w:r>
          </w:p>
        </w:tc>
        <w:tc>
          <w:tcPr>
            <w:tcW w:w="1123"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2.82</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1.25E-03</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0.63</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4.94E-05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0.49</w:t>
            </w:r>
          </w:p>
        </w:tc>
        <w:tc>
          <w:tcPr>
            <w:tcW w:w="121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9.09E-04</w:t>
            </w:r>
          </w:p>
        </w:tc>
        <w:tc>
          <w:tcPr>
            <w:tcW w:w="89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2.03</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1.43E-04</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1106" w:type="dxa"/>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400</w:t>
            </w:r>
          </w:p>
        </w:tc>
        <w:tc>
          <w:tcPr>
            <w:tcW w:w="129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2.20E-03</w:t>
            </w:r>
          </w:p>
        </w:tc>
        <w:tc>
          <w:tcPr>
            <w:tcW w:w="1039"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1.10</w:t>
            </w:r>
          </w:p>
        </w:tc>
        <w:tc>
          <w:tcPr>
            <w:tcW w:w="121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2.28E-04</w:t>
            </w:r>
          </w:p>
        </w:tc>
        <w:tc>
          <w:tcPr>
            <w:tcW w:w="1123"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2.28</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1.13E-03</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0.57</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4.47E-05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0.45</w:t>
            </w:r>
          </w:p>
        </w:tc>
        <w:tc>
          <w:tcPr>
            <w:tcW w:w="121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7.39E-04</w:t>
            </w:r>
          </w:p>
        </w:tc>
        <w:tc>
          <w:tcPr>
            <w:tcW w:w="89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0.37</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1.17E-04</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1106" w:type="dxa"/>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500</w:t>
            </w:r>
          </w:p>
        </w:tc>
        <w:tc>
          <w:tcPr>
            <w:tcW w:w="129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1.87E-03</w:t>
            </w:r>
          </w:p>
        </w:tc>
        <w:tc>
          <w:tcPr>
            <w:tcW w:w="1039"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0.93</w:t>
            </w:r>
          </w:p>
        </w:tc>
        <w:tc>
          <w:tcPr>
            <w:tcW w:w="121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1.94E-04</w:t>
            </w:r>
          </w:p>
        </w:tc>
        <w:tc>
          <w:tcPr>
            <w:tcW w:w="1123"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1.94</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1.04E-03</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0.52</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4.11E-05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0.41</w:t>
            </w:r>
          </w:p>
        </w:tc>
        <w:tc>
          <w:tcPr>
            <w:tcW w:w="121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6.20E-04</w:t>
            </w:r>
          </w:p>
        </w:tc>
        <w:tc>
          <w:tcPr>
            <w:tcW w:w="89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0.31</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6.20E-04</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 w:hRule="atLeast"/>
          <w:jc w:val="center"/>
        </w:trPr>
        <w:tc>
          <w:tcPr>
            <w:tcW w:w="1106" w:type="dxa"/>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600</w:t>
            </w:r>
          </w:p>
        </w:tc>
        <w:tc>
          <w:tcPr>
            <w:tcW w:w="129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1.64E-03</w:t>
            </w:r>
          </w:p>
        </w:tc>
        <w:tc>
          <w:tcPr>
            <w:tcW w:w="1039"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0.82</w:t>
            </w:r>
          </w:p>
        </w:tc>
        <w:tc>
          <w:tcPr>
            <w:tcW w:w="121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1.70E-04</w:t>
            </w:r>
          </w:p>
        </w:tc>
        <w:tc>
          <w:tcPr>
            <w:tcW w:w="1123"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1.70</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9.65E-04</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0.48</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3.81E-05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0.38</w:t>
            </w:r>
          </w:p>
        </w:tc>
        <w:tc>
          <w:tcPr>
            <w:tcW w:w="121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5.35E-04</w:t>
            </w:r>
          </w:p>
        </w:tc>
        <w:tc>
          <w:tcPr>
            <w:tcW w:w="89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0.27</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8.44E-05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1106" w:type="dxa"/>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700</w:t>
            </w:r>
          </w:p>
        </w:tc>
        <w:tc>
          <w:tcPr>
            <w:tcW w:w="129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1.47E-03</w:t>
            </w:r>
          </w:p>
        </w:tc>
        <w:tc>
          <w:tcPr>
            <w:tcW w:w="1039"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0.73</w:t>
            </w:r>
          </w:p>
        </w:tc>
        <w:tc>
          <w:tcPr>
            <w:tcW w:w="121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1.52E-04</w:t>
            </w:r>
          </w:p>
        </w:tc>
        <w:tc>
          <w:tcPr>
            <w:tcW w:w="1123"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1.52</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9.00E-04</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0.45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3.55E-05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0.36</w:t>
            </w:r>
          </w:p>
        </w:tc>
        <w:tc>
          <w:tcPr>
            <w:tcW w:w="121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4.72E-04</w:t>
            </w:r>
          </w:p>
        </w:tc>
        <w:tc>
          <w:tcPr>
            <w:tcW w:w="89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0.24</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7.45E-05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1106" w:type="dxa"/>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800</w:t>
            </w:r>
          </w:p>
        </w:tc>
        <w:tc>
          <w:tcPr>
            <w:tcW w:w="129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1.33E-03</w:t>
            </w:r>
          </w:p>
        </w:tc>
        <w:tc>
          <w:tcPr>
            <w:tcW w:w="1039"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0.67</w:t>
            </w:r>
          </w:p>
        </w:tc>
        <w:tc>
          <w:tcPr>
            <w:tcW w:w="121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1.38E-04</w:t>
            </w:r>
          </w:p>
        </w:tc>
        <w:tc>
          <w:tcPr>
            <w:tcW w:w="1123"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1.38</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8.43E-04</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0.42</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3.33E-05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0.33</w:t>
            </w:r>
          </w:p>
        </w:tc>
        <w:tc>
          <w:tcPr>
            <w:tcW w:w="121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4.22E-04</w:t>
            </w:r>
          </w:p>
        </w:tc>
        <w:tc>
          <w:tcPr>
            <w:tcW w:w="89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0.21</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6.67E-05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1106" w:type="dxa"/>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900</w:t>
            </w:r>
          </w:p>
        </w:tc>
        <w:tc>
          <w:tcPr>
            <w:tcW w:w="129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1.22E-03</w:t>
            </w:r>
          </w:p>
        </w:tc>
        <w:tc>
          <w:tcPr>
            <w:tcW w:w="1039"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0.61</w:t>
            </w:r>
          </w:p>
        </w:tc>
        <w:tc>
          <w:tcPr>
            <w:tcW w:w="121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1.27E-04</w:t>
            </w:r>
          </w:p>
        </w:tc>
        <w:tc>
          <w:tcPr>
            <w:tcW w:w="1123"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1.27</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7.92E-04</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0.40</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3.13E-05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0.31</w:t>
            </w:r>
          </w:p>
        </w:tc>
        <w:tc>
          <w:tcPr>
            <w:tcW w:w="121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3.80E-04</w:t>
            </w:r>
          </w:p>
        </w:tc>
        <w:tc>
          <w:tcPr>
            <w:tcW w:w="89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0.19</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6.01E-05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1106" w:type="dxa"/>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1000</w:t>
            </w:r>
          </w:p>
        </w:tc>
        <w:tc>
          <w:tcPr>
            <w:tcW w:w="129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1.14E-03</w:t>
            </w:r>
          </w:p>
        </w:tc>
        <w:tc>
          <w:tcPr>
            <w:tcW w:w="1039"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0.57</w:t>
            </w:r>
          </w:p>
        </w:tc>
        <w:tc>
          <w:tcPr>
            <w:tcW w:w="121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1.18E-04</w:t>
            </w:r>
          </w:p>
        </w:tc>
        <w:tc>
          <w:tcPr>
            <w:tcW w:w="1123"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1.18</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7.47E-04</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0.37</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2.95E-05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0.29</w:t>
            </w:r>
          </w:p>
        </w:tc>
        <w:tc>
          <w:tcPr>
            <w:tcW w:w="121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6.01E-05</w:t>
            </w:r>
          </w:p>
        </w:tc>
        <w:tc>
          <w:tcPr>
            <w:tcW w:w="89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0.17</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5.45E-05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1106" w:type="dxa"/>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w:t>
            </w:r>
            <w:r>
              <w:rPr>
                <w:rFonts w:hint="eastAsia" w:ascii="Times New Roman" w:hAnsi="Times New Roman" w:cs="Times New Roman"/>
                <w:color w:val="auto"/>
                <w:sz w:val="21"/>
                <w:szCs w:val="21"/>
                <w:highlight w:val="none"/>
              </w:rPr>
              <w:t>6</w:t>
            </w:r>
            <w:r>
              <w:rPr>
                <w:rFonts w:ascii="Times New Roman" w:hAnsi="Times New Roman" w:cs="Times New Roman"/>
                <w:color w:val="auto"/>
                <w:sz w:val="21"/>
                <w:szCs w:val="21"/>
                <w:highlight w:val="none"/>
              </w:rPr>
              <w:t>00</w:t>
            </w:r>
          </w:p>
        </w:tc>
        <w:tc>
          <w:tcPr>
            <w:tcW w:w="129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8.13E-04</w:t>
            </w:r>
          </w:p>
        </w:tc>
        <w:tc>
          <w:tcPr>
            <w:tcW w:w="1039"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0.41</w:t>
            </w:r>
          </w:p>
        </w:tc>
        <w:tc>
          <w:tcPr>
            <w:tcW w:w="121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8.45E-05</w:t>
            </w:r>
          </w:p>
        </w:tc>
        <w:tc>
          <w:tcPr>
            <w:tcW w:w="1123"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0.84</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5.50E-04</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0.28</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2.17E-05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0.22</w:t>
            </w:r>
          </w:p>
        </w:tc>
        <w:tc>
          <w:tcPr>
            <w:tcW w:w="121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2.13E-04</w:t>
            </w:r>
          </w:p>
        </w:tc>
        <w:tc>
          <w:tcPr>
            <w:tcW w:w="89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0.11</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3.36E-05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1106" w:type="dxa"/>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2000</w:t>
            </w:r>
          </w:p>
        </w:tc>
        <w:tc>
          <w:tcPr>
            <w:tcW w:w="129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6.95E-04</w:t>
            </w:r>
          </w:p>
        </w:tc>
        <w:tc>
          <w:tcPr>
            <w:tcW w:w="1039"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0.35</w:t>
            </w:r>
          </w:p>
        </w:tc>
        <w:tc>
          <w:tcPr>
            <w:tcW w:w="121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7.21E-05</w:t>
            </w:r>
          </w:p>
        </w:tc>
        <w:tc>
          <w:tcPr>
            <w:tcW w:w="1123"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0.72</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4.65E-04</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0.23</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1.84E-05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0.18</w:t>
            </w:r>
          </w:p>
        </w:tc>
        <w:tc>
          <w:tcPr>
            <w:tcW w:w="121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1.66E-04</w:t>
            </w:r>
          </w:p>
        </w:tc>
        <w:tc>
          <w:tcPr>
            <w:tcW w:w="89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0.08</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2.62E-05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106" w:type="dxa"/>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2500</w:t>
            </w:r>
          </w:p>
        </w:tc>
        <w:tc>
          <w:tcPr>
            <w:tcW w:w="129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5.94E-04</w:t>
            </w:r>
          </w:p>
        </w:tc>
        <w:tc>
          <w:tcPr>
            <w:tcW w:w="1039"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0.30</w:t>
            </w:r>
          </w:p>
        </w:tc>
        <w:tc>
          <w:tcPr>
            <w:tcW w:w="121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6.16E-05</w:t>
            </w:r>
          </w:p>
        </w:tc>
        <w:tc>
          <w:tcPr>
            <w:tcW w:w="1123"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0.62</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3.93E-04</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0.20</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1.55E-05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0.16</w:t>
            </w:r>
          </w:p>
        </w:tc>
        <w:tc>
          <w:tcPr>
            <w:tcW w:w="121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1.28E-04</w:t>
            </w:r>
          </w:p>
        </w:tc>
        <w:tc>
          <w:tcPr>
            <w:tcW w:w="89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0.06</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2.02E-05</w:t>
            </w:r>
          </w:p>
        </w:tc>
        <w:tc>
          <w:tcPr>
            <w:tcW w:w="1050" w:type="dxa"/>
            <w:vAlign w:val="center"/>
          </w:tcPr>
          <w:p>
            <w:pPr>
              <w:spacing w:line="0" w:lineRule="atLeast"/>
              <w:contextualSpacing/>
              <w:jc w:val="center"/>
              <w:rPr>
                <w:rFonts w:eastAsiaTheme="minorEastAsia"/>
                <w:color w:val="auto"/>
                <w:szCs w:val="21"/>
                <w:highlight w:val="none"/>
              </w:rPr>
            </w:pPr>
            <w:r>
              <w:rPr>
                <w:rFonts w:hint="eastAsia"/>
                <w:highlight w:val="none"/>
              </w:rPr>
              <w:t>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10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10000</w:t>
            </w:r>
          </w:p>
        </w:tc>
        <w:tc>
          <w:tcPr>
            <w:tcW w:w="129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2.91E-04</w:t>
            </w:r>
          </w:p>
        </w:tc>
        <w:tc>
          <w:tcPr>
            <w:tcW w:w="1039"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0.15</w:t>
            </w:r>
          </w:p>
        </w:tc>
        <w:tc>
          <w:tcPr>
            <w:tcW w:w="121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3.02E-05</w:t>
            </w:r>
          </w:p>
        </w:tc>
        <w:tc>
          <w:tcPr>
            <w:tcW w:w="1123"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0.30</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1.34E-04</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0.07</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5.30E-06</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0.05</w:t>
            </w:r>
          </w:p>
        </w:tc>
        <w:tc>
          <w:tcPr>
            <w:tcW w:w="121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2.24E-05</w:t>
            </w:r>
          </w:p>
        </w:tc>
        <w:tc>
          <w:tcPr>
            <w:tcW w:w="89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0.01</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3.53E-06</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10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20000</w:t>
            </w:r>
          </w:p>
        </w:tc>
        <w:tc>
          <w:tcPr>
            <w:tcW w:w="129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1.76E-04</w:t>
            </w:r>
          </w:p>
        </w:tc>
        <w:tc>
          <w:tcPr>
            <w:tcW w:w="1039"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0.09</w:t>
            </w:r>
          </w:p>
        </w:tc>
        <w:tc>
          <w:tcPr>
            <w:tcW w:w="121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1.83E-05</w:t>
            </w:r>
          </w:p>
        </w:tc>
        <w:tc>
          <w:tcPr>
            <w:tcW w:w="1123"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0.18</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7.40E-05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0.04</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2.92E-06</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0.03</w:t>
            </w:r>
          </w:p>
        </w:tc>
        <w:tc>
          <w:tcPr>
            <w:tcW w:w="121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8.99E-06</w:t>
            </w:r>
          </w:p>
        </w:tc>
        <w:tc>
          <w:tcPr>
            <w:tcW w:w="890" w:type="dxa"/>
            <w:vAlign w:val="center"/>
          </w:tcPr>
          <w:p>
            <w:pPr>
              <w:spacing w:line="0" w:lineRule="atLeast"/>
              <w:contextualSpacing/>
              <w:jc w:val="center"/>
              <w:rPr>
                <w:rFonts w:eastAsiaTheme="minorEastAsia"/>
                <w:color w:val="auto"/>
                <w:szCs w:val="21"/>
                <w:highlight w:val="none"/>
              </w:rPr>
            </w:pPr>
            <w:r>
              <w:rPr>
                <w:rFonts w:hint="eastAsia"/>
                <w:highlight w:val="none"/>
              </w:rPr>
              <w:t>0.00</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1.42E-06</w:t>
            </w:r>
          </w:p>
        </w:tc>
        <w:tc>
          <w:tcPr>
            <w:tcW w:w="1050" w:type="dxa"/>
            <w:vAlign w:val="center"/>
          </w:tcPr>
          <w:p>
            <w:pPr>
              <w:spacing w:line="0" w:lineRule="atLeast"/>
              <w:contextualSpacing/>
              <w:jc w:val="center"/>
              <w:rPr>
                <w:rFonts w:eastAsiaTheme="minorEastAsia"/>
                <w:color w:val="auto"/>
                <w:szCs w:val="21"/>
                <w:highlight w:val="none"/>
              </w:rPr>
            </w:pPr>
            <w:r>
              <w:rPr>
                <w:rFonts w:hint="eastAsia"/>
                <w:highlight w:val="none"/>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1106"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25000</w:t>
            </w:r>
          </w:p>
        </w:tc>
        <w:tc>
          <w:tcPr>
            <w:tcW w:w="129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1.49E-04</w:t>
            </w:r>
          </w:p>
        </w:tc>
        <w:tc>
          <w:tcPr>
            <w:tcW w:w="1039"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0.07</w:t>
            </w:r>
          </w:p>
        </w:tc>
        <w:tc>
          <w:tcPr>
            <w:tcW w:w="121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1.55E-05</w:t>
            </w:r>
          </w:p>
        </w:tc>
        <w:tc>
          <w:tcPr>
            <w:tcW w:w="1123"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0.15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5.97E-05</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0.03</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2.35E-06</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0.02</w:t>
            </w:r>
          </w:p>
        </w:tc>
        <w:tc>
          <w:tcPr>
            <w:tcW w:w="121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6.69E-06</w:t>
            </w:r>
          </w:p>
        </w:tc>
        <w:tc>
          <w:tcPr>
            <w:tcW w:w="890" w:type="dxa"/>
            <w:vAlign w:val="center"/>
          </w:tcPr>
          <w:p>
            <w:pPr>
              <w:spacing w:line="0" w:lineRule="atLeast"/>
              <w:contextualSpacing/>
              <w:jc w:val="center"/>
              <w:rPr>
                <w:rFonts w:eastAsiaTheme="minorEastAsia"/>
                <w:color w:val="auto"/>
                <w:szCs w:val="21"/>
                <w:highlight w:val="none"/>
              </w:rPr>
            </w:pPr>
            <w:r>
              <w:rPr>
                <w:rFonts w:hint="eastAsia"/>
                <w:highlight w:val="none"/>
              </w:rPr>
              <w:t>0.00</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1.06E-06</w:t>
            </w:r>
          </w:p>
        </w:tc>
        <w:tc>
          <w:tcPr>
            <w:tcW w:w="1050" w:type="dxa"/>
            <w:vAlign w:val="center"/>
          </w:tcPr>
          <w:p>
            <w:pPr>
              <w:spacing w:line="0" w:lineRule="atLeast"/>
              <w:contextualSpacing/>
              <w:jc w:val="center"/>
              <w:rPr>
                <w:rFonts w:eastAsiaTheme="minorEastAsia"/>
                <w:color w:val="auto"/>
                <w:szCs w:val="21"/>
                <w:highlight w:val="none"/>
              </w:rPr>
            </w:pPr>
            <w:r>
              <w:rPr>
                <w:rFonts w:hint="eastAsia"/>
                <w:highlight w:val="none"/>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 w:hRule="atLeast"/>
          <w:jc w:val="center"/>
        </w:trPr>
        <w:tc>
          <w:tcPr>
            <w:tcW w:w="1106" w:type="dxa"/>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cs="Times New Roman" w:hAnsiTheme="minorEastAsia"/>
                <w:color w:val="auto"/>
                <w:sz w:val="21"/>
                <w:szCs w:val="21"/>
                <w:highlight w:val="none"/>
              </w:rPr>
              <w:t>下风向最大浓度</w:t>
            </w:r>
          </w:p>
        </w:tc>
        <w:tc>
          <w:tcPr>
            <w:tcW w:w="1294"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7.23E-03</w:t>
            </w:r>
          </w:p>
        </w:tc>
        <w:tc>
          <w:tcPr>
            <w:tcW w:w="1039"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3.61</w:t>
            </w:r>
          </w:p>
        </w:tc>
        <w:tc>
          <w:tcPr>
            <w:tcW w:w="1212"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7.51E-04</w:t>
            </w:r>
          </w:p>
        </w:tc>
        <w:tc>
          <w:tcPr>
            <w:tcW w:w="1123"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7.51</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9.26E-03</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4.63</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3.65E-04</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3.65</w:t>
            </w:r>
          </w:p>
        </w:tc>
        <w:tc>
          <w:tcPr>
            <w:tcW w:w="121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2.64E-03</w:t>
            </w:r>
          </w:p>
        </w:tc>
        <w:tc>
          <w:tcPr>
            <w:tcW w:w="89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1.32</w:t>
            </w:r>
          </w:p>
        </w:tc>
        <w:tc>
          <w:tcPr>
            <w:tcW w:w="1050" w:type="dxa"/>
            <w:vAlign w:val="center"/>
          </w:tcPr>
          <w:p>
            <w:pPr>
              <w:spacing w:line="0" w:lineRule="atLeast"/>
              <w:contextualSpacing/>
              <w:jc w:val="center"/>
              <w:rPr>
                <w:rFonts w:eastAsiaTheme="minorEastAsia"/>
                <w:color w:val="auto"/>
                <w:szCs w:val="21"/>
                <w:highlight w:val="none"/>
              </w:rPr>
            </w:pPr>
            <w:r>
              <w:rPr>
                <w:rFonts w:hint="eastAsia" w:eastAsiaTheme="minorEastAsia"/>
                <w:color w:val="auto"/>
                <w:szCs w:val="21"/>
                <w:highlight w:val="none"/>
              </w:rPr>
              <w:t>4.16E-04</w:t>
            </w:r>
          </w:p>
        </w:tc>
        <w:tc>
          <w:tcPr>
            <w:tcW w:w="1050" w:type="dxa"/>
            <w:vAlign w:val="center"/>
          </w:tcPr>
          <w:p>
            <w:pPr>
              <w:spacing w:line="0" w:lineRule="atLeast"/>
              <w:contextualSpacing/>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4.16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 w:hRule="atLeast"/>
          <w:jc w:val="center"/>
        </w:trPr>
        <w:tc>
          <w:tcPr>
            <w:tcW w:w="1106" w:type="dxa"/>
            <w:vAlign w:val="center"/>
          </w:tcPr>
          <w:p>
            <w:pPr>
              <w:pStyle w:val="74"/>
              <w:adjustRightInd/>
              <w:snapToGrid/>
              <w:spacing w:line="0" w:lineRule="atLeast"/>
              <w:ind w:firstLine="0" w:firstLineChars="0"/>
              <w:contextualSpacing/>
              <w:jc w:val="center"/>
              <w:rPr>
                <w:rFonts w:ascii="Times New Roman" w:hAnsi="Times New Roman" w:cs="Times New Roman"/>
                <w:color w:val="auto"/>
                <w:sz w:val="21"/>
                <w:szCs w:val="21"/>
                <w:highlight w:val="none"/>
              </w:rPr>
            </w:pPr>
            <w:r>
              <w:rPr>
                <w:rFonts w:ascii="Times New Roman" w:cs="Times New Roman" w:hAnsiTheme="minorEastAsia"/>
                <w:color w:val="auto"/>
                <w:sz w:val="21"/>
                <w:szCs w:val="21"/>
                <w:highlight w:val="none"/>
              </w:rPr>
              <w:t>下风向最大浓度出现距离</w:t>
            </w:r>
          </w:p>
        </w:tc>
        <w:tc>
          <w:tcPr>
            <w:tcW w:w="4668" w:type="dxa"/>
            <w:gridSpan w:val="4"/>
            <w:vAlign w:val="center"/>
          </w:tcPr>
          <w:p>
            <w:pPr>
              <w:spacing w:line="0" w:lineRule="atLeast"/>
              <w:contextualSpacing/>
              <w:jc w:val="center"/>
              <w:rPr>
                <w:rFonts w:eastAsiaTheme="minorEastAsia"/>
                <w:color w:val="FF0000"/>
                <w:szCs w:val="21"/>
                <w:highlight w:val="none"/>
              </w:rPr>
            </w:pPr>
            <w:r>
              <w:rPr>
                <w:rFonts w:hint="eastAsia" w:eastAsiaTheme="minorEastAsia"/>
                <w:color w:val="auto"/>
                <w:szCs w:val="21"/>
                <w:highlight w:val="none"/>
                <w:lang w:val="en-US" w:eastAsia="zh-CN"/>
              </w:rPr>
              <w:t>41</w:t>
            </w:r>
            <w:r>
              <w:rPr>
                <w:rFonts w:eastAsiaTheme="minorEastAsia"/>
                <w:color w:val="auto"/>
                <w:szCs w:val="21"/>
                <w:highlight w:val="none"/>
              </w:rPr>
              <w:t>m</w:t>
            </w:r>
          </w:p>
        </w:tc>
        <w:tc>
          <w:tcPr>
            <w:tcW w:w="4200" w:type="dxa"/>
            <w:gridSpan w:val="4"/>
            <w:vAlign w:val="center"/>
          </w:tcPr>
          <w:p>
            <w:pPr>
              <w:spacing w:line="0" w:lineRule="atLeast"/>
              <w:contextualSpacing/>
              <w:jc w:val="center"/>
              <w:rPr>
                <w:rFonts w:eastAsiaTheme="minorEastAsia"/>
                <w:color w:val="FF0000"/>
                <w:szCs w:val="21"/>
                <w:highlight w:val="none"/>
              </w:rPr>
            </w:pPr>
            <w:r>
              <w:rPr>
                <w:rFonts w:hint="eastAsia" w:eastAsiaTheme="minorEastAsia"/>
                <w:color w:val="auto"/>
                <w:szCs w:val="21"/>
                <w:highlight w:val="none"/>
                <w:lang w:val="en-US" w:eastAsia="zh-CN"/>
              </w:rPr>
              <w:t>10</w:t>
            </w:r>
            <w:r>
              <w:rPr>
                <w:rFonts w:eastAsiaTheme="minorEastAsia"/>
                <w:color w:val="auto"/>
                <w:szCs w:val="21"/>
                <w:highlight w:val="none"/>
              </w:rPr>
              <w:t>m</w:t>
            </w:r>
          </w:p>
        </w:tc>
        <w:tc>
          <w:tcPr>
            <w:tcW w:w="4200" w:type="dxa"/>
            <w:gridSpan w:val="4"/>
            <w:vAlign w:val="center"/>
          </w:tcPr>
          <w:p>
            <w:pPr>
              <w:spacing w:line="0" w:lineRule="atLeast"/>
              <w:contextualSpacing/>
              <w:jc w:val="center"/>
              <w:rPr>
                <w:rFonts w:eastAsiaTheme="minorEastAsia"/>
                <w:color w:val="FF0000"/>
                <w:szCs w:val="21"/>
                <w:highlight w:val="none"/>
              </w:rPr>
            </w:pPr>
            <w:r>
              <w:rPr>
                <w:rFonts w:hint="eastAsia" w:eastAsiaTheme="minorEastAsia"/>
                <w:color w:val="auto"/>
                <w:szCs w:val="21"/>
                <w:highlight w:val="none"/>
                <w:lang w:val="en-US" w:eastAsia="zh-CN"/>
              </w:rPr>
              <w:t>33</w:t>
            </w:r>
            <w:r>
              <w:rPr>
                <w:rFonts w:eastAsiaTheme="minorEastAsia"/>
                <w:color w:val="auto"/>
                <w:szCs w:val="21"/>
                <w:highlight w:val="none"/>
              </w:rPr>
              <w:t>m</w:t>
            </w:r>
          </w:p>
        </w:tc>
      </w:tr>
    </w:tbl>
    <w:p>
      <w:pPr>
        <w:pStyle w:val="74"/>
        <w:adjustRightInd/>
        <w:snapToGrid/>
        <w:ind w:firstLine="0" w:firstLineChars="0"/>
        <w:jc w:val="center"/>
        <w:rPr>
          <w:rFonts w:ascii="Times New Roman" w:hAnsi="Times New Roman" w:eastAsia="宋体" w:cs="Times New Roman"/>
          <w:b/>
          <w:color w:val="auto"/>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143"/>
        <w:rPr>
          <w:color w:val="auto"/>
          <w:highlight w:val="none"/>
        </w:rPr>
      </w:pPr>
      <w:r>
        <w:rPr>
          <w:color w:val="auto"/>
          <w:highlight w:val="none"/>
        </w:rPr>
        <w:t>根据估算模式计算得最大占标率为屠宰车间</w:t>
      </w:r>
      <w:r>
        <w:rPr>
          <w:rFonts w:hint="eastAsia"/>
          <w:color w:val="auto"/>
          <w:highlight w:val="none"/>
          <w:lang w:val="en-US" w:eastAsia="zh-CN"/>
        </w:rPr>
        <w:t>有</w:t>
      </w:r>
      <w:r>
        <w:rPr>
          <w:color w:val="auto"/>
          <w:highlight w:val="none"/>
        </w:rPr>
        <w:t>组织排放的H</w:t>
      </w:r>
      <w:r>
        <w:rPr>
          <w:rFonts w:hint="eastAsia"/>
          <w:color w:val="auto"/>
          <w:highlight w:val="none"/>
          <w:vertAlign w:val="subscript"/>
        </w:rPr>
        <w:t>2</w:t>
      </w:r>
      <w:r>
        <w:rPr>
          <w:color w:val="auto"/>
          <w:highlight w:val="none"/>
        </w:rPr>
        <w:t>S，排放的H</w:t>
      </w:r>
      <w:r>
        <w:rPr>
          <w:color w:val="auto"/>
          <w:highlight w:val="none"/>
          <w:vertAlign w:val="subscript"/>
        </w:rPr>
        <w:t>2</w:t>
      </w:r>
      <w:r>
        <w:rPr>
          <w:color w:val="auto"/>
          <w:highlight w:val="none"/>
        </w:rPr>
        <w:t>S最大占标率为</w:t>
      </w:r>
      <w:r>
        <w:rPr>
          <w:rFonts w:hint="eastAsia"/>
          <w:color w:val="auto"/>
          <w:highlight w:val="none"/>
          <w:lang w:eastAsia="zh-CN"/>
        </w:rPr>
        <w:t>9.14</w:t>
      </w:r>
      <w:r>
        <w:rPr>
          <w:color w:val="auto"/>
          <w:highlight w:val="none"/>
        </w:rPr>
        <w:t>%，其对环境的最大地面贡献浓度为</w:t>
      </w:r>
      <w:r>
        <w:rPr>
          <w:rFonts w:hint="eastAsia"/>
          <w:color w:val="auto"/>
          <w:highlight w:val="none"/>
        </w:rPr>
        <w:t>9.14E-04</w:t>
      </w:r>
      <w:r>
        <w:rPr>
          <w:color w:val="auto"/>
          <w:highlight w:val="none"/>
        </w:rPr>
        <w:t>μg/m</w:t>
      </w:r>
      <w:r>
        <w:rPr>
          <w:color w:val="auto"/>
          <w:highlight w:val="none"/>
          <w:vertAlign w:val="superscript"/>
        </w:rPr>
        <w:t>3</w:t>
      </w:r>
      <w:r>
        <w:rPr>
          <w:color w:val="auto"/>
          <w:highlight w:val="none"/>
        </w:rPr>
        <w:t>，最大落地距离为</w:t>
      </w:r>
      <w:r>
        <w:rPr>
          <w:rFonts w:hint="eastAsia"/>
          <w:color w:val="auto"/>
          <w:highlight w:val="none"/>
          <w:lang w:val="en-US" w:eastAsia="zh-CN"/>
        </w:rPr>
        <w:t>212</w:t>
      </w:r>
      <w:r>
        <w:rPr>
          <w:color w:val="auto"/>
          <w:highlight w:val="none"/>
        </w:rPr>
        <w:t>m。本项目1%≤P</w:t>
      </w:r>
      <w:r>
        <w:rPr>
          <w:color w:val="auto"/>
          <w:highlight w:val="none"/>
          <w:vertAlign w:val="subscript"/>
        </w:rPr>
        <w:t>max</w:t>
      </w:r>
      <w:r>
        <w:rPr>
          <w:color w:val="auto"/>
          <w:highlight w:val="none"/>
        </w:rPr>
        <w:t>＜10%，</w:t>
      </w:r>
      <w:r>
        <w:rPr>
          <w:color w:val="auto"/>
          <w:kern w:val="24"/>
          <w:highlight w:val="none"/>
        </w:rPr>
        <w:t>根据《环境影响评价技术导则 大气环境》（HJ2.2-2018）分级判据，</w:t>
      </w:r>
      <w:r>
        <w:rPr>
          <w:rFonts w:hint="eastAsia"/>
          <w:color w:val="auto"/>
          <w:highlight w:val="none"/>
        </w:rPr>
        <w:t>确定</w:t>
      </w:r>
      <w:r>
        <w:rPr>
          <w:color w:val="auto"/>
          <w:highlight w:val="none"/>
        </w:rPr>
        <w:t>本项目大气评价等级为二级，因此不需进行进一步预测与评价，只对污染物排放量进行核算。</w:t>
      </w:r>
    </w:p>
    <w:p>
      <w:pPr>
        <w:pStyle w:val="143"/>
        <w:rPr>
          <w:color w:val="auto"/>
          <w:highlight w:val="none"/>
        </w:rPr>
      </w:pPr>
      <w:r>
        <w:rPr>
          <w:color w:val="auto"/>
          <w:highlight w:val="none"/>
        </w:rPr>
        <w:t>本项目废气中各污染物最大落地浓度占标率低。不会对周边环境空气构成显著影响。因此，本项目废气污染物排放对周围大气环境影响较小。</w:t>
      </w:r>
    </w:p>
    <w:p>
      <w:pPr>
        <w:spacing w:line="360" w:lineRule="auto"/>
        <w:rPr>
          <w:color w:val="auto"/>
          <w:sz w:val="24"/>
          <w:highlight w:val="none"/>
        </w:rPr>
      </w:pPr>
      <w:r>
        <w:rPr>
          <w:color w:val="auto"/>
          <w:sz w:val="24"/>
          <w:highlight w:val="none"/>
        </w:rPr>
        <w:t>（4）排放量核算</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sz w:val="24"/>
          <w:highlight w:val="none"/>
        </w:rPr>
      </w:pPr>
      <w:r>
        <w:rPr>
          <w:b/>
          <w:color w:val="auto"/>
          <w:sz w:val="24"/>
          <w:highlight w:val="none"/>
        </w:rPr>
        <w:t>表5-2-</w:t>
      </w:r>
      <w:r>
        <w:rPr>
          <w:rFonts w:hint="eastAsia"/>
          <w:b/>
          <w:color w:val="auto"/>
          <w:sz w:val="24"/>
          <w:highlight w:val="none"/>
          <w:lang w:val="en-US" w:eastAsia="zh-CN"/>
        </w:rPr>
        <w:t>10</w:t>
      </w:r>
      <w:r>
        <w:rPr>
          <w:b/>
          <w:color w:val="auto"/>
          <w:sz w:val="24"/>
          <w:highlight w:val="none"/>
        </w:rPr>
        <w:t>大气污染物有组织排放量核算表</w:t>
      </w:r>
    </w:p>
    <w:tbl>
      <w:tblPr>
        <w:tblStyle w:val="46"/>
        <w:tblW w:w="512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922"/>
        <w:gridCol w:w="1571"/>
        <w:gridCol w:w="1400"/>
        <w:gridCol w:w="1715"/>
        <w:gridCol w:w="1550"/>
        <w:gridCol w:w="1569"/>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44" w:hRule="atLeast"/>
          <w:jc w:val="center"/>
        </w:trPr>
        <w:tc>
          <w:tcPr>
            <w:tcW w:w="528" w:type="pct"/>
            <w:tcBorders>
              <w:top w:val="single" w:color="000000" w:sz="12" w:space="0"/>
              <w:left w:val="nil"/>
              <w:bottom w:val="single" w:color="000000" w:sz="4" w:space="0"/>
              <w:right w:val="single" w:color="000000" w:sz="4" w:space="0"/>
            </w:tcBorders>
            <w:vAlign w:val="center"/>
          </w:tcPr>
          <w:p>
            <w:pPr>
              <w:spacing w:line="0" w:lineRule="atLeast"/>
              <w:jc w:val="center"/>
              <w:rPr>
                <w:color w:val="auto"/>
                <w:szCs w:val="21"/>
                <w:highlight w:val="none"/>
              </w:rPr>
            </w:pPr>
            <w:r>
              <w:rPr>
                <w:color w:val="auto"/>
                <w:szCs w:val="21"/>
                <w:highlight w:val="none"/>
              </w:rPr>
              <w:t>序号</w:t>
            </w:r>
          </w:p>
        </w:tc>
        <w:tc>
          <w:tcPr>
            <w:tcW w:w="900" w:type="pct"/>
            <w:tcBorders>
              <w:top w:val="single" w:color="000000" w:sz="12" w:space="0"/>
              <w:left w:val="single" w:color="000000" w:sz="4" w:space="0"/>
              <w:bottom w:val="single" w:color="000000" w:sz="4" w:space="0"/>
              <w:right w:val="single" w:color="000000" w:sz="4" w:space="0"/>
            </w:tcBorders>
            <w:vAlign w:val="center"/>
          </w:tcPr>
          <w:p>
            <w:pPr>
              <w:spacing w:line="0" w:lineRule="atLeast"/>
              <w:jc w:val="center"/>
              <w:rPr>
                <w:color w:val="auto"/>
                <w:szCs w:val="21"/>
                <w:highlight w:val="none"/>
              </w:rPr>
            </w:pPr>
            <w:r>
              <w:rPr>
                <w:color w:val="auto"/>
                <w:szCs w:val="21"/>
                <w:highlight w:val="none"/>
              </w:rPr>
              <w:t>排放口编号</w:t>
            </w:r>
          </w:p>
        </w:tc>
        <w:tc>
          <w:tcPr>
            <w:tcW w:w="802" w:type="pct"/>
            <w:tcBorders>
              <w:top w:val="single" w:color="000000" w:sz="12" w:space="0"/>
              <w:left w:val="single" w:color="000000" w:sz="4" w:space="0"/>
              <w:bottom w:val="single" w:color="000000" w:sz="4" w:space="0"/>
              <w:right w:val="single" w:color="000000" w:sz="4" w:space="0"/>
            </w:tcBorders>
            <w:vAlign w:val="center"/>
          </w:tcPr>
          <w:p>
            <w:pPr>
              <w:spacing w:line="0" w:lineRule="atLeast"/>
              <w:jc w:val="center"/>
              <w:rPr>
                <w:color w:val="auto"/>
                <w:szCs w:val="21"/>
                <w:highlight w:val="none"/>
              </w:rPr>
            </w:pPr>
            <w:r>
              <w:rPr>
                <w:color w:val="auto"/>
                <w:szCs w:val="21"/>
                <w:highlight w:val="none"/>
              </w:rPr>
              <w:t>污染物</w:t>
            </w:r>
          </w:p>
        </w:tc>
        <w:tc>
          <w:tcPr>
            <w:tcW w:w="982" w:type="pct"/>
            <w:tcBorders>
              <w:top w:val="single" w:color="000000" w:sz="12" w:space="0"/>
              <w:left w:val="single" w:color="000000" w:sz="4" w:space="0"/>
              <w:bottom w:val="single" w:color="000000" w:sz="4" w:space="0"/>
              <w:right w:val="single" w:color="000000" w:sz="4" w:space="0"/>
            </w:tcBorders>
            <w:vAlign w:val="center"/>
          </w:tcPr>
          <w:p>
            <w:pPr>
              <w:spacing w:line="0" w:lineRule="atLeast"/>
              <w:jc w:val="center"/>
              <w:rPr>
                <w:color w:val="auto"/>
                <w:szCs w:val="21"/>
                <w:highlight w:val="none"/>
              </w:rPr>
            </w:pPr>
            <w:r>
              <w:rPr>
                <w:color w:val="auto"/>
                <w:szCs w:val="21"/>
                <w:highlight w:val="none"/>
              </w:rPr>
              <w:t>核算排放浓度/(</w:t>
            </w:r>
            <w:r>
              <w:rPr>
                <w:rFonts w:hint="eastAsia"/>
                <w:color w:val="auto"/>
                <w:szCs w:val="21"/>
                <w:highlight w:val="none"/>
              </w:rPr>
              <w:t>mg</w:t>
            </w:r>
            <w:r>
              <w:rPr>
                <w:color w:val="auto"/>
                <w:szCs w:val="21"/>
                <w:highlight w:val="none"/>
              </w:rPr>
              <w:t>/m</w:t>
            </w:r>
            <w:r>
              <w:rPr>
                <w:color w:val="auto"/>
                <w:szCs w:val="21"/>
                <w:highlight w:val="none"/>
                <w:vertAlign w:val="superscript"/>
              </w:rPr>
              <w:t>3</w:t>
            </w:r>
            <w:r>
              <w:rPr>
                <w:color w:val="auto"/>
                <w:szCs w:val="21"/>
                <w:highlight w:val="none"/>
              </w:rPr>
              <w:t>)</w:t>
            </w:r>
          </w:p>
        </w:tc>
        <w:tc>
          <w:tcPr>
            <w:tcW w:w="888" w:type="pct"/>
            <w:tcBorders>
              <w:top w:val="single" w:color="000000" w:sz="12" w:space="0"/>
              <w:left w:val="single" w:color="000000" w:sz="4" w:space="0"/>
              <w:bottom w:val="single" w:color="000000" w:sz="4" w:space="0"/>
              <w:right w:val="single" w:color="000000" w:sz="4" w:space="0"/>
            </w:tcBorders>
            <w:vAlign w:val="center"/>
          </w:tcPr>
          <w:p>
            <w:pPr>
              <w:spacing w:line="0" w:lineRule="atLeast"/>
              <w:jc w:val="center"/>
              <w:rPr>
                <w:color w:val="auto"/>
                <w:szCs w:val="21"/>
                <w:highlight w:val="none"/>
              </w:rPr>
            </w:pPr>
            <w:r>
              <w:rPr>
                <w:color w:val="auto"/>
                <w:szCs w:val="21"/>
                <w:highlight w:val="none"/>
              </w:rPr>
              <w:t>核算排放速率/（kg/h）</w:t>
            </w:r>
          </w:p>
        </w:tc>
        <w:tc>
          <w:tcPr>
            <w:tcW w:w="898" w:type="pct"/>
            <w:tcBorders>
              <w:top w:val="single" w:color="000000" w:sz="12" w:space="0"/>
              <w:left w:val="single" w:color="000000" w:sz="4" w:space="0"/>
              <w:bottom w:val="single" w:color="000000" w:sz="4" w:space="0"/>
              <w:right w:val="nil"/>
            </w:tcBorders>
            <w:vAlign w:val="center"/>
          </w:tcPr>
          <w:p>
            <w:pPr>
              <w:spacing w:line="0" w:lineRule="atLeast"/>
              <w:jc w:val="center"/>
              <w:rPr>
                <w:color w:val="auto"/>
                <w:szCs w:val="21"/>
                <w:highlight w:val="none"/>
              </w:rPr>
            </w:pPr>
            <w:r>
              <w:rPr>
                <w:color w:val="auto"/>
                <w:szCs w:val="21"/>
                <w:highlight w:val="none"/>
              </w:rPr>
              <w:t>核算年排放量/（t/a）</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2" w:hRule="atLeast"/>
          <w:jc w:val="center"/>
        </w:trPr>
        <w:tc>
          <w:tcPr>
            <w:tcW w:w="0" w:type="auto"/>
            <w:vMerge w:val="restart"/>
            <w:tcBorders>
              <w:top w:val="single" w:color="000000" w:sz="4" w:space="0"/>
              <w:left w:val="nil"/>
              <w:right w:val="single" w:color="000000" w:sz="4" w:space="0"/>
            </w:tcBorders>
            <w:vAlign w:val="center"/>
          </w:tcPr>
          <w:p>
            <w:pPr>
              <w:widowControl/>
              <w:jc w:val="center"/>
              <w:rPr>
                <w:color w:val="auto"/>
                <w:szCs w:val="21"/>
                <w:highlight w:val="none"/>
              </w:rPr>
            </w:pPr>
            <w:r>
              <w:rPr>
                <w:rFonts w:hint="eastAsia"/>
                <w:color w:val="auto"/>
                <w:szCs w:val="21"/>
                <w:highlight w:val="none"/>
              </w:rPr>
              <w:t>1</w:t>
            </w:r>
          </w:p>
        </w:tc>
        <w:tc>
          <w:tcPr>
            <w:tcW w:w="0" w:type="auto"/>
            <w:vMerge w:val="restart"/>
            <w:tcBorders>
              <w:top w:val="single" w:color="000000" w:sz="4" w:space="0"/>
              <w:left w:val="single" w:color="000000" w:sz="4" w:space="0"/>
              <w:right w:val="single" w:color="000000" w:sz="4" w:space="0"/>
            </w:tcBorders>
            <w:vAlign w:val="center"/>
          </w:tcPr>
          <w:p>
            <w:pPr>
              <w:widowControl/>
              <w:jc w:val="center"/>
              <w:rPr>
                <w:color w:val="auto"/>
                <w:szCs w:val="21"/>
                <w:highlight w:val="none"/>
              </w:rPr>
            </w:pPr>
            <w:r>
              <w:rPr>
                <w:color w:val="auto"/>
                <w:szCs w:val="21"/>
                <w:highlight w:val="none"/>
              </w:rPr>
              <w:t>屠宰车间排气筒</w:t>
            </w:r>
            <w:r>
              <w:rPr>
                <w:rFonts w:hint="eastAsia"/>
                <w:color w:val="auto"/>
                <w:szCs w:val="21"/>
                <w:highlight w:val="none"/>
              </w:rPr>
              <w:t>DA001</w:t>
            </w:r>
          </w:p>
        </w:tc>
        <w:tc>
          <w:tcPr>
            <w:tcW w:w="802" w:type="pct"/>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color w:val="auto"/>
                <w:szCs w:val="21"/>
                <w:highlight w:val="none"/>
              </w:rPr>
            </w:pPr>
            <w:r>
              <w:rPr>
                <w:color w:val="auto"/>
                <w:szCs w:val="21"/>
                <w:highlight w:val="none"/>
              </w:rPr>
              <w:t>NH</w:t>
            </w:r>
            <w:r>
              <w:rPr>
                <w:color w:val="auto"/>
                <w:szCs w:val="21"/>
                <w:highlight w:val="none"/>
                <w:vertAlign w:val="subscript"/>
              </w:rPr>
              <w:t>3</w:t>
            </w:r>
          </w:p>
        </w:tc>
        <w:tc>
          <w:tcPr>
            <w:tcW w:w="982" w:type="pct"/>
            <w:tcBorders>
              <w:top w:val="single" w:color="000000" w:sz="4" w:space="0"/>
              <w:left w:val="single" w:color="000000" w:sz="4" w:space="0"/>
              <w:bottom w:val="single" w:color="000000" w:sz="4" w:space="0"/>
              <w:right w:val="single" w:color="000000" w:sz="4" w:space="0"/>
            </w:tcBorders>
            <w:vAlign w:val="center"/>
          </w:tcPr>
          <w:p>
            <w:pPr>
              <w:pStyle w:val="84"/>
              <w:rPr>
                <w:rFonts w:hAnsi="Times New Roman"/>
                <w:snapToGrid w:val="0"/>
                <w:color w:val="auto"/>
                <w:szCs w:val="22"/>
                <w:highlight w:val="none"/>
              </w:rPr>
            </w:pPr>
            <w:r>
              <w:rPr>
                <w:rFonts w:hint="eastAsia" w:hAnsi="Times New Roman"/>
                <w:snapToGrid w:val="0"/>
                <w:color w:val="auto"/>
                <w:highlight w:val="none"/>
                <w:lang w:val="en-US" w:eastAsia="zh-CN"/>
              </w:rPr>
              <w:t>6.2</w:t>
            </w:r>
          </w:p>
        </w:tc>
        <w:tc>
          <w:tcPr>
            <w:tcW w:w="888" w:type="pct"/>
            <w:tcBorders>
              <w:top w:val="single" w:color="000000" w:sz="4" w:space="0"/>
              <w:left w:val="single" w:color="000000" w:sz="4" w:space="0"/>
              <w:bottom w:val="single" w:color="000000" w:sz="4" w:space="0"/>
              <w:right w:val="single" w:color="000000" w:sz="4" w:space="0"/>
            </w:tcBorders>
            <w:vAlign w:val="center"/>
          </w:tcPr>
          <w:p>
            <w:pPr>
              <w:pStyle w:val="84"/>
              <w:rPr>
                <w:rFonts w:hAnsi="Times New Roman"/>
                <w:snapToGrid w:val="0"/>
                <w:color w:val="auto"/>
                <w:highlight w:val="none"/>
              </w:rPr>
            </w:pPr>
            <w:r>
              <w:rPr>
                <w:rFonts w:hint="eastAsia" w:hAnsi="Times New Roman"/>
                <w:snapToGrid w:val="0"/>
                <w:color w:val="auto"/>
                <w:highlight w:val="none"/>
                <w:lang w:val="en-US" w:eastAsia="zh-CN"/>
              </w:rPr>
              <w:t>0.031</w:t>
            </w:r>
          </w:p>
        </w:tc>
        <w:tc>
          <w:tcPr>
            <w:tcW w:w="898" w:type="pct"/>
            <w:tcBorders>
              <w:top w:val="single" w:color="000000" w:sz="4" w:space="0"/>
              <w:left w:val="single" w:color="000000" w:sz="4" w:space="0"/>
              <w:bottom w:val="single" w:color="000000" w:sz="4" w:space="0"/>
              <w:right w:val="nil"/>
            </w:tcBorders>
            <w:vAlign w:val="center"/>
          </w:tcPr>
          <w:p>
            <w:pPr>
              <w:pStyle w:val="84"/>
              <w:rPr>
                <w:rFonts w:hint="default" w:hAnsi="Times New Roman" w:eastAsia="宋体"/>
                <w:snapToGrid w:val="0"/>
                <w:color w:val="auto"/>
                <w:highlight w:val="none"/>
                <w:lang w:val="en-US" w:eastAsia="zh-CN"/>
              </w:rPr>
            </w:pPr>
            <w:r>
              <w:rPr>
                <w:rFonts w:hint="default" w:hAnsi="Times New Roman" w:eastAsia="宋体"/>
                <w:snapToGrid w:val="0"/>
                <w:color w:val="auto"/>
                <w:highlight w:val="none"/>
                <w:lang w:val="en-US" w:eastAsia="zh-CN"/>
              </w:rPr>
              <w:t>0.074</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2" w:hRule="atLeast"/>
          <w:jc w:val="center"/>
        </w:trPr>
        <w:tc>
          <w:tcPr>
            <w:tcW w:w="0" w:type="auto"/>
            <w:vMerge w:val="continue"/>
            <w:tcBorders>
              <w:left w:val="nil"/>
              <w:bottom w:val="single" w:color="000000" w:sz="4" w:space="0"/>
              <w:right w:val="single" w:color="000000" w:sz="4" w:space="0"/>
            </w:tcBorders>
            <w:vAlign w:val="center"/>
          </w:tcPr>
          <w:p>
            <w:pPr>
              <w:widowControl/>
              <w:jc w:val="center"/>
              <w:rPr>
                <w:color w:val="auto"/>
                <w:szCs w:val="21"/>
                <w:highlight w:val="none"/>
              </w:rPr>
            </w:pPr>
          </w:p>
        </w:tc>
        <w:tc>
          <w:tcPr>
            <w:tcW w:w="0" w:type="auto"/>
            <w:vMerge w:val="continue"/>
            <w:tcBorders>
              <w:left w:val="single" w:color="000000" w:sz="4" w:space="0"/>
              <w:bottom w:val="single" w:color="000000" w:sz="4" w:space="0"/>
              <w:right w:val="single" w:color="000000" w:sz="4" w:space="0"/>
            </w:tcBorders>
            <w:vAlign w:val="center"/>
          </w:tcPr>
          <w:p>
            <w:pPr>
              <w:widowControl/>
              <w:jc w:val="center"/>
              <w:rPr>
                <w:color w:val="auto"/>
                <w:szCs w:val="21"/>
                <w:highlight w:val="none"/>
              </w:rPr>
            </w:pPr>
          </w:p>
        </w:tc>
        <w:tc>
          <w:tcPr>
            <w:tcW w:w="802" w:type="pct"/>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color w:val="auto"/>
                <w:szCs w:val="21"/>
                <w:highlight w:val="none"/>
              </w:rPr>
            </w:pPr>
            <w:r>
              <w:rPr>
                <w:color w:val="auto"/>
                <w:szCs w:val="21"/>
                <w:highlight w:val="none"/>
              </w:rPr>
              <w:t>H</w:t>
            </w:r>
            <w:r>
              <w:rPr>
                <w:color w:val="auto"/>
                <w:szCs w:val="21"/>
                <w:highlight w:val="none"/>
                <w:vertAlign w:val="subscript"/>
              </w:rPr>
              <w:t>2</w:t>
            </w:r>
            <w:r>
              <w:rPr>
                <w:color w:val="auto"/>
                <w:szCs w:val="21"/>
                <w:highlight w:val="none"/>
              </w:rPr>
              <w:t>S</w:t>
            </w:r>
          </w:p>
        </w:tc>
        <w:tc>
          <w:tcPr>
            <w:tcW w:w="982" w:type="pct"/>
            <w:tcBorders>
              <w:top w:val="single" w:color="000000" w:sz="4" w:space="0"/>
              <w:left w:val="single" w:color="000000" w:sz="4" w:space="0"/>
              <w:bottom w:val="single" w:color="000000" w:sz="4" w:space="0"/>
              <w:right w:val="single" w:color="000000" w:sz="4" w:space="0"/>
            </w:tcBorders>
            <w:vAlign w:val="center"/>
          </w:tcPr>
          <w:p>
            <w:pPr>
              <w:pStyle w:val="84"/>
              <w:rPr>
                <w:rFonts w:hAnsi="Times New Roman"/>
                <w:snapToGrid w:val="0"/>
                <w:color w:val="auto"/>
                <w:szCs w:val="22"/>
                <w:highlight w:val="none"/>
              </w:rPr>
            </w:pPr>
            <w:r>
              <w:rPr>
                <w:rFonts w:hint="eastAsia" w:hAnsi="Times New Roman"/>
                <w:snapToGrid w:val="0"/>
                <w:color w:val="auto"/>
                <w:highlight w:val="none"/>
                <w:lang w:val="en-US" w:eastAsia="zh-CN"/>
              </w:rPr>
              <w:t>0.66</w:t>
            </w:r>
          </w:p>
        </w:tc>
        <w:tc>
          <w:tcPr>
            <w:tcW w:w="888" w:type="pct"/>
            <w:tcBorders>
              <w:top w:val="single" w:color="000000" w:sz="4" w:space="0"/>
              <w:left w:val="single" w:color="000000" w:sz="4" w:space="0"/>
              <w:bottom w:val="single" w:color="000000" w:sz="4" w:space="0"/>
              <w:right w:val="single" w:color="000000" w:sz="4" w:space="0"/>
            </w:tcBorders>
            <w:vAlign w:val="center"/>
          </w:tcPr>
          <w:p>
            <w:pPr>
              <w:pStyle w:val="84"/>
              <w:rPr>
                <w:rFonts w:hAnsi="Times New Roman"/>
                <w:snapToGrid w:val="0"/>
                <w:color w:val="auto"/>
                <w:highlight w:val="none"/>
              </w:rPr>
            </w:pPr>
            <w:r>
              <w:rPr>
                <w:rFonts w:hAnsi="Times New Roman"/>
                <w:snapToGrid w:val="0"/>
                <w:color w:val="auto"/>
                <w:highlight w:val="none"/>
              </w:rPr>
              <w:t>0.00</w:t>
            </w:r>
            <w:r>
              <w:rPr>
                <w:rFonts w:hint="eastAsia" w:hAnsi="Times New Roman"/>
                <w:snapToGrid w:val="0"/>
                <w:color w:val="auto"/>
                <w:highlight w:val="none"/>
                <w:lang w:val="en-US" w:eastAsia="zh-CN"/>
              </w:rPr>
              <w:t>3</w:t>
            </w:r>
            <w:r>
              <w:rPr>
                <w:rFonts w:hint="eastAsia" w:hAnsi="Times New Roman"/>
                <w:snapToGrid w:val="0"/>
                <w:color w:val="auto"/>
                <w:highlight w:val="none"/>
              </w:rPr>
              <w:t>3</w:t>
            </w:r>
          </w:p>
        </w:tc>
        <w:tc>
          <w:tcPr>
            <w:tcW w:w="898" w:type="pct"/>
            <w:tcBorders>
              <w:top w:val="single" w:color="000000" w:sz="4" w:space="0"/>
              <w:left w:val="single" w:color="000000" w:sz="4" w:space="0"/>
              <w:bottom w:val="single" w:color="000000" w:sz="4" w:space="0"/>
              <w:right w:val="nil"/>
            </w:tcBorders>
            <w:vAlign w:val="center"/>
          </w:tcPr>
          <w:p>
            <w:pPr>
              <w:pStyle w:val="84"/>
              <w:rPr>
                <w:rFonts w:hAnsi="Times New Roman"/>
                <w:snapToGrid w:val="0"/>
                <w:color w:val="auto"/>
                <w:highlight w:val="none"/>
              </w:rPr>
            </w:pPr>
            <w:r>
              <w:rPr>
                <w:rFonts w:hint="eastAsia" w:hAnsi="Times New Roman"/>
                <w:snapToGrid w:val="0"/>
                <w:color w:val="auto"/>
                <w:highlight w:val="none"/>
              </w:rPr>
              <w:t>0.00</w:t>
            </w:r>
            <w:r>
              <w:rPr>
                <w:rFonts w:hint="eastAsia" w:hAnsi="Times New Roman"/>
                <w:snapToGrid w:val="0"/>
                <w:color w:val="auto"/>
                <w:highlight w:val="none"/>
                <w:lang w:val="en-US" w:eastAsia="zh-CN"/>
              </w:rPr>
              <w:t>79</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2" w:hRule="atLeast"/>
          <w:jc w:val="center"/>
        </w:trPr>
        <w:tc>
          <w:tcPr>
            <w:tcW w:w="0" w:type="auto"/>
            <w:vMerge w:val="restart"/>
            <w:tcBorders>
              <w:left w:val="nil"/>
              <w:right w:val="single" w:color="000000" w:sz="4" w:space="0"/>
            </w:tcBorders>
            <w:vAlign w:val="center"/>
          </w:tcPr>
          <w:p>
            <w:pPr>
              <w:widowControl/>
              <w:jc w:val="center"/>
              <w:rPr>
                <w:color w:val="auto"/>
                <w:szCs w:val="21"/>
                <w:highlight w:val="none"/>
              </w:rPr>
            </w:pPr>
            <w:r>
              <w:rPr>
                <w:rFonts w:hint="eastAsia"/>
                <w:color w:val="auto"/>
                <w:szCs w:val="21"/>
                <w:highlight w:val="none"/>
              </w:rPr>
              <w:t>2</w:t>
            </w:r>
          </w:p>
        </w:tc>
        <w:tc>
          <w:tcPr>
            <w:tcW w:w="0" w:type="auto"/>
            <w:vMerge w:val="restart"/>
            <w:tcBorders>
              <w:left w:val="single" w:color="000000" w:sz="4" w:space="0"/>
              <w:right w:val="single" w:color="000000" w:sz="4" w:space="0"/>
            </w:tcBorders>
            <w:vAlign w:val="center"/>
          </w:tcPr>
          <w:p>
            <w:pPr>
              <w:widowControl/>
              <w:jc w:val="center"/>
              <w:rPr>
                <w:color w:val="auto"/>
                <w:szCs w:val="21"/>
                <w:highlight w:val="none"/>
              </w:rPr>
            </w:pPr>
            <w:r>
              <w:rPr>
                <w:rFonts w:hint="eastAsia"/>
                <w:color w:val="auto"/>
                <w:szCs w:val="21"/>
                <w:highlight w:val="none"/>
              </w:rPr>
              <w:t>污水处理站</w:t>
            </w:r>
            <w:r>
              <w:rPr>
                <w:color w:val="auto"/>
                <w:szCs w:val="21"/>
                <w:highlight w:val="none"/>
              </w:rPr>
              <w:t>排气筒</w:t>
            </w:r>
            <w:r>
              <w:rPr>
                <w:rFonts w:hint="eastAsia"/>
                <w:color w:val="auto"/>
                <w:szCs w:val="21"/>
                <w:highlight w:val="none"/>
              </w:rPr>
              <w:t>DA002</w:t>
            </w:r>
          </w:p>
        </w:tc>
        <w:tc>
          <w:tcPr>
            <w:tcW w:w="802" w:type="pct"/>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color w:val="auto"/>
                <w:szCs w:val="21"/>
                <w:highlight w:val="none"/>
              </w:rPr>
            </w:pPr>
            <w:r>
              <w:rPr>
                <w:color w:val="auto"/>
                <w:szCs w:val="21"/>
                <w:highlight w:val="none"/>
              </w:rPr>
              <w:t>NH</w:t>
            </w:r>
            <w:r>
              <w:rPr>
                <w:color w:val="auto"/>
                <w:szCs w:val="21"/>
                <w:highlight w:val="none"/>
                <w:vertAlign w:val="subscript"/>
              </w:rPr>
              <w:t>3</w:t>
            </w:r>
          </w:p>
        </w:tc>
        <w:tc>
          <w:tcPr>
            <w:tcW w:w="982" w:type="pct"/>
            <w:tcBorders>
              <w:top w:val="single" w:color="000000" w:sz="4" w:space="0"/>
              <w:left w:val="single" w:color="000000" w:sz="4" w:space="0"/>
              <w:bottom w:val="single" w:color="000000" w:sz="4" w:space="0"/>
              <w:right w:val="single" w:color="000000" w:sz="4" w:space="0"/>
            </w:tcBorders>
            <w:vAlign w:val="center"/>
          </w:tcPr>
          <w:p>
            <w:pPr>
              <w:pStyle w:val="84"/>
              <w:rPr>
                <w:rFonts w:hAnsi="Times New Roman"/>
                <w:snapToGrid w:val="0"/>
                <w:color w:val="auto"/>
                <w:highlight w:val="none"/>
              </w:rPr>
            </w:pPr>
            <w:r>
              <w:rPr>
                <w:rFonts w:hint="eastAsia" w:hAnsi="Times New Roman"/>
                <w:snapToGrid w:val="0"/>
                <w:color w:val="auto"/>
                <w:highlight w:val="none"/>
                <w:lang w:val="en-US" w:eastAsia="zh-CN"/>
              </w:rPr>
              <w:t>0.92</w:t>
            </w:r>
          </w:p>
        </w:tc>
        <w:tc>
          <w:tcPr>
            <w:tcW w:w="888" w:type="pct"/>
            <w:tcBorders>
              <w:top w:val="single" w:color="000000" w:sz="4" w:space="0"/>
              <w:left w:val="single" w:color="000000" w:sz="4" w:space="0"/>
              <w:bottom w:val="single" w:color="000000" w:sz="4" w:space="0"/>
              <w:right w:val="single" w:color="000000" w:sz="4" w:space="0"/>
            </w:tcBorders>
            <w:vAlign w:val="center"/>
          </w:tcPr>
          <w:p>
            <w:pPr>
              <w:pStyle w:val="84"/>
              <w:rPr>
                <w:rFonts w:hAnsi="Times New Roman"/>
                <w:bCs/>
                <w:color w:val="auto"/>
                <w:highlight w:val="none"/>
              </w:rPr>
            </w:pPr>
            <w:r>
              <w:rPr>
                <w:rFonts w:hint="eastAsia" w:hAnsi="Times New Roman"/>
                <w:bCs/>
                <w:color w:val="auto"/>
                <w:highlight w:val="none"/>
                <w:lang w:val="en-US" w:eastAsia="zh-CN"/>
              </w:rPr>
              <w:t>0.0046</w:t>
            </w:r>
          </w:p>
        </w:tc>
        <w:tc>
          <w:tcPr>
            <w:tcW w:w="898" w:type="pct"/>
            <w:tcBorders>
              <w:top w:val="single" w:color="000000" w:sz="4" w:space="0"/>
              <w:left w:val="single" w:color="000000" w:sz="4" w:space="0"/>
              <w:bottom w:val="single" w:color="000000" w:sz="4" w:space="0"/>
              <w:right w:val="nil"/>
            </w:tcBorders>
            <w:vAlign w:val="center"/>
          </w:tcPr>
          <w:p>
            <w:pPr>
              <w:pStyle w:val="84"/>
              <w:rPr>
                <w:rFonts w:hAnsi="Times New Roman"/>
                <w:snapToGrid w:val="0"/>
                <w:color w:val="auto"/>
                <w:highlight w:val="none"/>
              </w:rPr>
            </w:pPr>
            <w:r>
              <w:rPr>
                <w:rFonts w:hint="eastAsia" w:hAnsi="Times New Roman"/>
                <w:snapToGrid w:val="0"/>
                <w:color w:val="auto"/>
                <w:highlight w:val="none"/>
                <w:lang w:val="en-US" w:eastAsia="zh-CN"/>
              </w:rPr>
              <w:t>0.011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2" w:hRule="atLeast"/>
          <w:jc w:val="center"/>
        </w:trPr>
        <w:tc>
          <w:tcPr>
            <w:tcW w:w="0" w:type="auto"/>
            <w:vMerge w:val="continue"/>
            <w:tcBorders>
              <w:left w:val="nil"/>
              <w:bottom w:val="single" w:color="000000" w:sz="4" w:space="0"/>
              <w:right w:val="single" w:color="000000" w:sz="4" w:space="0"/>
            </w:tcBorders>
            <w:vAlign w:val="center"/>
          </w:tcPr>
          <w:p>
            <w:pPr>
              <w:widowControl/>
              <w:jc w:val="center"/>
              <w:rPr>
                <w:color w:val="auto"/>
                <w:szCs w:val="21"/>
                <w:highlight w:val="none"/>
              </w:rPr>
            </w:pPr>
          </w:p>
        </w:tc>
        <w:tc>
          <w:tcPr>
            <w:tcW w:w="0" w:type="auto"/>
            <w:vMerge w:val="continue"/>
            <w:tcBorders>
              <w:left w:val="single" w:color="000000" w:sz="4" w:space="0"/>
              <w:bottom w:val="single" w:color="000000" w:sz="4" w:space="0"/>
              <w:right w:val="single" w:color="000000" w:sz="4" w:space="0"/>
            </w:tcBorders>
            <w:vAlign w:val="center"/>
          </w:tcPr>
          <w:p>
            <w:pPr>
              <w:widowControl/>
              <w:jc w:val="center"/>
              <w:rPr>
                <w:color w:val="auto"/>
                <w:szCs w:val="21"/>
                <w:highlight w:val="none"/>
              </w:rPr>
            </w:pPr>
          </w:p>
        </w:tc>
        <w:tc>
          <w:tcPr>
            <w:tcW w:w="802" w:type="pct"/>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color w:val="auto"/>
                <w:szCs w:val="21"/>
                <w:highlight w:val="none"/>
              </w:rPr>
            </w:pPr>
            <w:r>
              <w:rPr>
                <w:color w:val="auto"/>
                <w:szCs w:val="21"/>
                <w:highlight w:val="none"/>
              </w:rPr>
              <w:t>H</w:t>
            </w:r>
            <w:r>
              <w:rPr>
                <w:color w:val="auto"/>
                <w:szCs w:val="21"/>
                <w:highlight w:val="none"/>
                <w:vertAlign w:val="subscript"/>
              </w:rPr>
              <w:t>2</w:t>
            </w:r>
            <w:r>
              <w:rPr>
                <w:color w:val="auto"/>
                <w:szCs w:val="21"/>
                <w:highlight w:val="none"/>
              </w:rPr>
              <w:t>S</w:t>
            </w:r>
          </w:p>
        </w:tc>
        <w:tc>
          <w:tcPr>
            <w:tcW w:w="982" w:type="pct"/>
            <w:tcBorders>
              <w:top w:val="single" w:color="000000" w:sz="4" w:space="0"/>
              <w:left w:val="single" w:color="000000" w:sz="4" w:space="0"/>
              <w:bottom w:val="single" w:color="000000" w:sz="4" w:space="0"/>
              <w:right w:val="single" w:color="000000" w:sz="4" w:space="0"/>
            </w:tcBorders>
            <w:vAlign w:val="center"/>
          </w:tcPr>
          <w:p>
            <w:pPr>
              <w:pStyle w:val="84"/>
              <w:rPr>
                <w:rFonts w:hAnsi="Times New Roman"/>
                <w:snapToGrid w:val="0"/>
                <w:color w:val="auto"/>
                <w:highlight w:val="none"/>
              </w:rPr>
            </w:pPr>
            <w:r>
              <w:rPr>
                <w:rFonts w:hint="eastAsia" w:hAnsi="Times New Roman"/>
                <w:snapToGrid w:val="0"/>
                <w:color w:val="auto"/>
                <w:highlight w:val="none"/>
                <w:lang w:val="en-US" w:eastAsia="zh-CN"/>
              </w:rPr>
              <w:t>0.036</w:t>
            </w:r>
          </w:p>
        </w:tc>
        <w:tc>
          <w:tcPr>
            <w:tcW w:w="888" w:type="pct"/>
            <w:tcBorders>
              <w:top w:val="single" w:color="000000" w:sz="4" w:space="0"/>
              <w:left w:val="single" w:color="000000" w:sz="4" w:space="0"/>
              <w:bottom w:val="single" w:color="000000" w:sz="4" w:space="0"/>
              <w:right w:val="single" w:color="000000" w:sz="4" w:space="0"/>
            </w:tcBorders>
            <w:vAlign w:val="center"/>
          </w:tcPr>
          <w:p>
            <w:pPr>
              <w:pStyle w:val="84"/>
              <w:rPr>
                <w:rFonts w:hAnsi="Times New Roman"/>
                <w:bCs/>
                <w:color w:val="auto"/>
                <w:highlight w:val="none"/>
              </w:rPr>
            </w:pPr>
            <w:r>
              <w:rPr>
                <w:rFonts w:hint="eastAsia" w:hAnsi="Times New Roman"/>
                <w:bCs/>
                <w:color w:val="auto"/>
                <w:highlight w:val="none"/>
                <w:lang w:val="en-US" w:eastAsia="zh-CN"/>
              </w:rPr>
              <w:t>0.00018</w:t>
            </w:r>
          </w:p>
        </w:tc>
        <w:tc>
          <w:tcPr>
            <w:tcW w:w="898" w:type="pct"/>
            <w:tcBorders>
              <w:top w:val="single" w:color="000000" w:sz="4" w:space="0"/>
              <w:left w:val="single" w:color="000000" w:sz="4" w:space="0"/>
              <w:bottom w:val="single" w:color="000000" w:sz="4" w:space="0"/>
              <w:right w:val="nil"/>
            </w:tcBorders>
            <w:vAlign w:val="center"/>
          </w:tcPr>
          <w:p>
            <w:pPr>
              <w:pStyle w:val="84"/>
              <w:rPr>
                <w:rFonts w:hAnsi="Times New Roman"/>
                <w:snapToGrid w:val="0"/>
                <w:color w:val="auto"/>
                <w:highlight w:val="none"/>
              </w:rPr>
            </w:pPr>
            <w:r>
              <w:rPr>
                <w:rFonts w:hint="eastAsia" w:hAnsi="Times New Roman"/>
                <w:snapToGrid w:val="0"/>
                <w:color w:val="auto"/>
                <w:highlight w:val="none"/>
                <w:lang w:val="en-US" w:eastAsia="zh-CN"/>
              </w:rPr>
              <w:t>0.00043</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2" w:hRule="atLeast"/>
          <w:jc w:val="center"/>
        </w:trPr>
        <w:tc>
          <w:tcPr>
            <w:tcW w:w="0" w:type="auto"/>
            <w:vMerge w:val="restart"/>
            <w:tcBorders>
              <w:left w:val="nil"/>
              <w:right w:val="single" w:color="000000" w:sz="4" w:space="0"/>
            </w:tcBorders>
            <w:vAlign w:val="center"/>
          </w:tcPr>
          <w:p>
            <w:pPr>
              <w:widowControl/>
              <w:jc w:val="center"/>
              <w:rPr>
                <w:color w:val="auto"/>
                <w:szCs w:val="21"/>
                <w:highlight w:val="none"/>
              </w:rPr>
            </w:pPr>
            <w:r>
              <w:rPr>
                <w:rFonts w:hint="eastAsia"/>
                <w:color w:val="auto"/>
                <w:szCs w:val="21"/>
                <w:highlight w:val="none"/>
              </w:rPr>
              <w:t>3</w:t>
            </w:r>
          </w:p>
        </w:tc>
        <w:tc>
          <w:tcPr>
            <w:tcW w:w="0" w:type="auto"/>
            <w:vMerge w:val="restart"/>
            <w:tcBorders>
              <w:left w:val="single" w:color="000000" w:sz="4" w:space="0"/>
              <w:right w:val="single" w:color="000000" w:sz="4" w:space="0"/>
            </w:tcBorders>
            <w:vAlign w:val="center"/>
          </w:tcPr>
          <w:p>
            <w:pPr>
              <w:widowControl/>
              <w:jc w:val="center"/>
              <w:rPr>
                <w:rFonts w:hint="eastAsia" w:eastAsia="宋体"/>
                <w:color w:val="auto"/>
                <w:szCs w:val="21"/>
                <w:highlight w:val="none"/>
                <w:lang w:eastAsia="zh-CN"/>
              </w:rPr>
            </w:pPr>
            <w:r>
              <w:rPr>
                <w:color w:val="auto"/>
                <w:szCs w:val="21"/>
                <w:highlight w:val="none"/>
              </w:rPr>
              <w:t>待宰间排气筒</w:t>
            </w:r>
            <w:r>
              <w:rPr>
                <w:rFonts w:hint="eastAsia"/>
                <w:color w:val="auto"/>
                <w:szCs w:val="21"/>
                <w:highlight w:val="none"/>
              </w:rPr>
              <w:t>DA00</w:t>
            </w:r>
            <w:r>
              <w:rPr>
                <w:rFonts w:hint="eastAsia"/>
                <w:color w:val="auto"/>
                <w:szCs w:val="21"/>
                <w:highlight w:val="none"/>
                <w:lang w:val="en-US" w:eastAsia="zh-CN"/>
              </w:rPr>
              <w:t>3</w:t>
            </w:r>
          </w:p>
        </w:tc>
        <w:tc>
          <w:tcPr>
            <w:tcW w:w="802" w:type="pct"/>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color w:val="auto"/>
                <w:szCs w:val="21"/>
                <w:highlight w:val="none"/>
              </w:rPr>
            </w:pPr>
            <w:r>
              <w:rPr>
                <w:color w:val="auto"/>
                <w:szCs w:val="21"/>
                <w:highlight w:val="none"/>
              </w:rPr>
              <w:t>NH</w:t>
            </w:r>
            <w:r>
              <w:rPr>
                <w:color w:val="auto"/>
                <w:szCs w:val="21"/>
                <w:highlight w:val="none"/>
                <w:vertAlign w:val="subscript"/>
              </w:rPr>
              <w:t>3</w:t>
            </w:r>
          </w:p>
        </w:tc>
        <w:tc>
          <w:tcPr>
            <w:tcW w:w="982" w:type="pct"/>
            <w:tcBorders>
              <w:top w:val="single" w:color="000000" w:sz="4" w:space="0"/>
              <w:left w:val="single" w:color="000000" w:sz="4" w:space="0"/>
              <w:bottom w:val="single" w:color="000000" w:sz="4" w:space="0"/>
              <w:right w:val="single" w:color="000000" w:sz="4" w:space="0"/>
            </w:tcBorders>
            <w:vAlign w:val="center"/>
          </w:tcPr>
          <w:p>
            <w:pPr>
              <w:pStyle w:val="84"/>
              <w:rPr>
                <w:rFonts w:hAnsi="Times New Roman"/>
                <w:snapToGrid w:val="0"/>
                <w:color w:val="auto"/>
                <w:szCs w:val="22"/>
                <w:highlight w:val="none"/>
              </w:rPr>
            </w:pPr>
            <w:r>
              <w:rPr>
                <w:rFonts w:hint="eastAsia" w:hAnsi="Times New Roman"/>
                <w:snapToGrid w:val="0"/>
                <w:color w:val="auto"/>
                <w:szCs w:val="22"/>
                <w:highlight w:val="none"/>
                <w:lang w:val="en-US" w:eastAsia="zh-CN"/>
              </w:rPr>
              <w:t>0.136</w:t>
            </w:r>
          </w:p>
        </w:tc>
        <w:tc>
          <w:tcPr>
            <w:tcW w:w="888" w:type="pct"/>
            <w:tcBorders>
              <w:top w:val="single" w:color="000000" w:sz="4" w:space="0"/>
              <w:left w:val="single" w:color="000000" w:sz="4" w:space="0"/>
              <w:bottom w:val="single" w:color="000000" w:sz="4" w:space="0"/>
              <w:right w:val="single" w:color="000000" w:sz="4" w:space="0"/>
            </w:tcBorders>
            <w:vAlign w:val="center"/>
          </w:tcPr>
          <w:p>
            <w:pPr>
              <w:pStyle w:val="84"/>
              <w:rPr>
                <w:rFonts w:ascii="Times New Roman" w:hAnsi="Times New Roman" w:eastAsia="宋体" w:cs="Times New Roman"/>
                <w:snapToGrid w:val="0"/>
                <w:color w:val="auto"/>
                <w:kern w:val="2"/>
                <w:sz w:val="21"/>
                <w:szCs w:val="21"/>
                <w:highlight w:val="none"/>
                <w:lang w:val="en-US" w:eastAsia="zh-CN" w:bidi="ar-SA"/>
              </w:rPr>
            </w:pPr>
            <w:r>
              <w:rPr>
                <w:rFonts w:hAnsi="Times New Roman"/>
                <w:snapToGrid w:val="0"/>
                <w:color w:val="auto"/>
                <w:highlight w:val="none"/>
              </w:rPr>
              <w:t>0.</w:t>
            </w:r>
            <w:r>
              <w:rPr>
                <w:rFonts w:hint="eastAsia" w:hAnsi="Times New Roman"/>
                <w:snapToGrid w:val="0"/>
                <w:color w:val="auto"/>
                <w:highlight w:val="none"/>
              </w:rPr>
              <w:t>000</w:t>
            </w:r>
            <w:r>
              <w:rPr>
                <w:rFonts w:hint="eastAsia" w:hAnsi="Times New Roman"/>
                <w:snapToGrid w:val="0"/>
                <w:color w:val="auto"/>
                <w:highlight w:val="none"/>
                <w:lang w:val="en-US" w:eastAsia="zh-CN"/>
              </w:rPr>
              <w:t>69</w:t>
            </w:r>
          </w:p>
        </w:tc>
        <w:tc>
          <w:tcPr>
            <w:tcW w:w="898" w:type="pct"/>
            <w:tcBorders>
              <w:top w:val="single" w:color="000000" w:sz="4" w:space="0"/>
              <w:left w:val="single" w:color="000000" w:sz="4" w:space="0"/>
              <w:bottom w:val="single" w:color="000000" w:sz="4" w:space="0"/>
              <w:right w:val="nil"/>
            </w:tcBorders>
            <w:vAlign w:val="center"/>
          </w:tcPr>
          <w:p>
            <w:pPr>
              <w:pStyle w:val="84"/>
              <w:rPr>
                <w:rFonts w:hint="default" w:ascii="Times New Roman" w:hAnsi="Times New Roman" w:eastAsia="宋体" w:cs="Times New Roman"/>
                <w:snapToGrid w:val="0"/>
                <w:color w:val="auto"/>
                <w:kern w:val="2"/>
                <w:sz w:val="21"/>
                <w:szCs w:val="21"/>
                <w:highlight w:val="none"/>
                <w:lang w:val="en-US" w:eastAsia="zh-CN" w:bidi="ar-SA"/>
              </w:rPr>
            </w:pPr>
            <w:r>
              <w:rPr>
                <w:rFonts w:hint="eastAsia" w:hAnsi="Times New Roman"/>
                <w:snapToGrid w:val="0"/>
                <w:color w:val="auto"/>
                <w:highlight w:val="none"/>
                <w:lang w:val="en-US" w:eastAsia="zh-CN"/>
              </w:rPr>
              <w:t>0.005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2" w:hRule="atLeast"/>
          <w:jc w:val="center"/>
        </w:trPr>
        <w:tc>
          <w:tcPr>
            <w:tcW w:w="0" w:type="auto"/>
            <w:vMerge w:val="continue"/>
            <w:tcBorders>
              <w:left w:val="nil"/>
              <w:bottom w:val="single" w:color="000000" w:sz="4" w:space="0"/>
              <w:right w:val="single" w:color="000000" w:sz="4" w:space="0"/>
            </w:tcBorders>
            <w:vAlign w:val="center"/>
          </w:tcPr>
          <w:p>
            <w:pPr>
              <w:widowControl/>
              <w:jc w:val="center"/>
              <w:rPr>
                <w:color w:val="auto"/>
                <w:szCs w:val="21"/>
                <w:highlight w:val="none"/>
              </w:rPr>
            </w:pPr>
          </w:p>
        </w:tc>
        <w:tc>
          <w:tcPr>
            <w:tcW w:w="0" w:type="auto"/>
            <w:vMerge w:val="continue"/>
            <w:tcBorders>
              <w:left w:val="single" w:color="000000" w:sz="4" w:space="0"/>
              <w:bottom w:val="single" w:color="000000" w:sz="4" w:space="0"/>
              <w:right w:val="single" w:color="000000" w:sz="4" w:space="0"/>
            </w:tcBorders>
            <w:vAlign w:val="center"/>
          </w:tcPr>
          <w:p>
            <w:pPr>
              <w:widowControl/>
              <w:jc w:val="center"/>
              <w:rPr>
                <w:color w:val="auto"/>
                <w:szCs w:val="21"/>
                <w:highlight w:val="none"/>
              </w:rPr>
            </w:pPr>
          </w:p>
        </w:tc>
        <w:tc>
          <w:tcPr>
            <w:tcW w:w="802" w:type="pct"/>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color w:val="auto"/>
                <w:szCs w:val="21"/>
                <w:highlight w:val="none"/>
              </w:rPr>
            </w:pPr>
            <w:r>
              <w:rPr>
                <w:color w:val="auto"/>
                <w:szCs w:val="21"/>
                <w:highlight w:val="none"/>
              </w:rPr>
              <w:t>H</w:t>
            </w:r>
            <w:r>
              <w:rPr>
                <w:color w:val="auto"/>
                <w:szCs w:val="21"/>
                <w:highlight w:val="none"/>
                <w:vertAlign w:val="subscript"/>
              </w:rPr>
              <w:t>2</w:t>
            </w:r>
            <w:r>
              <w:rPr>
                <w:color w:val="auto"/>
                <w:szCs w:val="21"/>
                <w:highlight w:val="none"/>
              </w:rPr>
              <w:t>S</w:t>
            </w:r>
          </w:p>
        </w:tc>
        <w:tc>
          <w:tcPr>
            <w:tcW w:w="982" w:type="pct"/>
            <w:tcBorders>
              <w:top w:val="single" w:color="000000" w:sz="4" w:space="0"/>
              <w:left w:val="single" w:color="000000" w:sz="4" w:space="0"/>
              <w:bottom w:val="single" w:color="000000" w:sz="4" w:space="0"/>
              <w:right w:val="single" w:color="000000" w:sz="4" w:space="0"/>
            </w:tcBorders>
            <w:vAlign w:val="center"/>
          </w:tcPr>
          <w:p>
            <w:pPr>
              <w:pStyle w:val="84"/>
              <w:rPr>
                <w:rFonts w:hAnsi="Times New Roman"/>
                <w:snapToGrid w:val="0"/>
                <w:color w:val="auto"/>
                <w:szCs w:val="22"/>
                <w:highlight w:val="none"/>
              </w:rPr>
            </w:pPr>
            <w:r>
              <w:rPr>
                <w:rFonts w:hint="eastAsia" w:hAnsi="Times New Roman"/>
                <w:snapToGrid w:val="0"/>
                <w:color w:val="auto"/>
                <w:szCs w:val="22"/>
                <w:highlight w:val="none"/>
                <w:lang w:val="en-US" w:eastAsia="zh-CN"/>
              </w:rPr>
              <w:t>0.022</w:t>
            </w:r>
          </w:p>
        </w:tc>
        <w:tc>
          <w:tcPr>
            <w:tcW w:w="888" w:type="pct"/>
            <w:tcBorders>
              <w:top w:val="single" w:color="000000" w:sz="4" w:space="0"/>
              <w:left w:val="single" w:color="000000" w:sz="4" w:space="0"/>
              <w:bottom w:val="single" w:color="000000" w:sz="4" w:space="0"/>
              <w:right w:val="single" w:color="000000" w:sz="4" w:space="0"/>
            </w:tcBorders>
            <w:vAlign w:val="center"/>
          </w:tcPr>
          <w:p>
            <w:pPr>
              <w:pStyle w:val="84"/>
              <w:adjustRightInd w:val="0"/>
              <w:snapToGrid w:val="0"/>
              <w:rPr>
                <w:rFonts w:hAnsi="Times New Roman"/>
                <w:snapToGrid w:val="0"/>
                <w:color w:val="auto"/>
                <w:szCs w:val="24"/>
                <w:highlight w:val="none"/>
              </w:rPr>
            </w:pPr>
            <w:r>
              <w:rPr>
                <w:rFonts w:hAnsi="Times New Roman"/>
                <w:snapToGrid w:val="0"/>
                <w:color w:val="auto"/>
                <w:szCs w:val="24"/>
                <w:highlight w:val="none"/>
              </w:rPr>
              <w:t>0.0</w:t>
            </w:r>
            <w:r>
              <w:rPr>
                <w:rFonts w:hint="eastAsia" w:hAnsi="Times New Roman"/>
                <w:snapToGrid w:val="0"/>
                <w:color w:val="auto"/>
                <w:szCs w:val="24"/>
                <w:highlight w:val="none"/>
              </w:rPr>
              <w:t>00</w:t>
            </w:r>
            <w:r>
              <w:rPr>
                <w:rFonts w:hint="eastAsia" w:hAnsi="Times New Roman"/>
                <w:snapToGrid w:val="0"/>
                <w:color w:val="auto"/>
                <w:szCs w:val="24"/>
                <w:highlight w:val="none"/>
                <w:lang w:val="en-US" w:eastAsia="zh-CN"/>
              </w:rPr>
              <w:t>11</w:t>
            </w:r>
          </w:p>
        </w:tc>
        <w:tc>
          <w:tcPr>
            <w:tcW w:w="898" w:type="pct"/>
            <w:tcBorders>
              <w:top w:val="single" w:color="000000" w:sz="4" w:space="0"/>
              <w:left w:val="single" w:color="000000" w:sz="4" w:space="0"/>
              <w:bottom w:val="single" w:color="000000" w:sz="4" w:space="0"/>
              <w:right w:val="nil"/>
            </w:tcBorders>
            <w:vAlign w:val="center"/>
          </w:tcPr>
          <w:p>
            <w:pPr>
              <w:pStyle w:val="84"/>
              <w:rPr>
                <w:rFonts w:hAnsi="Times New Roman"/>
                <w:bCs/>
                <w:snapToGrid w:val="0"/>
                <w:color w:val="auto"/>
                <w:highlight w:val="none"/>
              </w:rPr>
            </w:pPr>
            <w:r>
              <w:rPr>
                <w:rFonts w:hint="eastAsia" w:hAnsi="Times New Roman"/>
                <w:bCs/>
                <w:snapToGrid w:val="0"/>
                <w:color w:val="auto"/>
                <w:highlight w:val="none"/>
              </w:rPr>
              <w:t>0.000</w:t>
            </w:r>
            <w:r>
              <w:rPr>
                <w:rFonts w:hint="eastAsia" w:hAnsi="Times New Roman"/>
                <w:bCs/>
                <w:snapToGrid w:val="0"/>
                <w:color w:val="auto"/>
                <w:highlight w:val="none"/>
                <w:lang w:val="en-US" w:eastAsia="zh-CN"/>
              </w:rPr>
              <w:t>78</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2" w:hRule="atLeast"/>
          <w:jc w:val="center"/>
        </w:trPr>
        <w:tc>
          <w:tcPr>
            <w:tcW w:w="0" w:type="auto"/>
            <w:tcBorders>
              <w:left w:val="nil"/>
              <w:bottom w:val="single" w:color="000000" w:sz="4" w:space="0"/>
              <w:right w:val="single" w:color="000000" w:sz="4" w:space="0"/>
            </w:tcBorders>
            <w:vAlign w:val="center"/>
          </w:tcPr>
          <w:p>
            <w:pPr>
              <w:widowControl/>
              <w:jc w:val="center"/>
              <w:rPr>
                <w:rFonts w:hint="eastAsia"/>
                <w:color w:val="auto"/>
                <w:szCs w:val="21"/>
                <w:highlight w:val="none"/>
              </w:rPr>
            </w:pPr>
            <w:r>
              <w:rPr>
                <w:rFonts w:hint="eastAsia"/>
                <w:color w:val="auto"/>
                <w:szCs w:val="21"/>
                <w:highlight w:val="none"/>
              </w:rPr>
              <w:t>4</w:t>
            </w:r>
          </w:p>
        </w:tc>
        <w:tc>
          <w:tcPr>
            <w:tcW w:w="0" w:type="auto"/>
            <w:tcBorders>
              <w:left w:val="single" w:color="000000" w:sz="4" w:space="0"/>
              <w:bottom w:val="single" w:color="000000" w:sz="4" w:space="0"/>
              <w:right w:val="single" w:color="000000" w:sz="4" w:space="0"/>
            </w:tcBorders>
            <w:vAlign w:val="center"/>
          </w:tcPr>
          <w:p>
            <w:pPr>
              <w:widowControl/>
              <w:jc w:val="center"/>
              <w:rPr>
                <w:rFonts w:hint="eastAsia" w:eastAsia="宋体"/>
                <w:color w:val="auto"/>
                <w:szCs w:val="21"/>
                <w:highlight w:val="none"/>
                <w:lang w:val="en-US" w:eastAsia="zh-CN"/>
              </w:rPr>
            </w:pPr>
            <w:r>
              <w:rPr>
                <w:rFonts w:hint="eastAsia"/>
                <w:color w:val="auto"/>
                <w:szCs w:val="21"/>
                <w:highlight w:val="none"/>
              </w:rPr>
              <w:t>食堂排烟通道DA00</w:t>
            </w:r>
            <w:r>
              <w:rPr>
                <w:rFonts w:hint="eastAsia"/>
                <w:color w:val="auto"/>
                <w:szCs w:val="21"/>
                <w:highlight w:val="none"/>
                <w:lang w:val="en-US" w:eastAsia="zh-CN"/>
              </w:rPr>
              <w:t>4</w:t>
            </w:r>
          </w:p>
        </w:tc>
        <w:tc>
          <w:tcPr>
            <w:tcW w:w="802" w:type="pct"/>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油烟</w:t>
            </w:r>
          </w:p>
        </w:tc>
        <w:tc>
          <w:tcPr>
            <w:tcW w:w="982" w:type="pct"/>
            <w:tcBorders>
              <w:top w:val="single" w:color="000000" w:sz="4" w:space="0"/>
              <w:left w:val="single" w:color="000000" w:sz="4" w:space="0"/>
              <w:bottom w:val="single" w:color="000000" w:sz="4" w:space="0"/>
              <w:right w:val="single" w:color="000000" w:sz="4" w:space="0"/>
            </w:tcBorders>
            <w:vAlign w:val="center"/>
          </w:tcPr>
          <w:p>
            <w:pPr>
              <w:pStyle w:val="84"/>
              <w:rPr>
                <w:rFonts w:hint="eastAsia" w:ascii="Times New Roman" w:hAnsi="Times New Roman" w:eastAsia="宋体" w:cs="Times New Roman"/>
                <w:snapToGrid w:val="0"/>
                <w:color w:val="auto"/>
                <w:kern w:val="2"/>
                <w:sz w:val="21"/>
                <w:szCs w:val="22"/>
                <w:highlight w:val="none"/>
                <w:lang w:val="en-US" w:eastAsia="zh-CN" w:bidi="ar-SA"/>
              </w:rPr>
            </w:pPr>
            <w:r>
              <w:rPr>
                <w:rFonts w:hint="eastAsia" w:hAnsi="Times New Roman"/>
                <w:bCs/>
                <w:snapToGrid w:val="0"/>
                <w:color w:val="auto"/>
                <w:szCs w:val="22"/>
                <w:highlight w:val="none"/>
                <w:lang w:eastAsia="zh-CN"/>
              </w:rPr>
              <w:t>1.6</w:t>
            </w:r>
          </w:p>
        </w:tc>
        <w:tc>
          <w:tcPr>
            <w:tcW w:w="888" w:type="pct"/>
            <w:tcBorders>
              <w:top w:val="single" w:color="000000" w:sz="4" w:space="0"/>
              <w:left w:val="single" w:color="000000" w:sz="4" w:space="0"/>
              <w:bottom w:val="single" w:color="000000" w:sz="4" w:space="0"/>
              <w:right w:val="single" w:color="000000" w:sz="4" w:space="0"/>
            </w:tcBorders>
            <w:vAlign w:val="center"/>
          </w:tcPr>
          <w:p>
            <w:pPr>
              <w:pStyle w:val="84"/>
              <w:rPr>
                <w:rFonts w:hint="eastAsia" w:ascii="Times New Roman" w:hAnsi="Times New Roman" w:eastAsia="宋体" w:cs="Times New Roman"/>
                <w:snapToGrid w:val="0"/>
                <w:color w:val="auto"/>
                <w:kern w:val="2"/>
                <w:sz w:val="21"/>
                <w:szCs w:val="22"/>
                <w:highlight w:val="none"/>
                <w:lang w:val="en-US" w:eastAsia="zh-CN" w:bidi="ar-SA"/>
              </w:rPr>
            </w:pPr>
            <w:r>
              <w:rPr>
                <w:rFonts w:hint="eastAsia" w:hAnsi="Times New Roman"/>
                <w:bCs/>
                <w:snapToGrid w:val="0"/>
                <w:color w:val="auto"/>
                <w:szCs w:val="22"/>
                <w:highlight w:val="none"/>
                <w:lang w:eastAsia="zh-CN"/>
              </w:rPr>
              <w:t>0.004</w:t>
            </w:r>
          </w:p>
        </w:tc>
        <w:tc>
          <w:tcPr>
            <w:tcW w:w="898" w:type="pct"/>
            <w:tcBorders>
              <w:top w:val="single" w:color="000000" w:sz="4" w:space="0"/>
              <w:left w:val="single" w:color="000000" w:sz="4" w:space="0"/>
              <w:bottom w:val="single" w:color="000000" w:sz="4" w:space="0"/>
              <w:right w:val="nil"/>
            </w:tcBorders>
            <w:vAlign w:val="center"/>
          </w:tcPr>
          <w:p>
            <w:pPr>
              <w:pStyle w:val="84"/>
              <w:rPr>
                <w:rFonts w:hint="eastAsia" w:ascii="Times New Roman" w:hAnsi="Times New Roman" w:eastAsia="宋体" w:cs="Times New Roman"/>
                <w:snapToGrid w:val="0"/>
                <w:color w:val="auto"/>
                <w:kern w:val="2"/>
                <w:sz w:val="21"/>
                <w:szCs w:val="21"/>
                <w:highlight w:val="none"/>
                <w:lang w:val="en-US" w:eastAsia="zh-CN" w:bidi="ar-SA"/>
              </w:rPr>
            </w:pPr>
            <w:r>
              <w:rPr>
                <w:rFonts w:hint="eastAsia" w:hAnsi="Times New Roman"/>
                <w:bCs/>
                <w:snapToGrid w:val="0"/>
                <w:color w:val="auto"/>
                <w:highlight w:val="none"/>
              </w:rPr>
              <w:t>0.00</w:t>
            </w:r>
            <w:r>
              <w:rPr>
                <w:rFonts w:hint="eastAsia" w:hAnsi="Times New Roman"/>
                <w:bCs/>
                <w:snapToGrid w:val="0"/>
                <w:color w:val="auto"/>
                <w:highlight w:val="none"/>
                <w:lang w:val="en-US" w:eastAsia="zh-CN"/>
              </w:rPr>
              <w:t>4</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jc w:val="center"/>
        </w:trPr>
        <w:tc>
          <w:tcPr>
            <w:tcW w:w="0" w:type="auto"/>
            <w:vMerge w:val="restart"/>
            <w:tcBorders>
              <w:left w:val="nil"/>
              <w:right w:val="single" w:color="000000" w:sz="4" w:space="0"/>
            </w:tcBorders>
            <w:vAlign w:val="center"/>
          </w:tcPr>
          <w:p>
            <w:pPr>
              <w:widowControl/>
              <w:jc w:val="center"/>
              <w:rPr>
                <w:rFonts w:hint="eastAsia" w:eastAsia="宋体"/>
                <w:color w:val="auto"/>
                <w:szCs w:val="21"/>
                <w:highlight w:val="none"/>
                <w:lang w:val="en-US" w:eastAsia="zh-CN"/>
              </w:rPr>
            </w:pPr>
            <w:r>
              <w:rPr>
                <w:rFonts w:hint="eastAsia"/>
                <w:color w:val="auto"/>
                <w:szCs w:val="21"/>
                <w:highlight w:val="none"/>
                <w:lang w:val="en-US" w:eastAsia="zh-CN"/>
              </w:rPr>
              <w:t>5</w:t>
            </w:r>
          </w:p>
        </w:tc>
        <w:tc>
          <w:tcPr>
            <w:tcW w:w="0" w:type="auto"/>
            <w:vMerge w:val="restart"/>
            <w:tcBorders>
              <w:left w:val="single" w:color="000000" w:sz="4" w:space="0"/>
              <w:right w:val="single" w:color="000000" w:sz="4" w:space="0"/>
            </w:tcBorders>
            <w:vAlign w:val="center"/>
          </w:tcPr>
          <w:p>
            <w:pPr>
              <w:widowControl/>
              <w:jc w:val="center"/>
              <w:rPr>
                <w:color w:val="auto"/>
                <w:szCs w:val="21"/>
                <w:highlight w:val="none"/>
              </w:rPr>
            </w:pPr>
            <w:r>
              <w:rPr>
                <w:rFonts w:hint="eastAsia"/>
                <w:color w:val="auto"/>
                <w:szCs w:val="21"/>
                <w:highlight w:val="none"/>
                <w:lang w:val="en-US" w:eastAsia="zh-CN"/>
              </w:rPr>
              <w:t>锅炉房烟囱（DA005）</w:t>
            </w:r>
          </w:p>
        </w:tc>
        <w:tc>
          <w:tcPr>
            <w:tcW w:w="802" w:type="pct"/>
            <w:tcBorders>
              <w:top w:val="single" w:color="000000" w:sz="4" w:space="0"/>
              <w:left w:val="single" w:color="000000" w:sz="4" w:space="0"/>
              <w:bottom w:val="single" w:color="auto" w:sz="4" w:space="0"/>
              <w:right w:val="single" w:color="000000" w:sz="4"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color w:val="auto"/>
                <w:szCs w:val="21"/>
                <w:highlight w:val="none"/>
              </w:rPr>
            </w:pPr>
            <w: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t>颗粒物</w:t>
            </w:r>
          </w:p>
        </w:tc>
        <w:tc>
          <w:tcPr>
            <w:tcW w:w="982" w:type="pct"/>
            <w:tcBorders>
              <w:top w:val="single" w:color="000000" w:sz="4" w:space="0"/>
              <w:left w:val="single" w:color="000000" w:sz="4" w:space="0"/>
              <w:bottom w:val="single" w:color="auto" w:sz="4" w:space="0"/>
              <w:right w:val="single" w:color="000000" w:sz="4" w:space="0"/>
            </w:tcBorders>
            <w:vAlign w:val="center"/>
          </w:tcPr>
          <w:p>
            <w:pPr>
              <w:pStyle w:val="84"/>
              <w:rPr>
                <w:rFonts w:hint="eastAsia" w:hAnsi="Times New Roman" w:eastAsia="宋体"/>
                <w:snapToGrid w:val="0"/>
                <w:color w:val="auto"/>
                <w:szCs w:val="22"/>
                <w:highlight w:val="none"/>
                <w:lang w:eastAsia="zh-CN"/>
              </w:rPr>
            </w:pPr>
            <w:r>
              <w:rPr>
                <w:rFonts w:hint="eastAsia" w:hAnsi="Times New Roman"/>
                <w:snapToGrid w:val="0"/>
                <w:color w:val="auto"/>
                <w:szCs w:val="22"/>
                <w:highlight w:val="none"/>
                <w:lang w:val="en-US" w:eastAsia="zh-CN"/>
              </w:rPr>
              <w:t>26.05</w:t>
            </w:r>
          </w:p>
        </w:tc>
        <w:tc>
          <w:tcPr>
            <w:tcW w:w="888" w:type="pct"/>
            <w:tcBorders>
              <w:top w:val="single" w:color="000000" w:sz="4" w:space="0"/>
              <w:left w:val="single" w:color="000000" w:sz="4" w:space="0"/>
              <w:bottom w:val="single" w:color="auto" w:sz="4" w:space="0"/>
              <w:right w:val="single" w:color="000000" w:sz="4" w:space="0"/>
            </w:tcBorders>
            <w:vAlign w:val="center"/>
          </w:tcPr>
          <w:p>
            <w:pPr>
              <w:pStyle w:val="84"/>
              <w:rPr>
                <w:rFonts w:hint="eastAsia" w:hAnsi="Times New Roman" w:eastAsia="宋体"/>
                <w:snapToGrid w:val="0"/>
                <w:color w:val="auto"/>
                <w:szCs w:val="22"/>
                <w:highlight w:val="none"/>
                <w:lang w:eastAsia="zh-CN"/>
              </w:rPr>
            </w:pPr>
            <w:r>
              <w:rPr>
                <w:rFonts w:hint="eastAsia" w:hAnsi="Times New Roman"/>
                <w:snapToGrid w:val="0"/>
                <w:color w:val="auto"/>
                <w:szCs w:val="22"/>
                <w:highlight w:val="none"/>
                <w:lang w:val="en-US" w:eastAsia="zh-CN"/>
              </w:rPr>
              <w:t>0.0206</w:t>
            </w:r>
          </w:p>
        </w:tc>
        <w:tc>
          <w:tcPr>
            <w:tcW w:w="898" w:type="pct"/>
            <w:tcBorders>
              <w:top w:val="single" w:color="000000" w:sz="4" w:space="0"/>
              <w:left w:val="single" w:color="000000" w:sz="4" w:space="0"/>
              <w:bottom w:val="single" w:color="auto" w:sz="4" w:space="0"/>
              <w:right w:val="nil"/>
            </w:tcBorders>
            <w:vAlign w:val="center"/>
          </w:tcPr>
          <w:p>
            <w:pPr>
              <w:pStyle w:val="84"/>
              <w:rPr>
                <w:rFonts w:hAnsi="Times New Roman"/>
                <w:snapToGrid w:val="0"/>
                <w:color w:val="auto"/>
                <w:highlight w:val="none"/>
              </w:rPr>
            </w:pPr>
            <w:r>
              <w:rPr>
                <w:rFonts w:hint="eastAsia" w:hAnsi="Times New Roman"/>
                <w:snapToGrid w:val="0"/>
                <w:color w:val="auto"/>
                <w:highlight w:val="none"/>
                <w:lang w:val="en-US" w:eastAsia="zh-CN"/>
              </w:rPr>
              <w:t>0.074</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98" w:hRule="atLeast"/>
          <w:jc w:val="center"/>
        </w:trPr>
        <w:tc>
          <w:tcPr>
            <w:tcW w:w="0" w:type="auto"/>
            <w:vMerge w:val="continue"/>
            <w:tcBorders>
              <w:left w:val="nil"/>
              <w:bottom w:val="single" w:color="000000" w:sz="4" w:space="0"/>
              <w:right w:val="single" w:color="000000" w:sz="4" w:space="0"/>
            </w:tcBorders>
            <w:vAlign w:val="center"/>
          </w:tcPr>
          <w:p>
            <w:pPr>
              <w:widowControl/>
              <w:jc w:val="center"/>
              <w:rPr>
                <w:rFonts w:hint="eastAsia"/>
                <w:color w:val="auto"/>
                <w:szCs w:val="21"/>
                <w:highlight w:val="none"/>
                <w:lang w:val="en-US" w:eastAsia="zh-CN"/>
              </w:rPr>
            </w:pPr>
          </w:p>
        </w:tc>
        <w:tc>
          <w:tcPr>
            <w:tcW w:w="0" w:type="auto"/>
            <w:vMerge w:val="continue"/>
            <w:tcBorders>
              <w:left w:val="single" w:color="000000" w:sz="4" w:space="0"/>
              <w:bottom w:val="single" w:color="000000" w:sz="4" w:space="0"/>
              <w:right w:val="single" w:color="000000" w:sz="4" w:space="0"/>
            </w:tcBorders>
            <w:vAlign w:val="center"/>
          </w:tcPr>
          <w:p>
            <w:pPr>
              <w:widowControl/>
              <w:jc w:val="center"/>
              <w:rPr>
                <w:rFonts w:hint="eastAsia"/>
                <w:color w:val="auto"/>
                <w:szCs w:val="21"/>
                <w:highlight w:val="none"/>
                <w:lang w:val="en-US" w:eastAsia="zh-CN"/>
              </w:rPr>
            </w:pPr>
          </w:p>
        </w:tc>
        <w:tc>
          <w:tcPr>
            <w:tcW w:w="802" w:type="pct"/>
            <w:tcBorders>
              <w:top w:val="single" w:color="auto" w:sz="4" w:space="0"/>
              <w:left w:val="single" w:color="000000" w:sz="4" w:space="0"/>
              <w:bottom w:val="single" w:color="auto" w:sz="4" w:space="0"/>
              <w:right w:val="single" w:color="000000" w:sz="4"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color w:val="auto"/>
                <w:szCs w:val="21"/>
                <w:highlight w:val="none"/>
              </w:rPr>
            </w:pPr>
            <w: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t>二氧化硫</w:t>
            </w:r>
          </w:p>
        </w:tc>
        <w:tc>
          <w:tcPr>
            <w:tcW w:w="982" w:type="pct"/>
            <w:tcBorders>
              <w:top w:val="single" w:color="auto" w:sz="4" w:space="0"/>
              <w:left w:val="single" w:color="000000" w:sz="4" w:space="0"/>
              <w:bottom w:val="single" w:color="auto" w:sz="4" w:space="0"/>
              <w:right w:val="single" w:color="000000" w:sz="4" w:space="0"/>
            </w:tcBorders>
            <w:vAlign w:val="center"/>
          </w:tcPr>
          <w:p>
            <w:pPr>
              <w:pStyle w:val="84"/>
              <w:rPr>
                <w:rFonts w:hint="eastAsia" w:hAnsi="Times New Roman" w:eastAsia="宋体"/>
                <w:snapToGrid w:val="0"/>
                <w:color w:val="auto"/>
                <w:szCs w:val="22"/>
                <w:highlight w:val="none"/>
                <w:lang w:eastAsia="zh-CN"/>
              </w:rPr>
            </w:pPr>
            <w:r>
              <w:rPr>
                <w:rFonts w:hint="eastAsia" w:hAnsi="Times New Roman" w:eastAsia="宋体"/>
                <w:snapToGrid w:val="0"/>
                <w:color w:val="auto"/>
                <w:szCs w:val="22"/>
                <w:highlight w:val="none"/>
                <w:lang w:val="en-US" w:eastAsia="zh-CN"/>
              </w:rPr>
              <w:t>35.53</w:t>
            </w:r>
          </w:p>
        </w:tc>
        <w:tc>
          <w:tcPr>
            <w:tcW w:w="888" w:type="pct"/>
            <w:tcBorders>
              <w:top w:val="single" w:color="auto" w:sz="4" w:space="0"/>
              <w:left w:val="single" w:color="000000" w:sz="4" w:space="0"/>
              <w:bottom w:val="single" w:color="auto" w:sz="4" w:space="0"/>
              <w:right w:val="single" w:color="000000" w:sz="4" w:space="0"/>
            </w:tcBorders>
            <w:vAlign w:val="center"/>
          </w:tcPr>
          <w:p>
            <w:pPr>
              <w:pStyle w:val="84"/>
              <w:rPr>
                <w:rFonts w:hint="eastAsia" w:hAnsi="Times New Roman" w:eastAsia="宋体"/>
                <w:snapToGrid w:val="0"/>
                <w:color w:val="auto"/>
                <w:szCs w:val="22"/>
                <w:highlight w:val="none"/>
                <w:lang w:eastAsia="zh-CN"/>
              </w:rPr>
            </w:pPr>
            <w:r>
              <w:rPr>
                <w:rFonts w:hint="eastAsia" w:hAnsi="Times New Roman" w:eastAsia="宋体"/>
                <w:snapToGrid w:val="0"/>
                <w:color w:val="auto"/>
                <w:szCs w:val="22"/>
                <w:highlight w:val="none"/>
                <w:lang w:val="en-US" w:eastAsia="zh-CN"/>
              </w:rPr>
              <w:t>0.0281</w:t>
            </w:r>
          </w:p>
        </w:tc>
        <w:tc>
          <w:tcPr>
            <w:tcW w:w="898" w:type="pct"/>
            <w:tcBorders>
              <w:top w:val="single" w:color="auto" w:sz="4" w:space="0"/>
              <w:left w:val="single" w:color="000000" w:sz="4" w:space="0"/>
              <w:bottom w:val="single" w:color="auto" w:sz="4" w:space="0"/>
              <w:right w:val="nil"/>
            </w:tcBorders>
            <w:vAlign w:val="center"/>
          </w:tcPr>
          <w:p>
            <w:pPr>
              <w:pStyle w:val="84"/>
              <w:rPr>
                <w:rFonts w:hAnsi="Times New Roman"/>
                <w:snapToGrid w:val="0"/>
                <w:color w:val="auto"/>
                <w:highlight w:val="none"/>
              </w:rPr>
            </w:pPr>
            <w:r>
              <w:rPr>
                <w:rFonts w:hint="eastAsia" w:hAnsi="Times New Roman"/>
                <w:snapToGrid w:val="0"/>
                <w:color w:val="auto"/>
                <w:highlight w:val="none"/>
                <w:lang w:val="en-US" w:eastAsia="zh-CN"/>
              </w:rPr>
              <w:t>0.101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1" w:hRule="atLeast"/>
          <w:jc w:val="center"/>
        </w:trPr>
        <w:tc>
          <w:tcPr>
            <w:tcW w:w="0" w:type="auto"/>
            <w:vMerge w:val="continue"/>
            <w:tcBorders>
              <w:left w:val="nil"/>
              <w:bottom w:val="single" w:color="000000" w:sz="4" w:space="0"/>
              <w:right w:val="single" w:color="000000" w:sz="4" w:space="0"/>
            </w:tcBorders>
            <w:vAlign w:val="center"/>
          </w:tcPr>
          <w:p>
            <w:pPr>
              <w:widowControl/>
              <w:jc w:val="center"/>
              <w:rPr>
                <w:rFonts w:hint="eastAsia"/>
                <w:color w:val="auto"/>
                <w:szCs w:val="21"/>
                <w:highlight w:val="none"/>
                <w:lang w:val="en-US" w:eastAsia="zh-CN"/>
              </w:rPr>
            </w:pPr>
          </w:p>
        </w:tc>
        <w:tc>
          <w:tcPr>
            <w:tcW w:w="0" w:type="auto"/>
            <w:vMerge w:val="continue"/>
            <w:tcBorders>
              <w:left w:val="single" w:color="000000" w:sz="4" w:space="0"/>
              <w:bottom w:val="single" w:color="000000" w:sz="4" w:space="0"/>
              <w:right w:val="single" w:color="000000" w:sz="4" w:space="0"/>
            </w:tcBorders>
            <w:vAlign w:val="center"/>
          </w:tcPr>
          <w:p>
            <w:pPr>
              <w:widowControl/>
              <w:jc w:val="center"/>
              <w:rPr>
                <w:rFonts w:hint="eastAsia"/>
                <w:color w:val="auto"/>
                <w:szCs w:val="21"/>
                <w:highlight w:val="none"/>
                <w:lang w:val="en-US" w:eastAsia="zh-CN"/>
              </w:rPr>
            </w:pPr>
          </w:p>
        </w:tc>
        <w:tc>
          <w:tcPr>
            <w:tcW w:w="802" w:type="pct"/>
            <w:tcBorders>
              <w:top w:val="single" w:color="auto" w:sz="4" w:space="0"/>
              <w:left w:val="single" w:color="000000" w:sz="4" w:space="0"/>
              <w:bottom w:val="single" w:color="000000" w:sz="4" w:space="0"/>
              <w:right w:val="single" w:color="000000" w:sz="4"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color w:val="auto"/>
                <w:szCs w:val="21"/>
                <w:highlight w:val="none"/>
              </w:rPr>
            </w:pPr>
            <w: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t>氮氧化物</w:t>
            </w:r>
          </w:p>
        </w:tc>
        <w:tc>
          <w:tcPr>
            <w:tcW w:w="982" w:type="pct"/>
            <w:tcBorders>
              <w:top w:val="single" w:color="auto" w:sz="4" w:space="0"/>
              <w:left w:val="single" w:color="000000" w:sz="4" w:space="0"/>
              <w:bottom w:val="single" w:color="000000" w:sz="4" w:space="0"/>
              <w:right w:val="single" w:color="000000" w:sz="4" w:space="0"/>
            </w:tcBorders>
            <w:vAlign w:val="center"/>
          </w:tcPr>
          <w:p>
            <w:pPr>
              <w:pStyle w:val="84"/>
              <w:rPr>
                <w:rFonts w:hint="eastAsia" w:hAnsi="Times New Roman" w:eastAsia="宋体"/>
                <w:snapToGrid w:val="0"/>
                <w:color w:val="auto"/>
                <w:szCs w:val="22"/>
                <w:highlight w:val="none"/>
                <w:lang w:eastAsia="zh-CN"/>
              </w:rPr>
            </w:pPr>
            <w:r>
              <w:rPr>
                <w:rFonts w:hint="eastAsia" w:hAnsi="Times New Roman" w:eastAsia="宋体"/>
                <w:snapToGrid w:val="0"/>
                <w:color w:val="auto"/>
                <w:szCs w:val="22"/>
                <w:highlight w:val="none"/>
                <w:lang w:val="en-US" w:eastAsia="zh-CN"/>
              </w:rPr>
              <w:t>150</w:t>
            </w:r>
          </w:p>
        </w:tc>
        <w:tc>
          <w:tcPr>
            <w:tcW w:w="888" w:type="pct"/>
            <w:tcBorders>
              <w:top w:val="single" w:color="auto" w:sz="4" w:space="0"/>
              <w:left w:val="single" w:color="000000" w:sz="4" w:space="0"/>
              <w:bottom w:val="single" w:color="000000" w:sz="4" w:space="0"/>
              <w:right w:val="single" w:color="000000" w:sz="4" w:space="0"/>
            </w:tcBorders>
            <w:vAlign w:val="center"/>
          </w:tcPr>
          <w:p>
            <w:pPr>
              <w:pStyle w:val="84"/>
              <w:rPr>
                <w:rFonts w:hint="eastAsia" w:hAnsi="Times New Roman" w:eastAsia="宋体"/>
                <w:snapToGrid w:val="0"/>
                <w:color w:val="auto"/>
                <w:szCs w:val="22"/>
                <w:highlight w:val="none"/>
                <w:lang w:eastAsia="zh-CN"/>
              </w:rPr>
            </w:pPr>
            <w:r>
              <w:rPr>
                <w:rFonts w:hint="eastAsia" w:hAnsi="Times New Roman" w:eastAsia="宋体"/>
                <w:snapToGrid w:val="0"/>
                <w:color w:val="auto"/>
                <w:szCs w:val="22"/>
                <w:highlight w:val="none"/>
                <w:lang w:val="en-US" w:eastAsia="zh-CN"/>
              </w:rPr>
              <w:t>0.1186</w:t>
            </w:r>
          </w:p>
        </w:tc>
        <w:tc>
          <w:tcPr>
            <w:tcW w:w="898" w:type="pct"/>
            <w:tcBorders>
              <w:top w:val="single" w:color="auto" w:sz="4" w:space="0"/>
              <w:left w:val="single" w:color="000000" w:sz="4" w:space="0"/>
              <w:bottom w:val="single" w:color="000000" w:sz="4" w:space="0"/>
              <w:right w:val="nil"/>
            </w:tcBorders>
            <w:vAlign w:val="center"/>
          </w:tcPr>
          <w:p>
            <w:pPr>
              <w:pStyle w:val="84"/>
              <w:rPr>
                <w:rFonts w:hAnsi="Times New Roman"/>
                <w:snapToGrid w:val="0"/>
                <w:color w:val="auto"/>
                <w:highlight w:val="none"/>
              </w:rPr>
            </w:pPr>
            <w:r>
              <w:rPr>
                <w:rFonts w:hint="eastAsia" w:hAnsi="Times New Roman"/>
                <w:snapToGrid w:val="0"/>
                <w:color w:val="auto"/>
                <w:highlight w:val="none"/>
                <w:lang w:val="en-US" w:eastAsia="zh-CN"/>
              </w:rPr>
              <w:t>0.427</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5" w:hRule="atLeast"/>
          <w:jc w:val="center"/>
        </w:trPr>
        <w:tc>
          <w:tcPr>
            <w:tcW w:w="0" w:type="auto"/>
            <w:gridSpan w:val="2"/>
            <w:vMerge w:val="restart"/>
            <w:tcBorders>
              <w:left w:val="nil"/>
              <w:right w:val="single" w:color="000000" w:sz="4" w:space="0"/>
            </w:tcBorders>
            <w:vAlign w:val="center"/>
          </w:tcPr>
          <w:p>
            <w:pPr>
              <w:widowControl/>
              <w:jc w:val="center"/>
              <w:rPr>
                <w:color w:val="auto"/>
                <w:szCs w:val="21"/>
                <w:highlight w:val="none"/>
              </w:rPr>
            </w:pPr>
            <w:r>
              <w:rPr>
                <w:color w:val="auto"/>
                <w:szCs w:val="21"/>
                <w:highlight w:val="none"/>
              </w:rPr>
              <w:t>有组织排放总计</w:t>
            </w:r>
          </w:p>
        </w:tc>
        <w:tc>
          <w:tcPr>
            <w:tcW w:w="2672" w:type="pct"/>
            <w:gridSpan w:val="3"/>
            <w:tcBorders>
              <w:top w:val="single" w:color="auto" w:sz="4" w:space="0"/>
              <w:left w:val="single" w:color="000000" w:sz="4" w:space="0"/>
              <w:bottom w:val="single" w:color="auto" w:sz="4" w:space="0"/>
              <w:right w:val="single" w:color="000000" w:sz="4" w:space="0"/>
            </w:tcBorders>
            <w:vAlign w:val="center"/>
          </w:tcPr>
          <w:p>
            <w:pPr>
              <w:spacing w:line="0" w:lineRule="atLeast"/>
              <w:jc w:val="center"/>
              <w:rPr>
                <w:color w:val="auto"/>
                <w:szCs w:val="21"/>
                <w:highlight w:val="none"/>
              </w:rPr>
            </w:pPr>
            <w:r>
              <w:rPr>
                <w:color w:val="auto"/>
                <w:szCs w:val="21"/>
                <w:highlight w:val="none"/>
              </w:rPr>
              <w:t>NH</w:t>
            </w:r>
            <w:r>
              <w:rPr>
                <w:color w:val="auto"/>
                <w:szCs w:val="21"/>
                <w:highlight w:val="none"/>
                <w:vertAlign w:val="subscript"/>
              </w:rPr>
              <w:t>3</w:t>
            </w:r>
          </w:p>
        </w:tc>
        <w:tc>
          <w:tcPr>
            <w:tcW w:w="898" w:type="pct"/>
            <w:tcBorders>
              <w:top w:val="single" w:color="auto" w:sz="4" w:space="0"/>
              <w:left w:val="single" w:color="000000" w:sz="4" w:space="0"/>
              <w:bottom w:val="single" w:color="auto" w:sz="4" w:space="0"/>
              <w:right w:val="nil"/>
            </w:tcBorders>
            <w:vAlign w:val="center"/>
          </w:tcPr>
          <w:p>
            <w:pPr>
              <w:pStyle w:val="84"/>
              <w:rPr>
                <w:rFonts w:hint="default" w:hAnsi="Times New Roman" w:eastAsia="宋体"/>
                <w:snapToGrid w:val="0"/>
                <w:color w:val="auto"/>
                <w:szCs w:val="22"/>
                <w:highlight w:val="none"/>
                <w:lang w:val="en-US" w:eastAsia="zh-CN"/>
              </w:rPr>
            </w:pPr>
            <w:r>
              <w:rPr>
                <w:rFonts w:hint="eastAsia" w:hAnsi="Times New Roman"/>
                <w:snapToGrid w:val="0"/>
                <w:color w:val="auto"/>
                <w:szCs w:val="22"/>
                <w:highlight w:val="none"/>
                <w:lang w:val="en-US" w:eastAsia="zh-CN"/>
              </w:rPr>
              <w:t>0.09</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5" w:hRule="atLeast"/>
          <w:jc w:val="center"/>
        </w:trPr>
        <w:tc>
          <w:tcPr>
            <w:tcW w:w="0" w:type="auto"/>
            <w:gridSpan w:val="2"/>
            <w:vMerge w:val="continue"/>
            <w:tcBorders>
              <w:left w:val="nil"/>
              <w:right w:val="single" w:color="000000" w:sz="4" w:space="0"/>
            </w:tcBorders>
            <w:vAlign w:val="center"/>
          </w:tcPr>
          <w:p>
            <w:pPr>
              <w:widowControl/>
              <w:jc w:val="left"/>
              <w:rPr>
                <w:color w:val="auto"/>
                <w:szCs w:val="21"/>
                <w:highlight w:val="none"/>
              </w:rPr>
            </w:pPr>
          </w:p>
        </w:tc>
        <w:tc>
          <w:tcPr>
            <w:tcW w:w="2672" w:type="pct"/>
            <w:gridSpan w:val="3"/>
            <w:tcBorders>
              <w:top w:val="single" w:color="auto" w:sz="4" w:space="0"/>
              <w:left w:val="single" w:color="000000" w:sz="4" w:space="0"/>
              <w:bottom w:val="single" w:color="auto" w:sz="4" w:space="0"/>
              <w:right w:val="single" w:color="000000" w:sz="4" w:space="0"/>
            </w:tcBorders>
            <w:vAlign w:val="center"/>
          </w:tcPr>
          <w:p>
            <w:pPr>
              <w:spacing w:line="0" w:lineRule="atLeast"/>
              <w:jc w:val="center"/>
              <w:rPr>
                <w:color w:val="auto"/>
                <w:szCs w:val="21"/>
                <w:highlight w:val="none"/>
              </w:rPr>
            </w:pPr>
            <w:r>
              <w:rPr>
                <w:color w:val="auto"/>
                <w:szCs w:val="21"/>
                <w:highlight w:val="none"/>
              </w:rPr>
              <w:t>H</w:t>
            </w:r>
            <w:r>
              <w:rPr>
                <w:color w:val="auto"/>
                <w:szCs w:val="21"/>
                <w:highlight w:val="none"/>
                <w:vertAlign w:val="subscript"/>
              </w:rPr>
              <w:t>2</w:t>
            </w:r>
            <w:r>
              <w:rPr>
                <w:color w:val="auto"/>
                <w:szCs w:val="21"/>
                <w:highlight w:val="none"/>
              </w:rPr>
              <w:t>S</w:t>
            </w:r>
          </w:p>
        </w:tc>
        <w:tc>
          <w:tcPr>
            <w:tcW w:w="898" w:type="pct"/>
            <w:tcBorders>
              <w:top w:val="single" w:color="auto" w:sz="4" w:space="0"/>
              <w:left w:val="single" w:color="000000" w:sz="4" w:space="0"/>
              <w:bottom w:val="single" w:color="auto" w:sz="4" w:space="0"/>
              <w:right w:val="nil"/>
            </w:tcBorders>
            <w:vAlign w:val="center"/>
          </w:tcPr>
          <w:p>
            <w:pPr>
              <w:pStyle w:val="84"/>
              <w:rPr>
                <w:rFonts w:hint="default" w:hAnsi="Times New Roman" w:eastAsia="宋体"/>
                <w:snapToGrid w:val="0"/>
                <w:color w:val="auto"/>
                <w:szCs w:val="22"/>
                <w:highlight w:val="none"/>
                <w:lang w:val="en-US" w:eastAsia="zh-CN"/>
              </w:rPr>
            </w:pPr>
            <w:r>
              <w:rPr>
                <w:rFonts w:hint="eastAsia" w:hAnsi="Times New Roman"/>
                <w:snapToGrid w:val="0"/>
                <w:color w:val="auto"/>
                <w:szCs w:val="22"/>
                <w:highlight w:val="none"/>
                <w:lang w:val="en-US" w:eastAsia="zh-CN"/>
              </w:rPr>
              <w:t>0.00911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5" w:hRule="atLeast"/>
          <w:jc w:val="center"/>
        </w:trPr>
        <w:tc>
          <w:tcPr>
            <w:tcW w:w="0" w:type="auto"/>
            <w:gridSpan w:val="2"/>
            <w:vMerge w:val="continue"/>
            <w:tcBorders>
              <w:left w:val="nil"/>
              <w:bottom w:val="single" w:color="auto" w:sz="12" w:space="0"/>
              <w:right w:val="single" w:color="000000" w:sz="4" w:space="0"/>
            </w:tcBorders>
            <w:vAlign w:val="center"/>
          </w:tcPr>
          <w:p>
            <w:pPr>
              <w:widowControl/>
              <w:jc w:val="left"/>
              <w:rPr>
                <w:color w:val="auto"/>
                <w:szCs w:val="21"/>
                <w:highlight w:val="none"/>
              </w:rPr>
            </w:pPr>
          </w:p>
        </w:tc>
        <w:tc>
          <w:tcPr>
            <w:tcW w:w="2672" w:type="pct"/>
            <w:gridSpan w:val="3"/>
            <w:tcBorders>
              <w:top w:val="single" w:color="auto" w:sz="4" w:space="0"/>
              <w:left w:val="single" w:color="000000" w:sz="4" w:space="0"/>
              <w:bottom w:val="single" w:color="000000" w:sz="4" w:space="0"/>
              <w:right w:val="single" w:color="000000" w:sz="4" w:space="0"/>
            </w:tcBorders>
            <w:vAlign w:val="center"/>
          </w:tcPr>
          <w:p>
            <w:pPr>
              <w:spacing w:line="0" w:lineRule="atLeas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油烟</w:t>
            </w:r>
          </w:p>
        </w:tc>
        <w:tc>
          <w:tcPr>
            <w:tcW w:w="898" w:type="pct"/>
            <w:tcBorders>
              <w:top w:val="single" w:color="auto" w:sz="4" w:space="0"/>
              <w:left w:val="single" w:color="000000" w:sz="4" w:space="0"/>
              <w:bottom w:val="single" w:color="000000" w:sz="4" w:space="0"/>
              <w:right w:val="nil"/>
            </w:tcBorders>
            <w:vAlign w:val="center"/>
          </w:tcPr>
          <w:p>
            <w:pPr>
              <w:pStyle w:val="84"/>
              <w:rPr>
                <w:rFonts w:hint="eastAsia" w:ascii="Times New Roman" w:hAnsi="Times New Roman" w:eastAsia="宋体" w:cs="Times New Roman"/>
                <w:snapToGrid w:val="0"/>
                <w:color w:val="auto"/>
                <w:kern w:val="2"/>
                <w:sz w:val="21"/>
                <w:szCs w:val="22"/>
                <w:highlight w:val="none"/>
                <w:lang w:val="en-US" w:eastAsia="zh-CN" w:bidi="ar-SA"/>
              </w:rPr>
            </w:pPr>
            <w:r>
              <w:rPr>
                <w:rFonts w:hint="eastAsia" w:hAnsi="Times New Roman"/>
                <w:bCs/>
                <w:snapToGrid w:val="0"/>
                <w:color w:val="auto"/>
                <w:highlight w:val="none"/>
              </w:rPr>
              <w:t>0.00</w:t>
            </w:r>
            <w:r>
              <w:rPr>
                <w:rFonts w:hint="eastAsia" w:hAnsi="Times New Roman"/>
                <w:bCs/>
                <w:snapToGrid w:val="0"/>
                <w:color w:val="auto"/>
                <w:highlight w:val="none"/>
                <w:lang w:val="en-US" w:eastAsia="zh-CN"/>
              </w:rPr>
              <w:t>4</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5" w:hRule="atLeast"/>
          <w:jc w:val="center"/>
        </w:trPr>
        <w:tc>
          <w:tcPr>
            <w:tcW w:w="0" w:type="auto"/>
            <w:gridSpan w:val="2"/>
            <w:vMerge w:val="continue"/>
            <w:tcBorders>
              <w:left w:val="nil"/>
              <w:bottom w:val="single" w:color="auto" w:sz="12" w:space="0"/>
              <w:right w:val="single" w:color="000000" w:sz="4" w:space="0"/>
            </w:tcBorders>
            <w:vAlign w:val="center"/>
          </w:tcPr>
          <w:p>
            <w:pPr>
              <w:widowControl/>
              <w:jc w:val="left"/>
              <w:rPr>
                <w:color w:val="auto"/>
                <w:szCs w:val="21"/>
                <w:highlight w:val="none"/>
              </w:rPr>
            </w:pPr>
          </w:p>
        </w:tc>
        <w:tc>
          <w:tcPr>
            <w:tcW w:w="2672" w:type="pct"/>
            <w:gridSpan w:val="3"/>
            <w:tcBorders>
              <w:top w:val="single" w:color="000000" w:sz="4" w:space="0"/>
              <w:left w:val="single" w:color="000000" w:sz="4" w:space="0"/>
              <w:bottom w:val="single" w:color="000000" w:sz="4" w:space="0"/>
              <w:right w:val="single" w:color="000000" w:sz="4"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b w:val="0"/>
                <w:bCs w:val="0"/>
                <w:color w:val="auto"/>
                <w:szCs w:val="21"/>
                <w:highlight w:val="none"/>
              </w:rPr>
            </w:pPr>
            <w: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t>颗粒物</w:t>
            </w:r>
          </w:p>
        </w:tc>
        <w:tc>
          <w:tcPr>
            <w:tcW w:w="1569" w:type="dxa"/>
            <w:tcBorders>
              <w:top w:val="single" w:color="000000" w:sz="4" w:space="0"/>
              <w:left w:val="single" w:color="000000" w:sz="4" w:space="0"/>
              <w:bottom w:val="single" w:color="000000" w:sz="4" w:space="0"/>
              <w:right w:val="nil"/>
            </w:tcBorders>
            <w:vAlign w:val="center"/>
          </w:tcPr>
          <w:p>
            <w:pPr>
              <w:pStyle w:val="84"/>
              <w:rPr>
                <w:rFonts w:hint="eastAsia" w:hAnsi="Times New Roman"/>
                <w:bCs/>
                <w:snapToGrid w:val="0"/>
                <w:color w:val="auto"/>
                <w:szCs w:val="22"/>
                <w:highlight w:val="none"/>
              </w:rPr>
            </w:pPr>
            <w:r>
              <w:rPr>
                <w:rFonts w:hint="eastAsia" w:hAnsi="Times New Roman"/>
                <w:snapToGrid w:val="0"/>
                <w:color w:val="auto"/>
                <w:highlight w:val="none"/>
                <w:lang w:val="en-US" w:eastAsia="zh-CN"/>
              </w:rPr>
              <w:t>0.074</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5" w:hRule="atLeast"/>
          <w:jc w:val="center"/>
        </w:trPr>
        <w:tc>
          <w:tcPr>
            <w:tcW w:w="0" w:type="auto"/>
            <w:gridSpan w:val="2"/>
            <w:vMerge w:val="continue"/>
            <w:tcBorders>
              <w:left w:val="nil"/>
              <w:bottom w:val="single" w:color="auto" w:sz="12" w:space="0"/>
              <w:right w:val="single" w:color="000000" w:sz="4" w:space="0"/>
            </w:tcBorders>
            <w:vAlign w:val="center"/>
          </w:tcPr>
          <w:p>
            <w:pPr>
              <w:widowControl/>
              <w:jc w:val="left"/>
              <w:rPr>
                <w:color w:val="auto"/>
                <w:szCs w:val="21"/>
                <w:highlight w:val="none"/>
              </w:rPr>
            </w:pPr>
          </w:p>
        </w:tc>
        <w:tc>
          <w:tcPr>
            <w:tcW w:w="2672" w:type="pct"/>
            <w:gridSpan w:val="3"/>
            <w:tcBorders>
              <w:top w:val="single" w:color="000000" w:sz="4" w:space="0"/>
              <w:left w:val="single" w:color="000000" w:sz="4" w:space="0"/>
              <w:bottom w:val="single" w:color="000000" w:sz="4" w:space="0"/>
              <w:right w:val="single" w:color="000000" w:sz="4"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b w:val="0"/>
                <w:bCs w:val="0"/>
                <w:color w:val="auto"/>
                <w:szCs w:val="21"/>
                <w:highlight w:val="none"/>
              </w:rPr>
            </w:pPr>
            <w: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t>二氧化硫</w:t>
            </w:r>
          </w:p>
        </w:tc>
        <w:tc>
          <w:tcPr>
            <w:tcW w:w="1569" w:type="dxa"/>
            <w:tcBorders>
              <w:top w:val="single" w:color="000000" w:sz="4" w:space="0"/>
              <w:left w:val="single" w:color="000000" w:sz="4" w:space="0"/>
              <w:bottom w:val="single" w:color="000000" w:sz="4" w:space="0"/>
              <w:right w:val="nil"/>
            </w:tcBorders>
            <w:vAlign w:val="center"/>
          </w:tcPr>
          <w:p>
            <w:pPr>
              <w:pStyle w:val="84"/>
              <w:rPr>
                <w:rFonts w:hint="eastAsia" w:hAnsi="Times New Roman"/>
                <w:bCs/>
                <w:snapToGrid w:val="0"/>
                <w:color w:val="auto"/>
                <w:szCs w:val="22"/>
                <w:highlight w:val="none"/>
              </w:rPr>
            </w:pPr>
            <w:r>
              <w:rPr>
                <w:rFonts w:hint="eastAsia" w:hAnsi="Times New Roman"/>
                <w:snapToGrid w:val="0"/>
                <w:color w:val="auto"/>
                <w:highlight w:val="none"/>
                <w:lang w:val="en-US" w:eastAsia="zh-CN"/>
              </w:rPr>
              <w:t>0.101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5" w:hRule="atLeast"/>
          <w:jc w:val="center"/>
        </w:trPr>
        <w:tc>
          <w:tcPr>
            <w:tcW w:w="0" w:type="auto"/>
            <w:gridSpan w:val="2"/>
            <w:vMerge w:val="continue"/>
            <w:tcBorders>
              <w:left w:val="nil"/>
              <w:bottom w:val="single" w:color="auto" w:sz="12" w:space="0"/>
              <w:right w:val="single" w:color="000000" w:sz="4" w:space="0"/>
            </w:tcBorders>
            <w:vAlign w:val="center"/>
          </w:tcPr>
          <w:p>
            <w:pPr>
              <w:widowControl/>
              <w:jc w:val="left"/>
              <w:rPr>
                <w:color w:val="auto"/>
                <w:szCs w:val="21"/>
                <w:highlight w:val="none"/>
              </w:rPr>
            </w:pPr>
          </w:p>
        </w:tc>
        <w:tc>
          <w:tcPr>
            <w:tcW w:w="2672" w:type="pct"/>
            <w:gridSpan w:val="3"/>
            <w:tcBorders>
              <w:top w:val="single" w:color="000000" w:sz="4" w:space="0"/>
              <w:left w:val="single" w:color="000000" w:sz="4" w:space="0"/>
              <w:bottom w:val="single" w:color="auto" w:sz="12" w:space="0"/>
              <w:right w:val="single" w:color="000000" w:sz="4"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b w:val="0"/>
                <w:bCs w:val="0"/>
                <w:color w:val="auto"/>
                <w:szCs w:val="21"/>
                <w:highlight w:val="none"/>
              </w:rPr>
            </w:pPr>
            <w: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t>氮氧化物</w:t>
            </w:r>
          </w:p>
        </w:tc>
        <w:tc>
          <w:tcPr>
            <w:tcW w:w="1569" w:type="dxa"/>
            <w:tcBorders>
              <w:top w:val="single" w:color="000000" w:sz="4" w:space="0"/>
              <w:left w:val="single" w:color="000000" w:sz="4" w:space="0"/>
              <w:bottom w:val="single" w:color="auto" w:sz="12" w:space="0"/>
              <w:right w:val="nil"/>
            </w:tcBorders>
            <w:vAlign w:val="center"/>
          </w:tcPr>
          <w:p>
            <w:pPr>
              <w:pStyle w:val="84"/>
              <w:rPr>
                <w:rFonts w:hAnsi="Times New Roman"/>
                <w:snapToGrid w:val="0"/>
                <w:color w:val="auto"/>
                <w:szCs w:val="22"/>
                <w:highlight w:val="none"/>
              </w:rPr>
            </w:pPr>
            <w:r>
              <w:rPr>
                <w:rFonts w:hint="eastAsia" w:hAnsi="Times New Roman"/>
                <w:snapToGrid w:val="0"/>
                <w:color w:val="auto"/>
                <w:highlight w:val="none"/>
                <w:lang w:val="en-US" w:eastAsia="zh-CN"/>
              </w:rPr>
              <w:t>0.427</w:t>
            </w:r>
          </w:p>
        </w:tc>
      </w:tr>
    </w:tbl>
    <w:p>
      <w:pPr>
        <w:spacing w:line="360" w:lineRule="auto"/>
        <w:ind w:firstLine="482"/>
        <w:jc w:val="center"/>
        <w:rPr>
          <w:b/>
          <w:color w:val="auto"/>
          <w:sz w:val="24"/>
          <w:highlight w:val="none"/>
        </w:rPr>
      </w:pPr>
      <w:r>
        <w:rPr>
          <w:b/>
          <w:color w:val="auto"/>
          <w:sz w:val="24"/>
          <w:highlight w:val="none"/>
        </w:rPr>
        <w:t>表5-2</w:t>
      </w:r>
      <w:r>
        <w:rPr>
          <w:rFonts w:hint="eastAsia"/>
          <w:b/>
          <w:color w:val="auto"/>
          <w:sz w:val="24"/>
          <w:highlight w:val="none"/>
        </w:rPr>
        <w:t>-1</w:t>
      </w:r>
      <w:r>
        <w:rPr>
          <w:rFonts w:hint="eastAsia"/>
          <w:b/>
          <w:color w:val="auto"/>
          <w:sz w:val="24"/>
          <w:highlight w:val="none"/>
          <w:lang w:val="en-US" w:eastAsia="zh-CN"/>
        </w:rPr>
        <w:t>1</w:t>
      </w:r>
      <w:r>
        <w:rPr>
          <w:b/>
          <w:color w:val="auto"/>
          <w:sz w:val="24"/>
          <w:highlight w:val="none"/>
        </w:rPr>
        <w:t>大气污染物无组织排放量核算表</w:t>
      </w:r>
    </w:p>
    <w:tbl>
      <w:tblPr>
        <w:tblStyle w:val="46"/>
        <w:tblW w:w="875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68"/>
        <w:gridCol w:w="709"/>
        <w:gridCol w:w="987"/>
        <w:gridCol w:w="714"/>
        <w:gridCol w:w="2835"/>
        <w:gridCol w:w="1190"/>
        <w:gridCol w:w="1083"/>
        <w:gridCol w:w="87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4" w:hRule="atLeast"/>
          <w:jc w:val="center"/>
        </w:trPr>
        <w:tc>
          <w:tcPr>
            <w:tcW w:w="368"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序号</w:t>
            </w:r>
          </w:p>
        </w:tc>
        <w:tc>
          <w:tcPr>
            <w:tcW w:w="709"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排放口编号</w:t>
            </w:r>
          </w:p>
        </w:tc>
        <w:tc>
          <w:tcPr>
            <w:tcW w:w="987"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产污环节</w:t>
            </w:r>
          </w:p>
        </w:tc>
        <w:tc>
          <w:tcPr>
            <w:tcW w:w="714"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污染物</w:t>
            </w:r>
          </w:p>
        </w:tc>
        <w:tc>
          <w:tcPr>
            <w:tcW w:w="2835"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主要污染防治措施</w:t>
            </w:r>
          </w:p>
        </w:tc>
        <w:tc>
          <w:tcPr>
            <w:tcW w:w="2273" w:type="dxa"/>
            <w:gridSpan w:val="2"/>
            <w:vAlign w:val="center"/>
          </w:tcPr>
          <w:p>
            <w:pPr>
              <w:spacing w:line="0" w:lineRule="atLeast"/>
              <w:jc w:val="center"/>
              <w:rPr>
                <w:rFonts w:eastAsiaTheme="minorEastAsia"/>
                <w:color w:val="auto"/>
                <w:szCs w:val="21"/>
              </w:rPr>
            </w:pPr>
            <w:r>
              <w:rPr>
                <w:rFonts w:hAnsiTheme="minorEastAsia" w:eastAsiaTheme="minorEastAsia"/>
                <w:color w:val="auto"/>
                <w:szCs w:val="21"/>
              </w:rPr>
              <w:t>污染物排放标准</w:t>
            </w:r>
          </w:p>
        </w:tc>
        <w:tc>
          <w:tcPr>
            <w:tcW w:w="872" w:type="dxa"/>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年排放量</w:t>
            </w:r>
          </w:p>
          <w:p>
            <w:pPr>
              <w:spacing w:line="0" w:lineRule="atLeast"/>
              <w:jc w:val="center"/>
              <w:rPr>
                <w:rFonts w:eastAsiaTheme="minorEastAsia"/>
                <w:color w:val="auto"/>
                <w:szCs w:val="21"/>
              </w:rPr>
            </w:pPr>
            <w:r>
              <w:rPr>
                <w:rFonts w:hAnsiTheme="minorEastAsia" w:eastAsiaTheme="minorEastAsia"/>
                <w:color w:val="auto"/>
                <w:szCs w:val="21"/>
              </w:rPr>
              <w:t>（</w:t>
            </w:r>
            <w:r>
              <w:rPr>
                <w:rFonts w:eastAsiaTheme="minorEastAsia"/>
                <w:color w:val="auto"/>
                <w:szCs w:val="21"/>
              </w:rPr>
              <w:t>t/a</w:t>
            </w:r>
            <w:r>
              <w:rPr>
                <w:rFonts w:hAnsiTheme="minorEastAsia" w:eastAsiaTheme="minorEastAsia"/>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7" w:hRule="atLeast"/>
          <w:jc w:val="center"/>
        </w:trPr>
        <w:tc>
          <w:tcPr>
            <w:tcW w:w="368" w:type="dxa"/>
            <w:vMerge w:val="continue"/>
            <w:vAlign w:val="center"/>
          </w:tcPr>
          <w:p>
            <w:pPr>
              <w:widowControl/>
              <w:spacing w:line="0" w:lineRule="atLeast"/>
              <w:jc w:val="center"/>
              <w:rPr>
                <w:rFonts w:eastAsiaTheme="minorEastAsia"/>
                <w:color w:val="auto"/>
                <w:szCs w:val="21"/>
              </w:rPr>
            </w:pPr>
          </w:p>
        </w:tc>
        <w:tc>
          <w:tcPr>
            <w:tcW w:w="709" w:type="dxa"/>
            <w:vMerge w:val="continue"/>
            <w:vAlign w:val="center"/>
          </w:tcPr>
          <w:p>
            <w:pPr>
              <w:widowControl/>
              <w:spacing w:line="0" w:lineRule="atLeast"/>
              <w:jc w:val="center"/>
              <w:rPr>
                <w:rFonts w:eastAsiaTheme="minorEastAsia"/>
                <w:color w:val="auto"/>
                <w:szCs w:val="21"/>
              </w:rPr>
            </w:pPr>
          </w:p>
        </w:tc>
        <w:tc>
          <w:tcPr>
            <w:tcW w:w="987" w:type="dxa"/>
            <w:vMerge w:val="continue"/>
            <w:vAlign w:val="center"/>
          </w:tcPr>
          <w:p>
            <w:pPr>
              <w:widowControl/>
              <w:spacing w:line="0" w:lineRule="atLeast"/>
              <w:jc w:val="center"/>
              <w:rPr>
                <w:rFonts w:eastAsiaTheme="minorEastAsia"/>
                <w:color w:val="auto"/>
                <w:szCs w:val="21"/>
              </w:rPr>
            </w:pPr>
          </w:p>
        </w:tc>
        <w:tc>
          <w:tcPr>
            <w:tcW w:w="714" w:type="dxa"/>
            <w:vMerge w:val="continue"/>
            <w:vAlign w:val="center"/>
          </w:tcPr>
          <w:p>
            <w:pPr>
              <w:widowControl/>
              <w:spacing w:line="0" w:lineRule="atLeast"/>
              <w:jc w:val="center"/>
              <w:rPr>
                <w:rFonts w:eastAsiaTheme="minorEastAsia"/>
                <w:color w:val="auto"/>
                <w:szCs w:val="21"/>
              </w:rPr>
            </w:pPr>
          </w:p>
        </w:tc>
        <w:tc>
          <w:tcPr>
            <w:tcW w:w="2835" w:type="dxa"/>
            <w:vMerge w:val="continue"/>
            <w:vAlign w:val="center"/>
          </w:tcPr>
          <w:p>
            <w:pPr>
              <w:widowControl/>
              <w:spacing w:line="0" w:lineRule="atLeast"/>
              <w:jc w:val="center"/>
              <w:rPr>
                <w:rFonts w:eastAsiaTheme="minorEastAsia"/>
                <w:color w:val="auto"/>
                <w:szCs w:val="21"/>
              </w:rPr>
            </w:pPr>
          </w:p>
        </w:tc>
        <w:tc>
          <w:tcPr>
            <w:tcW w:w="1190" w:type="dxa"/>
            <w:vAlign w:val="center"/>
          </w:tcPr>
          <w:p>
            <w:pPr>
              <w:spacing w:line="0" w:lineRule="atLeast"/>
              <w:jc w:val="center"/>
              <w:rPr>
                <w:rFonts w:eastAsiaTheme="minorEastAsia"/>
                <w:color w:val="auto"/>
                <w:szCs w:val="21"/>
              </w:rPr>
            </w:pPr>
            <w:r>
              <w:rPr>
                <w:rFonts w:hAnsiTheme="minorEastAsia" w:eastAsiaTheme="minorEastAsia"/>
                <w:color w:val="auto"/>
                <w:szCs w:val="21"/>
              </w:rPr>
              <w:t>标准名称</w:t>
            </w:r>
          </w:p>
        </w:tc>
        <w:tc>
          <w:tcPr>
            <w:tcW w:w="1083" w:type="dxa"/>
            <w:vAlign w:val="center"/>
          </w:tcPr>
          <w:p>
            <w:pPr>
              <w:spacing w:line="0" w:lineRule="atLeast"/>
              <w:jc w:val="center"/>
              <w:rPr>
                <w:rFonts w:eastAsiaTheme="minorEastAsia"/>
                <w:color w:val="auto"/>
                <w:szCs w:val="21"/>
              </w:rPr>
            </w:pPr>
            <w:r>
              <w:rPr>
                <w:rFonts w:hAnsiTheme="minorEastAsia" w:eastAsiaTheme="minorEastAsia"/>
                <w:color w:val="auto"/>
                <w:szCs w:val="21"/>
              </w:rPr>
              <w:t>浓度限值</w:t>
            </w:r>
            <w:r>
              <w:rPr>
                <w:rFonts w:eastAsiaTheme="minorEastAsia"/>
                <w:color w:val="auto"/>
                <w:szCs w:val="21"/>
              </w:rPr>
              <w:t>/</w:t>
            </w:r>
            <w:r>
              <w:rPr>
                <w:rFonts w:hAnsiTheme="minorEastAsia" w:eastAsiaTheme="minorEastAsia"/>
                <w:color w:val="auto"/>
                <w:szCs w:val="21"/>
              </w:rPr>
              <w:t>（</w:t>
            </w:r>
            <w:r>
              <w:rPr>
                <w:rFonts w:eastAsiaTheme="minorEastAsia"/>
                <w:color w:val="auto"/>
                <w:szCs w:val="21"/>
              </w:rPr>
              <w:t>mg/m</w:t>
            </w:r>
            <w:r>
              <w:rPr>
                <w:rFonts w:eastAsiaTheme="minorEastAsia"/>
                <w:color w:val="auto"/>
                <w:szCs w:val="21"/>
                <w:vertAlign w:val="superscript"/>
              </w:rPr>
              <w:t>3</w:t>
            </w:r>
            <w:r>
              <w:rPr>
                <w:rFonts w:hAnsiTheme="minorEastAsia" w:eastAsiaTheme="minorEastAsia"/>
                <w:color w:val="auto"/>
                <w:szCs w:val="21"/>
              </w:rPr>
              <w:t>）</w:t>
            </w:r>
          </w:p>
        </w:tc>
        <w:tc>
          <w:tcPr>
            <w:tcW w:w="872" w:type="dxa"/>
            <w:vMerge w:val="continue"/>
            <w:vAlign w:val="center"/>
          </w:tcPr>
          <w:p>
            <w:pPr>
              <w:widowControl/>
              <w:spacing w:line="0" w:lineRule="atLeast"/>
              <w:jc w:val="center"/>
              <w:rPr>
                <w:rFonts w:eastAsiaTheme="minorEastAsia"/>
                <w:color w:val="auto"/>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15" w:hRule="atLeast"/>
          <w:jc w:val="center"/>
        </w:trPr>
        <w:tc>
          <w:tcPr>
            <w:tcW w:w="368" w:type="dxa"/>
            <w:vMerge w:val="restart"/>
            <w:vAlign w:val="center"/>
          </w:tcPr>
          <w:p>
            <w:pPr>
              <w:widowControl/>
              <w:spacing w:line="0" w:lineRule="atLeast"/>
              <w:jc w:val="center"/>
              <w:rPr>
                <w:rFonts w:eastAsiaTheme="minorEastAsia"/>
                <w:color w:val="auto"/>
                <w:szCs w:val="21"/>
              </w:rPr>
            </w:pPr>
            <w:r>
              <w:rPr>
                <w:rFonts w:eastAsiaTheme="minorEastAsia"/>
                <w:color w:val="auto"/>
                <w:szCs w:val="21"/>
              </w:rPr>
              <w:t>1</w:t>
            </w:r>
          </w:p>
        </w:tc>
        <w:tc>
          <w:tcPr>
            <w:tcW w:w="709" w:type="dxa"/>
            <w:vMerge w:val="restart"/>
            <w:vAlign w:val="center"/>
          </w:tcPr>
          <w:p>
            <w:pPr>
              <w:widowControl/>
              <w:spacing w:line="0" w:lineRule="atLeast"/>
              <w:jc w:val="center"/>
              <w:rPr>
                <w:rFonts w:eastAsiaTheme="minorEastAsia"/>
                <w:color w:val="auto"/>
                <w:szCs w:val="21"/>
              </w:rPr>
            </w:pPr>
            <w:r>
              <w:rPr>
                <w:rFonts w:eastAsiaTheme="minorEastAsia"/>
                <w:color w:val="auto"/>
                <w:szCs w:val="21"/>
              </w:rPr>
              <w:t>1#</w:t>
            </w:r>
          </w:p>
        </w:tc>
        <w:tc>
          <w:tcPr>
            <w:tcW w:w="987" w:type="dxa"/>
            <w:vMerge w:val="restart"/>
            <w:vAlign w:val="center"/>
          </w:tcPr>
          <w:p>
            <w:pPr>
              <w:widowControl/>
              <w:spacing w:line="0" w:lineRule="atLeast"/>
              <w:jc w:val="center"/>
              <w:rPr>
                <w:rFonts w:eastAsiaTheme="minorEastAsia"/>
                <w:color w:val="auto"/>
                <w:szCs w:val="21"/>
              </w:rPr>
            </w:pPr>
            <w:r>
              <w:rPr>
                <w:rFonts w:hint="eastAsia" w:hAnsiTheme="minorEastAsia" w:eastAsiaTheme="minorEastAsia"/>
                <w:color w:val="auto"/>
                <w:szCs w:val="21"/>
              </w:rPr>
              <w:t>待宰间</w:t>
            </w:r>
          </w:p>
        </w:tc>
        <w:tc>
          <w:tcPr>
            <w:tcW w:w="714" w:type="dxa"/>
            <w:vAlign w:val="center"/>
          </w:tcPr>
          <w:p>
            <w:pPr>
              <w:widowControl/>
              <w:spacing w:line="0" w:lineRule="atLeast"/>
              <w:jc w:val="center"/>
              <w:rPr>
                <w:rFonts w:eastAsiaTheme="minorEastAsia"/>
                <w:color w:val="auto"/>
                <w:szCs w:val="21"/>
              </w:rPr>
            </w:pPr>
            <w:r>
              <w:rPr>
                <w:rFonts w:eastAsiaTheme="minorEastAsia"/>
                <w:color w:val="auto"/>
                <w:szCs w:val="21"/>
              </w:rPr>
              <w:t>NH</w:t>
            </w:r>
            <w:r>
              <w:rPr>
                <w:rFonts w:eastAsiaTheme="minorEastAsia"/>
                <w:color w:val="auto"/>
                <w:szCs w:val="21"/>
                <w:vertAlign w:val="subscript"/>
              </w:rPr>
              <w:t>3</w:t>
            </w:r>
          </w:p>
        </w:tc>
        <w:tc>
          <w:tcPr>
            <w:tcW w:w="2835" w:type="dxa"/>
            <w:vMerge w:val="restart"/>
            <w:vAlign w:val="center"/>
          </w:tcPr>
          <w:p>
            <w:pPr>
              <w:widowControl/>
              <w:spacing w:line="0" w:lineRule="atLeast"/>
              <w:jc w:val="center"/>
              <w:rPr>
                <w:rFonts w:eastAsiaTheme="minorEastAsia"/>
                <w:color w:val="auto"/>
                <w:szCs w:val="21"/>
              </w:rPr>
            </w:pPr>
            <w:r>
              <w:rPr>
                <w:rFonts w:eastAsiaTheme="minorEastAsia"/>
                <w:snapToGrid w:val="0"/>
                <w:color w:val="auto"/>
                <w:szCs w:val="21"/>
              </w:rPr>
              <w:t>待宰</w:t>
            </w:r>
            <w:r>
              <w:rPr>
                <w:rFonts w:hint="eastAsia" w:eastAsiaTheme="minorEastAsia"/>
                <w:snapToGrid w:val="0"/>
                <w:color w:val="auto"/>
                <w:szCs w:val="21"/>
              </w:rPr>
              <w:t>间</w:t>
            </w:r>
            <w:r>
              <w:rPr>
                <w:rFonts w:eastAsiaTheme="minorEastAsia"/>
                <w:snapToGrid w:val="0"/>
                <w:color w:val="auto"/>
                <w:szCs w:val="21"/>
              </w:rPr>
              <w:t>及时清扫，并投加或喷洒除臭剂，加强通风</w:t>
            </w:r>
          </w:p>
        </w:tc>
        <w:tc>
          <w:tcPr>
            <w:tcW w:w="1190" w:type="dxa"/>
            <w:vMerge w:val="restart"/>
            <w:vAlign w:val="center"/>
          </w:tcPr>
          <w:p>
            <w:pPr>
              <w:spacing w:line="0" w:lineRule="atLeast"/>
              <w:jc w:val="center"/>
              <w:rPr>
                <w:rFonts w:eastAsiaTheme="minorEastAsia"/>
                <w:color w:val="auto"/>
                <w:szCs w:val="21"/>
              </w:rPr>
            </w:pPr>
            <w:r>
              <w:rPr>
                <w:rFonts w:hAnsiTheme="minorEastAsia" w:eastAsiaTheme="minorEastAsia"/>
                <w:color w:val="auto"/>
                <w:kern w:val="0"/>
                <w:szCs w:val="21"/>
              </w:rPr>
              <w:t>《恶臭污染物排放标准》（</w:t>
            </w:r>
            <w:r>
              <w:rPr>
                <w:rFonts w:eastAsiaTheme="minorEastAsia"/>
                <w:color w:val="auto"/>
                <w:kern w:val="0"/>
                <w:szCs w:val="21"/>
              </w:rPr>
              <w:t>GB14554-1993</w:t>
            </w:r>
            <w:r>
              <w:rPr>
                <w:rFonts w:hAnsiTheme="minorEastAsia" w:eastAsiaTheme="minorEastAsia"/>
                <w:color w:val="auto"/>
                <w:kern w:val="0"/>
                <w:szCs w:val="21"/>
              </w:rPr>
              <w:t>）表</w:t>
            </w:r>
            <w:r>
              <w:rPr>
                <w:rFonts w:eastAsiaTheme="minorEastAsia"/>
                <w:color w:val="auto"/>
                <w:kern w:val="0"/>
                <w:szCs w:val="21"/>
              </w:rPr>
              <w:t>1</w:t>
            </w:r>
            <w:r>
              <w:rPr>
                <w:rFonts w:hAnsiTheme="minorEastAsia" w:eastAsiaTheme="minorEastAsia"/>
                <w:color w:val="auto"/>
                <w:kern w:val="0"/>
                <w:szCs w:val="21"/>
              </w:rPr>
              <w:t>中二级新改扩建标准</w:t>
            </w:r>
          </w:p>
        </w:tc>
        <w:tc>
          <w:tcPr>
            <w:tcW w:w="1083" w:type="dxa"/>
            <w:vAlign w:val="center"/>
          </w:tcPr>
          <w:p>
            <w:pPr>
              <w:spacing w:line="0" w:lineRule="atLeast"/>
              <w:jc w:val="center"/>
              <w:rPr>
                <w:rFonts w:eastAsiaTheme="minorEastAsia"/>
                <w:color w:val="auto"/>
                <w:szCs w:val="21"/>
              </w:rPr>
            </w:pPr>
            <w:r>
              <w:rPr>
                <w:rFonts w:hint="eastAsia" w:eastAsiaTheme="minorEastAsia"/>
                <w:color w:val="000000" w:themeColor="text1"/>
                <w:szCs w:val="21"/>
              </w:rPr>
              <w:t>1.5</w:t>
            </w:r>
          </w:p>
        </w:tc>
        <w:tc>
          <w:tcPr>
            <w:tcW w:w="872" w:type="dxa"/>
            <w:vAlign w:val="center"/>
          </w:tcPr>
          <w:p>
            <w:pPr>
              <w:widowControl/>
              <w:spacing w:line="0" w:lineRule="atLeast"/>
              <w:jc w:val="center"/>
              <w:rPr>
                <w:rFonts w:eastAsiaTheme="minorEastAsia"/>
                <w:color w:val="auto"/>
                <w:szCs w:val="21"/>
              </w:rPr>
            </w:pPr>
            <w:r>
              <w:rPr>
                <w:rFonts w:hint="eastAsia" w:eastAsiaTheme="minorEastAsia"/>
                <w:color w:val="auto"/>
                <w:szCs w:val="21"/>
              </w:rPr>
              <w:t>0.00</w:t>
            </w:r>
            <w:r>
              <w:rPr>
                <w:rFonts w:hint="eastAsia" w:eastAsiaTheme="minorEastAsia"/>
                <w:color w:val="auto"/>
                <w:szCs w:val="21"/>
                <w:lang w:val="en-US" w:eastAsia="zh-CN"/>
              </w:rPr>
              <w:t>41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 w:hRule="atLeast"/>
          <w:jc w:val="center"/>
        </w:trPr>
        <w:tc>
          <w:tcPr>
            <w:tcW w:w="368" w:type="dxa"/>
            <w:vMerge w:val="continue"/>
            <w:vAlign w:val="center"/>
          </w:tcPr>
          <w:p>
            <w:pPr>
              <w:widowControl/>
              <w:spacing w:line="0" w:lineRule="atLeast"/>
              <w:jc w:val="center"/>
              <w:rPr>
                <w:rFonts w:eastAsiaTheme="minorEastAsia"/>
                <w:color w:val="auto"/>
                <w:szCs w:val="21"/>
              </w:rPr>
            </w:pPr>
          </w:p>
        </w:tc>
        <w:tc>
          <w:tcPr>
            <w:tcW w:w="709" w:type="dxa"/>
            <w:vMerge w:val="continue"/>
            <w:vAlign w:val="center"/>
          </w:tcPr>
          <w:p>
            <w:pPr>
              <w:widowControl/>
              <w:spacing w:line="0" w:lineRule="atLeast"/>
              <w:jc w:val="center"/>
              <w:rPr>
                <w:rFonts w:eastAsiaTheme="minorEastAsia"/>
                <w:color w:val="auto"/>
                <w:szCs w:val="21"/>
              </w:rPr>
            </w:pPr>
          </w:p>
        </w:tc>
        <w:tc>
          <w:tcPr>
            <w:tcW w:w="987" w:type="dxa"/>
            <w:vMerge w:val="continue"/>
            <w:vAlign w:val="center"/>
          </w:tcPr>
          <w:p>
            <w:pPr>
              <w:widowControl/>
              <w:spacing w:line="0" w:lineRule="atLeast"/>
              <w:jc w:val="center"/>
              <w:rPr>
                <w:rFonts w:eastAsiaTheme="minorEastAsia"/>
                <w:color w:val="auto"/>
                <w:szCs w:val="21"/>
              </w:rPr>
            </w:pPr>
          </w:p>
        </w:tc>
        <w:tc>
          <w:tcPr>
            <w:tcW w:w="714" w:type="dxa"/>
            <w:vAlign w:val="center"/>
          </w:tcPr>
          <w:p>
            <w:pPr>
              <w:widowControl/>
              <w:spacing w:line="0" w:lineRule="atLeast"/>
              <w:jc w:val="center"/>
              <w:rPr>
                <w:rFonts w:eastAsiaTheme="minorEastAsia"/>
                <w:color w:val="auto"/>
                <w:szCs w:val="21"/>
              </w:rPr>
            </w:pPr>
            <w:r>
              <w:rPr>
                <w:rFonts w:eastAsiaTheme="minorEastAsia"/>
                <w:color w:val="auto"/>
                <w:szCs w:val="21"/>
              </w:rPr>
              <w:t>H</w:t>
            </w:r>
            <w:r>
              <w:rPr>
                <w:rFonts w:eastAsiaTheme="minorEastAsia"/>
                <w:color w:val="auto"/>
                <w:szCs w:val="21"/>
                <w:vertAlign w:val="subscript"/>
              </w:rPr>
              <w:t>2</w:t>
            </w:r>
            <w:r>
              <w:rPr>
                <w:rFonts w:eastAsiaTheme="minorEastAsia"/>
                <w:color w:val="auto"/>
                <w:szCs w:val="21"/>
              </w:rPr>
              <w:t>S</w:t>
            </w:r>
          </w:p>
        </w:tc>
        <w:tc>
          <w:tcPr>
            <w:tcW w:w="2835" w:type="dxa"/>
            <w:vMerge w:val="continue"/>
            <w:vAlign w:val="center"/>
          </w:tcPr>
          <w:p>
            <w:pPr>
              <w:widowControl/>
              <w:spacing w:line="0" w:lineRule="atLeast"/>
              <w:jc w:val="center"/>
              <w:rPr>
                <w:rFonts w:eastAsiaTheme="minorEastAsia"/>
                <w:color w:val="auto"/>
                <w:szCs w:val="21"/>
              </w:rPr>
            </w:pPr>
          </w:p>
        </w:tc>
        <w:tc>
          <w:tcPr>
            <w:tcW w:w="1190" w:type="dxa"/>
            <w:vMerge w:val="continue"/>
            <w:vAlign w:val="center"/>
          </w:tcPr>
          <w:p>
            <w:pPr>
              <w:widowControl/>
              <w:spacing w:line="0" w:lineRule="atLeast"/>
              <w:jc w:val="center"/>
              <w:rPr>
                <w:rFonts w:eastAsiaTheme="minorEastAsia"/>
                <w:color w:val="auto"/>
                <w:szCs w:val="21"/>
              </w:rPr>
            </w:pPr>
          </w:p>
        </w:tc>
        <w:tc>
          <w:tcPr>
            <w:tcW w:w="1083" w:type="dxa"/>
            <w:vAlign w:val="center"/>
          </w:tcPr>
          <w:p>
            <w:pPr>
              <w:spacing w:line="0" w:lineRule="atLeast"/>
              <w:jc w:val="center"/>
              <w:rPr>
                <w:rFonts w:eastAsiaTheme="minorEastAsia"/>
                <w:color w:val="auto"/>
                <w:szCs w:val="21"/>
              </w:rPr>
            </w:pPr>
            <w:r>
              <w:rPr>
                <w:rFonts w:hint="eastAsia" w:eastAsiaTheme="minorEastAsia"/>
                <w:color w:val="000000" w:themeColor="text1"/>
                <w:szCs w:val="21"/>
              </w:rPr>
              <w:t>0.06</w:t>
            </w:r>
          </w:p>
        </w:tc>
        <w:tc>
          <w:tcPr>
            <w:tcW w:w="872" w:type="dxa"/>
            <w:vAlign w:val="center"/>
          </w:tcPr>
          <w:p>
            <w:pPr>
              <w:widowControl/>
              <w:spacing w:line="0" w:lineRule="atLeast"/>
              <w:jc w:val="center"/>
              <w:rPr>
                <w:rFonts w:eastAsiaTheme="minorEastAsia"/>
                <w:color w:val="auto"/>
                <w:szCs w:val="21"/>
              </w:rPr>
            </w:pPr>
            <w:r>
              <w:rPr>
                <w:rFonts w:hint="eastAsia" w:eastAsiaTheme="minorEastAsia"/>
                <w:color w:val="auto"/>
                <w:szCs w:val="21"/>
              </w:rPr>
              <w:t>0.000</w:t>
            </w:r>
            <w:r>
              <w:rPr>
                <w:rFonts w:hint="eastAsia" w:eastAsiaTheme="minorEastAsia"/>
                <w:color w:val="auto"/>
                <w:szCs w:val="21"/>
                <w:lang w:val="en-US" w:eastAsia="zh-CN"/>
              </w:rPr>
              <w:t>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5" w:hRule="atLeast"/>
          <w:jc w:val="center"/>
        </w:trPr>
        <w:tc>
          <w:tcPr>
            <w:tcW w:w="368" w:type="dxa"/>
            <w:vMerge w:val="restart"/>
            <w:vAlign w:val="center"/>
          </w:tcPr>
          <w:p>
            <w:pPr>
              <w:widowControl/>
              <w:spacing w:line="0" w:lineRule="atLeast"/>
              <w:jc w:val="center"/>
              <w:rPr>
                <w:rFonts w:eastAsiaTheme="minorEastAsia"/>
                <w:color w:val="auto"/>
                <w:szCs w:val="21"/>
              </w:rPr>
            </w:pPr>
            <w:r>
              <w:rPr>
                <w:rFonts w:eastAsiaTheme="minorEastAsia"/>
                <w:color w:val="auto"/>
                <w:szCs w:val="21"/>
              </w:rPr>
              <w:t>2</w:t>
            </w:r>
          </w:p>
        </w:tc>
        <w:tc>
          <w:tcPr>
            <w:tcW w:w="709" w:type="dxa"/>
            <w:vMerge w:val="restart"/>
            <w:vAlign w:val="center"/>
          </w:tcPr>
          <w:p>
            <w:pPr>
              <w:widowControl/>
              <w:spacing w:line="0" w:lineRule="atLeast"/>
              <w:jc w:val="center"/>
              <w:rPr>
                <w:rFonts w:eastAsiaTheme="minorEastAsia"/>
                <w:color w:val="auto"/>
                <w:szCs w:val="21"/>
              </w:rPr>
            </w:pPr>
            <w:r>
              <w:rPr>
                <w:rFonts w:eastAsiaTheme="minorEastAsia"/>
                <w:color w:val="auto"/>
                <w:szCs w:val="21"/>
              </w:rPr>
              <w:t>2#</w:t>
            </w:r>
          </w:p>
        </w:tc>
        <w:tc>
          <w:tcPr>
            <w:tcW w:w="987" w:type="dxa"/>
            <w:vMerge w:val="restart"/>
            <w:vAlign w:val="center"/>
          </w:tcPr>
          <w:p>
            <w:pPr>
              <w:widowControl/>
              <w:spacing w:line="0" w:lineRule="atLeast"/>
              <w:jc w:val="center"/>
              <w:rPr>
                <w:rFonts w:eastAsiaTheme="minorEastAsia"/>
                <w:color w:val="auto"/>
                <w:szCs w:val="21"/>
              </w:rPr>
            </w:pPr>
            <w:r>
              <w:rPr>
                <w:rFonts w:hAnsiTheme="minorEastAsia" w:eastAsiaTheme="minorEastAsia"/>
                <w:color w:val="auto"/>
                <w:szCs w:val="21"/>
              </w:rPr>
              <w:t>屠宰车间</w:t>
            </w:r>
          </w:p>
        </w:tc>
        <w:tc>
          <w:tcPr>
            <w:tcW w:w="714" w:type="dxa"/>
            <w:vAlign w:val="center"/>
          </w:tcPr>
          <w:p>
            <w:pPr>
              <w:widowControl/>
              <w:spacing w:line="0" w:lineRule="atLeast"/>
              <w:jc w:val="center"/>
              <w:rPr>
                <w:rFonts w:eastAsiaTheme="minorEastAsia"/>
                <w:color w:val="auto"/>
                <w:szCs w:val="21"/>
              </w:rPr>
            </w:pPr>
            <w:r>
              <w:rPr>
                <w:rFonts w:eastAsiaTheme="minorEastAsia"/>
                <w:color w:val="auto"/>
                <w:szCs w:val="21"/>
              </w:rPr>
              <w:t>NH</w:t>
            </w:r>
            <w:r>
              <w:rPr>
                <w:rFonts w:eastAsiaTheme="minorEastAsia"/>
                <w:color w:val="auto"/>
                <w:szCs w:val="21"/>
                <w:vertAlign w:val="subscript"/>
              </w:rPr>
              <w:t>3</w:t>
            </w:r>
          </w:p>
        </w:tc>
        <w:tc>
          <w:tcPr>
            <w:tcW w:w="2835" w:type="dxa"/>
            <w:vMerge w:val="restart"/>
            <w:vAlign w:val="center"/>
          </w:tcPr>
          <w:p>
            <w:pPr>
              <w:widowControl/>
              <w:spacing w:line="0" w:lineRule="atLeast"/>
              <w:jc w:val="center"/>
              <w:rPr>
                <w:rFonts w:eastAsiaTheme="minorEastAsia"/>
                <w:color w:val="auto"/>
                <w:szCs w:val="21"/>
              </w:rPr>
            </w:pPr>
            <w:r>
              <w:rPr>
                <w:rFonts w:hint="eastAsia" w:hAnsiTheme="minorEastAsia" w:eastAsiaTheme="minorEastAsia"/>
                <w:bCs/>
                <w:color w:val="auto"/>
                <w:szCs w:val="21"/>
              </w:rPr>
              <w:t>屠宰车间</w:t>
            </w:r>
            <w:r>
              <w:rPr>
                <w:rFonts w:hAnsiTheme="minorEastAsia" w:eastAsiaTheme="minorEastAsia"/>
                <w:color w:val="auto"/>
                <w:szCs w:val="21"/>
              </w:rPr>
              <w:t>封闭</w:t>
            </w:r>
            <w:r>
              <w:rPr>
                <w:rFonts w:eastAsiaTheme="minorEastAsia"/>
                <w:snapToGrid w:val="0"/>
                <w:color w:val="auto"/>
                <w:szCs w:val="21"/>
              </w:rPr>
              <w:t>，加强通风</w:t>
            </w:r>
          </w:p>
        </w:tc>
        <w:tc>
          <w:tcPr>
            <w:tcW w:w="1190" w:type="dxa"/>
            <w:vMerge w:val="continue"/>
            <w:vAlign w:val="center"/>
          </w:tcPr>
          <w:p>
            <w:pPr>
              <w:widowControl/>
              <w:spacing w:line="0" w:lineRule="atLeast"/>
              <w:jc w:val="center"/>
              <w:rPr>
                <w:rFonts w:eastAsiaTheme="minorEastAsia"/>
                <w:color w:val="auto"/>
                <w:szCs w:val="21"/>
              </w:rPr>
            </w:pPr>
          </w:p>
        </w:tc>
        <w:tc>
          <w:tcPr>
            <w:tcW w:w="1083" w:type="dxa"/>
            <w:vAlign w:val="center"/>
          </w:tcPr>
          <w:p>
            <w:pPr>
              <w:spacing w:line="0" w:lineRule="atLeast"/>
              <w:jc w:val="center"/>
              <w:rPr>
                <w:rFonts w:eastAsiaTheme="minorEastAsia"/>
                <w:color w:val="auto"/>
                <w:szCs w:val="21"/>
              </w:rPr>
            </w:pPr>
            <w:r>
              <w:rPr>
                <w:rFonts w:hint="eastAsia" w:eastAsiaTheme="minorEastAsia"/>
                <w:color w:val="000000" w:themeColor="text1"/>
                <w:szCs w:val="21"/>
              </w:rPr>
              <w:t>1.5</w:t>
            </w:r>
          </w:p>
        </w:tc>
        <w:tc>
          <w:tcPr>
            <w:tcW w:w="872" w:type="dxa"/>
            <w:vAlign w:val="center"/>
          </w:tcPr>
          <w:p>
            <w:pPr>
              <w:widowControl/>
              <w:spacing w:line="0" w:lineRule="atLeast"/>
              <w:jc w:val="center"/>
              <w:rPr>
                <w:rFonts w:eastAsiaTheme="minorEastAsia"/>
                <w:color w:val="auto"/>
                <w:szCs w:val="21"/>
              </w:rPr>
            </w:pPr>
            <w:r>
              <w:rPr>
                <w:rFonts w:hint="eastAsia" w:eastAsiaTheme="minorEastAsia"/>
                <w:color w:val="auto"/>
                <w:szCs w:val="21"/>
                <w:lang w:val="en-US" w:eastAsia="zh-CN"/>
              </w:rPr>
              <w:t>0.062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9" w:hRule="atLeast"/>
          <w:jc w:val="center"/>
        </w:trPr>
        <w:tc>
          <w:tcPr>
            <w:tcW w:w="368" w:type="dxa"/>
            <w:vMerge w:val="continue"/>
            <w:vAlign w:val="center"/>
          </w:tcPr>
          <w:p>
            <w:pPr>
              <w:widowControl/>
              <w:spacing w:line="0" w:lineRule="atLeast"/>
              <w:jc w:val="center"/>
              <w:rPr>
                <w:rFonts w:eastAsiaTheme="minorEastAsia"/>
                <w:color w:val="auto"/>
                <w:szCs w:val="21"/>
              </w:rPr>
            </w:pPr>
          </w:p>
        </w:tc>
        <w:tc>
          <w:tcPr>
            <w:tcW w:w="709" w:type="dxa"/>
            <w:vMerge w:val="continue"/>
            <w:vAlign w:val="center"/>
          </w:tcPr>
          <w:p>
            <w:pPr>
              <w:widowControl/>
              <w:spacing w:line="0" w:lineRule="atLeast"/>
              <w:jc w:val="center"/>
              <w:rPr>
                <w:rFonts w:eastAsiaTheme="minorEastAsia"/>
                <w:color w:val="auto"/>
                <w:szCs w:val="21"/>
              </w:rPr>
            </w:pPr>
          </w:p>
        </w:tc>
        <w:tc>
          <w:tcPr>
            <w:tcW w:w="987" w:type="dxa"/>
            <w:vMerge w:val="continue"/>
            <w:vAlign w:val="center"/>
          </w:tcPr>
          <w:p>
            <w:pPr>
              <w:widowControl/>
              <w:spacing w:line="0" w:lineRule="atLeast"/>
              <w:jc w:val="center"/>
              <w:rPr>
                <w:rFonts w:eastAsiaTheme="minorEastAsia"/>
                <w:color w:val="auto"/>
                <w:szCs w:val="21"/>
              </w:rPr>
            </w:pPr>
          </w:p>
        </w:tc>
        <w:tc>
          <w:tcPr>
            <w:tcW w:w="714" w:type="dxa"/>
            <w:vAlign w:val="center"/>
          </w:tcPr>
          <w:p>
            <w:pPr>
              <w:widowControl/>
              <w:spacing w:line="0" w:lineRule="atLeast"/>
              <w:jc w:val="center"/>
              <w:rPr>
                <w:rFonts w:eastAsiaTheme="minorEastAsia"/>
                <w:color w:val="auto"/>
                <w:szCs w:val="21"/>
              </w:rPr>
            </w:pPr>
            <w:r>
              <w:rPr>
                <w:rFonts w:eastAsiaTheme="minorEastAsia"/>
                <w:color w:val="auto"/>
                <w:szCs w:val="21"/>
              </w:rPr>
              <w:t>H</w:t>
            </w:r>
            <w:r>
              <w:rPr>
                <w:rFonts w:eastAsiaTheme="minorEastAsia"/>
                <w:color w:val="auto"/>
                <w:szCs w:val="21"/>
                <w:vertAlign w:val="subscript"/>
              </w:rPr>
              <w:t>2</w:t>
            </w:r>
            <w:r>
              <w:rPr>
                <w:rFonts w:eastAsiaTheme="minorEastAsia"/>
                <w:color w:val="auto"/>
                <w:szCs w:val="21"/>
              </w:rPr>
              <w:t>S</w:t>
            </w:r>
          </w:p>
        </w:tc>
        <w:tc>
          <w:tcPr>
            <w:tcW w:w="2835" w:type="dxa"/>
            <w:vMerge w:val="continue"/>
            <w:vAlign w:val="center"/>
          </w:tcPr>
          <w:p>
            <w:pPr>
              <w:widowControl/>
              <w:spacing w:line="0" w:lineRule="atLeast"/>
              <w:jc w:val="center"/>
              <w:rPr>
                <w:rFonts w:eastAsiaTheme="minorEastAsia"/>
                <w:color w:val="auto"/>
                <w:szCs w:val="21"/>
              </w:rPr>
            </w:pPr>
          </w:p>
        </w:tc>
        <w:tc>
          <w:tcPr>
            <w:tcW w:w="1190" w:type="dxa"/>
            <w:vMerge w:val="continue"/>
            <w:vAlign w:val="center"/>
          </w:tcPr>
          <w:p>
            <w:pPr>
              <w:widowControl/>
              <w:spacing w:line="0" w:lineRule="atLeast"/>
              <w:jc w:val="center"/>
              <w:rPr>
                <w:rFonts w:eastAsiaTheme="minorEastAsia"/>
                <w:color w:val="auto"/>
                <w:szCs w:val="21"/>
              </w:rPr>
            </w:pPr>
          </w:p>
        </w:tc>
        <w:tc>
          <w:tcPr>
            <w:tcW w:w="1083" w:type="dxa"/>
            <w:vAlign w:val="center"/>
          </w:tcPr>
          <w:p>
            <w:pPr>
              <w:spacing w:line="0" w:lineRule="atLeast"/>
              <w:jc w:val="center"/>
              <w:rPr>
                <w:rFonts w:eastAsiaTheme="minorEastAsia"/>
                <w:color w:val="auto"/>
                <w:szCs w:val="21"/>
              </w:rPr>
            </w:pPr>
            <w:r>
              <w:rPr>
                <w:rFonts w:hint="eastAsia" w:eastAsiaTheme="minorEastAsia"/>
                <w:color w:val="000000" w:themeColor="text1"/>
                <w:szCs w:val="21"/>
              </w:rPr>
              <w:t>0.06</w:t>
            </w:r>
          </w:p>
        </w:tc>
        <w:tc>
          <w:tcPr>
            <w:tcW w:w="872" w:type="dxa"/>
            <w:vAlign w:val="center"/>
          </w:tcPr>
          <w:p>
            <w:pPr>
              <w:widowControl/>
              <w:spacing w:line="0" w:lineRule="atLeast"/>
              <w:jc w:val="center"/>
              <w:rPr>
                <w:rFonts w:eastAsiaTheme="minorEastAsia"/>
                <w:color w:val="auto"/>
                <w:szCs w:val="21"/>
              </w:rPr>
            </w:pPr>
            <w:r>
              <w:rPr>
                <w:rFonts w:hint="eastAsia" w:eastAsiaTheme="minorEastAsia"/>
                <w:color w:val="auto"/>
                <w:szCs w:val="21"/>
                <w:lang w:val="en-US" w:eastAsia="zh-CN"/>
              </w:rPr>
              <w:t>0.0066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 w:hRule="atLeast"/>
          <w:jc w:val="center"/>
        </w:trPr>
        <w:tc>
          <w:tcPr>
            <w:tcW w:w="368" w:type="dxa"/>
            <w:vMerge w:val="restart"/>
            <w:vAlign w:val="center"/>
          </w:tcPr>
          <w:p>
            <w:pPr>
              <w:widowControl/>
              <w:spacing w:line="0" w:lineRule="atLeast"/>
              <w:jc w:val="center"/>
              <w:rPr>
                <w:rFonts w:eastAsiaTheme="minorEastAsia"/>
                <w:color w:val="auto"/>
                <w:szCs w:val="21"/>
              </w:rPr>
            </w:pPr>
            <w:r>
              <w:rPr>
                <w:rFonts w:eastAsiaTheme="minorEastAsia"/>
                <w:color w:val="auto"/>
                <w:szCs w:val="21"/>
              </w:rPr>
              <w:t>3</w:t>
            </w:r>
          </w:p>
        </w:tc>
        <w:tc>
          <w:tcPr>
            <w:tcW w:w="709" w:type="dxa"/>
            <w:vMerge w:val="restart"/>
            <w:vAlign w:val="center"/>
          </w:tcPr>
          <w:p>
            <w:pPr>
              <w:widowControl/>
              <w:spacing w:line="0" w:lineRule="atLeast"/>
              <w:jc w:val="center"/>
              <w:rPr>
                <w:rFonts w:eastAsiaTheme="minorEastAsia"/>
                <w:color w:val="auto"/>
                <w:szCs w:val="21"/>
              </w:rPr>
            </w:pPr>
            <w:r>
              <w:rPr>
                <w:rFonts w:eastAsiaTheme="minorEastAsia"/>
                <w:color w:val="auto"/>
                <w:szCs w:val="21"/>
              </w:rPr>
              <w:t>3#</w:t>
            </w:r>
          </w:p>
        </w:tc>
        <w:tc>
          <w:tcPr>
            <w:tcW w:w="987" w:type="dxa"/>
            <w:vMerge w:val="restart"/>
            <w:vAlign w:val="center"/>
          </w:tcPr>
          <w:p>
            <w:pPr>
              <w:widowControl/>
              <w:spacing w:line="0" w:lineRule="atLeast"/>
              <w:jc w:val="center"/>
              <w:rPr>
                <w:rFonts w:eastAsiaTheme="minorEastAsia"/>
                <w:color w:val="auto"/>
                <w:szCs w:val="21"/>
              </w:rPr>
            </w:pPr>
            <w:r>
              <w:rPr>
                <w:rFonts w:hint="eastAsia" w:hAnsiTheme="minorEastAsia" w:eastAsiaTheme="minorEastAsia"/>
                <w:color w:val="auto"/>
                <w:szCs w:val="21"/>
              </w:rPr>
              <w:t>污水处理站</w:t>
            </w:r>
          </w:p>
        </w:tc>
        <w:tc>
          <w:tcPr>
            <w:tcW w:w="714" w:type="dxa"/>
            <w:vAlign w:val="center"/>
          </w:tcPr>
          <w:p>
            <w:pPr>
              <w:widowControl/>
              <w:spacing w:line="0" w:lineRule="atLeast"/>
              <w:jc w:val="center"/>
              <w:rPr>
                <w:rFonts w:eastAsiaTheme="minorEastAsia"/>
                <w:color w:val="auto"/>
                <w:szCs w:val="21"/>
              </w:rPr>
            </w:pPr>
            <w:r>
              <w:rPr>
                <w:rFonts w:eastAsiaTheme="minorEastAsia"/>
                <w:color w:val="auto"/>
                <w:szCs w:val="21"/>
              </w:rPr>
              <w:t>NH</w:t>
            </w:r>
            <w:r>
              <w:rPr>
                <w:rFonts w:eastAsiaTheme="minorEastAsia"/>
                <w:color w:val="auto"/>
                <w:szCs w:val="21"/>
                <w:vertAlign w:val="subscript"/>
              </w:rPr>
              <w:t>3</w:t>
            </w:r>
          </w:p>
        </w:tc>
        <w:tc>
          <w:tcPr>
            <w:tcW w:w="2835" w:type="dxa"/>
            <w:vMerge w:val="restart"/>
            <w:vAlign w:val="center"/>
          </w:tcPr>
          <w:p>
            <w:pPr>
              <w:widowControl/>
              <w:spacing w:line="0" w:lineRule="atLeast"/>
              <w:jc w:val="center"/>
              <w:rPr>
                <w:rFonts w:eastAsiaTheme="minorEastAsia"/>
                <w:color w:val="auto"/>
                <w:szCs w:val="21"/>
              </w:rPr>
            </w:pPr>
            <w:r>
              <w:rPr>
                <w:rFonts w:eastAsiaTheme="minorEastAsia"/>
                <w:bCs/>
                <w:color w:val="auto"/>
                <w:szCs w:val="21"/>
              </w:rPr>
              <w:t>污水处理站封闭</w:t>
            </w:r>
            <w:r>
              <w:rPr>
                <w:rFonts w:eastAsiaTheme="minorEastAsia"/>
                <w:snapToGrid w:val="0"/>
                <w:color w:val="auto"/>
                <w:szCs w:val="21"/>
              </w:rPr>
              <w:t>，加强通风</w:t>
            </w:r>
          </w:p>
        </w:tc>
        <w:tc>
          <w:tcPr>
            <w:tcW w:w="1190" w:type="dxa"/>
            <w:vMerge w:val="continue"/>
            <w:vAlign w:val="center"/>
          </w:tcPr>
          <w:p>
            <w:pPr>
              <w:widowControl/>
              <w:spacing w:line="0" w:lineRule="atLeast"/>
              <w:jc w:val="center"/>
              <w:rPr>
                <w:rFonts w:eastAsiaTheme="minorEastAsia"/>
                <w:color w:val="auto"/>
                <w:szCs w:val="21"/>
              </w:rPr>
            </w:pPr>
          </w:p>
        </w:tc>
        <w:tc>
          <w:tcPr>
            <w:tcW w:w="1083" w:type="dxa"/>
            <w:vAlign w:val="center"/>
          </w:tcPr>
          <w:p>
            <w:pPr>
              <w:spacing w:line="0" w:lineRule="atLeast"/>
              <w:jc w:val="center"/>
              <w:rPr>
                <w:rFonts w:eastAsiaTheme="minorEastAsia"/>
                <w:color w:val="auto"/>
                <w:szCs w:val="21"/>
              </w:rPr>
            </w:pPr>
            <w:r>
              <w:rPr>
                <w:rFonts w:hint="eastAsia" w:eastAsiaTheme="minorEastAsia"/>
                <w:color w:val="000000" w:themeColor="text1"/>
                <w:szCs w:val="21"/>
              </w:rPr>
              <w:t>1.5</w:t>
            </w:r>
          </w:p>
        </w:tc>
        <w:tc>
          <w:tcPr>
            <w:tcW w:w="872" w:type="dxa"/>
            <w:vAlign w:val="center"/>
          </w:tcPr>
          <w:p>
            <w:pPr>
              <w:widowControl/>
              <w:spacing w:line="0" w:lineRule="atLeast"/>
              <w:jc w:val="center"/>
              <w:rPr>
                <w:rFonts w:eastAsiaTheme="minorEastAsia"/>
                <w:color w:val="auto"/>
                <w:szCs w:val="21"/>
              </w:rPr>
            </w:pPr>
            <w:r>
              <w:rPr>
                <w:rFonts w:hint="eastAsia" w:eastAsiaTheme="minorEastAsia"/>
                <w:color w:val="auto"/>
                <w:szCs w:val="21"/>
                <w:lang w:val="en-US" w:eastAsia="zh-CN"/>
              </w:rPr>
              <w:t>0.0092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 w:hRule="atLeast"/>
          <w:jc w:val="center"/>
        </w:trPr>
        <w:tc>
          <w:tcPr>
            <w:tcW w:w="368" w:type="dxa"/>
            <w:vMerge w:val="continue"/>
            <w:vAlign w:val="center"/>
          </w:tcPr>
          <w:p>
            <w:pPr>
              <w:widowControl/>
              <w:spacing w:line="0" w:lineRule="atLeast"/>
              <w:jc w:val="center"/>
              <w:rPr>
                <w:rFonts w:eastAsiaTheme="minorEastAsia"/>
                <w:color w:val="auto"/>
                <w:szCs w:val="21"/>
              </w:rPr>
            </w:pPr>
          </w:p>
        </w:tc>
        <w:tc>
          <w:tcPr>
            <w:tcW w:w="709" w:type="dxa"/>
            <w:vMerge w:val="continue"/>
            <w:vAlign w:val="center"/>
          </w:tcPr>
          <w:p>
            <w:pPr>
              <w:widowControl/>
              <w:spacing w:line="0" w:lineRule="atLeast"/>
              <w:jc w:val="center"/>
              <w:rPr>
                <w:rFonts w:eastAsiaTheme="minorEastAsia"/>
                <w:color w:val="auto"/>
                <w:szCs w:val="21"/>
              </w:rPr>
            </w:pPr>
          </w:p>
        </w:tc>
        <w:tc>
          <w:tcPr>
            <w:tcW w:w="987" w:type="dxa"/>
            <w:vMerge w:val="continue"/>
            <w:vAlign w:val="center"/>
          </w:tcPr>
          <w:p>
            <w:pPr>
              <w:widowControl/>
              <w:spacing w:line="0" w:lineRule="atLeast"/>
              <w:jc w:val="center"/>
              <w:rPr>
                <w:rFonts w:eastAsiaTheme="minorEastAsia"/>
                <w:color w:val="auto"/>
                <w:szCs w:val="21"/>
              </w:rPr>
            </w:pPr>
          </w:p>
        </w:tc>
        <w:tc>
          <w:tcPr>
            <w:tcW w:w="714" w:type="dxa"/>
            <w:vAlign w:val="center"/>
          </w:tcPr>
          <w:p>
            <w:pPr>
              <w:widowControl/>
              <w:spacing w:line="0" w:lineRule="atLeast"/>
              <w:jc w:val="center"/>
              <w:rPr>
                <w:rFonts w:eastAsiaTheme="minorEastAsia"/>
                <w:color w:val="auto"/>
                <w:szCs w:val="21"/>
              </w:rPr>
            </w:pPr>
            <w:r>
              <w:rPr>
                <w:rFonts w:eastAsiaTheme="minorEastAsia"/>
                <w:color w:val="auto"/>
                <w:szCs w:val="21"/>
              </w:rPr>
              <w:t>H</w:t>
            </w:r>
            <w:r>
              <w:rPr>
                <w:rFonts w:eastAsiaTheme="minorEastAsia"/>
                <w:color w:val="auto"/>
                <w:szCs w:val="21"/>
                <w:vertAlign w:val="subscript"/>
              </w:rPr>
              <w:t>2</w:t>
            </w:r>
            <w:r>
              <w:rPr>
                <w:rFonts w:eastAsiaTheme="minorEastAsia"/>
                <w:color w:val="auto"/>
                <w:szCs w:val="21"/>
              </w:rPr>
              <w:t>S</w:t>
            </w:r>
          </w:p>
        </w:tc>
        <w:tc>
          <w:tcPr>
            <w:tcW w:w="2835" w:type="dxa"/>
            <w:vMerge w:val="continue"/>
            <w:vAlign w:val="center"/>
          </w:tcPr>
          <w:p>
            <w:pPr>
              <w:widowControl/>
              <w:spacing w:line="0" w:lineRule="atLeast"/>
              <w:jc w:val="center"/>
              <w:rPr>
                <w:rFonts w:eastAsiaTheme="minorEastAsia"/>
                <w:color w:val="auto"/>
                <w:szCs w:val="21"/>
              </w:rPr>
            </w:pPr>
          </w:p>
        </w:tc>
        <w:tc>
          <w:tcPr>
            <w:tcW w:w="1190" w:type="dxa"/>
            <w:vMerge w:val="continue"/>
            <w:vAlign w:val="center"/>
          </w:tcPr>
          <w:p>
            <w:pPr>
              <w:widowControl/>
              <w:spacing w:line="0" w:lineRule="atLeast"/>
              <w:jc w:val="center"/>
              <w:rPr>
                <w:rFonts w:eastAsiaTheme="minorEastAsia"/>
                <w:color w:val="auto"/>
                <w:szCs w:val="21"/>
              </w:rPr>
            </w:pPr>
          </w:p>
        </w:tc>
        <w:tc>
          <w:tcPr>
            <w:tcW w:w="1083" w:type="dxa"/>
            <w:vAlign w:val="center"/>
          </w:tcPr>
          <w:p>
            <w:pPr>
              <w:spacing w:line="0" w:lineRule="atLeast"/>
              <w:jc w:val="center"/>
              <w:rPr>
                <w:rFonts w:eastAsiaTheme="minorEastAsia"/>
                <w:color w:val="auto"/>
                <w:szCs w:val="21"/>
              </w:rPr>
            </w:pPr>
            <w:r>
              <w:rPr>
                <w:rFonts w:hint="eastAsia" w:eastAsiaTheme="minorEastAsia"/>
                <w:color w:val="000000" w:themeColor="text1"/>
                <w:szCs w:val="21"/>
              </w:rPr>
              <w:t>0.06</w:t>
            </w:r>
          </w:p>
        </w:tc>
        <w:tc>
          <w:tcPr>
            <w:tcW w:w="872" w:type="dxa"/>
            <w:vAlign w:val="center"/>
          </w:tcPr>
          <w:p>
            <w:pPr>
              <w:widowControl/>
              <w:spacing w:line="0" w:lineRule="atLeast"/>
              <w:jc w:val="center"/>
              <w:rPr>
                <w:rFonts w:eastAsiaTheme="minorEastAsia"/>
                <w:color w:val="auto"/>
                <w:szCs w:val="21"/>
              </w:rPr>
            </w:pPr>
            <w:r>
              <w:rPr>
                <w:rFonts w:hint="eastAsia" w:eastAsiaTheme="minorEastAsia"/>
                <w:color w:val="auto"/>
                <w:szCs w:val="21"/>
                <w:lang w:val="en-US" w:eastAsia="zh-CN"/>
              </w:rPr>
              <w:t>0.00036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5" w:hRule="atLeast"/>
          <w:jc w:val="center"/>
        </w:trPr>
        <w:tc>
          <w:tcPr>
            <w:tcW w:w="8758" w:type="dxa"/>
            <w:gridSpan w:val="8"/>
            <w:vAlign w:val="center"/>
          </w:tcPr>
          <w:p>
            <w:pPr>
              <w:spacing w:line="0" w:lineRule="atLeast"/>
              <w:jc w:val="center"/>
              <w:rPr>
                <w:rFonts w:eastAsiaTheme="minorEastAsia"/>
                <w:color w:val="auto"/>
                <w:szCs w:val="21"/>
              </w:rPr>
            </w:pPr>
            <w:r>
              <w:rPr>
                <w:rFonts w:hAnsiTheme="minorEastAsia" w:eastAsiaTheme="minorEastAsia"/>
                <w:color w:val="auto"/>
                <w:szCs w:val="21"/>
              </w:rPr>
              <w:t>无组织排放总计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3" w:hRule="atLeast"/>
          <w:jc w:val="center"/>
        </w:trPr>
        <w:tc>
          <w:tcPr>
            <w:tcW w:w="2778" w:type="dxa"/>
            <w:gridSpan w:val="4"/>
            <w:vMerge w:val="restart"/>
            <w:vAlign w:val="center"/>
          </w:tcPr>
          <w:p>
            <w:pPr>
              <w:spacing w:line="0" w:lineRule="atLeast"/>
              <w:jc w:val="center"/>
              <w:rPr>
                <w:rFonts w:eastAsiaTheme="minorEastAsia"/>
                <w:color w:val="auto"/>
                <w:szCs w:val="21"/>
              </w:rPr>
            </w:pPr>
            <w:r>
              <w:rPr>
                <w:rFonts w:hAnsiTheme="minorEastAsia" w:eastAsiaTheme="minorEastAsia"/>
                <w:color w:val="auto"/>
                <w:szCs w:val="21"/>
              </w:rPr>
              <w:t>无组织排放总计</w:t>
            </w:r>
          </w:p>
        </w:tc>
        <w:tc>
          <w:tcPr>
            <w:tcW w:w="5108" w:type="dxa"/>
            <w:gridSpan w:val="3"/>
            <w:vAlign w:val="center"/>
          </w:tcPr>
          <w:p>
            <w:pPr>
              <w:spacing w:line="0" w:lineRule="atLeast"/>
              <w:jc w:val="center"/>
              <w:rPr>
                <w:rFonts w:eastAsiaTheme="minorEastAsia"/>
                <w:color w:val="auto"/>
                <w:szCs w:val="21"/>
              </w:rPr>
            </w:pPr>
            <w:r>
              <w:rPr>
                <w:rFonts w:eastAsiaTheme="minorEastAsia"/>
                <w:color w:val="auto"/>
                <w:szCs w:val="21"/>
              </w:rPr>
              <w:t>NH</w:t>
            </w:r>
            <w:r>
              <w:rPr>
                <w:rFonts w:eastAsiaTheme="minorEastAsia"/>
                <w:color w:val="auto"/>
                <w:szCs w:val="21"/>
                <w:vertAlign w:val="subscript"/>
              </w:rPr>
              <w:t>3</w:t>
            </w:r>
          </w:p>
        </w:tc>
        <w:tc>
          <w:tcPr>
            <w:tcW w:w="872" w:type="dxa"/>
            <w:vAlign w:val="center"/>
          </w:tcPr>
          <w:p>
            <w:pPr>
              <w:widowControl/>
              <w:spacing w:line="0" w:lineRule="atLeast"/>
              <w:jc w:val="center"/>
              <w:rPr>
                <w:rFonts w:hint="default" w:eastAsiaTheme="minorEastAsia"/>
                <w:color w:val="auto"/>
                <w:szCs w:val="21"/>
                <w:lang w:val="en-US" w:eastAsia="zh-CN"/>
              </w:rPr>
            </w:pPr>
            <w:r>
              <w:rPr>
                <w:rFonts w:hint="eastAsia" w:eastAsiaTheme="minorEastAsia"/>
                <w:color w:val="auto"/>
                <w:szCs w:val="21"/>
                <w:lang w:val="en-US" w:eastAsia="zh-CN"/>
              </w:rPr>
              <w:t>0.0753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4" w:hRule="atLeast"/>
          <w:jc w:val="center"/>
        </w:trPr>
        <w:tc>
          <w:tcPr>
            <w:tcW w:w="2778" w:type="dxa"/>
            <w:gridSpan w:val="4"/>
            <w:vMerge w:val="continue"/>
            <w:vAlign w:val="center"/>
          </w:tcPr>
          <w:p>
            <w:pPr>
              <w:widowControl/>
              <w:spacing w:line="0" w:lineRule="atLeast"/>
              <w:jc w:val="center"/>
              <w:rPr>
                <w:rFonts w:eastAsiaTheme="minorEastAsia"/>
                <w:color w:val="auto"/>
                <w:szCs w:val="21"/>
              </w:rPr>
            </w:pPr>
          </w:p>
        </w:tc>
        <w:tc>
          <w:tcPr>
            <w:tcW w:w="5108" w:type="dxa"/>
            <w:gridSpan w:val="3"/>
            <w:vAlign w:val="center"/>
          </w:tcPr>
          <w:p>
            <w:pPr>
              <w:spacing w:line="0" w:lineRule="atLeast"/>
              <w:jc w:val="center"/>
              <w:rPr>
                <w:rFonts w:eastAsiaTheme="minorEastAsia"/>
                <w:color w:val="auto"/>
                <w:szCs w:val="21"/>
              </w:rPr>
            </w:pPr>
            <w:r>
              <w:rPr>
                <w:rFonts w:eastAsiaTheme="minorEastAsia"/>
                <w:color w:val="auto"/>
                <w:szCs w:val="21"/>
              </w:rPr>
              <w:t>H</w:t>
            </w:r>
            <w:r>
              <w:rPr>
                <w:rFonts w:eastAsiaTheme="minorEastAsia"/>
                <w:color w:val="auto"/>
                <w:szCs w:val="21"/>
                <w:vertAlign w:val="subscript"/>
              </w:rPr>
              <w:t>2</w:t>
            </w:r>
            <w:r>
              <w:rPr>
                <w:rFonts w:eastAsiaTheme="minorEastAsia"/>
                <w:color w:val="auto"/>
                <w:szCs w:val="21"/>
              </w:rPr>
              <w:t>S</w:t>
            </w:r>
          </w:p>
        </w:tc>
        <w:tc>
          <w:tcPr>
            <w:tcW w:w="872" w:type="dxa"/>
            <w:vAlign w:val="center"/>
          </w:tcPr>
          <w:p>
            <w:pPr>
              <w:widowControl/>
              <w:spacing w:line="0" w:lineRule="atLeast"/>
              <w:jc w:val="center"/>
              <w:rPr>
                <w:rFonts w:hint="default" w:eastAsiaTheme="minorEastAsia"/>
                <w:color w:val="auto"/>
                <w:szCs w:val="21"/>
                <w:lang w:val="en-US" w:eastAsia="zh-CN"/>
              </w:rPr>
            </w:pPr>
            <w:r>
              <w:rPr>
                <w:rFonts w:hint="eastAsia" w:eastAsiaTheme="minorEastAsia"/>
                <w:color w:val="auto"/>
                <w:szCs w:val="21"/>
                <w:lang w:val="en-US" w:eastAsia="zh-CN"/>
              </w:rPr>
              <w:t>0.00788</w:t>
            </w:r>
          </w:p>
        </w:tc>
      </w:tr>
    </w:tbl>
    <w:p>
      <w:pPr>
        <w:spacing w:line="360" w:lineRule="auto"/>
        <w:jc w:val="center"/>
        <w:rPr>
          <w:b/>
          <w:bCs/>
          <w:color w:val="FF0000"/>
          <w:kern w:val="0"/>
          <w:sz w:val="24"/>
        </w:rPr>
      </w:pPr>
      <w:r>
        <w:rPr>
          <w:b/>
          <w:bCs/>
          <w:color w:val="auto"/>
          <w:kern w:val="0"/>
          <w:sz w:val="24"/>
        </w:rPr>
        <w:t>表5-2-</w:t>
      </w:r>
      <w:r>
        <w:rPr>
          <w:rFonts w:hint="eastAsia"/>
          <w:b/>
          <w:bCs/>
          <w:color w:val="auto"/>
          <w:kern w:val="0"/>
          <w:sz w:val="24"/>
        </w:rPr>
        <w:t>1</w:t>
      </w:r>
      <w:r>
        <w:rPr>
          <w:rFonts w:hint="eastAsia"/>
          <w:b/>
          <w:bCs/>
          <w:color w:val="auto"/>
          <w:kern w:val="0"/>
          <w:sz w:val="24"/>
          <w:lang w:val="en-US" w:eastAsia="zh-CN"/>
        </w:rPr>
        <w:t>2</w:t>
      </w:r>
      <w:r>
        <w:rPr>
          <w:b/>
          <w:bCs/>
          <w:color w:val="auto"/>
          <w:kern w:val="0"/>
          <w:sz w:val="24"/>
        </w:rPr>
        <w:t>大气污染物年排放量核算表</w:t>
      </w:r>
    </w:p>
    <w:tbl>
      <w:tblPr>
        <w:tblStyle w:val="46"/>
        <w:tblW w:w="8756"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437"/>
        <w:gridCol w:w="3767"/>
        <w:gridCol w:w="355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4" w:hRule="atLeast"/>
          <w:jc w:val="center"/>
        </w:trPr>
        <w:tc>
          <w:tcPr>
            <w:tcW w:w="1437" w:type="dxa"/>
            <w:tcBorders>
              <w:right w:val="single" w:color="auto" w:sz="4" w:space="0"/>
            </w:tcBorders>
            <w:vAlign w:val="center"/>
          </w:tcPr>
          <w:p>
            <w:pPr>
              <w:spacing w:line="0" w:lineRule="atLeast"/>
              <w:jc w:val="center"/>
              <w:rPr>
                <w:bCs/>
                <w:color w:val="auto"/>
                <w:kern w:val="0"/>
                <w:szCs w:val="21"/>
              </w:rPr>
            </w:pPr>
            <w:r>
              <w:rPr>
                <w:bCs/>
                <w:color w:val="auto"/>
                <w:kern w:val="0"/>
                <w:szCs w:val="21"/>
              </w:rPr>
              <w:t>序号</w:t>
            </w:r>
          </w:p>
        </w:tc>
        <w:tc>
          <w:tcPr>
            <w:tcW w:w="3767" w:type="dxa"/>
            <w:shd w:val="clear" w:color="auto" w:fill="auto"/>
            <w:vAlign w:val="center"/>
          </w:tcPr>
          <w:p>
            <w:pPr>
              <w:spacing w:line="0" w:lineRule="atLeast"/>
              <w:jc w:val="center"/>
              <w:rPr>
                <w:bCs/>
                <w:color w:val="auto"/>
                <w:kern w:val="0"/>
                <w:szCs w:val="21"/>
              </w:rPr>
            </w:pPr>
            <w:r>
              <w:rPr>
                <w:bCs/>
                <w:color w:val="auto"/>
                <w:kern w:val="0"/>
                <w:szCs w:val="21"/>
              </w:rPr>
              <w:t>污染物</w:t>
            </w:r>
          </w:p>
        </w:tc>
        <w:tc>
          <w:tcPr>
            <w:tcW w:w="3552" w:type="dxa"/>
            <w:shd w:val="clear" w:color="auto" w:fill="auto"/>
            <w:vAlign w:val="center"/>
          </w:tcPr>
          <w:p>
            <w:pPr>
              <w:spacing w:line="0" w:lineRule="atLeast"/>
              <w:jc w:val="center"/>
              <w:rPr>
                <w:bCs/>
                <w:color w:val="auto"/>
                <w:kern w:val="0"/>
                <w:szCs w:val="21"/>
              </w:rPr>
            </w:pPr>
            <w:r>
              <w:rPr>
                <w:bCs/>
                <w:color w:val="auto"/>
                <w:kern w:val="0"/>
                <w:szCs w:val="21"/>
              </w:rPr>
              <w:t>年排放量（t/a）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1437" w:type="dxa"/>
            <w:tcBorders>
              <w:bottom w:val="single" w:color="auto" w:sz="4" w:space="0"/>
              <w:right w:val="single" w:color="auto" w:sz="4" w:space="0"/>
            </w:tcBorders>
            <w:vAlign w:val="center"/>
          </w:tcPr>
          <w:p>
            <w:pPr>
              <w:spacing w:line="0" w:lineRule="atLeast"/>
              <w:jc w:val="center"/>
              <w:rPr>
                <w:bCs/>
                <w:color w:val="auto"/>
                <w:kern w:val="0"/>
                <w:szCs w:val="21"/>
              </w:rPr>
            </w:pPr>
            <w:r>
              <w:rPr>
                <w:rFonts w:hint="eastAsia"/>
                <w:bCs/>
                <w:color w:val="auto"/>
                <w:kern w:val="0"/>
                <w:szCs w:val="21"/>
              </w:rPr>
              <w:t>1</w:t>
            </w:r>
          </w:p>
        </w:tc>
        <w:tc>
          <w:tcPr>
            <w:tcW w:w="3767" w:type="dxa"/>
            <w:tcBorders>
              <w:bottom w:val="single" w:color="auto" w:sz="4" w:space="0"/>
            </w:tcBorders>
            <w:shd w:val="clear" w:color="auto" w:fill="auto"/>
            <w:vAlign w:val="center"/>
          </w:tcPr>
          <w:p>
            <w:pPr>
              <w:spacing w:line="0" w:lineRule="atLeast"/>
              <w:jc w:val="center"/>
              <w:rPr>
                <w:color w:val="auto"/>
                <w:szCs w:val="21"/>
              </w:rPr>
            </w:pPr>
            <w:r>
              <w:rPr>
                <w:color w:val="auto"/>
                <w:szCs w:val="21"/>
              </w:rPr>
              <w:t>NH</w:t>
            </w:r>
            <w:r>
              <w:rPr>
                <w:color w:val="auto"/>
                <w:szCs w:val="21"/>
                <w:vertAlign w:val="subscript"/>
              </w:rPr>
              <w:t>3</w:t>
            </w:r>
          </w:p>
        </w:tc>
        <w:tc>
          <w:tcPr>
            <w:tcW w:w="3552" w:type="dxa"/>
            <w:shd w:val="clear" w:color="auto" w:fill="auto"/>
            <w:vAlign w:val="center"/>
          </w:tcPr>
          <w:p>
            <w:pPr>
              <w:pStyle w:val="84"/>
              <w:spacing w:line="0" w:lineRule="atLeast"/>
              <w:rPr>
                <w:rFonts w:hint="default" w:hAnsi="Times New Roman" w:eastAsia="宋体"/>
                <w:snapToGrid w:val="0"/>
                <w:color w:val="auto"/>
                <w:szCs w:val="22"/>
                <w:lang w:val="en-US" w:eastAsia="zh-CN"/>
              </w:rPr>
            </w:pPr>
            <w:r>
              <w:rPr>
                <w:rFonts w:hint="eastAsia" w:hAnsi="Times New Roman"/>
                <w:snapToGrid w:val="0"/>
                <w:color w:val="auto"/>
                <w:szCs w:val="22"/>
                <w:lang w:val="en-US" w:eastAsia="zh-CN"/>
              </w:rPr>
              <w:t>0.1653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1437" w:type="dxa"/>
            <w:tcBorders>
              <w:top w:val="single" w:color="auto" w:sz="4" w:space="0"/>
              <w:right w:val="single" w:color="auto" w:sz="4" w:space="0"/>
            </w:tcBorders>
            <w:vAlign w:val="center"/>
          </w:tcPr>
          <w:p>
            <w:pPr>
              <w:spacing w:line="0" w:lineRule="atLeast"/>
              <w:jc w:val="center"/>
              <w:rPr>
                <w:bCs/>
                <w:color w:val="auto"/>
                <w:kern w:val="0"/>
                <w:szCs w:val="21"/>
              </w:rPr>
            </w:pPr>
            <w:r>
              <w:rPr>
                <w:rFonts w:hint="eastAsia"/>
                <w:bCs/>
                <w:color w:val="auto"/>
                <w:kern w:val="0"/>
                <w:szCs w:val="21"/>
              </w:rPr>
              <w:t>2</w:t>
            </w:r>
          </w:p>
        </w:tc>
        <w:tc>
          <w:tcPr>
            <w:tcW w:w="3767" w:type="dxa"/>
            <w:tcBorders>
              <w:top w:val="single" w:color="auto" w:sz="4" w:space="0"/>
            </w:tcBorders>
            <w:shd w:val="clear" w:color="auto" w:fill="auto"/>
            <w:vAlign w:val="center"/>
          </w:tcPr>
          <w:p>
            <w:pPr>
              <w:spacing w:line="0" w:lineRule="atLeast"/>
              <w:jc w:val="center"/>
              <w:rPr>
                <w:color w:val="auto"/>
                <w:szCs w:val="21"/>
              </w:rPr>
            </w:pPr>
            <w:r>
              <w:rPr>
                <w:color w:val="auto"/>
                <w:szCs w:val="21"/>
              </w:rPr>
              <w:t>H</w:t>
            </w:r>
            <w:r>
              <w:rPr>
                <w:color w:val="auto"/>
                <w:szCs w:val="21"/>
                <w:vertAlign w:val="subscript"/>
              </w:rPr>
              <w:t>2</w:t>
            </w:r>
            <w:r>
              <w:rPr>
                <w:color w:val="auto"/>
                <w:szCs w:val="21"/>
              </w:rPr>
              <w:t>S</w:t>
            </w:r>
          </w:p>
        </w:tc>
        <w:tc>
          <w:tcPr>
            <w:tcW w:w="3552" w:type="dxa"/>
            <w:shd w:val="clear" w:color="auto" w:fill="auto"/>
            <w:vAlign w:val="center"/>
          </w:tcPr>
          <w:p>
            <w:pPr>
              <w:pStyle w:val="84"/>
              <w:spacing w:line="0" w:lineRule="atLeast"/>
              <w:rPr>
                <w:rFonts w:hint="default" w:hAnsi="Times New Roman" w:eastAsia="宋体"/>
                <w:snapToGrid w:val="0"/>
                <w:color w:val="auto"/>
                <w:szCs w:val="22"/>
                <w:lang w:val="en-US" w:eastAsia="zh-CN"/>
              </w:rPr>
            </w:pPr>
            <w:r>
              <w:rPr>
                <w:rFonts w:hint="eastAsia" w:hAnsi="Times New Roman"/>
                <w:snapToGrid w:val="0"/>
                <w:color w:val="auto"/>
                <w:szCs w:val="22"/>
                <w:lang w:val="en-US" w:eastAsia="zh-CN"/>
              </w:rPr>
              <w:t>0.01699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1437" w:type="dxa"/>
            <w:tcBorders>
              <w:right w:val="single" w:color="auto" w:sz="4" w:space="0"/>
            </w:tcBorders>
            <w:vAlign w:val="center"/>
          </w:tcPr>
          <w:p>
            <w:pPr>
              <w:spacing w:line="0" w:lineRule="atLeast"/>
              <w:jc w:val="center"/>
              <w:rPr>
                <w:bCs/>
                <w:color w:val="auto"/>
                <w:kern w:val="0"/>
                <w:szCs w:val="21"/>
              </w:rPr>
            </w:pPr>
            <w:r>
              <w:rPr>
                <w:rFonts w:hint="eastAsia"/>
                <w:bCs/>
                <w:color w:val="auto"/>
                <w:kern w:val="0"/>
                <w:szCs w:val="21"/>
              </w:rPr>
              <w:t>3</w:t>
            </w:r>
          </w:p>
        </w:tc>
        <w:tc>
          <w:tcPr>
            <w:tcW w:w="3767" w:type="dxa"/>
            <w:shd w:val="clear" w:color="auto" w:fill="auto"/>
            <w:vAlign w:val="center"/>
          </w:tcPr>
          <w:p>
            <w:pPr>
              <w:pStyle w:val="84"/>
              <w:spacing w:line="0" w:lineRule="atLeast"/>
              <w:rPr>
                <w:rFonts w:hAnsi="Times New Roman"/>
                <w:snapToGrid w:val="0"/>
                <w:color w:val="auto"/>
                <w:szCs w:val="22"/>
              </w:rPr>
            </w:pPr>
            <w:r>
              <w:rPr>
                <w:rFonts w:hint="eastAsia" w:hAnsi="Times New Roman"/>
                <w:snapToGrid w:val="0"/>
                <w:color w:val="auto"/>
                <w:szCs w:val="22"/>
              </w:rPr>
              <w:t>油烟</w:t>
            </w:r>
          </w:p>
        </w:tc>
        <w:tc>
          <w:tcPr>
            <w:tcW w:w="3552" w:type="dxa"/>
            <w:shd w:val="clear" w:color="auto" w:fill="auto"/>
            <w:vAlign w:val="center"/>
          </w:tcPr>
          <w:p>
            <w:pPr>
              <w:widowControl/>
              <w:spacing w:line="0" w:lineRule="atLeast"/>
              <w:jc w:val="center"/>
              <w:rPr>
                <w:color w:val="auto"/>
                <w:szCs w:val="21"/>
              </w:rPr>
            </w:pPr>
            <w:r>
              <w:rPr>
                <w:rFonts w:hint="eastAsia"/>
                <w:color w:val="auto"/>
                <w:szCs w:val="21"/>
              </w:rPr>
              <w:t>0.00</w:t>
            </w:r>
            <w:r>
              <w:rPr>
                <w:rFonts w:hint="eastAsia"/>
                <w:color w:val="auto"/>
                <w:szCs w:val="21"/>
                <w:lang w:val="en-US" w:eastAsia="zh-CN"/>
              </w:rPr>
              <w:t>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1437" w:type="dxa"/>
            <w:tcBorders>
              <w:right w:val="single" w:color="auto" w:sz="4" w:space="0"/>
            </w:tcBorders>
            <w:vAlign w:val="center"/>
          </w:tcPr>
          <w:p>
            <w:pPr>
              <w:spacing w:line="0" w:lineRule="atLeast"/>
              <w:jc w:val="center"/>
              <w:rPr>
                <w:rFonts w:hint="eastAsia" w:eastAsia="宋体"/>
                <w:bCs/>
                <w:color w:val="auto"/>
                <w:kern w:val="0"/>
                <w:szCs w:val="21"/>
                <w:highlight w:val="none"/>
                <w:lang w:val="en-US" w:eastAsia="zh-CN"/>
              </w:rPr>
            </w:pPr>
            <w:r>
              <w:rPr>
                <w:rFonts w:hint="eastAsia"/>
                <w:bCs/>
                <w:color w:val="auto"/>
                <w:kern w:val="0"/>
                <w:szCs w:val="21"/>
                <w:highlight w:val="none"/>
                <w:lang w:val="en-US" w:eastAsia="zh-CN"/>
              </w:rPr>
              <w:t>4</w:t>
            </w:r>
          </w:p>
        </w:tc>
        <w:tc>
          <w:tcPr>
            <w:tcW w:w="3767"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rFonts w:hint="eastAsia" w:hAnsi="Times New Roman"/>
                <w:snapToGrid w:val="0"/>
                <w:color w:val="auto"/>
                <w:szCs w:val="22"/>
                <w:highlight w:val="none"/>
              </w:rPr>
            </w:pPr>
            <w: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t>颗粒物</w:t>
            </w:r>
          </w:p>
        </w:tc>
        <w:tc>
          <w:tcPr>
            <w:tcW w:w="3552" w:type="dxa"/>
            <w:shd w:val="clear" w:color="auto" w:fill="auto"/>
            <w:vAlign w:val="center"/>
          </w:tcPr>
          <w:p>
            <w:pPr>
              <w:pStyle w:val="84"/>
              <w:rPr>
                <w:rFonts w:hint="eastAsia"/>
                <w:bCs/>
                <w:snapToGrid w:val="0"/>
                <w:color w:val="auto"/>
                <w:szCs w:val="22"/>
                <w:highlight w:val="none"/>
              </w:rPr>
            </w:pPr>
            <w:r>
              <w:rPr>
                <w:rFonts w:hint="eastAsia" w:hAnsi="Times New Roman"/>
                <w:snapToGrid w:val="0"/>
                <w:color w:val="auto"/>
                <w:highlight w:val="none"/>
                <w:lang w:val="en-US" w:eastAsia="zh-CN"/>
              </w:rPr>
              <w:t>0.074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1437" w:type="dxa"/>
            <w:tcBorders>
              <w:right w:val="single" w:color="auto" w:sz="4" w:space="0"/>
            </w:tcBorders>
            <w:vAlign w:val="center"/>
          </w:tcPr>
          <w:p>
            <w:pPr>
              <w:spacing w:line="0" w:lineRule="atLeast"/>
              <w:jc w:val="center"/>
              <w:rPr>
                <w:rFonts w:hint="eastAsia" w:eastAsia="宋体"/>
                <w:bCs/>
                <w:color w:val="auto"/>
                <w:kern w:val="0"/>
                <w:szCs w:val="21"/>
                <w:highlight w:val="none"/>
                <w:lang w:val="en-US" w:eastAsia="zh-CN"/>
              </w:rPr>
            </w:pPr>
            <w:r>
              <w:rPr>
                <w:rFonts w:hint="eastAsia"/>
                <w:bCs/>
                <w:color w:val="auto"/>
                <w:kern w:val="0"/>
                <w:szCs w:val="21"/>
                <w:highlight w:val="none"/>
                <w:lang w:val="en-US" w:eastAsia="zh-CN"/>
              </w:rPr>
              <w:t>5</w:t>
            </w:r>
          </w:p>
        </w:tc>
        <w:tc>
          <w:tcPr>
            <w:tcW w:w="3767"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rFonts w:hint="eastAsia" w:hAnsi="Times New Roman"/>
                <w:snapToGrid w:val="0"/>
                <w:color w:val="auto"/>
                <w:szCs w:val="22"/>
                <w:highlight w:val="none"/>
              </w:rPr>
            </w:pPr>
            <w: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t>二氧化硫</w:t>
            </w:r>
          </w:p>
        </w:tc>
        <w:tc>
          <w:tcPr>
            <w:tcW w:w="3552" w:type="dxa"/>
            <w:shd w:val="clear" w:color="auto" w:fill="auto"/>
            <w:vAlign w:val="center"/>
          </w:tcPr>
          <w:p>
            <w:pPr>
              <w:pStyle w:val="84"/>
              <w:rPr>
                <w:rFonts w:hint="eastAsia"/>
                <w:bCs/>
                <w:snapToGrid w:val="0"/>
                <w:color w:val="auto"/>
                <w:szCs w:val="22"/>
                <w:highlight w:val="none"/>
              </w:rPr>
            </w:pPr>
            <w:r>
              <w:rPr>
                <w:rFonts w:hint="eastAsia" w:hAnsi="Times New Roman"/>
                <w:snapToGrid w:val="0"/>
                <w:color w:val="auto"/>
                <w:highlight w:val="none"/>
                <w:lang w:val="en-US" w:eastAsia="zh-CN"/>
              </w:rPr>
              <w:t>0.101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1437" w:type="dxa"/>
            <w:tcBorders>
              <w:right w:val="single" w:color="auto" w:sz="4" w:space="0"/>
            </w:tcBorders>
            <w:vAlign w:val="center"/>
          </w:tcPr>
          <w:p>
            <w:pPr>
              <w:spacing w:line="0" w:lineRule="atLeast"/>
              <w:jc w:val="center"/>
              <w:rPr>
                <w:rFonts w:hint="eastAsia" w:eastAsia="宋体"/>
                <w:bCs/>
                <w:color w:val="auto"/>
                <w:kern w:val="0"/>
                <w:szCs w:val="21"/>
                <w:highlight w:val="none"/>
                <w:lang w:val="en-US" w:eastAsia="zh-CN"/>
              </w:rPr>
            </w:pPr>
            <w:r>
              <w:rPr>
                <w:rFonts w:hint="eastAsia"/>
                <w:bCs/>
                <w:color w:val="auto"/>
                <w:kern w:val="0"/>
                <w:szCs w:val="21"/>
                <w:highlight w:val="none"/>
                <w:lang w:val="en-US" w:eastAsia="zh-CN"/>
              </w:rPr>
              <w:t>6</w:t>
            </w:r>
          </w:p>
        </w:tc>
        <w:tc>
          <w:tcPr>
            <w:tcW w:w="3767"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rFonts w:hint="eastAsia" w:hAnsi="Times New Roman"/>
                <w:snapToGrid w:val="0"/>
                <w:color w:val="auto"/>
                <w:szCs w:val="22"/>
                <w:highlight w:val="none"/>
              </w:rPr>
            </w:pPr>
            <w: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t>氮氧化物</w:t>
            </w:r>
          </w:p>
        </w:tc>
        <w:tc>
          <w:tcPr>
            <w:tcW w:w="3552" w:type="dxa"/>
            <w:shd w:val="clear" w:color="auto" w:fill="auto"/>
            <w:vAlign w:val="center"/>
          </w:tcPr>
          <w:p>
            <w:pPr>
              <w:pStyle w:val="84"/>
              <w:rPr>
                <w:rFonts w:hint="eastAsia"/>
                <w:bCs/>
                <w:snapToGrid w:val="0"/>
                <w:color w:val="auto"/>
                <w:szCs w:val="22"/>
                <w:highlight w:val="none"/>
              </w:rPr>
            </w:pPr>
            <w:r>
              <w:rPr>
                <w:rFonts w:hint="eastAsia" w:hAnsi="Times New Roman"/>
                <w:snapToGrid w:val="0"/>
                <w:color w:val="auto"/>
                <w:highlight w:val="none"/>
                <w:lang w:val="en-US" w:eastAsia="zh-CN"/>
              </w:rPr>
              <w:t>0.427</w:t>
            </w:r>
          </w:p>
        </w:tc>
      </w:tr>
    </w:tbl>
    <w:p>
      <w:pPr>
        <w:spacing w:line="360" w:lineRule="auto"/>
        <w:outlineLvl w:val="3"/>
        <w:rPr>
          <w:b/>
          <w:color w:val="auto"/>
          <w:sz w:val="24"/>
          <w:highlight w:val="none"/>
        </w:rPr>
      </w:pPr>
      <w:r>
        <w:rPr>
          <w:b/>
          <w:color w:val="auto"/>
          <w:sz w:val="24"/>
          <w:highlight w:val="none"/>
        </w:rPr>
        <w:t>5.2.</w:t>
      </w:r>
      <w:r>
        <w:rPr>
          <w:rFonts w:hint="eastAsia"/>
          <w:b/>
          <w:color w:val="auto"/>
          <w:sz w:val="24"/>
          <w:highlight w:val="none"/>
        </w:rPr>
        <w:t>1</w:t>
      </w:r>
      <w:r>
        <w:rPr>
          <w:b/>
          <w:color w:val="auto"/>
          <w:sz w:val="24"/>
          <w:highlight w:val="none"/>
        </w:rPr>
        <w:t>.2非正常工况废气影响分析</w:t>
      </w:r>
    </w:p>
    <w:p>
      <w:pPr>
        <w:pStyle w:val="74"/>
        <w:adjustRightInd/>
        <w:snapToGrid/>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本项目非正常情况下除臭装置故障、管理不当，除臭效率为30%，</w:t>
      </w:r>
      <w:r>
        <w:rPr>
          <w:rFonts w:hint="default" w:ascii="Times New Roman" w:hAnsi="Times New Roman" w:cs="Times New Roman"/>
          <w:color w:val="auto"/>
          <w:kern w:val="0"/>
          <w:sz w:val="24"/>
          <w:highlight w:val="none"/>
          <w:lang w:val="en-US" w:eastAsia="zh-CN"/>
        </w:rPr>
        <w:t>布袋破损少部分，除尘效率下降到85%</w:t>
      </w:r>
      <w:r>
        <w:rPr>
          <w:rFonts w:hint="default" w:ascii="Times New Roman" w:hAnsi="Times New Roman" w:cs="Times New Roman"/>
          <w:color w:val="auto"/>
          <w:kern w:val="0"/>
          <w:sz w:val="24"/>
          <w:highlight w:val="none"/>
        </w:rPr>
        <w:t>考虑。</w:t>
      </w:r>
      <w:r>
        <w:rPr>
          <w:rFonts w:hint="default" w:ascii="Times New Roman" w:hAnsi="Times New Roman" w:eastAsia="宋体" w:cs="Times New Roman"/>
          <w:color w:val="auto"/>
          <w:highlight w:val="none"/>
        </w:rPr>
        <w:t>非正常排放分析见5-2-1</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w:t>
      </w:r>
    </w:p>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b/>
          <w:color w:val="auto"/>
          <w:sz w:val="24"/>
          <w:highlight w:val="none"/>
        </w:rPr>
      </w:pPr>
      <w:r>
        <w:rPr>
          <w:b/>
          <w:color w:val="auto"/>
          <w:sz w:val="24"/>
          <w:highlight w:val="none"/>
        </w:rPr>
        <w:t>表5-2-1</w:t>
      </w:r>
      <w:r>
        <w:rPr>
          <w:rFonts w:hint="eastAsia"/>
          <w:b/>
          <w:color w:val="auto"/>
          <w:sz w:val="24"/>
          <w:highlight w:val="none"/>
          <w:lang w:val="en-US" w:eastAsia="zh-CN"/>
        </w:rPr>
        <w:t>3</w:t>
      </w:r>
      <w:r>
        <w:rPr>
          <w:b/>
          <w:color w:val="auto"/>
          <w:sz w:val="24"/>
          <w:highlight w:val="none"/>
        </w:rPr>
        <w:t>非正常工况下废气污染物参数</w:t>
      </w:r>
    </w:p>
    <w:tbl>
      <w:tblPr>
        <w:tblStyle w:val="46"/>
        <w:tblW w:w="4998"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554"/>
        <w:gridCol w:w="1255"/>
        <w:gridCol w:w="1478"/>
        <w:gridCol w:w="748"/>
        <w:gridCol w:w="1046"/>
        <w:gridCol w:w="30"/>
        <w:gridCol w:w="980"/>
        <w:gridCol w:w="774"/>
        <w:gridCol w:w="775"/>
        <w:gridCol w:w="87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6" w:hRule="atLeast"/>
          <w:jc w:val="center"/>
        </w:trPr>
        <w:tc>
          <w:tcPr>
            <w:tcW w:w="347" w:type="pct"/>
            <w:tcBorders>
              <w:top w:val="single" w:color="000000" w:sz="12" w:space="0"/>
              <w:left w:val="nil"/>
              <w:bottom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序号</w:t>
            </w:r>
          </w:p>
        </w:tc>
        <w:tc>
          <w:tcPr>
            <w:tcW w:w="540" w:type="pct"/>
            <w:tcBorders>
              <w:top w:val="single" w:color="000000" w:sz="12" w:space="0"/>
              <w:left w:val="single" w:color="auto" w:sz="6" w:space="0"/>
              <w:bottom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正常排放源</w:t>
            </w:r>
          </w:p>
        </w:tc>
        <w:tc>
          <w:tcPr>
            <w:tcW w:w="888" w:type="pct"/>
            <w:tcBorders>
              <w:top w:val="single" w:color="000000" w:sz="12" w:space="0"/>
              <w:left w:val="single" w:color="000000" w:sz="6" w:space="0"/>
              <w:bottom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非正常排放原因</w:t>
            </w:r>
          </w:p>
        </w:tc>
        <w:tc>
          <w:tcPr>
            <w:tcW w:w="460" w:type="pct"/>
            <w:tcBorders>
              <w:top w:val="single" w:color="000000" w:sz="12" w:space="0"/>
              <w:left w:val="single" w:color="000000" w:sz="6" w:space="0"/>
              <w:bottom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污染物</w:t>
            </w:r>
          </w:p>
        </w:tc>
        <w:tc>
          <w:tcPr>
            <w:tcW w:w="635" w:type="pct"/>
            <w:tcBorders>
              <w:top w:val="single" w:color="000000" w:sz="12" w:space="0"/>
              <w:left w:val="single" w:color="auto" w:sz="6" w:space="0"/>
              <w:bottom w:val="single" w:color="000000" w:sz="6" w:space="0"/>
              <w:right w:val="single" w:color="000000" w:sz="6" w:space="0"/>
            </w:tcBorders>
            <w:vAlign w:val="center"/>
          </w:tcPr>
          <w:p>
            <w:pPr>
              <w:spacing w:line="0" w:lineRule="atLeast"/>
              <w:jc w:val="center"/>
              <w:rPr>
                <w:color w:val="auto"/>
                <w:kern w:val="0"/>
                <w:szCs w:val="21"/>
                <w:highlight w:val="none"/>
              </w:rPr>
            </w:pPr>
            <w:r>
              <w:rPr>
                <w:color w:val="auto"/>
                <w:kern w:val="0"/>
                <w:szCs w:val="21"/>
                <w:highlight w:val="none"/>
              </w:rPr>
              <w:t>非正常排放浓度/μg/m</w:t>
            </w:r>
            <w:r>
              <w:rPr>
                <w:color w:val="auto"/>
                <w:kern w:val="0"/>
                <w:szCs w:val="21"/>
                <w:highlight w:val="none"/>
                <w:vertAlign w:val="superscript"/>
              </w:rPr>
              <w:t>3</w:t>
            </w:r>
          </w:p>
        </w:tc>
        <w:tc>
          <w:tcPr>
            <w:tcW w:w="635" w:type="pct"/>
            <w:gridSpan w:val="2"/>
            <w:tcBorders>
              <w:top w:val="single" w:color="000000" w:sz="12" w:space="0"/>
              <w:left w:val="single" w:color="000000" w:sz="6" w:space="0"/>
              <w:bottom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非正常排放速率（kg/h）</w:t>
            </w:r>
          </w:p>
        </w:tc>
        <w:tc>
          <w:tcPr>
            <w:tcW w:w="476" w:type="pct"/>
            <w:tcBorders>
              <w:top w:val="single" w:color="000000" w:sz="12" w:space="0"/>
              <w:left w:val="single" w:color="000000" w:sz="6" w:space="0"/>
              <w:bottom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单次持续时间/h</w:t>
            </w:r>
          </w:p>
        </w:tc>
        <w:tc>
          <w:tcPr>
            <w:tcW w:w="476" w:type="pct"/>
            <w:tcBorders>
              <w:top w:val="single" w:color="000000" w:sz="12" w:space="0"/>
              <w:left w:val="single" w:color="000000" w:sz="6" w:space="0"/>
              <w:bottom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年发生频次/次</w:t>
            </w:r>
          </w:p>
        </w:tc>
        <w:tc>
          <w:tcPr>
            <w:tcW w:w="537" w:type="pct"/>
            <w:tcBorders>
              <w:top w:val="single" w:color="000000" w:sz="12" w:space="0"/>
              <w:left w:val="single" w:color="auto" w:sz="6" w:space="0"/>
              <w:bottom w:val="single" w:color="000000" w:sz="6" w:space="0"/>
              <w:right w:val="nil"/>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应该对措施</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87" w:hRule="atLeast"/>
          <w:jc w:val="center"/>
        </w:trPr>
        <w:tc>
          <w:tcPr>
            <w:tcW w:w="347" w:type="pct"/>
            <w:vMerge w:val="restart"/>
            <w:tcBorders>
              <w:top w:val="single" w:color="000000" w:sz="6" w:space="0"/>
              <w:left w:val="nil"/>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w:t>
            </w:r>
          </w:p>
        </w:tc>
        <w:tc>
          <w:tcPr>
            <w:tcW w:w="540" w:type="pct"/>
            <w:vMerge w:val="restart"/>
            <w:tcBorders>
              <w:top w:val="single" w:color="000000" w:sz="6" w:space="0"/>
              <w:left w:val="single" w:color="auto" w:sz="6" w:space="0"/>
              <w:right w:val="single" w:color="000000" w:sz="6" w:space="0"/>
            </w:tcBorders>
            <w:vAlign w:val="center"/>
          </w:tcPr>
          <w:p>
            <w:pPr>
              <w:pStyle w:val="74"/>
              <w:spacing w:line="240" w:lineRule="auto"/>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屠宰车间</w:t>
            </w:r>
            <w:r>
              <w:rPr>
                <w:rFonts w:ascii="Times New Roman" w:hAnsi="Times New Roman" w:eastAsia="宋体" w:cs="Times New Roman"/>
                <w:color w:val="auto"/>
                <w:sz w:val="21"/>
                <w:szCs w:val="21"/>
                <w:highlight w:val="none"/>
              </w:rPr>
              <w:t>排气筒（</w:t>
            </w:r>
            <w:r>
              <w:rPr>
                <w:rFonts w:hint="eastAsia" w:ascii="Times New Roman" w:hAnsi="Times New Roman" w:eastAsia="宋体" w:cs="Times New Roman"/>
                <w:color w:val="auto"/>
                <w:sz w:val="21"/>
                <w:szCs w:val="21"/>
                <w:highlight w:val="none"/>
              </w:rPr>
              <w:t>DA001</w:t>
            </w:r>
            <w:r>
              <w:rPr>
                <w:rFonts w:ascii="Times New Roman" w:hAnsi="Times New Roman" w:eastAsia="宋体" w:cs="Times New Roman"/>
                <w:color w:val="auto"/>
                <w:sz w:val="21"/>
                <w:szCs w:val="21"/>
                <w:highlight w:val="none"/>
              </w:rPr>
              <w:t>）</w:t>
            </w:r>
          </w:p>
        </w:tc>
        <w:tc>
          <w:tcPr>
            <w:tcW w:w="888" w:type="pct"/>
            <w:vMerge w:val="restart"/>
            <w:tcBorders>
              <w:left w:val="single" w:color="000000" w:sz="6" w:space="0"/>
              <w:right w:val="single" w:color="000000" w:sz="6" w:space="0"/>
            </w:tcBorders>
            <w:vAlign w:val="center"/>
          </w:tcPr>
          <w:p>
            <w:pPr>
              <w:pStyle w:val="74"/>
              <w:spacing w:line="240" w:lineRule="auto"/>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除臭装置故障、管理不当，除臭效率为</w:t>
            </w:r>
            <w:r>
              <w:rPr>
                <w:rFonts w:hint="eastAsia" w:ascii="Times New Roman" w:hAnsi="Times New Roman" w:eastAsia="宋体" w:cs="Times New Roman"/>
                <w:color w:val="auto"/>
                <w:sz w:val="21"/>
                <w:szCs w:val="21"/>
                <w:highlight w:val="none"/>
              </w:rPr>
              <w:t>3</w:t>
            </w:r>
            <w:r>
              <w:rPr>
                <w:rFonts w:ascii="Times New Roman" w:hAnsi="Times New Roman" w:eastAsia="宋体" w:cs="Times New Roman"/>
                <w:color w:val="auto"/>
                <w:sz w:val="21"/>
                <w:szCs w:val="21"/>
                <w:highlight w:val="none"/>
              </w:rPr>
              <w:t>0%</w:t>
            </w:r>
          </w:p>
        </w:tc>
        <w:tc>
          <w:tcPr>
            <w:tcW w:w="460" w:type="pct"/>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NH</w:t>
            </w:r>
            <w:r>
              <w:rPr>
                <w:rFonts w:ascii="Times New Roman" w:hAnsi="Times New Roman" w:eastAsia="宋体" w:cs="Times New Roman"/>
                <w:color w:val="auto"/>
                <w:sz w:val="21"/>
                <w:szCs w:val="21"/>
                <w:highlight w:val="none"/>
                <w:vertAlign w:val="subscript"/>
              </w:rPr>
              <w:t>3</w:t>
            </w:r>
          </w:p>
        </w:tc>
        <w:tc>
          <w:tcPr>
            <w:tcW w:w="635" w:type="pct"/>
            <w:tcBorders>
              <w:top w:val="single" w:color="000000" w:sz="6" w:space="0"/>
              <w:left w:val="single" w:color="auto" w:sz="6" w:space="0"/>
              <w:bottom w:val="single" w:color="000000" w:sz="6" w:space="0"/>
              <w:right w:val="single" w:color="000000" w:sz="6" w:space="0"/>
            </w:tcBorders>
            <w:vAlign w:val="center"/>
          </w:tcPr>
          <w:p>
            <w:pPr>
              <w:pStyle w:val="84"/>
              <w:rPr>
                <w:rFonts w:hint="default" w:hAnsi="Times New Roman" w:eastAsia="宋体"/>
                <w:snapToGrid w:val="0"/>
                <w:color w:val="auto"/>
                <w:szCs w:val="22"/>
                <w:highlight w:val="none"/>
                <w:lang w:val="en-US" w:eastAsia="zh-CN"/>
              </w:rPr>
            </w:pPr>
            <w:r>
              <w:rPr>
                <w:rFonts w:hint="eastAsia" w:hAnsi="Times New Roman"/>
                <w:snapToGrid w:val="0"/>
                <w:color w:val="auto"/>
                <w:szCs w:val="22"/>
                <w:highlight w:val="none"/>
                <w:lang w:val="en-US" w:eastAsia="zh-CN"/>
              </w:rPr>
              <w:t>14466.9</w:t>
            </w:r>
          </w:p>
        </w:tc>
        <w:tc>
          <w:tcPr>
            <w:tcW w:w="635" w:type="pct"/>
            <w:gridSpan w:val="2"/>
            <w:tcBorders>
              <w:left w:val="single" w:color="000000" w:sz="6" w:space="0"/>
              <w:right w:val="single" w:color="000000" w:sz="6" w:space="0"/>
            </w:tcBorders>
            <w:vAlign w:val="center"/>
          </w:tcPr>
          <w:p>
            <w:pPr>
              <w:pStyle w:val="84"/>
              <w:rPr>
                <w:rFonts w:hint="default" w:hAnsi="Times New Roman" w:eastAsia="宋体"/>
                <w:snapToGrid w:val="0"/>
                <w:color w:val="auto"/>
                <w:szCs w:val="22"/>
                <w:highlight w:val="none"/>
                <w:lang w:val="en-US" w:eastAsia="zh-CN"/>
              </w:rPr>
            </w:pPr>
            <w:r>
              <w:rPr>
                <w:rFonts w:hint="eastAsia" w:hAnsi="Times New Roman"/>
                <w:snapToGrid w:val="0"/>
                <w:color w:val="auto"/>
                <w:szCs w:val="22"/>
                <w:highlight w:val="none"/>
                <w:lang w:val="en-US" w:eastAsia="zh-CN"/>
              </w:rPr>
              <w:t>0.0721</w:t>
            </w:r>
          </w:p>
        </w:tc>
        <w:tc>
          <w:tcPr>
            <w:tcW w:w="476" w:type="pct"/>
            <w:vMerge w:val="restart"/>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＜1</w:t>
            </w:r>
          </w:p>
        </w:tc>
        <w:tc>
          <w:tcPr>
            <w:tcW w:w="476" w:type="pct"/>
            <w:vMerge w:val="restart"/>
            <w:tcBorders>
              <w:left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1</w:t>
            </w:r>
          </w:p>
        </w:tc>
        <w:tc>
          <w:tcPr>
            <w:tcW w:w="537" w:type="pct"/>
            <w:vMerge w:val="restart"/>
            <w:tcBorders>
              <w:left w:val="single" w:color="auto" w:sz="6" w:space="0"/>
              <w:right w:val="nil"/>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及时检修，加强维护</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continue"/>
            <w:tcBorders>
              <w:left w:val="nil"/>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p>
        </w:tc>
        <w:tc>
          <w:tcPr>
            <w:tcW w:w="540" w:type="pct"/>
            <w:vMerge w:val="continue"/>
            <w:tcBorders>
              <w:left w:val="single" w:color="auto"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p>
        </w:tc>
        <w:tc>
          <w:tcPr>
            <w:tcW w:w="888" w:type="pct"/>
            <w:vMerge w:val="continue"/>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p>
        </w:tc>
        <w:tc>
          <w:tcPr>
            <w:tcW w:w="460" w:type="pct"/>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H</w:t>
            </w:r>
            <w:r>
              <w:rPr>
                <w:rFonts w:ascii="Times New Roman" w:hAnsi="Times New Roman" w:eastAsia="宋体" w:cs="Times New Roman"/>
                <w:color w:val="auto"/>
                <w:sz w:val="21"/>
                <w:szCs w:val="21"/>
                <w:highlight w:val="none"/>
                <w:vertAlign w:val="subscript"/>
              </w:rPr>
              <w:t>2</w:t>
            </w:r>
            <w:r>
              <w:rPr>
                <w:rFonts w:ascii="Times New Roman" w:hAnsi="Times New Roman" w:eastAsia="宋体" w:cs="Times New Roman"/>
                <w:color w:val="auto"/>
                <w:sz w:val="21"/>
                <w:szCs w:val="21"/>
                <w:highlight w:val="none"/>
              </w:rPr>
              <w:t>S</w:t>
            </w:r>
          </w:p>
        </w:tc>
        <w:tc>
          <w:tcPr>
            <w:tcW w:w="635" w:type="pct"/>
            <w:tcBorders>
              <w:top w:val="single" w:color="000000" w:sz="6" w:space="0"/>
              <w:left w:val="single" w:color="auto" w:sz="6" w:space="0"/>
              <w:bottom w:val="single" w:color="000000" w:sz="6" w:space="0"/>
              <w:right w:val="single" w:color="000000" w:sz="6" w:space="0"/>
            </w:tcBorders>
            <w:vAlign w:val="center"/>
          </w:tcPr>
          <w:p>
            <w:pPr>
              <w:pStyle w:val="84"/>
              <w:rPr>
                <w:rFonts w:hint="default" w:hAnsi="Times New Roman" w:eastAsia="宋体"/>
                <w:snapToGrid w:val="0"/>
                <w:color w:val="auto"/>
                <w:szCs w:val="22"/>
                <w:highlight w:val="none"/>
                <w:lang w:val="en-US" w:eastAsia="zh-CN"/>
              </w:rPr>
            </w:pPr>
            <w:r>
              <w:rPr>
                <w:rFonts w:hint="eastAsia" w:hAnsi="Times New Roman"/>
                <w:snapToGrid w:val="0"/>
                <w:color w:val="auto"/>
                <w:szCs w:val="22"/>
                <w:highlight w:val="none"/>
                <w:lang w:val="en-US" w:eastAsia="zh-CN"/>
              </w:rPr>
              <w:t>1540</w:t>
            </w:r>
          </w:p>
        </w:tc>
        <w:tc>
          <w:tcPr>
            <w:tcW w:w="635" w:type="pct"/>
            <w:gridSpan w:val="2"/>
            <w:tcBorders>
              <w:left w:val="single" w:color="000000" w:sz="6" w:space="0"/>
              <w:right w:val="single" w:color="000000" w:sz="6" w:space="0"/>
            </w:tcBorders>
            <w:vAlign w:val="center"/>
          </w:tcPr>
          <w:p>
            <w:pPr>
              <w:pStyle w:val="84"/>
              <w:rPr>
                <w:rFonts w:hint="default" w:hAnsi="Times New Roman" w:eastAsia="宋体"/>
                <w:snapToGrid w:val="0"/>
                <w:color w:val="auto"/>
                <w:szCs w:val="22"/>
                <w:highlight w:val="none"/>
                <w:lang w:val="en-US" w:eastAsia="zh-CN"/>
              </w:rPr>
            </w:pPr>
            <w:r>
              <w:rPr>
                <w:rFonts w:hint="eastAsia" w:hAnsi="Times New Roman"/>
                <w:snapToGrid w:val="0"/>
                <w:color w:val="auto"/>
                <w:szCs w:val="22"/>
                <w:highlight w:val="none"/>
                <w:lang w:val="en-US" w:eastAsia="zh-CN"/>
              </w:rPr>
              <w:t>0.0077</w:t>
            </w:r>
          </w:p>
        </w:tc>
        <w:tc>
          <w:tcPr>
            <w:tcW w:w="476" w:type="pct"/>
            <w:vMerge w:val="continue"/>
            <w:tcBorders>
              <w:left w:val="single" w:color="000000" w:sz="6" w:space="0"/>
              <w:right w:val="single" w:color="000000" w:sz="6" w:space="0"/>
            </w:tcBorders>
            <w:vAlign w:val="center"/>
          </w:tcPr>
          <w:p>
            <w:pPr>
              <w:pStyle w:val="84"/>
              <w:spacing w:line="0" w:lineRule="atLeast"/>
              <w:rPr>
                <w:rFonts w:hAnsi="Times New Roman"/>
                <w:color w:val="FF0000"/>
                <w:highlight w:val="none"/>
              </w:rPr>
            </w:pPr>
          </w:p>
        </w:tc>
        <w:tc>
          <w:tcPr>
            <w:tcW w:w="476" w:type="pct"/>
            <w:vMerge w:val="continue"/>
            <w:tcBorders>
              <w:left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FF0000"/>
                <w:sz w:val="21"/>
                <w:szCs w:val="21"/>
                <w:highlight w:val="none"/>
              </w:rPr>
            </w:pPr>
          </w:p>
        </w:tc>
        <w:tc>
          <w:tcPr>
            <w:tcW w:w="537" w:type="pct"/>
            <w:vMerge w:val="continue"/>
            <w:tcBorders>
              <w:left w:val="single" w:color="auto" w:sz="6" w:space="0"/>
              <w:right w:val="nil"/>
            </w:tcBorders>
            <w:vAlign w:val="center"/>
          </w:tcPr>
          <w:p>
            <w:pPr>
              <w:pStyle w:val="74"/>
              <w:spacing w:line="0" w:lineRule="atLeast"/>
              <w:ind w:firstLine="0" w:firstLineChars="0"/>
              <w:jc w:val="center"/>
              <w:rPr>
                <w:rFonts w:ascii="Times New Roman" w:hAnsi="Times New Roman" w:eastAsia="宋体" w:cs="Times New Roman"/>
                <w:color w:val="FF000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continue"/>
            <w:tcBorders>
              <w:left w:val="nil"/>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p>
        </w:tc>
        <w:tc>
          <w:tcPr>
            <w:tcW w:w="540" w:type="pct"/>
            <w:vMerge w:val="continue"/>
            <w:tcBorders>
              <w:left w:val="single" w:color="auto"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p>
        </w:tc>
        <w:tc>
          <w:tcPr>
            <w:tcW w:w="888" w:type="pct"/>
            <w:vMerge w:val="continue"/>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p>
        </w:tc>
        <w:tc>
          <w:tcPr>
            <w:tcW w:w="460" w:type="pct"/>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臭气浓度（无量纲）</w:t>
            </w:r>
          </w:p>
        </w:tc>
        <w:tc>
          <w:tcPr>
            <w:tcW w:w="1270" w:type="pct"/>
            <w:gridSpan w:val="3"/>
            <w:tcBorders>
              <w:top w:val="single" w:color="000000" w:sz="6" w:space="0"/>
              <w:left w:val="single" w:color="auto" w:sz="6" w:space="0"/>
              <w:bottom w:val="single" w:color="000000" w:sz="6" w:space="0"/>
              <w:right w:val="single" w:color="000000" w:sz="6" w:space="0"/>
            </w:tcBorders>
            <w:vAlign w:val="center"/>
          </w:tcPr>
          <w:p>
            <w:pPr>
              <w:pStyle w:val="84"/>
              <w:rPr>
                <w:rFonts w:hint="default" w:hAnsi="Times New Roman" w:eastAsia="宋体"/>
                <w:snapToGrid w:val="0"/>
                <w:color w:val="auto"/>
                <w:szCs w:val="22"/>
                <w:highlight w:val="none"/>
                <w:lang w:val="en-US" w:eastAsia="zh-CN"/>
              </w:rPr>
            </w:pPr>
            <w:r>
              <w:rPr>
                <w:rFonts w:hint="eastAsia" w:hAnsi="Times New Roman"/>
                <w:snapToGrid w:val="0"/>
                <w:color w:val="auto"/>
                <w:szCs w:val="22"/>
                <w:highlight w:val="none"/>
                <w:lang w:val="en-US" w:eastAsia="zh-CN"/>
              </w:rPr>
              <w:t>3070.2</w:t>
            </w:r>
          </w:p>
        </w:tc>
        <w:tc>
          <w:tcPr>
            <w:tcW w:w="476" w:type="pct"/>
            <w:vMerge w:val="continue"/>
            <w:tcBorders>
              <w:left w:val="single" w:color="000000" w:sz="6" w:space="0"/>
              <w:right w:val="single" w:color="000000" w:sz="6" w:space="0"/>
            </w:tcBorders>
            <w:vAlign w:val="center"/>
          </w:tcPr>
          <w:p>
            <w:pPr>
              <w:pStyle w:val="84"/>
              <w:spacing w:line="0" w:lineRule="atLeast"/>
              <w:rPr>
                <w:rFonts w:hAnsi="Times New Roman"/>
                <w:color w:val="FF0000"/>
                <w:highlight w:val="none"/>
              </w:rPr>
            </w:pPr>
          </w:p>
        </w:tc>
        <w:tc>
          <w:tcPr>
            <w:tcW w:w="476" w:type="pct"/>
            <w:vMerge w:val="continue"/>
            <w:tcBorders>
              <w:left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FF0000"/>
                <w:sz w:val="21"/>
                <w:szCs w:val="21"/>
                <w:highlight w:val="none"/>
              </w:rPr>
            </w:pPr>
          </w:p>
        </w:tc>
        <w:tc>
          <w:tcPr>
            <w:tcW w:w="537" w:type="pct"/>
            <w:vMerge w:val="continue"/>
            <w:tcBorders>
              <w:left w:val="single" w:color="auto" w:sz="6" w:space="0"/>
              <w:right w:val="nil"/>
            </w:tcBorders>
            <w:vAlign w:val="center"/>
          </w:tcPr>
          <w:p>
            <w:pPr>
              <w:pStyle w:val="74"/>
              <w:spacing w:line="0" w:lineRule="atLeast"/>
              <w:ind w:firstLine="0" w:firstLineChars="0"/>
              <w:jc w:val="center"/>
              <w:rPr>
                <w:rFonts w:ascii="Times New Roman" w:hAnsi="Times New Roman" w:eastAsia="宋体" w:cs="Times New Roman"/>
                <w:color w:val="FF000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restart"/>
            <w:tcBorders>
              <w:left w:val="nil"/>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w:t>
            </w:r>
          </w:p>
        </w:tc>
        <w:tc>
          <w:tcPr>
            <w:tcW w:w="540" w:type="pct"/>
            <w:vMerge w:val="restart"/>
            <w:tcBorders>
              <w:left w:val="single" w:color="auto"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污水处理站排气筒（</w:t>
            </w:r>
            <w:r>
              <w:rPr>
                <w:rFonts w:hint="eastAsia" w:ascii="Times New Roman" w:hAnsi="Times New Roman" w:eastAsia="宋体" w:cs="Times New Roman"/>
                <w:color w:val="auto"/>
                <w:sz w:val="21"/>
                <w:szCs w:val="21"/>
                <w:highlight w:val="none"/>
              </w:rPr>
              <w:t>DA002</w:t>
            </w:r>
            <w:r>
              <w:rPr>
                <w:rFonts w:ascii="Times New Roman" w:hAnsi="Times New Roman" w:eastAsia="宋体" w:cs="Times New Roman"/>
                <w:color w:val="auto"/>
                <w:sz w:val="21"/>
                <w:szCs w:val="21"/>
                <w:highlight w:val="none"/>
              </w:rPr>
              <w:t>）</w:t>
            </w:r>
          </w:p>
        </w:tc>
        <w:tc>
          <w:tcPr>
            <w:tcW w:w="888" w:type="pct"/>
            <w:vMerge w:val="continue"/>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p>
        </w:tc>
        <w:tc>
          <w:tcPr>
            <w:tcW w:w="460" w:type="pct"/>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NH</w:t>
            </w:r>
            <w:r>
              <w:rPr>
                <w:rFonts w:ascii="Times New Roman" w:hAnsi="Times New Roman" w:eastAsia="宋体" w:cs="Times New Roman"/>
                <w:color w:val="auto"/>
                <w:sz w:val="21"/>
                <w:szCs w:val="21"/>
                <w:highlight w:val="none"/>
                <w:vertAlign w:val="subscript"/>
              </w:rPr>
              <w:t>3</w:t>
            </w:r>
          </w:p>
        </w:tc>
        <w:tc>
          <w:tcPr>
            <w:tcW w:w="635" w:type="pct"/>
            <w:tcBorders>
              <w:top w:val="single" w:color="000000" w:sz="6" w:space="0"/>
              <w:left w:val="single" w:color="auto" w:sz="6" w:space="0"/>
              <w:bottom w:val="single" w:color="000000" w:sz="6" w:space="0"/>
              <w:right w:val="single" w:color="000000" w:sz="6" w:space="0"/>
            </w:tcBorders>
            <w:vAlign w:val="center"/>
          </w:tcPr>
          <w:p>
            <w:pPr>
              <w:pStyle w:val="84"/>
              <w:rPr>
                <w:rFonts w:hint="default" w:hAnsi="Times New Roman" w:eastAsia="宋体"/>
                <w:snapToGrid w:val="0"/>
                <w:color w:val="auto"/>
                <w:szCs w:val="22"/>
                <w:highlight w:val="none"/>
                <w:lang w:val="en-US" w:eastAsia="zh-CN"/>
              </w:rPr>
            </w:pPr>
            <w:r>
              <w:rPr>
                <w:rFonts w:hint="eastAsia" w:hAnsi="Times New Roman"/>
                <w:snapToGrid w:val="0"/>
                <w:color w:val="auto"/>
                <w:szCs w:val="22"/>
                <w:highlight w:val="none"/>
                <w:lang w:val="en-US" w:eastAsia="zh-CN"/>
              </w:rPr>
              <w:t>2149</w:t>
            </w:r>
          </w:p>
        </w:tc>
        <w:tc>
          <w:tcPr>
            <w:tcW w:w="635" w:type="pct"/>
            <w:gridSpan w:val="2"/>
            <w:tcBorders>
              <w:left w:val="single" w:color="000000" w:sz="6" w:space="0"/>
              <w:right w:val="single" w:color="000000" w:sz="6" w:space="0"/>
            </w:tcBorders>
            <w:vAlign w:val="center"/>
          </w:tcPr>
          <w:p>
            <w:pPr>
              <w:pStyle w:val="84"/>
              <w:rPr>
                <w:rFonts w:hint="default" w:hAnsi="Times New Roman" w:eastAsia="宋体"/>
                <w:bCs/>
                <w:color w:val="auto"/>
                <w:highlight w:val="none"/>
                <w:lang w:val="en-US" w:eastAsia="zh-CN"/>
              </w:rPr>
            </w:pPr>
            <w:r>
              <w:rPr>
                <w:rFonts w:hint="eastAsia" w:hAnsi="Times New Roman"/>
                <w:bCs/>
                <w:color w:val="auto"/>
                <w:highlight w:val="none"/>
                <w:lang w:val="en-US" w:eastAsia="zh-CN"/>
              </w:rPr>
              <w:t>0.0107</w:t>
            </w:r>
          </w:p>
        </w:tc>
        <w:tc>
          <w:tcPr>
            <w:tcW w:w="476" w:type="pct"/>
            <w:vMerge w:val="continue"/>
            <w:tcBorders>
              <w:left w:val="single" w:color="000000" w:sz="6" w:space="0"/>
              <w:right w:val="single" w:color="000000" w:sz="6" w:space="0"/>
            </w:tcBorders>
            <w:vAlign w:val="center"/>
          </w:tcPr>
          <w:p>
            <w:pPr>
              <w:pStyle w:val="84"/>
              <w:spacing w:line="0" w:lineRule="atLeast"/>
              <w:rPr>
                <w:rFonts w:hAnsi="Times New Roman"/>
                <w:color w:val="FF0000"/>
                <w:highlight w:val="none"/>
              </w:rPr>
            </w:pPr>
          </w:p>
        </w:tc>
        <w:tc>
          <w:tcPr>
            <w:tcW w:w="476" w:type="pct"/>
            <w:vMerge w:val="continue"/>
            <w:tcBorders>
              <w:left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FF0000"/>
                <w:sz w:val="21"/>
                <w:szCs w:val="21"/>
                <w:highlight w:val="none"/>
              </w:rPr>
            </w:pPr>
          </w:p>
        </w:tc>
        <w:tc>
          <w:tcPr>
            <w:tcW w:w="537" w:type="pct"/>
            <w:vMerge w:val="continue"/>
            <w:tcBorders>
              <w:left w:val="single" w:color="auto" w:sz="6" w:space="0"/>
              <w:right w:val="nil"/>
            </w:tcBorders>
            <w:vAlign w:val="center"/>
          </w:tcPr>
          <w:p>
            <w:pPr>
              <w:pStyle w:val="74"/>
              <w:spacing w:line="0" w:lineRule="atLeast"/>
              <w:ind w:firstLine="0" w:firstLineChars="0"/>
              <w:jc w:val="center"/>
              <w:rPr>
                <w:rFonts w:ascii="Times New Roman" w:hAnsi="Times New Roman" w:eastAsia="宋体" w:cs="Times New Roman"/>
                <w:color w:val="FF000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continue"/>
            <w:tcBorders>
              <w:left w:val="nil"/>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p>
        </w:tc>
        <w:tc>
          <w:tcPr>
            <w:tcW w:w="540" w:type="pct"/>
            <w:vMerge w:val="continue"/>
            <w:tcBorders>
              <w:left w:val="single" w:color="auto"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p>
        </w:tc>
        <w:tc>
          <w:tcPr>
            <w:tcW w:w="888" w:type="pct"/>
            <w:vMerge w:val="continue"/>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p>
        </w:tc>
        <w:tc>
          <w:tcPr>
            <w:tcW w:w="460" w:type="pct"/>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H</w:t>
            </w:r>
            <w:r>
              <w:rPr>
                <w:rFonts w:ascii="Times New Roman" w:hAnsi="Times New Roman" w:eastAsia="宋体" w:cs="Times New Roman"/>
                <w:color w:val="auto"/>
                <w:sz w:val="21"/>
                <w:szCs w:val="21"/>
                <w:highlight w:val="none"/>
                <w:vertAlign w:val="subscript"/>
              </w:rPr>
              <w:t>2</w:t>
            </w:r>
            <w:r>
              <w:rPr>
                <w:rFonts w:ascii="Times New Roman" w:hAnsi="Times New Roman" w:eastAsia="宋体" w:cs="Times New Roman"/>
                <w:color w:val="auto"/>
                <w:sz w:val="21"/>
                <w:szCs w:val="21"/>
                <w:highlight w:val="none"/>
              </w:rPr>
              <w:t>S</w:t>
            </w:r>
          </w:p>
        </w:tc>
        <w:tc>
          <w:tcPr>
            <w:tcW w:w="635" w:type="pct"/>
            <w:tcBorders>
              <w:top w:val="single" w:color="000000" w:sz="6" w:space="0"/>
              <w:left w:val="single" w:color="auto" w:sz="6" w:space="0"/>
              <w:bottom w:val="single" w:color="000000" w:sz="6" w:space="0"/>
              <w:right w:val="single" w:color="000000" w:sz="6" w:space="0"/>
            </w:tcBorders>
            <w:vAlign w:val="center"/>
          </w:tcPr>
          <w:p>
            <w:pPr>
              <w:pStyle w:val="84"/>
              <w:rPr>
                <w:rFonts w:hint="default" w:hAnsi="Times New Roman" w:eastAsia="宋体"/>
                <w:snapToGrid w:val="0"/>
                <w:color w:val="auto"/>
                <w:szCs w:val="22"/>
                <w:highlight w:val="none"/>
                <w:lang w:val="en-US" w:eastAsia="zh-CN"/>
              </w:rPr>
            </w:pPr>
            <w:r>
              <w:rPr>
                <w:rFonts w:hint="eastAsia" w:hAnsi="Times New Roman"/>
                <w:snapToGrid w:val="0"/>
                <w:color w:val="auto"/>
                <w:szCs w:val="22"/>
                <w:highlight w:val="none"/>
                <w:lang w:val="en-US" w:eastAsia="zh-CN"/>
              </w:rPr>
              <w:t>84</w:t>
            </w:r>
          </w:p>
        </w:tc>
        <w:tc>
          <w:tcPr>
            <w:tcW w:w="635" w:type="pct"/>
            <w:gridSpan w:val="2"/>
            <w:tcBorders>
              <w:left w:val="single" w:color="000000" w:sz="6" w:space="0"/>
              <w:right w:val="single" w:color="000000" w:sz="6" w:space="0"/>
            </w:tcBorders>
            <w:vAlign w:val="center"/>
          </w:tcPr>
          <w:p>
            <w:pPr>
              <w:pStyle w:val="84"/>
              <w:rPr>
                <w:rFonts w:hint="default" w:hAnsi="Times New Roman" w:eastAsia="宋体"/>
                <w:bCs/>
                <w:color w:val="auto"/>
                <w:highlight w:val="none"/>
                <w:lang w:val="en-US" w:eastAsia="zh-CN"/>
              </w:rPr>
            </w:pPr>
            <w:r>
              <w:rPr>
                <w:rFonts w:hint="eastAsia" w:hAnsi="Times New Roman"/>
                <w:bCs/>
                <w:color w:val="auto"/>
                <w:highlight w:val="none"/>
                <w:lang w:val="en-US" w:eastAsia="zh-CN"/>
              </w:rPr>
              <w:t>0.00042</w:t>
            </w:r>
          </w:p>
        </w:tc>
        <w:tc>
          <w:tcPr>
            <w:tcW w:w="476" w:type="pct"/>
            <w:vMerge w:val="continue"/>
            <w:tcBorders>
              <w:left w:val="single" w:color="000000" w:sz="6" w:space="0"/>
              <w:right w:val="single" w:color="000000" w:sz="6" w:space="0"/>
            </w:tcBorders>
            <w:vAlign w:val="center"/>
          </w:tcPr>
          <w:p>
            <w:pPr>
              <w:pStyle w:val="84"/>
              <w:spacing w:line="0" w:lineRule="atLeast"/>
              <w:rPr>
                <w:rFonts w:hAnsi="Times New Roman"/>
                <w:color w:val="FF0000"/>
                <w:highlight w:val="none"/>
              </w:rPr>
            </w:pPr>
          </w:p>
        </w:tc>
        <w:tc>
          <w:tcPr>
            <w:tcW w:w="476" w:type="pct"/>
            <w:vMerge w:val="continue"/>
            <w:tcBorders>
              <w:left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FF0000"/>
                <w:sz w:val="21"/>
                <w:szCs w:val="21"/>
                <w:highlight w:val="none"/>
              </w:rPr>
            </w:pPr>
          </w:p>
        </w:tc>
        <w:tc>
          <w:tcPr>
            <w:tcW w:w="537" w:type="pct"/>
            <w:vMerge w:val="continue"/>
            <w:tcBorders>
              <w:left w:val="single" w:color="auto" w:sz="6" w:space="0"/>
              <w:right w:val="nil"/>
            </w:tcBorders>
            <w:vAlign w:val="center"/>
          </w:tcPr>
          <w:p>
            <w:pPr>
              <w:pStyle w:val="74"/>
              <w:spacing w:line="0" w:lineRule="atLeast"/>
              <w:ind w:firstLine="0" w:firstLineChars="0"/>
              <w:jc w:val="center"/>
              <w:rPr>
                <w:rFonts w:ascii="Times New Roman" w:hAnsi="Times New Roman" w:eastAsia="宋体" w:cs="Times New Roman"/>
                <w:color w:val="FF000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continue"/>
            <w:tcBorders>
              <w:left w:val="nil"/>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p>
        </w:tc>
        <w:tc>
          <w:tcPr>
            <w:tcW w:w="540" w:type="pct"/>
            <w:vMerge w:val="continue"/>
            <w:tcBorders>
              <w:left w:val="single" w:color="auto"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p>
        </w:tc>
        <w:tc>
          <w:tcPr>
            <w:tcW w:w="888" w:type="pct"/>
            <w:vMerge w:val="continue"/>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p>
        </w:tc>
        <w:tc>
          <w:tcPr>
            <w:tcW w:w="460" w:type="pct"/>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臭气浓度（无量纲）</w:t>
            </w:r>
          </w:p>
        </w:tc>
        <w:tc>
          <w:tcPr>
            <w:tcW w:w="1270" w:type="pct"/>
            <w:gridSpan w:val="3"/>
            <w:tcBorders>
              <w:top w:val="single" w:color="000000" w:sz="6" w:space="0"/>
              <w:left w:val="single" w:color="auto" w:sz="6" w:space="0"/>
              <w:bottom w:val="single" w:color="000000" w:sz="6" w:space="0"/>
              <w:right w:val="single" w:color="000000" w:sz="6" w:space="0"/>
            </w:tcBorders>
            <w:vAlign w:val="center"/>
          </w:tcPr>
          <w:p>
            <w:pPr>
              <w:pStyle w:val="84"/>
              <w:rPr>
                <w:rFonts w:hint="default" w:hAnsi="Times New Roman" w:eastAsia="宋体"/>
                <w:bCs/>
                <w:color w:val="auto"/>
                <w:highlight w:val="none"/>
                <w:lang w:val="en-US" w:eastAsia="zh-CN"/>
              </w:rPr>
            </w:pPr>
            <w:r>
              <w:rPr>
                <w:rFonts w:hint="eastAsia" w:hAnsi="Times New Roman"/>
                <w:bCs/>
                <w:color w:val="auto"/>
                <w:highlight w:val="none"/>
                <w:lang w:val="en-US" w:eastAsia="zh-CN"/>
              </w:rPr>
              <w:t>1890</w:t>
            </w:r>
          </w:p>
        </w:tc>
        <w:tc>
          <w:tcPr>
            <w:tcW w:w="476" w:type="pct"/>
            <w:vMerge w:val="continue"/>
            <w:tcBorders>
              <w:left w:val="single" w:color="000000" w:sz="6" w:space="0"/>
              <w:right w:val="single" w:color="000000" w:sz="6" w:space="0"/>
            </w:tcBorders>
            <w:vAlign w:val="center"/>
          </w:tcPr>
          <w:p>
            <w:pPr>
              <w:pStyle w:val="84"/>
              <w:spacing w:line="0" w:lineRule="atLeast"/>
              <w:rPr>
                <w:rFonts w:hAnsi="Times New Roman"/>
                <w:color w:val="FF0000"/>
                <w:highlight w:val="none"/>
              </w:rPr>
            </w:pPr>
          </w:p>
        </w:tc>
        <w:tc>
          <w:tcPr>
            <w:tcW w:w="476" w:type="pct"/>
            <w:vMerge w:val="continue"/>
            <w:tcBorders>
              <w:left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FF0000"/>
                <w:sz w:val="21"/>
                <w:szCs w:val="21"/>
                <w:highlight w:val="none"/>
              </w:rPr>
            </w:pPr>
          </w:p>
        </w:tc>
        <w:tc>
          <w:tcPr>
            <w:tcW w:w="537" w:type="pct"/>
            <w:vMerge w:val="continue"/>
            <w:tcBorders>
              <w:left w:val="single" w:color="auto" w:sz="6" w:space="0"/>
              <w:right w:val="nil"/>
            </w:tcBorders>
            <w:vAlign w:val="center"/>
          </w:tcPr>
          <w:p>
            <w:pPr>
              <w:pStyle w:val="74"/>
              <w:spacing w:line="0" w:lineRule="atLeast"/>
              <w:ind w:firstLine="0" w:firstLineChars="0"/>
              <w:jc w:val="center"/>
              <w:rPr>
                <w:rFonts w:ascii="Times New Roman" w:hAnsi="Times New Roman" w:eastAsia="宋体" w:cs="Times New Roman"/>
                <w:color w:val="FF000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restart"/>
            <w:tcBorders>
              <w:left w:val="nil"/>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3</w:t>
            </w:r>
          </w:p>
        </w:tc>
        <w:tc>
          <w:tcPr>
            <w:tcW w:w="540" w:type="pct"/>
            <w:vMerge w:val="restart"/>
            <w:tcBorders>
              <w:left w:val="single" w:color="auto"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待宰间排气筒（</w:t>
            </w:r>
            <w:r>
              <w:rPr>
                <w:rFonts w:hint="eastAsia" w:ascii="Times New Roman" w:hAnsi="Times New Roman" w:eastAsia="宋体" w:cs="Times New Roman"/>
                <w:color w:val="auto"/>
                <w:sz w:val="21"/>
                <w:szCs w:val="21"/>
                <w:highlight w:val="none"/>
              </w:rPr>
              <w:t>DA00</w:t>
            </w:r>
            <w:r>
              <w:rPr>
                <w:rFonts w:hint="eastAsia" w:ascii="Times New Roman" w:hAnsi="Times New Roman" w:eastAsia="宋体"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rPr>
              <w:t>）</w:t>
            </w:r>
          </w:p>
        </w:tc>
        <w:tc>
          <w:tcPr>
            <w:tcW w:w="888" w:type="pct"/>
            <w:vMerge w:val="continue"/>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p>
        </w:tc>
        <w:tc>
          <w:tcPr>
            <w:tcW w:w="460" w:type="pct"/>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NH</w:t>
            </w:r>
            <w:r>
              <w:rPr>
                <w:rFonts w:ascii="Times New Roman" w:hAnsi="Times New Roman" w:eastAsia="宋体" w:cs="Times New Roman"/>
                <w:color w:val="auto"/>
                <w:sz w:val="21"/>
                <w:szCs w:val="21"/>
                <w:highlight w:val="none"/>
                <w:vertAlign w:val="subscript"/>
              </w:rPr>
              <w:t>3</w:t>
            </w:r>
          </w:p>
        </w:tc>
        <w:tc>
          <w:tcPr>
            <w:tcW w:w="635" w:type="pct"/>
            <w:tcBorders>
              <w:top w:val="single" w:color="000000" w:sz="6" w:space="0"/>
              <w:left w:val="single" w:color="auto" w:sz="6" w:space="0"/>
              <w:bottom w:val="single" w:color="000000" w:sz="6" w:space="0"/>
              <w:right w:val="single" w:color="000000" w:sz="6" w:space="0"/>
            </w:tcBorders>
            <w:vAlign w:val="center"/>
          </w:tcPr>
          <w:p>
            <w:pPr>
              <w:pStyle w:val="84"/>
              <w:rPr>
                <w:rFonts w:hint="default" w:hAnsi="Times New Roman" w:eastAsia="宋体"/>
                <w:snapToGrid w:val="0"/>
                <w:color w:val="auto"/>
                <w:szCs w:val="22"/>
                <w:highlight w:val="none"/>
                <w:lang w:val="en-US" w:eastAsia="zh-CN"/>
              </w:rPr>
            </w:pPr>
            <w:r>
              <w:rPr>
                <w:rFonts w:hint="eastAsia" w:hAnsi="Times New Roman"/>
                <w:snapToGrid w:val="0"/>
                <w:color w:val="auto"/>
                <w:szCs w:val="22"/>
                <w:highlight w:val="none"/>
                <w:lang w:val="en-US" w:eastAsia="zh-CN"/>
              </w:rPr>
              <w:t>637.7</w:t>
            </w:r>
          </w:p>
        </w:tc>
        <w:tc>
          <w:tcPr>
            <w:tcW w:w="635" w:type="pct"/>
            <w:gridSpan w:val="2"/>
            <w:tcBorders>
              <w:left w:val="single" w:color="000000" w:sz="6" w:space="0"/>
              <w:right w:val="single" w:color="000000" w:sz="6" w:space="0"/>
            </w:tcBorders>
            <w:vAlign w:val="center"/>
          </w:tcPr>
          <w:p>
            <w:pPr>
              <w:pStyle w:val="84"/>
              <w:rPr>
                <w:rFonts w:hint="default" w:hAnsi="Times New Roman" w:eastAsia="宋体"/>
                <w:bCs/>
                <w:color w:val="auto"/>
                <w:highlight w:val="none"/>
                <w:lang w:val="en-US" w:eastAsia="zh-CN"/>
              </w:rPr>
            </w:pPr>
            <w:r>
              <w:rPr>
                <w:rFonts w:hint="eastAsia" w:hAnsi="Times New Roman"/>
                <w:bCs/>
                <w:color w:val="auto"/>
                <w:highlight w:val="none"/>
                <w:lang w:val="en-US" w:eastAsia="zh-CN"/>
              </w:rPr>
              <w:t>0.00315</w:t>
            </w:r>
          </w:p>
        </w:tc>
        <w:tc>
          <w:tcPr>
            <w:tcW w:w="476" w:type="pct"/>
            <w:vMerge w:val="continue"/>
            <w:tcBorders>
              <w:left w:val="single" w:color="000000" w:sz="6" w:space="0"/>
              <w:right w:val="single" w:color="000000" w:sz="6" w:space="0"/>
            </w:tcBorders>
            <w:vAlign w:val="center"/>
          </w:tcPr>
          <w:p>
            <w:pPr>
              <w:pStyle w:val="84"/>
              <w:spacing w:line="0" w:lineRule="atLeast"/>
              <w:rPr>
                <w:rFonts w:hAnsi="Times New Roman"/>
                <w:color w:val="FF0000"/>
                <w:highlight w:val="none"/>
              </w:rPr>
            </w:pPr>
          </w:p>
        </w:tc>
        <w:tc>
          <w:tcPr>
            <w:tcW w:w="476" w:type="pct"/>
            <w:vMerge w:val="continue"/>
            <w:tcBorders>
              <w:left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FF0000"/>
                <w:sz w:val="21"/>
                <w:szCs w:val="21"/>
                <w:highlight w:val="none"/>
              </w:rPr>
            </w:pPr>
          </w:p>
        </w:tc>
        <w:tc>
          <w:tcPr>
            <w:tcW w:w="537" w:type="pct"/>
            <w:vMerge w:val="continue"/>
            <w:tcBorders>
              <w:left w:val="single" w:color="auto" w:sz="6" w:space="0"/>
              <w:right w:val="nil"/>
            </w:tcBorders>
            <w:vAlign w:val="center"/>
          </w:tcPr>
          <w:p>
            <w:pPr>
              <w:pStyle w:val="74"/>
              <w:spacing w:line="0" w:lineRule="atLeast"/>
              <w:ind w:firstLine="0" w:firstLineChars="0"/>
              <w:jc w:val="center"/>
              <w:rPr>
                <w:rFonts w:ascii="Times New Roman" w:hAnsi="Times New Roman" w:eastAsia="宋体" w:cs="Times New Roman"/>
                <w:color w:val="FF000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continue"/>
            <w:tcBorders>
              <w:left w:val="nil"/>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p>
        </w:tc>
        <w:tc>
          <w:tcPr>
            <w:tcW w:w="540" w:type="pct"/>
            <w:vMerge w:val="continue"/>
            <w:tcBorders>
              <w:left w:val="single" w:color="auto"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p>
        </w:tc>
        <w:tc>
          <w:tcPr>
            <w:tcW w:w="888" w:type="pct"/>
            <w:vMerge w:val="continue"/>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p>
        </w:tc>
        <w:tc>
          <w:tcPr>
            <w:tcW w:w="460" w:type="pct"/>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H</w:t>
            </w:r>
            <w:r>
              <w:rPr>
                <w:rFonts w:ascii="Times New Roman" w:hAnsi="Times New Roman" w:eastAsia="宋体" w:cs="Times New Roman"/>
                <w:color w:val="auto"/>
                <w:sz w:val="21"/>
                <w:szCs w:val="21"/>
                <w:highlight w:val="none"/>
                <w:vertAlign w:val="subscript"/>
              </w:rPr>
              <w:t>2</w:t>
            </w:r>
            <w:r>
              <w:rPr>
                <w:rFonts w:ascii="Times New Roman" w:hAnsi="Times New Roman" w:eastAsia="宋体" w:cs="Times New Roman"/>
                <w:color w:val="auto"/>
                <w:sz w:val="21"/>
                <w:szCs w:val="21"/>
                <w:highlight w:val="none"/>
              </w:rPr>
              <w:t>S</w:t>
            </w:r>
          </w:p>
        </w:tc>
        <w:tc>
          <w:tcPr>
            <w:tcW w:w="635" w:type="pct"/>
            <w:tcBorders>
              <w:top w:val="single" w:color="000000" w:sz="6" w:space="0"/>
              <w:left w:val="single" w:color="auto" w:sz="6" w:space="0"/>
              <w:bottom w:val="single" w:color="000000" w:sz="6" w:space="0"/>
              <w:right w:val="single" w:color="000000" w:sz="6" w:space="0"/>
            </w:tcBorders>
            <w:vAlign w:val="center"/>
          </w:tcPr>
          <w:p>
            <w:pPr>
              <w:pStyle w:val="84"/>
              <w:rPr>
                <w:rFonts w:hint="default" w:hAnsi="Times New Roman" w:eastAsia="宋体"/>
                <w:snapToGrid w:val="0"/>
                <w:color w:val="auto"/>
                <w:szCs w:val="22"/>
                <w:highlight w:val="none"/>
                <w:lang w:val="en-US" w:eastAsia="zh-CN"/>
              </w:rPr>
            </w:pPr>
            <w:r>
              <w:rPr>
                <w:rFonts w:hint="eastAsia" w:hAnsi="Times New Roman"/>
                <w:snapToGrid w:val="0"/>
                <w:color w:val="auto"/>
                <w:szCs w:val="22"/>
                <w:highlight w:val="none"/>
                <w:lang w:val="en-US" w:eastAsia="zh-CN"/>
              </w:rPr>
              <w:t>100.8</w:t>
            </w:r>
          </w:p>
        </w:tc>
        <w:tc>
          <w:tcPr>
            <w:tcW w:w="635" w:type="pct"/>
            <w:gridSpan w:val="2"/>
            <w:tcBorders>
              <w:left w:val="single" w:color="000000" w:sz="6" w:space="0"/>
              <w:right w:val="single" w:color="000000" w:sz="6" w:space="0"/>
            </w:tcBorders>
            <w:vAlign w:val="center"/>
          </w:tcPr>
          <w:p>
            <w:pPr>
              <w:pStyle w:val="84"/>
              <w:rPr>
                <w:rFonts w:hint="default" w:hAnsi="Times New Roman" w:eastAsia="宋体"/>
                <w:bCs/>
                <w:color w:val="auto"/>
                <w:highlight w:val="none"/>
                <w:lang w:val="en-US" w:eastAsia="zh-CN"/>
              </w:rPr>
            </w:pPr>
            <w:r>
              <w:rPr>
                <w:rFonts w:hint="eastAsia" w:hAnsi="Times New Roman"/>
                <w:bCs/>
                <w:color w:val="auto"/>
                <w:highlight w:val="none"/>
                <w:lang w:val="en-US" w:eastAsia="zh-CN"/>
              </w:rPr>
              <w:t>0.00049</w:t>
            </w:r>
          </w:p>
        </w:tc>
        <w:tc>
          <w:tcPr>
            <w:tcW w:w="476" w:type="pct"/>
            <w:vMerge w:val="continue"/>
            <w:tcBorders>
              <w:left w:val="single" w:color="000000" w:sz="6" w:space="0"/>
              <w:right w:val="single" w:color="000000" w:sz="6" w:space="0"/>
            </w:tcBorders>
            <w:vAlign w:val="center"/>
          </w:tcPr>
          <w:p>
            <w:pPr>
              <w:pStyle w:val="84"/>
              <w:spacing w:line="0" w:lineRule="atLeast"/>
              <w:rPr>
                <w:rFonts w:hAnsi="Times New Roman"/>
                <w:color w:val="FF0000"/>
                <w:highlight w:val="none"/>
              </w:rPr>
            </w:pPr>
          </w:p>
        </w:tc>
        <w:tc>
          <w:tcPr>
            <w:tcW w:w="476" w:type="pct"/>
            <w:vMerge w:val="continue"/>
            <w:tcBorders>
              <w:left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FF0000"/>
                <w:sz w:val="21"/>
                <w:szCs w:val="21"/>
                <w:highlight w:val="none"/>
              </w:rPr>
            </w:pPr>
          </w:p>
        </w:tc>
        <w:tc>
          <w:tcPr>
            <w:tcW w:w="537" w:type="pct"/>
            <w:vMerge w:val="continue"/>
            <w:tcBorders>
              <w:left w:val="single" w:color="auto" w:sz="6" w:space="0"/>
              <w:right w:val="nil"/>
            </w:tcBorders>
            <w:vAlign w:val="center"/>
          </w:tcPr>
          <w:p>
            <w:pPr>
              <w:pStyle w:val="74"/>
              <w:spacing w:line="0" w:lineRule="atLeast"/>
              <w:ind w:firstLine="0" w:firstLineChars="0"/>
              <w:jc w:val="center"/>
              <w:rPr>
                <w:rFonts w:ascii="Times New Roman" w:hAnsi="Times New Roman" w:eastAsia="宋体" w:cs="Times New Roman"/>
                <w:color w:val="FF000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continue"/>
            <w:tcBorders>
              <w:left w:val="nil"/>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p>
        </w:tc>
        <w:tc>
          <w:tcPr>
            <w:tcW w:w="540" w:type="pct"/>
            <w:vMerge w:val="continue"/>
            <w:tcBorders>
              <w:left w:val="single" w:color="auto"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p>
        </w:tc>
        <w:tc>
          <w:tcPr>
            <w:tcW w:w="888" w:type="pct"/>
            <w:vMerge w:val="continue"/>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p>
        </w:tc>
        <w:tc>
          <w:tcPr>
            <w:tcW w:w="460" w:type="pct"/>
            <w:tcBorders>
              <w:left w:val="single" w:color="000000" w:sz="6" w:space="0"/>
              <w:right w:val="single" w:color="000000" w:sz="6"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臭气浓度（无量纲）</w:t>
            </w:r>
          </w:p>
        </w:tc>
        <w:tc>
          <w:tcPr>
            <w:tcW w:w="1270" w:type="pct"/>
            <w:gridSpan w:val="3"/>
            <w:tcBorders>
              <w:top w:val="single" w:color="000000" w:sz="6" w:space="0"/>
              <w:left w:val="single" w:color="auto" w:sz="6" w:space="0"/>
              <w:bottom w:val="single" w:color="000000" w:sz="6" w:space="0"/>
              <w:right w:val="single" w:color="000000" w:sz="6" w:space="0"/>
            </w:tcBorders>
            <w:vAlign w:val="center"/>
          </w:tcPr>
          <w:p>
            <w:pPr>
              <w:pStyle w:val="84"/>
              <w:rPr>
                <w:rFonts w:hint="default" w:hAnsi="Times New Roman" w:eastAsia="宋体"/>
                <w:bCs/>
                <w:color w:val="auto"/>
                <w:highlight w:val="none"/>
                <w:lang w:val="en-US" w:eastAsia="zh-CN"/>
              </w:rPr>
            </w:pPr>
            <w:r>
              <w:rPr>
                <w:rFonts w:hint="eastAsia" w:hAnsi="Times New Roman"/>
                <w:bCs/>
                <w:color w:val="auto"/>
                <w:highlight w:val="none"/>
                <w:lang w:val="en-US" w:eastAsia="zh-CN"/>
              </w:rPr>
              <w:t>1890</w:t>
            </w:r>
          </w:p>
        </w:tc>
        <w:tc>
          <w:tcPr>
            <w:tcW w:w="476" w:type="pct"/>
            <w:vMerge w:val="continue"/>
            <w:tcBorders>
              <w:left w:val="single" w:color="000000" w:sz="6" w:space="0"/>
              <w:right w:val="single" w:color="000000" w:sz="6" w:space="0"/>
            </w:tcBorders>
            <w:vAlign w:val="center"/>
          </w:tcPr>
          <w:p>
            <w:pPr>
              <w:pStyle w:val="84"/>
              <w:spacing w:line="0" w:lineRule="atLeast"/>
              <w:rPr>
                <w:rFonts w:hAnsi="Times New Roman"/>
                <w:color w:val="FF0000"/>
                <w:highlight w:val="none"/>
              </w:rPr>
            </w:pPr>
          </w:p>
        </w:tc>
        <w:tc>
          <w:tcPr>
            <w:tcW w:w="476" w:type="pct"/>
            <w:vMerge w:val="continue"/>
            <w:tcBorders>
              <w:left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FF0000"/>
                <w:sz w:val="21"/>
                <w:szCs w:val="21"/>
                <w:highlight w:val="none"/>
              </w:rPr>
            </w:pPr>
          </w:p>
        </w:tc>
        <w:tc>
          <w:tcPr>
            <w:tcW w:w="537" w:type="pct"/>
            <w:vMerge w:val="continue"/>
            <w:tcBorders>
              <w:left w:val="single" w:color="auto" w:sz="6" w:space="0"/>
              <w:right w:val="nil"/>
            </w:tcBorders>
            <w:vAlign w:val="center"/>
          </w:tcPr>
          <w:p>
            <w:pPr>
              <w:pStyle w:val="74"/>
              <w:spacing w:line="0" w:lineRule="atLeast"/>
              <w:ind w:firstLine="0" w:firstLineChars="0"/>
              <w:jc w:val="center"/>
              <w:rPr>
                <w:rFonts w:ascii="Times New Roman" w:hAnsi="Times New Roman" w:eastAsia="宋体" w:cs="Times New Roman"/>
                <w:color w:val="FF000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tcBorders>
              <w:left w:val="nil"/>
              <w:right w:val="single" w:color="auto" w:sz="6" w:space="0"/>
            </w:tcBorders>
            <w:vAlign w:val="center"/>
          </w:tcPr>
          <w:p>
            <w:pPr>
              <w:pStyle w:val="74"/>
              <w:spacing w:line="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540" w:type="pct"/>
            <w:tcBorders>
              <w:left w:val="single" w:color="auto" w:sz="6" w:space="0"/>
              <w:right w:val="single" w:color="000000" w:sz="6" w:space="0"/>
            </w:tcBorders>
            <w:vAlign w:val="center"/>
          </w:tcPr>
          <w:p>
            <w:pPr>
              <w:pStyle w:val="74"/>
              <w:spacing w:line="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锅炉房烟囱（DA005）</w:t>
            </w:r>
          </w:p>
        </w:tc>
        <w:tc>
          <w:tcPr>
            <w:tcW w:w="888" w:type="pct"/>
            <w:tcBorders>
              <w:left w:val="single" w:color="000000" w:sz="6" w:space="0"/>
              <w:bottom w:val="single" w:color="auto" w:sz="12" w:space="0"/>
              <w:right w:val="single" w:color="auto" w:sz="4" w:space="0"/>
            </w:tcBorders>
            <w:vAlign w:val="center"/>
          </w:tcPr>
          <w:p>
            <w:pPr>
              <w:pStyle w:val="74"/>
              <w:spacing w:line="0" w:lineRule="atLeas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布袋破损少部分，除尘效率下降到85%</w:t>
            </w:r>
          </w:p>
        </w:tc>
        <w:tc>
          <w:tcPr>
            <w:tcW w:w="460" w:type="pct"/>
            <w:tcBorders>
              <w:left w:val="single" w:color="auto" w:sz="4" w:space="0"/>
              <w:bottom w:val="single" w:color="auto" w:sz="12"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eastAsia="宋体" w:cs="Times New Roman"/>
                <w:color w:val="FF0000"/>
                <w:sz w:val="21"/>
                <w:szCs w:val="21"/>
                <w:highlight w:val="none"/>
              </w:rPr>
            </w:pPr>
            <w:r>
              <w:rPr>
                <w:rFonts w:hint="default" w:ascii="Times New Roman" w:hAnsi="Times New Roman" w:eastAsia="宋体" w:cs="Times New Roman"/>
                <w:bCs/>
                <w:color w:val="auto"/>
                <w:spacing w:val="0"/>
                <w:sz w:val="21"/>
                <w:szCs w:val="21"/>
                <w:highlight w:val="none"/>
              </w:rPr>
              <w:t>颗粒物</w:t>
            </w:r>
          </w:p>
        </w:tc>
        <w:tc>
          <w:tcPr>
            <w:tcW w:w="654" w:type="pct"/>
            <w:gridSpan w:val="2"/>
            <w:tcBorders>
              <w:top w:val="single" w:color="000000" w:sz="6" w:space="0"/>
              <w:left w:val="single" w:color="auto" w:sz="4" w:space="0"/>
              <w:bottom w:val="single" w:color="auto" w:sz="12" w:space="0"/>
              <w:right w:val="single" w:color="auto" w:sz="4" w:space="0"/>
            </w:tcBorders>
            <w:vAlign w:val="center"/>
          </w:tcPr>
          <w:p>
            <w:pPr>
              <w:pStyle w:val="84"/>
              <w:rPr>
                <w:rFonts w:hint="default" w:hAnsi="Times New Roman" w:eastAsia="宋体"/>
                <w:bCs/>
                <w:color w:val="auto"/>
                <w:highlight w:val="none"/>
                <w:lang w:val="en-US" w:eastAsia="zh-CN"/>
              </w:rPr>
            </w:pPr>
            <w:r>
              <w:rPr>
                <w:rFonts w:hint="eastAsia" w:hAnsi="Times New Roman"/>
                <w:bCs/>
                <w:color w:val="auto"/>
                <w:highlight w:val="none"/>
                <w:lang w:val="en-US" w:eastAsia="zh-CN"/>
              </w:rPr>
              <w:t>1953750</w:t>
            </w:r>
          </w:p>
        </w:tc>
        <w:tc>
          <w:tcPr>
            <w:tcW w:w="616" w:type="pct"/>
            <w:tcBorders>
              <w:top w:val="single" w:color="000000" w:sz="6" w:space="0"/>
              <w:left w:val="single" w:color="auto" w:sz="4" w:space="0"/>
              <w:bottom w:val="single" w:color="auto" w:sz="12" w:space="0"/>
              <w:right w:val="single" w:color="auto" w:sz="4" w:space="0"/>
            </w:tcBorders>
            <w:vAlign w:val="center"/>
          </w:tcPr>
          <w:p>
            <w:pPr>
              <w:pStyle w:val="84"/>
              <w:rPr>
                <w:rFonts w:hint="default" w:hAnsi="Times New Roman" w:eastAsia="宋体"/>
                <w:bCs/>
                <w:color w:val="auto"/>
                <w:highlight w:val="none"/>
                <w:lang w:val="en-US" w:eastAsia="zh-CN"/>
              </w:rPr>
            </w:pPr>
            <w:r>
              <w:rPr>
                <w:rFonts w:hint="eastAsia" w:hAnsi="Times New Roman"/>
                <w:bCs/>
                <w:color w:val="auto"/>
                <w:highlight w:val="none"/>
                <w:lang w:val="en-US" w:eastAsia="zh-CN"/>
              </w:rPr>
              <w:t>1.545</w:t>
            </w:r>
          </w:p>
        </w:tc>
        <w:tc>
          <w:tcPr>
            <w:tcW w:w="476" w:type="pct"/>
            <w:vMerge w:val="continue"/>
            <w:tcBorders>
              <w:left w:val="single" w:color="000000" w:sz="6" w:space="0"/>
              <w:right w:val="single" w:color="000000" w:sz="6" w:space="0"/>
            </w:tcBorders>
            <w:vAlign w:val="center"/>
          </w:tcPr>
          <w:p>
            <w:pPr>
              <w:pStyle w:val="84"/>
              <w:spacing w:line="0" w:lineRule="atLeast"/>
              <w:rPr>
                <w:rFonts w:hAnsi="Times New Roman"/>
                <w:color w:val="FF0000"/>
                <w:highlight w:val="none"/>
              </w:rPr>
            </w:pPr>
          </w:p>
        </w:tc>
        <w:tc>
          <w:tcPr>
            <w:tcW w:w="476" w:type="pct"/>
            <w:vMerge w:val="continue"/>
            <w:tcBorders>
              <w:left w:val="single" w:color="000000" w:sz="6" w:space="0"/>
              <w:right w:val="single" w:color="auto" w:sz="6" w:space="0"/>
            </w:tcBorders>
            <w:vAlign w:val="center"/>
          </w:tcPr>
          <w:p>
            <w:pPr>
              <w:pStyle w:val="74"/>
              <w:spacing w:line="0" w:lineRule="atLeast"/>
              <w:ind w:firstLine="0" w:firstLineChars="0"/>
              <w:jc w:val="center"/>
              <w:rPr>
                <w:rFonts w:ascii="Times New Roman" w:hAnsi="Times New Roman" w:eastAsia="宋体" w:cs="Times New Roman"/>
                <w:color w:val="FF0000"/>
                <w:sz w:val="21"/>
                <w:szCs w:val="21"/>
                <w:highlight w:val="none"/>
              </w:rPr>
            </w:pPr>
          </w:p>
        </w:tc>
        <w:tc>
          <w:tcPr>
            <w:tcW w:w="537" w:type="pct"/>
            <w:vMerge w:val="continue"/>
            <w:tcBorders>
              <w:left w:val="single" w:color="auto" w:sz="6" w:space="0"/>
              <w:right w:val="nil"/>
            </w:tcBorders>
            <w:vAlign w:val="center"/>
          </w:tcPr>
          <w:p>
            <w:pPr>
              <w:pStyle w:val="74"/>
              <w:spacing w:line="0" w:lineRule="atLeast"/>
              <w:ind w:firstLine="0" w:firstLineChars="0"/>
              <w:jc w:val="center"/>
              <w:rPr>
                <w:rFonts w:ascii="Times New Roman" w:hAnsi="Times New Roman" w:eastAsia="宋体" w:cs="Times New Roman"/>
                <w:color w:val="FF0000"/>
                <w:sz w:val="21"/>
                <w:szCs w:val="21"/>
                <w:highlight w:val="none"/>
              </w:rPr>
            </w:pPr>
          </w:p>
        </w:tc>
      </w:tr>
    </w:tbl>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b/>
          <w:color w:val="FF0000"/>
          <w:sz w:val="24"/>
        </w:rPr>
      </w:pPr>
    </w:p>
    <w:p>
      <w:pPr>
        <w:spacing w:line="360" w:lineRule="auto"/>
        <w:outlineLvl w:val="3"/>
        <w:rPr>
          <w:b/>
          <w:color w:val="auto"/>
          <w:sz w:val="24"/>
        </w:rPr>
      </w:pPr>
      <w:r>
        <w:rPr>
          <w:b/>
          <w:color w:val="auto"/>
          <w:sz w:val="24"/>
        </w:rPr>
        <w:t>5.2.</w:t>
      </w:r>
      <w:r>
        <w:rPr>
          <w:rFonts w:hint="eastAsia"/>
          <w:b/>
          <w:color w:val="auto"/>
          <w:sz w:val="24"/>
        </w:rPr>
        <w:t>1</w:t>
      </w:r>
      <w:r>
        <w:rPr>
          <w:b/>
          <w:color w:val="auto"/>
          <w:sz w:val="24"/>
        </w:rPr>
        <w:t>.3</w:t>
      </w:r>
      <w:r>
        <w:rPr>
          <w:rFonts w:hint="eastAsia"/>
          <w:b/>
          <w:color w:val="auto"/>
          <w:sz w:val="24"/>
        </w:rPr>
        <w:t>臭气</w:t>
      </w:r>
      <w:r>
        <w:rPr>
          <w:b/>
          <w:color w:val="auto"/>
          <w:sz w:val="24"/>
        </w:rPr>
        <w:t>浓度的分析与评价</w:t>
      </w:r>
    </w:p>
    <w:p>
      <w:pPr>
        <w:widowControl/>
        <w:autoSpaceDE w:val="0"/>
        <w:autoSpaceDN w:val="0"/>
        <w:spacing w:line="360" w:lineRule="auto"/>
        <w:ind w:firstLine="480" w:firstLineChars="200"/>
        <w:textAlignment w:val="baseline"/>
        <w:rPr>
          <w:color w:val="auto"/>
          <w:kern w:val="24"/>
          <w:sz w:val="24"/>
        </w:rPr>
      </w:pPr>
      <w:r>
        <w:rPr>
          <w:rFonts w:hint="eastAsia"/>
          <w:color w:val="auto"/>
          <w:kern w:val="24"/>
          <w:sz w:val="24"/>
        </w:rPr>
        <w:t>本</w:t>
      </w:r>
      <w:r>
        <w:rPr>
          <w:color w:val="auto"/>
          <w:kern w:val="24"/>
          <w:sz w:val="24"/>
        </w:rPr>
        <w:t>项目恶臭主要来自待宰</w:t>
      </w:r>
      <w:r>
        <w:rPr>
          <w:rFonts w:hint="eastAsia"/>
          <w:color w:val="auto"/>
          <w:kern w:val="24"/>
          <w:sz w:val="24"/>
        </w:rPr>
        <w:t>间</w:t>
      </w:r>
      <w:r>
        <w:rPr>
          <w:color w:val="auto"/>
          <w:kern w:val="24"/>
          <w:sz w:val="24"/>
        </w:rPr>
        <w:t>、屠宰</w:t>
      </w:r>
      <w:r>
        <w:rPr>
          <w:rFonts w:hint="eastAsia"/>
          <w:color w:val="auto"/>
          <w:kern w:val="24"/>
          <w:sz w:val="24"/>
        </w:rPr>
        <w:t>车间</w:t>
      </w:r>
      <w:r>
        <w:rPr>
          <w:color w:val="auto"/>
          <w:kern w:val="24"/>
          <w:sz w:val="24"/>
        </w:rPr>
        <w:t>、污水处理站，主要恶臭气体是氨、硫化氢、臭气浓度等，如未采取任何措施，这些恶臭气体会扩散至整个厂区及周围地区。在待宰</w:t>
      </w:r>
      <w:r>
        <w:rPr>
          <w:rFonts w:hint="eastAsia"/>
          <w:color w:val="auto"/>
          <w:kern w:val="24"/>
          <w:sz w:val="24"/>
        </w:rPr>
        <w:t>间</w:t>
      </w:r>
      <w:r>
        <w:rPr>
          <w:color w:val="auto"/>
          <w:kern w:val="24"/>
          <w:sz w:val="24"/>
        </w:rPr>
        <w:t>、污水处理站、屠宰车间增加通风次数，去除恶臭气体；定期喷洒除臭剂；及时清理待宰圈及屠宰车间内的粪便、肠胃内容物、</w:t>
      </w:r>
      <w:r>
        <w:rPr>
          <w:rFonts w:hint="eastAsia"/>
          <w:color w:val="auto"/>
          <w:kern w:val="24"/>
          <w:sz w:val="24"/>
        </w:rPr>
        <w:t>不可食用内脏</w:t>
      </w:r>
      <w:r>
        <w:rPr>
          <w:color w:val="auto"/>
          <w:kern w:val="24"/>
          <w:sz w:val="24"/>
        </w:rPr>
        <w:t>等废弃物；待宰</w:t>
      </w:r>
      <w:r>
        <w:rPr>
          <w:rFonts w:hint="eastAsia"/>
          <w:color w:val="auto"/>
          <w:kern w:val="24"/>
          <w:sz w:val="24"/>
        </w:rPr>
        <w:t>间</w:t>
      </w:r>
      <w:r>
        <w:rPr>
          <w:color w:val="auto"/>
          <w:kern w:val="24"/>
          <w:sz w:val="24"/>
        </w:rPr>
        <w:t>和屠宰</w:t>
      </w:r>
      <w:r>
        <w:rPr>
          <w:rFonts w:hint="eastAsia"/>
          <w:color w:val="auto"/>
          <w:kern w:val="24"/>
          <w:sz w:val="24"/>
        </w:rPr>
        <w:t>车间</w:t>
      </w:r>
      <w:r>
        <w:rPr>
          <w:color w:val="auto"/>
          <w:kern w:val="24"/>
          <w:sz w:val="24"/>
        </w:rPr>
        <w:t>及时清洗底面等措施后，臭气强度等级可降至1级以下，对应臭气浓度&lt;20（无量纲），对周围环境的影响大大降低，满足</w:t>
      </w:r>
      <w:r>
        <w:rPr>
          <w:color w:val="auto"/>
          <w:kern w:val="21"/>
          <w:sz w:val="24"/>
        </w:rPr>
        <w:t>《恶臭污染物排放标准》（GB14554-93）中二级新扩改建无组织标准</w:t>
      </w:r>
      <w:r>
        <w:rPr>
          <w:color w:val="auto"/>
          <w:kern w:val="24"/>
          <w:sz w:val="24"/>
        </w:rPr>
        <w:t>：&lt;20（无量纲）。</w:t>
      </w:r>
    </w:p>
    <w:p>
      <w:pPr>
        <w:widowControl/>
        <w:autoSpaceDE w:val="0"/>
        <w:autoSpaceDN w:val="0"/>
        <w:spacing w:line="360" w:lineRule="auto"/>
        <w:ind w:firstLine="480" w:firstLineChars="200"/>
        <w:textAlignment w:val="baseline"/>
        <w:rPr>
          <w:color w:val="auto"/>
          <w:kern w:val="24"/>
          <w:sz w:val="24"/>
        </w:rPr>
      </w:pPr>
      <w:r>
        <w:rPr>
          <w:color w:val="auto"/>
          <w:kern w:val="24"/>
          <w:sz w:val="24"/>
        </w:rPr>
        <w:t>本项目厂址边界最近的敏感点为厂界</w:t>
      </w:r>
      <w:r>
        <w:rPr>
          <w:rFonts w:hint="eastAsia"/>
          <w:color w:val="auto"/>
          <w:kern w:val="24"/>
          <w:sz w:val="24"/>
          <w:lang w:val="en-US" w:eastAsia="zh-CN"/>
        </w:rPr>
        <w:t>东</w:t>
      </w:r>
      <w:r>
        <w:rPr>
          <w:color w:val="auto"/>
          <w:kern w:val="24"/>
          <w:sz w:val="24"/>
        </w:rPr>
        <w:t>侧</w:t>
      </w:r>
      <w:r>
        <w:rPr>
          <w:rFonts w:hint="eastAsia"/>
          <w:color w:val="auto"/>
          <w:kern w:val="24"/>
          <w:sz w:val="24"/>
          <w:lang w:eastAsia="zh-CN"/>
        </w:rPr>
        <w:t>330</w:t>
      </w:r>
      <w:r>
        <w:rPr>
          <w:color w:val="auto"/>
          <w:kern w:val="24"/>
          <w:sz w:val="24"/>
        </w:rPr>
        <w:t>m的</w:t>
      </w:r>
      <w:r>
        <w:rPr>
          <w:rFonts w:hint="eastAsia"/>
          <w:color w:val="auto"/>
          <w:kern w:val="24"/>
          <w:sz w:val="24"/>
          <w:lang w:eastAsia="zh-CN"/>
        </w:rPr>
        <w:t>一曼下屯</w:t>
      </w:r>
      <w:r>
        <w:rPr>
          <w:color w:val="auto"/>
          <w:kern w:val="24"/>
          <w:sz w:val="24"/>
        </w:rPr>
        <w:t>，</w:t>
      </w:r>
      <w:r>
        <w:rPr>
          <w:rFonts w:hint="eastAsia"/>
          <w:color w:val="auto"/>
          <w:kern w:val="24"/>
          <w:sz w:val="24"/>
        </w:rPr>
        <w:t>哈尔滨</w:t>
      </w:r>
      <w:r>
        <w:rPr>
          <w:rFonts w:hint="eastAsia"/>
          <w:color w:val="auto"/>
          <w:kern w:val="24"/>
          <w:sz w:val="24"/>
          <w:lang w:eastAsia="zh-CN"/>
        </w:rPr>
        <w:t>尚志市</w:t>
      </w:r>
      <w:r>
        <w:rPr>
          <w:color w:val="auto"/>
          <w:kern w:val="24"/>
          <w:sz w:val="24"/>
        </w:rPr>
        <w:t>的风向主要特征为南-南南西-西南（S-SSW-SW）风，</w:t>
      </w:r>
      <w:r>
        <w:rPr>
          <w:rFonts w:hint="eastAsia"/>
          <w:color w:val="auto"/>
          <w:kern w:val="24"/>
          <w:sz w:val="24"/>
          <w:lang w:eastAsia="zh-CN"/>
        </w:rPr>
        <w:t>一曼下屯</w:t>
      </w:r>
      <w:r>
        <w:rPr>
          <w:color w:val="auto"/>
          <w:kern w:val="24"/>
          <w:sz w:val="24"/>
        </w:rPr>
        <w:t>位于本项目厂址</w:t>
      </w:r>
      <w:r>
        <w:rPr>
          <w:rFonts w:hint="eastAsia"/>
          <w:color w:val="auto"/>
          <w:kern w:val="24"/>
          <w:sz w:val="24"/>
          <w:lang w:val="en-US" w:eastAsia="zh-CN"/>
        </w:rPr>
        <w:t>下</w:t>
      </w:r>
      <w:r>
        <w:rPr>
          <w:color w:val="auto"/>
          <w:kern w:val="24"/>
          <w:sz w:val="24"/>
        </w:rPr>
        <w:t>风向，项目生产对其有影响较小，且项目在采取防治措施后，能够满足臭气浓度的排放达标，项目产生的臭气浓度对周边环境影响较小。</w:t>
      </w:r>
    </w:p>
    <w:p>
      <w:pPr>
        <w:spacing w:line="360" w:lineRule="auto"/>
        <w:outlineLvl w:val="3"/>
        <w:rPr>
          <w:b/>
          <w:color w:val="auto"/>
          <w:sz w:val="24"/>
        </w:rPr>
      </w:pPr>
      <w:r>
        <w:rPr>
          <w:b/>
          <w:color w:val="auto"/>
          <w:sz w:val="24"/>
        </w:rPr>
        <w:t>5.2.</w:t>
      </w:r>
      <w:r>
        <w:rPr>
          <w:rFonts w:hint="eastAsia"/>
          <w:b/>
          <w:color w:val="auto"/>
          <w:sz w:val="24"/>
        </w:rPr>
        <w:t>1</w:t>
      </w:r>
      <w:r>
        <w:rPr>
          <w:b/>
          <w:color w:val="auto"/>
          <w:sz w:val="24"/>
        </w:rPr>
        <w:t>.</w:t>
      </w:r>
      <w:r>
        <w:rPr>
          <w:rFonts w:hint="eastAsia"/>
          <w:b/>
          <w:color w:val="auto"/>
          <w:sz w:val="24"/>
        </w:rPr>
        <w:t>4</w:t>
      </w:r>
      <w:r>
        <w:rPr>
          <w:b/>
          <w:color w:val="auto"/>
          <w:sz w:val="24"/>
        </w:rPr>
        <w:t>大气环境防护距离的确定</w:t>
      </w:r>
    </w:p>
    <w:p>
      <w:pPr>
        <w:spacing w:line="360" w:lineRule="auto"/>
        <w:ind w:firstLine="480" w:firstLineChars="200"/>
        <w:rPr>
          <w:color w:val="auto"/>
          <w:sz w:val="24"/>
        </w:rPr>
      </w:pPr>
      <w:bookmarkStart w:id="187" w:name="_Hlk6561858"/>
      <w:bookmarkStart w:id="188" w:name="_Hlk5036530"/>
      <w:r>
        <w:rPr>
          <w:color w:val="auto"/>
          <w:sz w:val="24"/>
        </w:rPr>
        <w:t>（1）大气环境防护距离</w:t>
      </w:r>
    </w:p>
    <w:p>
      <w:pPr>
        <w:spacing w:line="360" w:lineRule="auto"/>
        <w:ind w:firstLine="480" w:firstLineChars="200"/>
        <w:rPr>
          <w:color w:val="auto"/>
          <w:kern w:val="21"/>
          <w:sz w:val="24"/>
        </w:rPr>
      </w:pPr>
      <w:r>
        <w:rPr>
          <w:color w:val="auto"/>
          <w:kern w:val="21"/>
          <w:sz w:val="24"/>
        </w:rPr>
        <w:t>根据《环境影响评价技术导则 大气环境》（HJ 2.2-2018）中对于大气环境防护距离确定的相关内容，“采用进一步预测模型模拟评价基准年内，本项目所有污染源对厂界外主要污染物的短期贡献浓度分布。在底图上标注从厂界起所有超过环境质量短期浓度标准值的网格区域，以自厂界起至超标区域的最远垂直距离作为大气环境防护距离”。</w:t>
      </w:r>
    </w:p>
    <w:p>
      <w:pPr>
        <w:spacing w:line="360" w:lineRule="auto"/>
        <w:ind w:firstLine="480" w:firstLineChars="200"/>
        <w:rPr>
          <w:color w:val="auto"/>
          <w:kern w:val="21"/>
          <w:sz w:val="24"/>
        </w:rPr>
      </w:pPr>
      <w:r>
        <w:rPr>
          <w:color w:val="auto"/>
          <w:kern w:val="21"/>
          <w:sz w:val="24"/>
        </w:rPr>
        <w:t>本项目环境空气评价工作等级为二级，根据《环境影响评价技术导则 大气环境》（HJ 2.2-2018），二级评价项目不进行进一步预测与评价，只对污染物排放量进行核算。且本次环境空气评价未进行进一步预测。故本次评价不设置大气环境防护距离。</w:t>
      </w:r>
    </w:p>
    <w:p>
      <w:pPr>
        <w:spacing w:line="360" w:lineRule="auto"/>
        <w:ind w:firstLine="480" w:firstLineChars="200"/>
        <w:rPr>
          <w:rFonts w:ascii="Times New Roman" w:hAnsi="Times New Roman" w:eastAsia="宋体" w:cs="Times New Roman"/>
          <w:color w:val="auto"/>
          <w:sz w:val="24"/>
        </w:rPr>
      </w:pPr>
      <w:bookmarkStart w:id="189" w:name="_Toc3611"/>
      <w:bookmarkStart w:id="190" w:name="_Toc14673"/>
      <w:r>
        <w:rPr>
          <w:rFonts w:ascii="Times New Roman" w:hAnsi="Times New Roman" w:eastAsia="宋体" w:cs="Times New Roman"/>
          <w:color w:val="auto"/>
          <w:sz w:val="24"/>
        </w:rPr>
        <w:t>（2）卫生防护距离</w:t>
      </w:r>
      <w:bookmarkEnd w:id="189"/>
      <w:bookmarkEnd w:id="190"/>
    </w:p>
    <w:p>
      <w:pPr>
        <w:spacing w:line="500" w:lineRule="exact"/>
        <w:ind w:firstLine="480" w:firstLineChars="200"/>
        <w:rPr>
          <w:color w:val="auto"/>
          <w:sz w:val="24"/>
        </w:rPr>
      </w:pPr>
      <w:r>
        <w:rPr>
          <w:color w:val="auto"/>
          <w:sz w:val="24"/>
        </w:rPr>
        <w:t>根据《大气有害物质无组织排放卫生防护距离推导技术导则》（GB/T39499-2020），本项目无组织排放的卫生防护距离可由下式计算：</w:t>
      </w:r>
    </w:p>
    <w:p>
      <w:pPr>
        <w:ind w:firstLine="560" w:firstLineChars="200"/>
        <w:jc w:val="center"/>
        <w:rPr>
          <w:color w:val="auto"/>
          <w:sz w:val="24"/>
        </w:rPr>
      </w:pPr>
      <w:r>
        <w:rPr>
          <w:color w:val="auto"/>
          <w:position w:val="-30"/>
          <w:sz w:val="28"/>
        </w:rPr>
        <w:object>
          <v:shape id="_x0000_i1034" o:spt="75" type="#_x0000_t75" style="height:35.25pt;width:144.75pt;" o:ole="t" filled="f" coordsize="21600,21600">
            <v:path/>
            <v:fill on="f" focussize="0,0"/>
            <v:stroke/>
            <v:imagedata r:id="rId56" o:title=""/>
            <o:lock v:ext="edit" aspectratio="t"/>
            <w10:wrap type="none"/>
            <w10:anchorlock/>
          </v:shape>
          <o:OLEObject Type="Embed" ProgID="Equation.3" ShapeID="_x0000_i1034" DrawAspect="Content" ObjectID="_1468075734" r:id="rId55">
            <o:LockedField>false</o:LockedField>
          </o:OLEObject>
        </w:object>
      </w:r>
    </w:p>
    <w:p>
      <w:pPr>
        <w:spacing w:line="500" w:lineRule="exact"/>
        <w:ind w:firstLine="480" w:firstLineChars="200"/>
        <w:rPr>
          <w:color w:val="auto"/>
          <w:sz w:val="24"/>
        </w:rPr>
      </w:pPr>
      <w:r>
        <w:rPr>
          <w:color w:val="auto"/>
          <w:sz w:val="24"/>
        </w:rPr>
        <w:t>式中：C</w:t>
      </w:r>
      <w:r>
        <w:rPr>
          <w:color w:val="auto"/>
          <w:sz w:val="24"/>
          <w:vertAlign w:val="subscript"/>
        </w:rPr>
        <w:t>m</w:t>
      </w:r>
      <w:r>
        <w:rPr>
          <w:color w:val="auto"/>
          <w:sz w:val="24"/>
        </w:rPr>
        <w:t>——大气有害物质环境空气质量的标准浓度限值（mg/m</w:t>
      </w:r>
      <w:r>
        <w:rPr>
          <w:color w:val="auto"/>
          <w:sz w:val="24"/>
          <w:vertAlign w:val="superscript"/>
        </w:rPr>
        <w:t>3</w:t>
      </w:r>
      <w:r>
        <w:rPr>
          <w:color w:val="auto"/>
          <w:sz w:val="24"/>
        </w:rPr>
        <w:t>）；</w:t>
      </w:r>
    </w:p>
    <w:p>
      <w:pPr>
        <w:spacing w:line="500" w:lineRule="exact"/>
        <w:ind w:firstLine="480" w:firstLineChars="200"/>
        <w:rPr>
          <w:color w:val="auto"/>
          <w:sz w:val="24"/>
        </w:rPr>
      </w:pPr>
      <w:r>
        <w:rPr>
          <w:color w:val="auto"/>
          <w:sz w:val="24"/>
        </w:rPr>
        <w:t xml:space="preserve">      Q</w:t>
      </w:r>
      <w:r>
        <w:rPr>
          <w:color w:val="auto"/>
          <w:sz w:val="24"/>
          <w:vertAlign w:val="subscript"/>
        </w:rPr>
        <w:t>c</w:t>
      </w:r>
      <w:r>
        <w:rPr>
          <w:color w:val="auto"/>
          <w:sz w:val="24"/>
        </w:rPr>
        <w:t>——大气有害物质的无组织排放量（kg/h）；</w:t>
      </w:r>
    </w:p>
    <w:p>
      <w:pPr>
        <w:spacing w:line="500" w:lineRule="exact"/>
        <w:ind w:firstLine="480" w:firstLineChars="200"/>
        <w:rPr>
          <w:color w:val="auto"/>
          <w:sz w:val="24"/>
        </w:rPr>
      </w:pPr>
      <w:r>
        <w:rPr>
          <w:color w:val="auto"/>
          <w:sz w:val="24"/>
        </w:rPr>
        <w:t xml:space="preserve">      r——大气有害物质无组织排放源所在生产单元的等效半径（m）；</w:t>
      </w:r>
    </w:p>
    <w:p>
      <w:pPr>
        <w:spacing w:line="500" w:lineRule="exact"/>
        <w:ind w:firstLine="480" w:firstLineChars="200"/>
        <w:rPr>
          <w:color w:val="auto"/>
          <w:sz w:val="24"/>
        </w:rPr>
      </w:pPr>
      <w:r>
        <w:rPr>
          <w:color w:val="auto"/>
          <w:sz w:val="24"/>
        </w:rPr>
        <w:t xml:space="preserve">      L——大气有害物质卫生防护距离初值（m）；</w:t>
      </w:r>
    </w:p>
    <w:p>
      <w:pPr>
        <w:spacing w:line="500" w:lineRule="exact"/>
        <w:ind w:firstLine="480" w:firstLineChars="200"/>
        <w:rPr>
          <w:color w:val="auto"/>
          <w:sz w:val="24"/>
        </w:rPr>
      </w:pPr>
      <w:r>
        <w:rPr>
          <w:color w:val="auto"/>
          <w:sz w:val="24"/>
        </w:rPr>
        <w:t xml:space="preserve">      A、B、C、D——卫生防护距离计算系数。</w:t>
      </w:r>
    </w:p>
    <w:p>
      <w:pPr>
        <w:spacing w:line="360" w:lineRule="auto"/>
        <w:ind w:firstLine="480" w:firstLineChars="200"/>
        <w:rPr>
          <w:color w:val="auto"/>
          <w:sz w:val="24"/>
        </w:rPr>
      </w:pPr>
      <w:r>
        <w:rPr>
          <w:color w:val="auto"/>
          <w:sz w:val="24"/>
        </w:rPr>
        <w:t>本项目</w:t>
      </w:r>
      <w:r>
        <w:rPr>
          <w:rFonts w:hint="eastAsia"/>
          <w:color w:val="auto"/>
          <w:sz w:val="24"/>
        </w:rPr>
        <w:t>取</w:t>
      </w:r>
      <w:r>
        <w:rPr>
          <w:color w:val="auto"/>
          <w:sz w:val="24"/>
        </w:rPr>
        <w:t>年平均风速</w:t>
      </w:r>
      <w:r>
        <w:rPr>
          <w:rFonts w:hint="eastAsia"/>
          <w:color w:val="auto"/>
          <w:sz w:val="24"/>
        </w:rPr>
        <w:t>2.6</w:t>
      </w:r>
      <w:r>
        <w:rPr>
          <w:color w:val="auto"/>
          <w:sz w:val="24"/>
        </w:rPr>
        <w:t>m/s，由此得卫生防护距离计算系数取值：A取470、B取0.021、C取1.85、D取0.84。卫生防护距离初值计算结果为L＜50。</w:t>
      </w:r>
    </w:p>
    <w:p>
      <w:pPr>
        <w:pStyle w:val="74"/>
        <w:jc w:val="both"/>
        <w:rPr>
          <w:rFonts w:ascii="Times New Roman" w:hAnsi="Times New Roman" w:eastAsia="宋体" w:cs="Times New Roman"/>
          <w:color w:val="auto"/>
        </w:rPr>
      </w:pPr>
      <w:r>
        <w:rPr>
          <w:sz w:val="24"/>
        </w:rPr>
        <w:pict>
          <v:shape id="_x0000_s71717" o:spid="_x0000_s71717" o:spt="202" type="#_x0000_t202" style="position:absolute;left:0pt;margin-left:363.3pt;margin-top:177.55pt;height:59.3pt;width:56.25pt;z-index:251676672;mso-width-relative:page;mso-height-relative:page;" filled="f" stroked="f" coordsize="21600,21600">
            <v:path/>
            <v:fill on="f" focussize="0,0"/>
            <v:stroke on="f" weight="1pt"/>
            <v:imagedata o:title=""/>
            <o:lock v:ext="edit" aspectratio="f"/>
            <v:textbox>
              <w:txbxContent>
                <w:p>
                  <w:pPr>
                    <w:keepNext w:val="0"/>
                    <w:keepLines w:val="0"/>
                    <w:pageBreakBefore w:val="0"/>
                    <w:widowControl w:val="0"/>
                    <w:kinsoku/>
                    <w:wordWrap/>
                    <w:overflowPunct/>
                    <w:topLinePunct w:val="0"/>
                    <w:bidi w:val="0"/>
                    <w:adjustRightInd/>
                    <w:snapToGrid/>
                    <w:textAlignment w:val="auto"/>
                    <w:rPr>
                      <w:rFonts w:hint="eastAsia" w:eastAsia="宋体"/>
                      <w:lang w:eastAsia="zh-CN"/>
                    </w:rPr>
                  </w:pPr>
                  <w:r>
                    <w:rPr>
                      <w:rFonts w:hint="eastAsia" w:eastAsia="宋体"/>
                      <w:lang w:eastAsia="zh-CN"/>
                    </w:rPr>
                    <w:drawing>
                      <wp:inline distT="0" distB="0" distL="114300" distR="114300">
                        <wp:extent cx="550545" cy="609600"/>
                        <wp:effectExtent l="0" t="0" r="1905" b="0"/>
                        <wp:docPr id="43" name="图片 43" descr="微信图片_2024011513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微信图片_20240115132349"/>
                                <pic:cNvPicPr>
                                  <a:picLocks noChangeAspect="1"/>
                                </pic:cNvPicPr>
                              </pic:nvPicPr>
                              <pic:blipFill>
                                <a:blip r:embed="rId57"/>
                                <a:stretch>
                                  <a:fillRect/>
                                </a:stretch>
                              </pic:blipFill>
                              <pic:spPr>
                                <a:xfrm>
                                  <a:off x="0" y="0"/>
                                  <a:ext cx="550545" cy="609600"/>
                                </a:xfrm>
                                <a:prstGeom prst="rect">
                                  <a:avLst/>
                                </a:prstGeom>
                              </pic:spPr>
                            </pic:pic>
                          </a:graphicData>
                        </a:graphic>
                      </wp:inline>
                    </w:drawing>
                  </w:r>
                </w:p>
              </w:txbxContent>
            </v:textbox>
          </v:shape>
        </w:pict>
      </w:r>
      <w:r>
        <w:rPr>
          <w:rFonts w:ascii="Times New Roman" w:hAnsi="Times New Roman" w:eastAsia="宋体" w:cs="Times New Roman"/>
          <w:color w:val="auto"/>
        </w:rPr>
        <w:t>根据《大气有害物质无组织排放卫生防护距离推导技术导则》（GB/T39499-2020），当企业某生产单元的无组织排放存在多种特征大气有害物质时，如果分别推导出的卫生防护距离初值在同一级时，则该企业的卫生防护距离终值应提高一级。</w:t>
      </w:r>
      <w:r>
        <w:rPr>
          <w:rFonts w:hint="eastAsia" w:cs="Times New Roman"/>
          <w:color w:val="auto"/>
        </w:rPr>
        <w:t>本项目无组织排放源较多，主要为待宰间、屠宰车间、污水处理站，</w:t>
      </w:r>
      <w:r>
        <w:rPr>
          <w:rFonts w:hint="eastAsia" w:cs="Times New Roman"/>
          <w:color w:val="auto"/>
          <w:highlight w:val="none"/>
        </w:rPr>
        <w:t>生产装置比较分散。</w:t>
      </w:r>
      <w:r>
        <w:rPr>
          <w:rFonts w:ascii="Times New Roman" w:hAnsi="Times New Roman" w:eastAsia="宋体" w:cs="Times New Roman"/>
          <w:color w:val="auto"/>
          <w:highlight w:val="none"/>
        </w:rPr>
        <w:t>因此，本项目以</w:t>
      </w:r>
      <w:r>
        <w:rPr>
          <w:rFonts w:hint="eastAsia" w:cs="Times New Roman"/>
          <w:color w:val="auto"/>
          <w:highlight w:val="none"/>
        </w:rPr>
        <w:t>厂界</w:t>
      </w:r>
      <w:r>
        <w:rPr>
          <w:rFonts w:ascii="Times New Roman" w:hAnsi="Times New Roman" w:eastAsia="宋体" w:cs="Times New Roman"/>
          <w:color w:val="auto"/>
          <w:highlight w:val="none"/>
        </w:rPr>
        <w:t>为边界设</w:t>
      </w:r>
      <w:r>
        <w:rPr>
          <w:rFonts w:ascii="Times New Roman" w:hAnsi="Times New Roman" w:eastAsia="宋体" w:cs="Times New Roman"/>
          <w:color w:val="auto"/>
        </w:rPr>
        <w:t>置100m卫生防护距离。该卫生防护距离范围内，无居民点等环境敏感目标。建议防护距离内不再建设</w:t>
      </w:r>
      <w:r>
        <w:rPr>
          <w:rFonts w:hint="eastAsia" w:ascii="Times New Roman" w:hAnsi="Times New Roman" w:eastAsia="宋体" w:cs="Times New Roman"/>
          <w:color w:val="auto"/>
        </w:rPr>
        <w:t>学校</w:t>
      </w:r>
      <w:r>
        <w:rPr>
          <w:rFonts w:ascii="Times New Roman" w:hAnsi="Times New Roman" w:eastAsia="宋体" w:cs="Times New Roman"/>
          <w:color w:val="auto"/>
        </w:rPr>
        <w:t>、医院、居民区等环境敏感目标。</w:t>
      </w:r>
    </w:p>
    <w:p>
      <w:pPr>
        <w:pStyle w:val="74"/>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pPr>
      <w:r>
        <w:rPr>
          <w:sz w:val="24"/>
        </w:rPr>
        <w:pict>
          <v:rect id="_x0000_s71722" o:spid="_x0000_s71722" o:spt="1" style="position:absolute;left:0pt;margin-left:314.05pt;margin-top:231.05pt;height:11.25pt;width:20.9pt;z-index:251677696;mso-width-relative:page;mso-height-relative:page;" fillcolor="#FFFFFF" filled="t" stroked="t" coordsize="21600,21600">
            <v:path/>
            <v:fill on="t" color2="#FFFFFF" focussize="0,0"/>
            <v:stroke weight="1pt" color="#7030A0"/>
            <v:imagedata o:title=""/>
            <o:lock v:ext="edit" aspectratio="f"/>
          </v:rect>
        </w:pict>
      </w:r>
      <w:r>
        <w:rPr>
          <w:sz w:val="24"/>
        </w:rPr>
        <w:pict>
          <v:rect id="_x0000_s71721" o:spid="_x0000_s71721" o:spt="1" style="position:absolute;left:0pt;margin-left:311.75pt;margin-top:205.8pt;height:12pt;width:24pt;z-index:251683840;mso-width-relative:page;mso-height-relative:page;" fillcolor="#FFFFFF" filled="t" stroked="t" coordsize="21600,21600">
            <v:path/>
            <v:fill on="t" color2="#FFFFFF" focussize="0,0"/>
            <v:stroke weight="1pt" color="#FF0000"/>
            <v:imagedata o:title=""/>
            <o:lock v:ext="edit" aspectratio="f"/>
          </v:rect>
        </w:pict>
      </w:r>
      <w:r>
        <w:rPr>
          <w:sz w:val="24"/>
        </w:rPr>
        <w:pict>
          <v:shape id="_x0000_s71711" o:spid="_x0000_s71711" o:spt="202" type="#_x0000_t202" style="position:absolute;left:0pt;margin-left:306.55pt;margin-top:175pt;height:73.45pt;width:108.75pt;z-index:251675648;mso-width-relative:page;mso-height-relative:page;" fillcolor="#FFFFFF" filled="t" stroked="t" coordsize="21600,21600">
            <v:path/>
            <v:fill on="t" color2="#FFFFFF" focussize="0,0"/>
            <v:stroke weight="1pt" color="#FFFFFF"/>
            <v:imagedata o:title=""/>
            <o:lock v:ext="edit" aspectratio="f"/>
            <v:textbox>
              <w:txbxContent>
                <w:p>
                  <w:pPr>
                    <w:keepNext w:val="0"/>
                    <w:keepLines w:val="0"/>
                    <w:pageBreakBefore w:val="0"/>
                    <w:widowControl w:val="0"/>
                    <w:kinsoku/>
                    <w:wordWrap/>
                    <w:overflowPunct/>
                    <w:topLinePunct w:val="0"/>
                    <w:bidi w:val="0"/>
                    <w:adjustRightInd/>
                    <w:snapToGrid/>
                    <w:spacing w:line="360" w:lineRule="auto"/>
                    <w:ind w:firstLine="0" w:firstLineChars="0"/>
                    <w:jc w:val="center"/>
                    <w:textAlignment w:val="auto"/>
                    <w:rPr>
                      <w:rFonts w:hint="eastAsia"/>
                      <w:sz w:val="21"/>
                      <w:szCs w:val="21"/>
                      <w:lang w:val="en-US" w:eastAsia="zh-CN"/>
                    </w:rPr>
                  </w:pPr>
                  <w:r>
                    <w:rPr>
                      <w:rFonts w:hint="eastAsia"/>
                      <w:sz w:val="21"/>
                      <w:szCs w:val="21"/>
                      <w:lang w:val="en-US" w:eastAsia="zh-CN"/>
                    </w:rPr>
                    <w:t>图例</w:t>
                  </w:r>
                </w:p>
                <w:p>
                  <w:pPr>
                    <w:pStyle w:val="2"/>
                    <w:keepNext w:val="0"/>
                    <w:keepLines w:val="0"/>
                    <w:pageBreakBefore w:val="0"/>
                    <w:widowControl w:val="0"/>
                    <w:kinsoku/>
                    <w:wordWrap/>
                    <w:overflowPunct/>
                    <w:topLinePunct w:val="0"/>
                    <w:bidi w:val="0"/>
                    <w:adjustRightInd/>
                    <w:snapToGrid/>
                    <w:spacing w:line="360" w:lineRule="auto"/>
                    <w:ind w:firstLine="0" w:firstLineChars="0"/>
                    <w:jc w:val="center"/>
                    <w:textAlignment w:val="auto"/>
                    <w:rPr>
                      <w:rFonts w:hint="eastAsia"/>
                      <w:sz w:val="21"/>
                      <w:szCs w:val="21"/>
                      <w:lang w:val="en-US" w:eastAsia="zh-CN"/>
                    </w:rPr>
                  </w:pPr>
                  <w:r>
                    <w:rPr>
                      <w:rFonts w:hint="eastAsia"/>
                      <w:sz w:val="21"/>
                      <w:szCs w:val="21"/>
                      <w:lang w:val="en-US" w:eastAsia="zh-CN"/>
                    </w:rPr>
                    <w:t>项目厂界</w:t>
                  </w:r>
                </w:p>
                <w:p>
                  <w:pPr>
                    <w:keepNext w:val="0"/>
                    <w:keepLines w:val="0"/>
                    <w:pageBreakBefore w:val="0"/>
                    <w:widowControl w:val="0"/>
                    <w:kinsoku/>
                    <w:wordWrap/>
                    <w:overflowPunct/>
                    <w:topLinePunct w:val="0"/>
                    <w:bidi w:val="0"/>
                    <w:adjustRightInd/>
                    <w:snapToGrid/>
                    <w:spacing w:line="360" w:lineRule="auto"/>
                    <w:ind w:firstLine="0" w:firstLineChars="0"/>
                    <w:jc w:val="center"/>
                    <w:textAlignment w:val="auto"/>
                    <w:rPr>
                      <w:rFonts w:hint="default"/>
                      <w:sz w:val="21"/>
                      <w:szCs w:val="21"/>
                      <w:lang w:val="en-US" w:eastAsia="zh-CN"/>
                    </w:rPr>
                  </w:pPr>
                  <w:r>
                    <w:rPr>
                      <w:rFonts w:hint="eastAsia"/>
                      <w:sz w:val="21"/>
                      <w:szCs w:val="21"/>
                      <w:lang w:val="en-US" w:eastAsia="zh-CN"/>
                    </w:rPr>
                    <w:t>包络线</w:t>
                  </w:r>
                </w:p>
              </w:txbxContent>
            </v:textbox>
          </v:shape>
        </w:pict>
      </w:r>
      <w:r>
        <w:drawing>
          <wp:inline distT="0" distB="0" distL="114300" distR="114300">
            <wp:extent cx="5271135" cy="3165475"/>
            <wp:effectExtent l="0" t="0" r="5715" b="15875"/>
            <wp:docPr id="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
                    <pic:cNvPicPr>
                      <a:picLocks noChangeAspect="1"/>
                    </pic:cNvPicPr>
                  </pic:nvPicPr>
                  <pic:blipFill>
                    <a:blip r:embed="rId58"/>
                    <a:stretch>
                      <a:fillRect/>
                    </a:stretch>
                  </pic:blipFill>
                  <pic:spPr>
                    <a:xfrm>
                      <a:off x="0" y="0"/>
                      <a:ext cx="5271135" cy="3165475"/>
                    </a:xfrm>
                    <a:prstGeom prst="rect">
                      <a:avLst/>
                    </a:prstGeom>
                    <a:noFill/>
                    <a:ln>
                      <a:noFill/>
                    </a:ln>
                  </pic:spPr>
                </pic:pic>
              </a:graphicData>
            </a:graphic>
          </wp:inline>
        </w:drawing>
      </w:r>
    </w:p>
    <w:p>
      <w:pPr>
        <w:pStyle w:val="74"/>
        <w:jc w:val="center"/>
        <w:rPr>
          <w:color w:val="auto"/>
          <w:sz w:val="24"/>
          <w:szCs w:val="24"/>
        </w:rPr>
      </w:pPr>
      <w:r>
        <w:rPr>
          <w:rFonts w:hint="eastAsia" w:ascii="Times New Roman" w:hAnsi="Times New Roman" w:eastAsia="宋体" w:cs="Times New Roman"/>
          <w:b/>
          <w:color w:val="auto"/>
          <w:sz w:val="24"/>
          <w:szCs w:val="24"/>
          <w:lang w:eastAsia="zh-CN"/>
        </w:rPr>
        <w:t>图</w:t>
      </w:r>
      <w:r>
        <w:rPr>
          <w:rFonts w:hint="eastAsia" w:ascii="Times New Roman" w:hAnsi="Times New Roman" w:eastAsia="宋体" w:cs="Times New Roman"/>
          <w:b/>
          <w:color w:val="auto"/>
          <w:sz w:val="24"/>
          <w:szCs w:val="24"/>
          <w:lang w:val="en-US" w:eastAsia="zh-CN"/>
        </w:rPr>
        <w:t>5-2-1  卫生防护距离包络线</w:t>
      </w:r>
    </w:p>
    <w:p>
      <w:pPr>
        <w:spacing w:line="360" w:lineRule="auto"/>
        <w:outlineLvl w:val="3"/>
        <w:rPr>
          <w:b/>
          <w:color w:val="auto"/>
          <w:sz w:val="24"/>
        </w:rPr>
      </w:pPr>
      <w:r>
        <w:rPr>
          <w:b/>
          <w:color w:val="auto"/>
          <w:sz w:val="24"/>
        </w:rPr>
        <w:t>5.2.</w:t>
      </w:r>
      <w:r>
        <w:rPr>
          <w:rFonts w:hint="eastAsia"/>
          <w:b/>
          <w:color w:val="auto"/>
          <w:sz w:val="24"/>
        </w:rPr>
        <w:t>1</w:t>
      </w:r>
      <w:r>
        <w:rPr>
          <w:b/>
          <w:color w:val="auto"/>
          <w:sz w:val="24"/>
        </w:rPr>
        <w:t>.</w:t>
      </w:r>
      <w:r>
        <w:rPr>
          <w:rFonts w:hint="eastAsia"/>
          <w:b/>
          <w:color w:val="auto"/>
          <w:sz w:val="24"/>
        </w:rPr>
        <w:t>5</w:t>
      </w:r>
      <w:r>
        <w:rPr>
          <w:b/>
          <w:color w:val="auto"/>
          <w:sz w:val="24"/>
        </w:rPr>
        <w:t>大气环境影响</w:t>
      </w:r>
      <w:r>
        <w:rPr>
          <w:rFonts w:hint="eastAsia"/>
          <w:b/>
          <w:color w:val="auto"/>
          <w:sz w:val="24"/>
        </w:rPr>
        <w:t>评价</w:t>
      </w:r>
    </w:p>
    <w:p>
      <w:pPr>
        <w:pStyle w:val="74"/>
        <w:adjustRightInd/>
        <w:snapToGrid/>
        <w:jc w:val="both"/>
        <w:rPr>
          <w:rFonts w:ascii="Times New Roman" w:cs="Times New Roman"/>
          <w:color w:val="FF0000"/>
        </w:rPr>
      </w:pPr>
      <w:r>
        <w:rPr>
          <w:rFonts w:ascii="Times New Roman" w:cs="Times New Roman"/>
          <w:color w:val="auto"/>
        </w:rPr>
        <w:t>综上所述，本工程建设在落实本评价提出的污染防治措施并保证其正常运行的前提下，厂区有组织硫化氢、氨</w:t>
      </w:r>
      <w:r>
        <w:rPr>
          <w:rFonts w:hint="eastAsia" w:ascii="Times New Roman" w:cs="Times New Roman"/>
          <w:color w:val="auto"/>
        </w:rPr>
        <w:t>、臭气浓度均</w:t>
      </w:r>
      <w:r>
        <w:rPr>
          <w:rFonts w:ascii="Times New Roman" w:cs="Times New Roman"/>
          <w:color w:val="auto"/>
        </w:rPr>
        <w:t>能够达到《恶臭污染物排放标准》（GB14554- 1993）中表2恶臭污染物标准。厂界硫化氢、氨、臭气浓度能够达到《恶臭污染物排放标准》（GB14554- 1993）表1中二级新改扩建标准。</w:t>
      </w:r>
      <w:r>
        <w:rPr>
          <w:rFonts w:hint="eastAsia" w:ascii="Times New Roman" w:cs="Times New Roman"/>
          <w:color w:val="auto"/>
        </w:rPr>
        <w:t>食堂油烟排放</w:t>
      </w:r>
      <w:r>
        <w:rPr>
          <w:rFonts w:ascii="Times New Roman" w:cs="Times New Roman"/>
          <w:bCs/>
          <w:color w:val="auto"/>
        </w:rPr>
        <w:t>满足《饮食业油烟排放标准（试行）》（GB18483-2001）中小型食堂油烟的标准限值要求。</w:t>
      </w:r>
      <w:r>
        <w:rPr>
          <w:rFonts w:hint="eastAsia"/>
          <w:snapToGrid w:val="0"/>
          <w:color w:val="auto"/>
          <w:kern w:val="0"/>
          <w:sz w:val="24"/>
          <w:lang w:val="en-US" w:eastAsia="zh-CN"/>
        </w:rPr>
        <w:t>锅炉烟气满足《锅炉大气污染物排放标准》（GB13271-2014）表3中“燃煤锅炉”大气污染物特别排放标准</w:t>
      </w:r>
      <w:r>
        <w:rPr>
          <w:snapToGrid w:val="0"/>
          <w:color w:val="auto"/>
          <w:kern w:val="0"/>
          <w:sz w:val="24"/>
        </w:rPr>
        <w:t>。</w:t>
      </w:r>
      <w:r>
        <w:rPr>
          <w:rFonts w:ascii="Times New Roman" w:hAnsi="Times New Roman" w:eastAsia="宋体" w:cs="Times New Roman"/>
          <w:color w:val="auto"/>
          <w:kern w:val="24"/>
        </w:rPr>
        <w:t>本项目产生的各类大气污染物预测最大地面质量浓度占标率中最大值为</w:t>
      </w:r>
      <w:r>
        <w:rPr>
          <w:rFonts w:hint="eastAsia" w:ascii="Times New Roman" w:hAnsi="Times New Roman" w:eastAsia="宋体" w:cs="Times New Roman"/>
          <w:color w:val="auto"/>
          <w:kern w:val="24"/>
          <w:lang w:eastAsia="zh-CN"/>
        </w:rPr>
        <w:t>9.14</w:t>
      </w:r>
      <w:r>
        <w:rPr>
          <w:rFonts w:ascii="Times New Roman" w:hAnsi="Times New Roman" w:eastAsia="宋体" w:cs="Times New Roman"/>
          <w:color w:val="auto"/>
          <w:kern w:val="24"/>
        </w:rPr>
        <w:t>%，1%≤Pmax＜10%，大气环境影响评价为二级评价，不设置大气防护距离，</w:t>
      </w:r>
      <w:r>
        <w:rPr>
          <w:rFonts w:ascii="Times New Roman" w:hAnsi="Times New Roman" w:eastAsia="宋体" w:cs="Times New Roman"/>
          <w:color w:val="auto"/>
          <w:highlight w:val="none"/>
        </w:rPr>
        <w:t>本项目以</w:t>
      </w:r>
      <w:r>
        <w:rPr>
          <w:rFonts w:hint="eastAsia" w:cs="Times New Roman"/>
          <w:color w:val="auto"/>
          <w:highlight w:val="none"/>
        </w:rPr>
        <w:t>厂界</w:t>
      </w:r>
      <w:r>
        <w:rPr>
          <w:rFonts w:ascii="Times New Roman" w:hAnsi="Times New Roman" w:eastAsia="宋体" w:cs="Times New Roman"/>
          <w:color w:val="auto"/>
          <w:highlight w:val="none"/>
        </w:rPr>
        <w:t>为边界设</w:t>
      </w:r>
      <w:r>
        <w:rPr>
          <w:rFonts w:ascii="Times New Roman" w:hAnsi="Times New Roman" w:eastAsia="宋体" w:cs="Times New Roman"/>
          <w:color w:val="auto"/>
        </w:rPr>
        <w:t>置100m卫生防护距离。该卫生防护距离范围内，无居民点等环境敏感目标。</w:t>
      </w:r>
      <w:r>
        <w:rPr>
          <w:rFonts w:ascii="Times New Roman" w:hAnsi="Times New Roman" w:eastAsia="宋体" w:cs="Times New Roman"/>
          <w:color w:val="auto"/>
          <w:kern w:val="24"/>
        </w:rPr>
        <w:t>对外环境空气质量影响较小，可以为环境所接受。因此，从大气环境影响角度分析，本项目建设是可行的。</w:t>
      </w:r>
    </w:p>
    <w:bookmarkEnd w:id="187"/>
    <w:bookmarkEnd w:id="188"/>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5.2.2水环境影响预测分析</w:t>
      </w:r>
    </w:p>
    <w:p>
      <w:pPr>
        <w:spacing w:line="360" w:lineRule="auto"/>
        <w:outlineLvl w:val="3"/>
        <w:rPr>
          <w:b/>
          <w:snapToGrid w:val="0"/>
          <w:color w:val="auto"/>
          <w:kern w:val="0"/>
          <w:sz w:val="24"/>
        </w:rPr>
      </w:pPr>
      <w:r>
        <w:rPr>
          <w:b/>
          <w:snapToGrid w:val="0"/>
          <w:color w:val="auto"/>
          <w:kern w:val="0"/>
          <w:sz w:val="24"/>
        </w:rPr>
        <w:t>5.2.2.1地表水环境影响分析</w:t>
      </w:r>
    </w:p>
    <w:p>
      <w:pPr>
        <w:widowControl/>
        <w:autoSpaceDE w:val="0"/>
        <w:autoSpaceDN w:val="0"/>
        <w:spacing w:line="360" w:lineRule="auto"/>
        <w:ind w:firstLine="480" w:firstLineChars="200"/>
        <w:textAlignment w:val="baseline"/>
        <w:rPr>
          <w:color w:val="auto"/>
          <w:kern w:val="24"/>
          <w:sz w:val="24"/>
        </w:rPr>
      </w:pPr>
      <w:bookmarkStart w:id="191" w:name="_Hlk10651079"/>
      <w:r>
        <w:rPr>
          <w:color w:val="auto"/>
          <w:kern w:val="24"/>
          <w:sz w:val="24"/>
        </w:rPr>
        <w:t>根据前文章节分析，本项目地表水环境影响评价等级为水污染影响型三级B，可不进行水环境影响预测，水污染影响型三级B评价的主要评价内容包括：a、水污染控制和水环境影响减缓措施有效性评价；b、依托污水处理设施的环境可行性评价。</w:t>
      </w:r>
    </w:p>
    <w:p>
      <w:pPr>
        <w:widowControl/>
        <w:autoSpaceDE w:val="0"/>
        <w:autoSpaceDN w:val="0"/>
        <w:spacing w:line="360" w:lineRule="auto"/>
        <w:ind w:firstLine="480" w:firstLineChars="200"/>
        <w:textAlignment w:val="baseline"/>
        <w:rPr>
          <w:rFonts w:ascii="Times New Roman" w:hAnsi="Times New Roman" w:eastAsia="宋体" w:cs="Times New Roman"/>
          <w:color w:val="auto"/>
          <w:kern w:val="24"/>
          <w:sz w:val="24"/>
        </w:rPr>
      </w:pPr>
      <w:bookmarkStart w:id="192" w:name="_Toc27803"/>
      <w:r>
        <w:rPr>
          <w:rFonts w:hint="eastAsia" w:ascii="Times New Roman" w:hAnsi="Times New Roman" w:eastAsia="宋体" w:cs="Times New Roman"/>
          <w:color w:val="auto"/>
          <w:kern w:val="24"/>
          <w:sz w:val="24"/>
        </w:rPr>
        <w:t>1、</w:t>
      </w:r>
      <w:r>
        <w:rPr>
          <w:rFonts w:ascii="Times New Roman" w:hAnsi="Times New Roman" w:eastAsia="宋体" w:cs="Times New Roman"/>
          <w:color w:val="auto"/>
          <w:kern w:val="24"/>
          <w:sz w:val="24"/>
        </w:rPr>
        <w:t>水污染控制和水环境影响减缓措施有效性评价</w:t>
      </w:r>
      <w:bookmarkEnd w:id="192"/>
    </w:p>
    <w:p>
      <w:pPr>
        <w:widowControl/>
        <w:autoSpaceDE w:val="0"/>
        <w:autoSpaceDN w:val="0"/>
        <w:spacing w:line="360" w:lineRule="auto"/>
        <w:ind w:firstLine="480" w:firstLineChars="200"/>
        <w:textAlignment w:val="baseline"/>
        <w:rPr>
          <w:color w:val="auto"/>
          <w:kern w:val="24"/>
          <w:sz w:val="24"/>
        </w:rPr>
      </w:pPr>
      <w:r>
        <w:rPr>
          <w:color w:val="auto"/>
          <w:kern w:val="24"/>
          <w:sz w:val="24"/>
        </w:rPr>
        <w:t>本项目运营期废水主要包括</w:t>
      </w:r>
      <w:r>
        <w:rPr>
          <w:rFonts w:hint="eastAsia"/>
          <w:color w:val="auto"/>
          <w:kern w:val="24"/>
          <w:sz w:val="24"/>
          <w:lang w:val="en-US" w:eastAsia="zh-CN"/>
        </w:rPr>
        <w:t>锅炉排污水、</w:t>
      </w:r>
      <w:r>
        <w:rPr>
          <w:rFonts w:hint="eastAsia"/>
          <w:color w:val="auto"/>
          <w:sz w:val="24"/>
          <w:highlight w:val="none"/>
          <w:lang w:val="en-US" w:eastAsia="zh-CN"/>
        </w:rPr>
        <w:t>软水制备排污水</w:t>
      </w:r>
      <w:r>
        <w:rPr>
          <w:rFonts w:hint="eastAsia"/>
          <w:color w:val="auto"/>
          <w:kern w:val="24"/>
          <w:sz w:val="24"/>
          <w:lang w:val="en-US" w:eastAsia="zh-CN"/>
        </w:rPr>
        <w:t>、</w:t>
      </w:r>
      <w:r>
        <w:rPr>
          <w:color w:val="auto"/>
          <w:kern w:val="24"/>
          <w:sz w:val="24"/>
        </w:rPr>
        <w:t>生产废水（</w:t>
      </w:r>
      <w:r>
        <w:rPr>
          <w:rFonts w:hint="eastAsia"/>
          <w:color w:val="auto"/>
          <w:kern w:val="24"/>
          <w:sz w:val="24"/>
        </w:rPr>
        <w:t>待宰间清洗废水（含尿液）、屠宰车间</w:t>
      </w:r>
      <w:r>
        <w:rPr>
          <w:rFonts w:hint="eastAsia"/>
          <w:color w:val="auto"/>
          <w:kern w:val="24"/>
          <w:sz w:val="24"/>
          <w:lang w:val="en-US" w:eastAsia="zh-CN"/>
        </w:rPr>
        <w:t>及急宰间</w:t>
      </w:r>
      <w:r>
        <w:rPr>
          <w:rFonts w:hint="eastAsia"/>
          <w:color w:val="auto"/>
          <w:kern w:val="24"/>
          <w:sz w:val="24"/>
        </w:rPr>
        <w:t>废水</w:t>
      </w:r>
      <w:r>
        <w:rPr>
          <w:color w:val="auto"/>
          <w:kern w:val="24"/>
          <w:sz w:val="24"/>
        </w:rPr>
        <w:t>）以及员工生活污水，主要污染物包括p</w:t>
      </w:r>
      <w:r>
        <w:rPr>
          <w:rFonts w:hint="eastAsia"/>
          <w:color w:val="auto"/>
          <w:kern w:val="24"/>
          <w:sz w:val="24"/>
        </w:rPr>
        <w:t>H、</w:t>
      </w:r>
      <w:r>
        <w:rPr>
          <w:color w:val="auto"/>
          <w:kern w:val="24"/>
          <w:sz w:val="24"/>
        </w:rPr>
        <w:t>COD、BOD</w:t>
      </w:r>
      <w:r>
        <w:rPr>
          <w:color w:val="auto"/>
          <w:kern w:val="24"/>
          <w:sz w:val="24"/>
          <w:vertAlign w:val="subscript"/>
        </w:rPr>
        <w:t>5</w:t>
      </w:r>
      <w:r>
        <w:rPr>
          <w:color w:val="auto"/>
          <w:kern w:val="24"/>
          <w:sz w:val="24"/>
        </w:rPr>
        <w:t>、SS、NH</w:t>
      </w:r>
      <w:r>
        <w:rPr>
          <w:color w:val="auto"/>
          <w:kern w:val="24"/>
          <w:sz w:val="24"/>
          <w:vertAlign w:val="subscript"/>
        </w:rPr>
        <w:t>3</w:t>
      </w:r>
      <w:r>
        <w:rPr>
          <w:color w:val="auto"/>
          <w:kern w:val="24"/>
          <w:sz w:val="24"/>
        </w:rPr>
        <w:t>-N、动植物油、大肠菌群数。</w:t>
      </w:r>
    </w:p>
    <w:p>
      <w:pPr>
        <w:widowControl/>
        <w:autoSpaceDE w:val="0"/>
        <w:autoSpaceDN w:val="0"/>
        <w:spacing w:line="360" w:lineRule="auto"/>
        <w:ind w:firstLine="480" w:firstLineChars="200"/>
        <w:textAlignment w:val="baseline"/>
        <w:rPr>
          <w:rFonts w:ascii="Times New Roman" w:hAnsi="Times New Roman" w:eastAsia="宋体" w:cs="Times New Roman"/>
          <w:color w:val="auto"/>
          <w:kern w:val="24"/>
          <w:sz w:val="24"/>
        </w:rPr>
      </w:pPr>
      <w:r>
        <w:rPr>
          <w:color w:val="auto"/>
          <w:kern w:val="24"/>
          <w:sz w:val="24"/>
        </w:rPr>
        <w:t>本项目</w:t>
      </w:r>
      <w:r>
        <w:rPr>
          <w:rFonts w:hint="eastAsia"/>
          <w:color w:val="auto"/>
          <w:kern w:val="24"/>
          <w:sz w:val="24"/>
          <w:lang w:val="en-US" w:eastAsia="zh-CN"/>
        </w:rPr>
        <w:t>建成后与</w:t>
      </w:r>
      <w:r>
        <w:rPr>
          <w:color w:val="auto"/>
          <w:kern w:val="24"/>
          <w:sz w:val="24"/>
        </w:rPr>
        <w:t>哈尔滨市</w:t>
      </w:r>
      <w:r>
        <w:rPr>
          <w:rFonts w:hint="eastAsia"/>
          <w:color w:val="auto"/>
          <w:kern w:val="24"/>
          <w:sz w:val="24"/>
          <w:lang w:eastAsia="zh-CN"/>
        </w:rPr>
        <w:t>尚志污水处理厂</w:t>
      </w:r>
      <w:r>
        <w:rPr>
          <w:color w:val="auto"/>
          <w:kern w:val="24"/>
          <w:sz w:val="24"/>
        </w:rPr>
        <w:t>签订污水处理协议，项目运营期各类生产废水和生活污水经厂区自建的污水处理站（</w:t>
      </w:r>
      <w:r>
        <w:rPr>
          <w:bCs/>
          <w:color w:val="auto"/>
          <w:kern w:val="24"/>
          <w:sz w:val="24"/>
        </w:rPr>
        <w:t>格栅+</w:t>
      </w:r>
      <w:r>
        <w:rPr>
          <w:color w:val="auto"/>
          <w:kern w:val="24"/>
          <w:sz w:val="24"/>
        </w:rPr>
        <w:t>隔油沉砂+气浮+水解酸化+生物接触氧化+</w:t>
      </w:r>
      <w:r>
        <w:rPr>
          <w:rFonts w:hint="eastAsia"/>
          <w:color w:val="auto"/>
          <w:kern w:val="24"/>
          <w:sz w:val="24"/>
        </w:rPr>
        <w:t>二沉池+</w:t>
      </w:r>
      <w:r>
        <w:rPr>
          <w:color w:val="auto"/>
          <w:kern w:val="24"/>
          <w:sz w:val="24"/>
        </w:rPr>
        <w:t>消毒工艺）处理达到《肉类加工工业水污染物排放标准》（GB13457-1992）表3中</w:t>
      </w:r>
      <w:r>
        <w:rPr>
          <w:bCs/>
          <w:color w:val="auto"/>
          <w:kern w:val="24"/>
          <w:sz w:val="24"/>
        </w:rPr>
        <w:t>三级畜类屠宰加工标准限值</w:t>
      </w:r>
      <w:r>
        <w:rPr>
          <w:color w:val="auto"/>
          <w:kern w:val="24"/>
          <w:sz w:val="24"/>
        </w:rPr>
        <w:t>及</w:t>
      </w:r>
      <w:r>
        <w:rPr>
          <w:rFonts w:hint="eastAsia"/>
          <w:color w:val="auto"/>
          <w:kern w:val="24"/>
          <w:sz w:val="24"/>
          <w:lang w:eastAsia="zh-CN"/>
        </w:rPr>
        <w:t>尚志污水处理厂</w:t>
      </w:r>
      <w:r>
        <w:rPr>
          <w:color w:val="auto"/>
          <w:kern w:val="24"/>
          <w:sz w:val="24"/>
        </w:rPr>
        <w:t>纳管标准的较严值后，</w:t>
      </w:r>
      <w:r>
        <w:rPr>
          <w:rFonts w:hint="eastAsia"/>
          <w:bCs/>
          <w:color w:val="auto"/>
          <w:kern w:val="24"/>
          <w:sz w:val="24"/>
        </w:rPr>
        <w:t>暂存</w:t>
      </w:r>
      <w:r>
        <w:rPr>
          <w:bCs/>
          <w:color w:val="auto"/>
          <w:kern w:val="24"/>
          <w:sz w:val="24"/>
        </w:rPr>
        <w:t>于贮水池，</w:t>
      </w:r>
      <w:r>
        <w:rPr>
          <w:rFonts w:hint="eastAsia"/>
          <w:bCs/>
          <w:color w:val="auto"/>
          <w:kern w:val="24"/>
          <w:sz w:val="24"/>
        </w:rPr>
        <w:t>每天</w:t>
      </w:r>
      <w:r>
        <w:rPr>
          <w:bCs/>
          <w:color w:val="auto"/>
          <w:kern w:val="24"/>
          <w:sz w:val="24"/>
        </w:rPr>
        <w:t>采用专用罐车</w:t>
      </w:r>
      <w:r>
        <w:rPr>
          <w:rFonts w:hint="eastAsia"/>
          <w:bCs/>
          <w:color w:val="auto"/>
          <w:kern w:val="24"/>
          <w:sz w:val="24"/>
        </w:rPr>
        <w:t>运至</w:t>
      </w:r>
      <w:r>
        <w:rPr>
          <w:rFonts w:hint="eastAsia"/>
          <w:bCs/>
          <w:color w:val="auto"/>
          <w:kern w:val="24"/>
          <w:sz w:val="24"/>
          <w:lang w:eastAsia="zh-CN"/>
        </w:rPr>
        <w:t>尚志污水处理厂</w:t>
      </w:r>
      <w:r>
        <w:rPr>
          <w:bCs/>
          <w:color w:val="auto"/>
          <w:kern w:val="24"/>
          <w:sz w:val="24"/>
        </w:rPr>
        <w:t>，</w:t>
      </w:r>
      <w:r>
        <w:rPr>
          <w:rFonts w:hint="eastAsia"/>
          <w:color w:val="auto"/>
          <w:kern w:val="24"/>
          <w:sz w:val="24"/>
        </w:rPr>
        <w:t>经</w:t>
      </w:r>
      <w:r>
        <w:rPr>
          <w:rFonts w:hint="eastAsia"/>
          <w:color w:val="auto"/>
          <w:kern w:val="24"/>
          <w:sz w:val="24"/>
          <w:lang w:eastAsia="zh-CN"/>
        </w:rPr>
        <w:t>尚</w:t>
      </w:r>
      <w:r>
        <w:rPr>
          <w:rFonts w:hint="eastAsia" w:ascii="Times New Roman" w:hAnsi="Times New Roman" w:eastAsia="宋体" w:cs="Times New Roman"/>
          <w:color w:val="auto"/>
          <w:kern w:val="24"/>
          <w:sz w:val="24"/>
          <w:lang w:eastAsia="zh-CN"/>
        </w:rPr>
        <w:t>志污水处理厂</w:t>
      </w:r>
      <w:r>
        <w:rPr>
          <w:rFonts w:ascii="Times New Roman" w:hAnsi="Times New Roman" w:eastAsia="宋体" w:cs="Times New Roman"/>
          <w:color w:val="auto"/>
          <w:kern w:val="24"/>
          <w:sz w:val="24"/>
        </w:rPr>
        <w:t>作进一步处理，最终达标</w:t>
      </w:r>
      <w:r>
        <w:rPr>
          <w:rFonts w:hint="eastAsia" w:ascii="Times New Roman" w:hAnsi="Times New Roman" w:eastAsia="宋体" w:cs="Times New Roman"/>
          <w:color w:val="auto"/>
          <w:kern w:val="24"/>
          <w:sz w:val="24"/>
        </w:rPr>
        <w:t>废</w:t>
      </w:r>
      <w:r>
        <w:rPr>
          <w:rFonts w:ascii="Times New Roman" w:hAnsi="Times New Roman" w:eastAsia="宋体" w:cs="Times New Roman"/>
          <w:color w:val="auto"/>
          <w:kern w:val="24"/>
          <w:sz w:val="24"/>
        </w:rPr>
        <w:t>水排入</w:t>
      </w:r>
      <w:r>
        <w:rPr>
          <w:rFonts w:hint="eastAsia" w:ascii="Times New Roman" w:hAnsi="Times New Roman" w:eastAsia="宋体" w:cs="Times New Roman"/>
          <w:color w:val="auto"/>
          <w:kern w:val="24"/>
          <w:sz w:val="24"/>
          <w:lang w:eastAsia="zh-CN"/>
        </w:rPr>
        <w:t>乌珠河</w:t>
      </w:r>
      <w:r>
        <w:rPr>
          <w:rFonts w:ascii="Times New Roman" w:hAnsi="Times New Roman" w:eastAsia="宋体" w:cs="Times New Roman"/>
          <w:color w:val="auto"/>
          <w:kern w:val="24"/>
          <w:sz w:val="24"/>
        </w:rPr>
        <w:t>，最终汇入</w:t>
      </w:r>
      <w:r>
        <w:rPr>
          <w:rFonts w:hint="eastAsia" w:ascii="Times New Roman" w:hAnsi="Times New Roman" w:eastAsia="宋体" w:cs="Times New Roman"/>
          <w:color w:val="auto"/>
          <w:kern w:val="24"/>
          <w:sz w:val="24"/>
          <w:lang w:val="en-US" w:eastAsia="zh-CN"/>
        </w:rPr>
        <w:t>蚂蚁河</w:t>
      </w:r>
      <w:r>
        <w:rPr>
          <w:rFonts w:ascii="Times New Roman" w:hAnsi="Times New Roman" w:eastAsia="宋体" w:cs="Times New Roman"/>
          <w:color w:val="auto"/>
          <w:kern w:val="24"/>
          <w:sz w:val="24"/>
        </w:rPr>
        <w:t>。</w:t>
      </w:r>
    </w:p>
    <w:p>
      <w:pPr>
        <w:widowControl/>
        <w:autoSpaceDE w:val="0"/>
        <w:autoSpaceDN w:val="0"/>
        <w:spacing w:line="360" w:lineRule="auto"/>
        <w:ind w:firstLine="480" w:firstLineChars="200"/>
        <w:textAlignment w:val="baseline"/>
        <w:rPr>
          <w:rFonts w:ascii="Times New Roman" w:hAnsi="Times New Roman" w:eastAsia="宋体" w:cs="Times New Roman"/>
          <w:color w:val="auto"/>
          <w:kern w:val="24"/>
          <w:sz w:val="24"/>
        </w:rPr>
      </w:pPr>
      <w:bookmarkStart w:id="193" w:name="_Toc24832"/>
      <w:r>
        <w:rPr>
          <w:rFonts w:hint="eastAsia" w:ascii="Times New Roman" w:hAnsi="Times New Roman" w:eastAsia="宋体" w:cs="Times New Roman"/>
          <w:color w:val="auto"/>
          <w:kern w:val="24"/>
          <w:sz w:val="24"/>
        </w:rPr>
        <w:t>2</w:t>
      </w:r>
      <w:r>
        <w:rPr>
          <w:rFonts w:ascii="Times New Roman" w:hAnsi="Times New Roman" w:eastAsia="宋体" w:cs="Times New Roman"/>
          <w:color w:val="auto"/>
          <w:kern w:val="24"/>
          <w:sz w:val="24"/>
        </w:rPr>
        <w:t>、依托</w:t>
      </w:r>
      <w:r>
        <w:rPr>
          <w:rFonts w:hint="eastAsia" w:ascii="Times New Roman" w:hAnsi="Times New Roman" w:eastAsia="宋体" w:cs="Times New Roman"/>
          <w:color w:val="auto"/>
          <w:kern w:val="24"/>
          <w:sz w:val="24"/>
          <w:lang w:eastAsia="zh-CN"/>
        </w:rPr>
        <w:t>尚志污水处理厂</w:t>
      </w:r>
      <w:r>
        <w:rPr>
          <w:rFonts w:ascii="Times New Roman" w:hAnsi="Times New Roman" w:eastAsia="宋体" w:cs="Times New Roman"/>
          <w:color w:val="auto"/>
          <w:kern w:val="24"/>
          <w:sz w:val="24"/>
        </w:rPr>
        <w:t>接纳项目废水可行性分析</w:t>
      </w:r>
      <w:bookmarkEnd w:id="193"/>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FF0000"/>
          <w:kern w:val="24"/>
          <w:sz w:val="24"/>
        </w:rPr>
      </w:pPr>
      <w:r>
        <w:rPr>
          <w:rFonts w:hint="eastAsia"/>
          <w:sz w:val="24"/>
        </w:rPr>
        <w:t>尚志污水处理厂</w:t>
      </w:r>
      <w:r>
        <w:rPr>
          <w:sz w:val="24"/>
        </w:rPr>
        <w:t>，其厂址位于</w:t>
      </w:r>
      <w:r>
        <w:rPr>
          <w:rFonts w:hint="eastAsia"/>
          <w:sz w:val="24"/>
        </w:rPr>
        <w:t>尚志市尚志镇红光村</w:t>
      </w:r>
      <w:r>
        <w:rPr>
          <w:sz w:val="24"/>
        </w:rPr>
        <w:t>，</w:t>
      </w:r>
      <w:r>
        <w:rPr>
          <w:rFonts w:hint="eastAsia"/>
          <w:sz w:val="24"/>
        </w:rPr>
        <w:t>蚂蚁河</w:t>
      </w:r>
      <w:r>
        <w:rPr>
          <w:sz w:val="24"/>
        </w:rPr>
        <w:t>西岸，距离本项</w:t>
      </w:r>
      <w:r>
        <w:rPr>
          <w:color w:val="auto"/>
          <w:sz w:val="24"/>
        </w:rPr>
        <w:t>目</w:t>
      </w:r>
      <w:r>
        <w:rPr>
          <w:rFonts w:hint="eastAsia"/>
          <w:color w:val="auto"/>
          <w:sz w:val="24"/>
          <w:lang w:val="en-US" w:eastAsia="zh-CN"/>
        </w:rPr>
        <w:t>15.3</w:t>
      </w:r>
      <w:r>
        <w:rPr>
          <w:color w:val="auto"/>
          <w:sz w:val="24"/>
        </w:rPr>
        <w:t>km。该</w:t>
      </w:r>
      <w:r>
        <w:rPr>
          <w:sz w:val="24"/>
        </w:rPr>
        <w:t>污水处理厂设计规模日处理量：</w:t>
      </w:r>
      <w:r>
        <w:rPr>
          <w:rFonts w:hint="eastAsia"/>
          <w:sz w:val="24"/>
        </w:rPr>
        <w:t>4万</w:t>
      </w:r>
      <w:r>
        <w:rPr>
          <w:sz w:val="24"/>
        </w:rPr>
        <w:t>t/d，目前处理量为</w:t>
      </w:r>
      <w:r>
        <w:rPr>
          <w:rFonts w:hint="eastAsia"/>
          <w:sz w:val="24"/>
        </w:rPr>
        <w:t>3.57万</w:t>
      </w:r>
      <w:r>
        <w:rPr>
          <w:sz w:val="24"/>
        </w:rPr>
        <w:t>t/d，剩余处理量为</w:t>
      </w:r>
      <w:r>
        <w:rPr>
          <w:rFonts w:hint="eastAsia"/>
          <w:sz w:val="24"/>
        </w:rPr>
        <w:t>0.43万</w:t>
      </w:r>
      <w:r>
        <w:rPr>
          <w:sz w:val="24"/>
        </w:rPr>
        <w:t>t/d。采用</w:t>
      </w:r>
      <w:r>
        <w:rPr>
          <w:rFonts w:hint="eastAsia"/>
          <w:sz w:val="24"/>
        </w:rPr>
        <w:t>A</w:t>
      </w:r>
      <w:r>
        <w:rPr>
          <w:rFonts w:hint="eastAsia"/>
          <w:sz w:val="24"/>
          <w:vertAlign w:val="superscript"/>
        </w:rPr>
        <w:t>2</w:t>
      </w:r>
      <w:r>
        <w:rPr>
          <w:rFonts w:hint="eastAsia"/>
          <w:sz w:val="24"/>
        </w:rPr>
        <w:t>O</w:t>
      </w:r>
      <w:r>
        <w:rPr>
          <w:sz w:val="24"/>
        </w:rPr>
        <w:t>工艺。设计处理进水标准达到《污水综合排放标准》（GB8978-1996）表4中三级标准，排水标准达《城镇污水处理厂污染物排放标准》（GB18918-2002）一级A标准，排入</w:t>
      </w:r>
      <w:r>
        <w:rPr>
          <w:rFonts w:hint="eastAsia"/>
          <w:sz w:val="24"/>
        </w:rPr>
        <w:t>乌珠河，最终汇入蚂蚁河</w:t>
      </w:r>
      <w:r>
        <w:rPr>
          <w:sz w:val="24"/>
        </w:rPr>
        <w:t>。</w:t>
      </w:r>
      <w:r>
        <w:rPr>
          <w:bCs/>
          <w:color w:val="auto"/>
          <w:sz w:val="24"/>
        </w:rPr>
        <w:t>本项目</w:t>
      </w:r>
      <w:r>
        <w:rPr>
          <w:rFonts w:hint="eastAsia"/>
          <w:bCs/>
          <w:color w:val="auto"/>
          <w:sz w:val="24"/>
          <w:lang w:val="en-US" w:eastAsia="zh-CN"/>
        </w:rPr>
        <w:t>处理后</w:t>
      </w:r>
      <w:r>
        <w:rPr>
          <w:bCs/>
          <w:color w:val="auto"/>
          <w:sz w:val="24"/>
        </w:rPr>
        <w:t>污水</w:t>
      </w:r>
      <w:r>
        <w:rPr>
          <w:rFonts w:hint="eastAsia"/>
          <w:bCs/>
          <w:color w:val="auto"/>
          <w:sz w:val="24"/>
        </w:rPr>
        <w:t>每天</w:t>
      </w:r>
      <w:r>
        <w:rPr>
          <w:bCs/>
          <w:color w:val="auto"/>
          <w:sz w:val="24"/>
        </w:rPr>
        <w:t>拉运至</w:t>
      </w:r>
      <w:r>
        <w:rPr>
          <w:rFonts w:hint="eastAsia"/>
          <w:bCs/>
          <w:color w:val="auto"/>
          <w:sz w:val="24"/>
          <w:lang w:eastAsia="zh-CN"/>
        </w:rPr>
        <w:t>尚志污水处理厂</w:t>
      </w:r>
      <w:r>
        <w:rPr>
          <w:bCs/>
          <w:color w:val="auto"/>
          <w:sz w:val="24"/>
        </w:rPr>
        <w:t>处理，</w:t>
      </w:r>
      <w:r>
        <w:rPr>
          <w:rFonts w:hint="eastAsia"/>
          <w:bCs/>
          <w:color w:val="auto"/>
          <w:sz w:val="24"/>
        </w:rPr>
        <w:t>每天</w:t>
      </w:r>
      <w:r>
        <w:rPr>
          <w:bCs/>
          <w:color w:val="auto"/>
          <w:sz w:val="24"/>
        </w:rPr>
        <w:t>废水运载量为</w:t>
      </w:r>
      <w:r>
        <w:rPr>
          <w:rFonts w:hint="eastAsia"/>
          <w:bCs/>
          <w:color w:val="auto"/>
          <w:sz w:val="24"/>
          <w:lang w:eastAsia="zh-CN"/>
        </w:rPr>
        <w:t>59.0356</w:t>
      </w:r>
      <w:r>
        <w:rPr>
          <w:bCs/>
          <w:color w:val="auto"/>
          <w:sz w:val="24"/>
        </w:rPr>
        <w:t>t/d，占污水处理厂处理能力的</w:t>
      </w:r>
      <w:r>
        <w:rPr>
          <w:rFonts w:hint="eastAsia"/>
          <w:bCs/>
          <w:color w:val="auto"/>
          <w:sz w:val="24"/>
          <w:lang w:val="en-US" w:eastAsia="zh-CN"/>
        </w:rPr>
        <w:t>0.15</w:t>
      </w:r>
      <w:r>
        <w:rPr>
          <w:bCs/>
          <w:color w:val="auto"/>
          <w:sz w:val="24"/>
        </w:rPr>
        <w:t>%，</w:t>
      </w:r>
      <w:r>
        <w:rPr>
          <w:rFonts w:hint="eastAsia"/>
          <w:bCs/>
          <w:color w:val="auto"/>
          <w:sz w:val="24"/>
          <w:lang w:val="en-US" w:eastAsia="zh-CN"/>
        </w:rPr>
        <w:t>因此本项目废水排入</w:t>
      </w:r>
      <w:r>
        <w:rPr>
          <w:rFonts w:hint="eastAsia"/>
          <w:color w:val="auto"/>
          <w:sz w:val="24"/>
        </w:rPr>
        <w:t>尚志污水处理厂</w:t>
      </w:r>
      <w:r>
        <w:rPr>
          <w:color w:val="auto"/>
          <w:sz w:val="24"/>
        </w:rPr>
        <w:t>处理可行。</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sz w:val="24"/>
        </w:rPr>
      </w:pPr>
      <w:r>
        <w:rPr>
          <w:b/>
          <w:color w:val="auto"/>
          <w:sz w:val="24"/>
        </w:rPr>
        <w:t>表5-2-1</w:t>
      </w:r>
      <w:r>
        <w:rPr>
          <w:rFonts w:hint="eastAsia"/>
          <w:b/>
          <w:color w:val="auto"/>
          <w:sz w:val="24"/>
          <w:lang w:val="en-US" w:eastAsia="zh-CN"/>
        </w:rPr>
        <w:t>4</w:t>
      </w:r>
      <w:r>
        <w:rPr>
          <w:b/>
          <w:color w:val="auto"/>
          <w:sz w:val="24"/>
        </w:rPr>
        <w:t xml:space="preserve"> 废水类别、污染物及污染治理设施信息表</w:t>
      </w:r>
    </w:p>
    <w:tbl>
      <w:tblPr>
        <w:tblStyle w:val="46"/>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426"/>
        <w:gridCol w:w="636"/>
        <w:gridCol w:w="938"/>
        <w:gridCol w:w="577"/>
        <w:gridCol w:w="863"/>
        <w:gridCol w:w="858"/>
        <w:gridCol w:w="725"/>
        <w:gridCol w:w="728"/>
        <w:gridCol w:w="881"/>
        <w:gridCol w:w="726"/>
        <w:gridCol w:w="115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2" w:hRule="atLeast"/>
          <w:jc w:val="center"/>
        </w:trPr>
        <w:tc>
          <w:tcPr>
            <w:tcW w:w="236" w:type="pct"/>
            <w:vMerge w:val="restart"/>
            <w:vAlign w:val="center"/>
          </w:tcPr>
          <w:p>
            <w:pPr>
              <w:spacing w:line="0" w:lineRule="atLeast"/>
              <w:contextualSpacing/>
              <w:jc w:val="center"/>
              <w:rPr>
                <w:color w:val="auto"/>
                <w:szCs w:val="21"/>
              </w:rPr>
            </w:pPr>
            <w:r>
              <w:rPr>
                <w:color w:val="auto"/>
                <w:szCs w:val="21"/>
              </w:rPr>
              <w:t>序号</w:t>
            </w:r>
          </w:p>
        </w:tc>
        <w:tc>
          <w:tcPr>
            <w:tcW w:w="406" w:type="pct"/>
            <w:vMerge w:val="restart"/>
            <w:vAlign w:val="center"/>
          </w:tcPr>
          <w:p>
            <w:pPr>
              <w:spacing w:line="0" w:lineRule="atLeast"/>
              <w:contextualSpacing/>
              <w:jc w:val="center"/>
              <w:rPr>
                <w:color w:val="auto"/>
                <w:szCs w:val="21"/>
              </w:rPr>
            </w:pPr>
            <w:r>
              <w:rPr>
                <w:color w:val="auto"/>
                <w:szCs w:val="21"/>
              </w:rPr>
              <w:t>废水类别</w:t>
            </w:r>
          </w:p>
        </w:tc>
        <w:tc>
          <w:tcPr>
            <w:tcW w:w="482" w:type="pct"/>
            <w:vMerge w:val="restart"/>
            <w:vAlign w:val="center"/>
          </w:tcPr>
          <w:p>
            <w:pPr>
              <w:spacing w:line="0" w:lineRule="atLeast"/>
              <w:contextualSpacing/>
              <w:jc w:val="center"/>
              <w:rPr>
                <w:color w:val="auto"/>
                <w:szCs w:val="21"/>
              </w:rPr>
            </w:pPr>
            <w:r>
              <w:rPr>
                <w:color w:val="auto"/>
                <w:szCs w:val="21"/>
              </w:rPr>
              <w:t>污染物种类</w:t>
            </w:r>
          </w:p>
        </w:tc>
        <w:tc>
          <w:tcPr>
            <w:tcW w:w="397" w:type="pct"/>
            <w:vMerge w:val="restart"/>
            <w:vAlign w:val="center"/>
          </w:tcPr>
          <w:p>
            <w:pPr>
              <w:spacing w:line="0" w:lineRule="atLeast"/>
              <w:contextualSpacing/>
              <w:jc w:val="center"/>
              <w:rPr>
                <w:color w:val="auto"/>
                <w:szCs w:val="21"/>
              </w:rPr>
            </w:pPr>
            <w:r>
              <w:rPr>
                <w:color w:val="auto"/>
                <w:szCs w:val="21"/>
              </w:rPr>
              <w:t>排放去向</w:t>
            </w:r>
          </w:p>
        </w:tc>
        <w:tc>
          <w:tcPr>
            <w:tcW w:w="552" w:type="pct"/>
            <w:vMerge w:val="restart"/>
            <w:vAlign w:val="center"/>
          </w:tcPr>
          <w:p>
            <w:pPr>
              <w:spacing w:line="0" w:lineRule="atLeast"/>
              <w:contextualSpacing/>
              <w:jc w:val="center"/>
              <w:rPr>
                <w:color w:val="auto"/>
                <w:szCs w:val="21"/>
              </w:rPr>
            </w:pPr>
            <w:r>
              <w:rPr>
                <w:color w:val="auto"/>
                <w:szCs w:val="21"/>
              </w:rPr>
              <w:t>排放规律</w:t>
            </w:r>
          </w:p>
        </w:tc>
        <w:tc>
          <w:tcPr>
            <w:tcW w:w="1335" w:type="pct"/>
            <w:gridSpan w:val="3"/>
            <w:vAlign w:val="center"/>
          </w:tcPr>
          <w:p>
            <w:pPr>
              <w:spacing w:line="0" w:lineRule="atLeast"/>
              <w:contextualSpacing/>
              <w:jc w:val="center"/>
              <w:rPr>
                <w:color w:val="auto"/>
                <w:szCs w:val="21"/>
              </w:rPr>
            </w:pPr>
            <w:r>
              <w:rPr>
                <w:color w:val="auto"/>
                <w:szCs w:val="21"/>
              </w:rPr>
              <w:t>污染治理设施</w:t>
            </w:r>
          </w:p>
        </w:tc>
        <w:tc>
          <w:tcPr>
            <w:tcW w:w="392" w:type="pct"/>
            <w:vMerge w:val="restart"/>
            <w:vAlign w:val="center"/>
          </w:tcPr>
          <w:p>
            <w:pPr>
              <w:spacing w:line="0" w:lineRule="atLeast"/>
              <w:contextualSpacing/>
              <w:jc w:val="center"/>
              <w:rPr>
                <w:color w:val="auto"/>
                <w:szCs w:val="21"/>
              </w:rPr>
            </w:pPr>
            <w:r>
              <w:rPr>
                <w:color w:val="auto"/>
                <w:szCs w:val="21"/>
              </w:rPr>
              <w:t>排放口编号</w:t>
            </w:r>
          </w:p>
        </w:tc>
        <w:tc>
          <w:tcPr>
            <w:tcW w:w="472" w:type="pct"/>
            <w:vMerge w:val="restart"/>
            <w:vAlign w:val="center"/>
          </w:tcPr>
          <w:p>
            <w:pPr>
              <w:spacing w:line="0" w:lineRule="atLeast"/>
              <w:contextualSpacing/>
              <w:jc w:val="center"/>
              <w:rPr>
                <w:color w:val="auto"/>
                <w:szCs w:val="21"/>
              </w:rPr>
            </w:pPr>
            <w:r>
              <w:rPr>
                <w:color w:val="auto"/>
                <w:szCs w:val="21"/>
              </w:rPr>
              <w:t>排放口设置是否符合要求</w:t>
            </w:r>
          </w:p>
        </w:tc>
        <w:tc>
          <w:tcPr>
            <w:tcW w:w="724" w:type="pct"/>
            <w:vMerge w:val="restart"/>
            <w:vAlign w:val="center"/>
          </w:tcPr>
          <w:p>
            <w:pPr>
              <w:spacing w:line="0" w:lineRule="atLeast"/>
              <w:contextualSpacing/>
              <w:jc w:val="center"/>
              <w:rPr>
                <w:color w:val="auto"/>
                <w:szCs w:val="21"/>
              </w:rPr>
            </w:pPr>
            <w:r>
              <w:rPr>
                <w:color w:val="auto"/>
                <w:szCs w:val="21"/>
              </w:rPr>
              <w:t>排放口类型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0" w:hRule="atLeast"/>
          <w:jc w:val="center"/>
        </w:trPr>
        <w:tc>
          <w:tcPr>
            <w:tcW w:w="236" w:type="pct"/>
            <w:vMerge w:val="continue"/>
            <w:vAlign w:val="center"/>
          </w:tcPr>
          <w:p>
            <w:pPr>
              <w:spacing w:line="0" w:lineRule="atLeast"/>
              <w:contextualSpacing/>
              <w:jc w:val="center"/>
              <w:rPr>
                <w:color w:val="auto"/>
                <w:szCs w:val="21"/>
              </w:rPr>
            </w:pPr>
          </w:p>
        </w:tc>
        <w:tc>
          <w:tcPr>
            <w:tcW w:w="406" w:type="pct"/>
            <w:vMerge w:val="continue"/>
            <w:vAlign w:val="center"/>
          </w:tcPr>
          <w:p>
            <w:pPr>
              <w:spacing w:line="0" w:lineRule="atLeast"/>
              <w:contextualSpacing/>
              <w:jc w:val="center"/>
              <w:rPr>
                <w:color w:val="auto"/>
                <w:szCs w:val="21"/>
              </w:rPr>
            </w:pPr>
          </w:p>
        </w:tc>
        <w:tc>
          <w:tcPr>
            <w:tcW w:w="482" w:type="pct"/>
            <w:vMerge w:val="continue"/>
            <w:vAlign w:val="center"/>
          </w:tcPr>
          <w:p>
            <w:pPr>
              <w:spacing w:line="0" w:lineRule="atLeast"/>
              <w:contextualSpacing/>
              <w:jc w:val="center"/>
              <w:rPr>
                <w:color w:val="auto"/>
                <w:szCs w:val="21"/>
              </w:rPr>
            </w:pPr>
          </w:p>
        </w:tc>
        <w:tc>
          <w:tcPr>
            <w:tcW w:w="397" w:type="pct"/>
            <w:vMerge w:val="continue"/>
            <w:vAlign w:val="center"/>
          </w:tcPr>
          <w:p>
            <w:pPr>
              <w:spacing w:line="0" w:lineRule="atLeast"/>
              <w:contextualSpacing/>
              <w:jc w:val="center"/>
              <w:rPr>
                <w:color w:val="auto"/>
                <w:szCs w:val="21"/>
              </w:rPr>
            </w:pPr>
          </w:p>
        </w:tc>
        <w:tc>
          <w:tcPr>
            <w:tcW w:w="552" w:type="pct"/>
            <w:vMerge w:val="continue"/>
            <w:vAlign w:val="center"/>
          </w:tcPr>
          <w:p>
            <w:pPr>
              <w:spacing w:line="0" w:lineRule="atLeast"/>
              <w:contextualSpacing/>
              <w:jc w:val="center"/>
              <w:rPr>
                <w:color w:val="auto"/>
                <w:szCs w:val="21"/>
              </w:rPr>
            </w:pPr>
          </w:p>
        </w:tc>
        <w:tc>
          <w:tcPr>
            <w:tcW w:w="391" w:type="pct"/>
            <w:vAlign w:val="center"/>
          </w:tcPr>
          <w:p>
            <w:pPr>
              <w:spacing w:line="0" w:lineRule="atLeast"/>
              <w:contextualSpacing/>
              <w:jc w:val="center"/>
              <w:rPr>
                <w:color w:val="auto"/>
                <w:szCs w:val="21"/>
              </w:rPr>
            </w:pPr>
            <w:r>
              <w:rPr>
                <w:color w:val="auto"/>
                <w:szCs w:val="21"/>
              </w:rPr>
              <w:t>污染治理设施编号</w:t>
            </w:r>
          </w:p>
        </w:tc>
        <w:tc>
          <w:tcPr>
            <w:tcW w:w="471" w:type="pct"/>
            <w:vAlign w:val="center"/>
          </w:tcPr>
          <w:p>
            <w:pPr>
              <w:spacing w:line="0" w:lineRule="atLeast"/>
              <w:contextualSpacing/>
              <w:jc w:val="center"/>
              <w:rPr>
                <w:color w:val="auto"/>
                <w:szCs w:val="21"/>
              </w:rPr>
            </w:pPr>
            <w:r>
              <w:rPr>
                <w:color w:val="auto"/>
                <w:szCs w:val="21"/>
              </w:rPr>
              <w:t>污染治理设施名称</w:t>
            </w:r>
          </w:p>
        </w:tc>
        <w:tc>
          <w:tcPr>
            <w:tcW w:w="473" w:type="pct"/>
            <w:vAlign w:val="center"/>
          </w:tcPr>
          <w:p>
            <w:pPr>
              <w:spacing w:line="0" w:lineRule="atLeast"/>
              <w:contextualSpacing/>
              <w:jc w:val="center"/>
              <w:rPr>
                <w:color w:val="auto"/>
                <w:szCs w:val="21"/>
              </w:rPr>
            </w:pPr>
            <w:r>
              <w:rPr>
                <w:color w:val="auto"/>
                <w:szCs w:val="21"/>
              </w:rPr>
              <w:t>污染治理设施工艺</w:t>
            </w:r>
          </w:p>
        </w:tc>
        <w:tc>
          <w:tcPr>
            <w:tcW w:w="392" w:type="pct"/>
            <w:vMerge w:val="continue"/>
            <w:vAlign w:val="center"/>
          </w:tcPr>
          <w:p>
            <w:pPr>
              <w:spacing w:line="0" w:lineRule="atLeast"/>
              <w:contextualSpacing/>
              <w:jc w:val="center"/>
              <w:rPr>
                <w:color w:val="auto"/>
                <w:szCs w:val="21"/>
              </w:rPr>
            </w:pPr>
          </w:p>
        </w:tc>
        <w:tc>
          <w:tcPr>
            <w:tcW w:w="472" w:type="pct"/>
            <w:vMerge w:val="continue"/>
            <w:vAlign w:val="center"/>
          </w:tcPr>
          <w:p>
            <w:pPr>
              <w:spacing w:line="0" w:lineRule="atLeast"/>
              <w:contextualSpacing/>
              <w:jc w:val="center"/>
              <w:rPr>
                <w:color w:val="auto"/>
                <w:szCs w:val="21"/>
              </w:rPr>
            </w:pPr>
          </w:p>
        </w:tc>
        <w:tc>
          <w:tcPr>
            <w:tcW w:w="724" w:type="pct"/>
            <w:vMerge w:val="continue"/>
            <w:vAlign w:val="center"/>
          </w:tcPr>
          <w:p>
            <w:pPr>
              <w:spacing w:line="0" w:lineRule="atLeast"/>
              <w:contextualSpacing/>
              <w:jc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1" w:hRule="atLeast"/>
          <w:jc w:val="center"/>
        </w:trPr>
        <w:tc>
          <w:tcPr>
            <w:tcW w:w="236" w:type="pct"/>
            <w:vAlign w:val="center"/>
          </w:tcPr>
          <w:p>
            <w:pPr>
              <w:spacing w:line="0" w:lineRule="atLeast"/>
              <w:contextualSpacing/>
              <w:jc w:val="center"/>
              <w:rPr>
                <w:color w:val="auto"/>
                <w:szCs w:val="21"/>
              </w:rPr>
            </w:pPr>
            <w:r>
              <w:rPr>
                <w:color w:val="auto"/>
                <w:szCs w:val="21"/>
              </w:rPr>
              <w:t>1</w:t>
            </w:r>
          </w:p>
        </w:tc>
        <w:tc>
          <w:tcPr>
            <w:tcW w:w="406" w:type="pct"/>
            <w:vAlign w:val="center"/>
          </w:tcPr>
          <w:p>
            <w:pPr>
              <w:spacing w:line="0" w:lineRule="atLeast"/>
              <w:contextualSpacing/>
              <w:jc w:val="center"/>
              <w:rPr>
                <w:color w:val="auto"/>
                <w:szCs w:val="21"/>
              </w:rPr>
            </w:pPr>
            <w:r>
              <w:rPr>
                <w:rFonts w:hint="eastAsia"/>
                <w:color w:val="auto"/>
                <w:szCs w:val="21"/>
              </w:rPr>
              <w:t>生产</w:t>
            </w:r>
            <w:r>
              <w:rPr>
                <w:color w:val="auto"/>
                <w:szCs w:val="21"/>
              </w:rPr>
              <w:t>废水、生活污水</w:t>
            </w:r>
          </w:p>
        </w:tc>
        <w:tc>
          <w:tcPr>
            <w:tcW w:w="482" w:type="pct"/>
            <w:vAlign w:val="center"/>
          </w:tcPr>
          <w:p>
            <w:pPr>
              <w:spacing w:line="0" w:lineRule="atLeast"/>
              <w:contextualSpacing/>
              <w:jc w:val="center"/>
              <w:rPr>
                <w:color w:val="auto"/>
                <w:szCs w:val="21"/>
              </w:rPr>
            </w:pPr>
            <w:r>
              <w:rPr>
                <w:color w:val="auto"/>
                <w:szCs w:val="21"/>
              </w:rPr>
              <w:t>p</w:t>
            </w:r>
            <w:r>
              <w:rPr>
                <w:rFonts w:hint="eastAsia"/>
                <w:color w:val="auto"/>
                <w:szCs w:val="21"/>
              </w:rPr>
              <w:t>H、</w:t>
            </w:r>
            <w:r>
              <w:rPr>
                <w:color w:val="auto"/>
                <w:szCs w:val="21"/>
              </w:rPr>
              <w:t>COD、氨氮、BOD</w:t>
            </w:r>
            <w:r>
              <w:rPr>
                <w:rFonts w:hint="eastAsia"/>
                <w:color w:val="auto"/>
                <w:szCs w:val="21"/>
                <w:vertAlign w:val="subscript"/>
              </w:rPr>
              <w:t>5</w:t>
            </w:r>
            <w:r>
              <w:rPr>
                <w:color w:val="auto"/>
                <w:szCs w:val="21"/>
              </w:rPr>
              <w:t>、SS、动植物油、大肠菌群数</w:t>
            </w:r>
          </w:p>
        </w:tc>
        <w:tc>
          <w:tcPr>
            <w:tcW w:w="397" w:type="pct"/>
            <w:vAlign w:val="center"/>
          </w:tcPr>
          <w:p>
            <w:pPr>
              <w:spacing w:line="0" w:lineRule="atLeast"/>
              <w:contextualSpacing/>
              <w:jc w:val="center"/>
              <w:rPr>
                <w:rFonts w:hint="eastAsia" w:eastAsia="宋体"/>
                <w:color w:val="auto"/>
                <w:szCs w:val="21"/>
                <w:lang w:eastAsia="zh-CN"/>
              </w:rPr>
            </w:pPr>
            <w:r>
              <w:rPr>
                <w:rFonts w:hint="eastAsia"/>
                <w:color w:val="auto"/>
                <w:szCs w:val="21"/>
                <w:lang w:eastAsia="zh-CN"/>
              </w:rPr>
              <w:t>尚志污水处理厂</w:t>
            </w:r>
          </w:p>
        </w:tc>
        <w:tc>
          <w:tcPr>
            <w:tcW w:w="552" w:type="pct"/>
            <w:vAlign w:val="center"/>
          </w:tcPr>
          <w:p>
            <w:pPr>
              <w:spacing w:line="0" w:lineRule="atLeast"/>
              <w:contextualSpacing/>
              <w:jc w:val="center"/>
              <w:rPr>
                <w:color w:val="auto"/>
                <w:szCs w:val="21"/>
              </w:rPr>
            </w:pPr>
            <w:r>
              <w:rPr>
                <w:rFonts w:hint="eastAsia"/>
                <w:color w:val="auto"/>
                <w:szCs w:val="21"/>
              </w:rPr>
              <w:t>间断排放，排放期间流量不稳定且无规律，但不属于冲击型排放</w:t>
            </w:r>
          </w:p>
        </w:tc>
        <w:tc>
          <w:tcPr>
            <w:tcW w:w="391" w:type="pct"/>
            <w:vAlign w:val="center"/>
          </w:tcPr>
          <w:p>
            <w:pPr>
              <w:spacing w:line="0" w:lineRule="atLeast"/>
              <w:contextualSpacing/>
              <w:jc w:val="center"/>
              <w:rPr>
                <w:color w:val="auto"/>
                <w:szCs w:val="21"/>
              </w:rPr>
            </w:pPr>
            <w:r>
              <w:rPr>
                <w:color w:val="auto"/>
                <w:szCs w:val="21"/>
              </w:rPr>
              <w:t>TW001</w:t>
            </w:r>
          </w:p>
        </w:tc>
        <w:tc>
          <w:tcPr>
            <w:tcW w:w="471" w:type="pct"/>
            <w:vAlign w:val="center"/>
          </w:tcPr>
          <w:p>
            <w:pPr>
              <w:spacing w:line="0" w:lineRule="atLeast"/>
              <w:contextualSpacing/>
              <w:jc w:val="center"/>
              <w:rPr>
                <w:color w:val="auto"/>
                <w:szCs w:val="21"/>
              </w:rPr>
            </w:pPr>
            <w:r>
              <w:rPr>
                <w:color w:val="auto"/>
                <w:szCs w:val="21"/>
              </w:rPr>
              <w:t>污水处理站</w:t>
            </w:r>
          </w:p>
        </w:tc>
        <w:tc>
          <w:tcPr>
            <w:tcW w:w="473" w:type="pct"/>
            <w:vAlign w:val="center"/>
          </w:tcPr>
          <w:p>
            <w:pPr>
              <w:spacing w:line="0" w:lineRule="atLeast"/>
              <w:contextualSpacing/>
              <w:jc w:val="center"/>
              <w:rPr>
                <w:color w:val="auto"/>
                <w:szCs w:val="21"/>
              </w:rPr>
            </w:pPr>
            <w:r>
              <w:rPr>
                <w:bCs/>
                <w:color w:val="auto"/>
                <w:szCs w:val="21"/>
              </w:rPr>
              <w:t>格栅+</w:t>
            </w:r>
            <w:r>
              <w:rPr>
                <w:color w:val="auto"/>
                <w:szCs w:val="21"/>
              </w:rPr>
              <w:t>隔油沉砂+气浮+水解酸化+生物接触氧化+</w:t>
            </w:r>
            <w:r>
              <w:rPr>
                <w:rFonts w:hint="eastAsia"/>
                <w:color w:val="auto"/>
                <w:szCs w:val="21"/>
              </w:rPr>
              <w:t>二沉池+</w:t>
            </w:r>
            <w:r>
              <w:rPr>
                <w:color w:val="auto"/>
                <w:szCs w:val="21"/>
              </w:rPr>
              <w:t>消毒工艺</w:t>
            </w:r>
          </w:p>
        </w:tc>
        <w:tc>
          <w:tcPr>
            <w:tcW w:w="392" w:type="pct"/>
            <w:vAlign w:val="center"/>
          </w:tcPr>
          <w:p>
            <w:pPr>
              <w:spacing w:line="0" w:lineRule="atLeast"/>
              <w:contextualSpacing/>
              <w:jc w:val="center"/>
              <w:rPr>
                <w:color w:val="auto"/>
                <w:szCs w:val="21"/>
              </w:rPr>
            </w:pPr>
            <w:r>
              <w:rPr>
                <w:color w:val="auto"/>
                <w:szCs w:val="21"/>
              </w:rPr>
              <w:t>DW001</w:t>
            </w:r>
          </w:p>
        </w:tc>
        <w:tc>
          <w:tcPr>
            <w:tcW w:w="472" w:type="pct"/>
            <w:vAlign w:val="center"/>
          </w:tcPr>
          <w:p>
            <w:pPr>
              <w:spacing w:line="0" w:lineRule="atLeast"/>
              <w:contextualSpacing/>
              <w:jc w:val="center"/>
              <w:rPr>
                <w:color w:val="auto"/>
                <w:szCs w:val="21"/>
              </w:rPr>
            </w:pPr>
            <w:r>
              <w:rPr>
                <w:color w:val="auto"/>
                <w:szCs w:val="21"/>
              </w:rPr>
              <w:t>是</w:t>
            </w:r>
            <w:r>
              <w:rPr>
                <w:bCs/>
                <w:color w:val="auto"/>
                <w:kern w:val="0"/>
                <w:szCs w:val="21"/>
              </w:rPr>
              <w:t>√</w:t>
            </w:r>
          </w:p>
          <w:p>
            <w:pPr>
              <w:spacing w:line="0" w:lineRule="atLeast"/>
              <w:contextualSpacing/>
              <w:jc w:val="center"/>
              <w:rPr>
                <w:color w:val="auto"/>
                <w:szCs w:val="21"/>
              </w:rPr>
            </w:pPr>
            <w:r>
              <w:rPr>
                <w:color w:val="auto"/>
                <w:szCs w:val="21"/>
              </w:rPr>
              <w:t>否</w:t>
            </w:r>
            <w:r>
              <w:rPr>
                <w:bCs/>
                <w:color w:val="auto"/>
                <w:kern w:val="0"/>
                <w:szCs w:val="21"/>
              </w:rPr>
              <w:t>□</w:t>
            </w:r>
          </w:p>
        </w:tc>
        <w:tc>
          <w:tcPr>
            <w:tcW w:w="724" w:type="pct"/>
            <w:vAlign w:val="center"/>
          </w:tcPr>
          <w:p>
            <w:pPr>
              <w:spacing w:line="0" w:lineRule="atLeast"/>
              <w:contextualSpacing/>
              <w:jc w:val="center"/>
              <w:rPr>
                <w:bCs/>
                <w:color w:val="auto"/>
                <w:kern w:val="0"/>
                <w:szCs w:val="21"/>
              </w:rPr>
            </w:pPr>
            <w:r>
              <w:rPr>
                <w:bCs/>
                <w:color w:val="auto"/>
                <w:kern w:val="0"/>
                <w:szCs w:val="21"/>
              </w:rPr>
              <w:t>√企业总排</w:t>
            </w:r>
          </w:p>
          <w:p>
            <w:pPr>
              <w:spacing w:line="0" w:lineRule="atLeast"/>
              <w:contextualSpacing/>
              <w:jc w:val="center"/>
              <w:rPr>
                <w:bCs/>
                <w:color w:val="auto"/>
                <w:kern w:val="0"/>
                <w:szCs w:val="21"/>
              </w:rPr>
            </w:pPr>
            <w:r>
              <w:rPr>
                <w:bCs/>
                <w:color w:val="auto"/>
                <w:kern w:val="0"/>
                <w:szCs w:val="21"/>
              </w:rPr>
              <w:t>□雨水总排</w:t>
            </w:r>
          </w:p>
          <w:p>
            <w:pPr>
              <w:spacing w:line="0" w:lineRule="atLeast"/>
              <w:contextualSpacing/>
              <w:jc w:val="center"/>
              <w:rPr>
                <w:bCs/>
                <w:color w:val="auto"/>
                <w:kern w:val="0"/>
                <w:szCs w:val="21"/>
              </w:rPr>
            </w:pPr>
            <w:r>
              <w:rPr>
                <w:bCs/>
                <w:color w:val="auto"/>
                <w:kern w:val="0"/>
                <w:szCs w:val="21"/>
              </w:rPr>
              <w:t>□清净下水排放</w:t>
            </w:r>
          </w:p>
          <w:p>
            <w:pPr>
              <w:spacing w:line="0" w:lineRule="atLeast"/>
              <w:contextualSpacing/>
              <w:jc w:val="center"/>
              <w:rPr>
                <w:bCs/>
                <w:color w:val="auto"/>
                <w:kern w:val="0"/>
                <w:szCs w:val="21"/>
              </w:rPr>
            </w:pPr>
            <w:r>
              <w:rPr>
                <w:bCs/>
                <w:color w:val="auto"/>
                <w:kern w:val="0"/>
                <w:szCs w:val="21"/>
              </w:rPr>
              <w:t>□温排水排放</w:t>
            </w:r>
          </w:p>
          <w:p>
            <w:pPr>
              <w:spacing w:line="0" w:lineRule="atLeast"/>
              <w:contextualSpacing/>
              <w:jc w:val="center"/>
              <w:rPr>
                <w:color w:val="auto"/>
                <w:szCs w:val="21"/>
              </w:rPr>
            </w:pPr>
            <w:r>
              <w:rPr>
                <w:bCs/>
                <w:color w:val="auto"/>
                <w:kern w:val="0"/>
                <w:szCs w:val="21"/>
              </w:rPr>
              <w:t>□车间或车间处理设施排放口</w:t>
            </w:r>
          </w:p>
        </w:tc>
      </w:tr>
    </w:tbl>
    <w:p>
      <w:pPr>
        <w:spacing w:line="360" w:lineRule="auto"/>
        <w:jc w:val="center"/>
        <w:rPr>
          <w:b/>
          <w:color w:val="auto"/>
          <w:sz w:val="24"/>
        </w:rPr>
      </w:pPr>
      <w:r>
        <w:rPr>
          <w:b/>
          <w:color w:val="auto"/>
          <w:sz w:val="24"/>
        </w:rPr>
        <w:t>表5-2-1</w:t>
      </w:r>
      <w:r>
        <w:rPr>
          <w:rFonts w:hint="eastAsia"/>
          <w:b/>
          <w:color w:val="auto"/>
          <w:sz w:val="24"/>
          <w:lang w:val="en-US" w:eastAsia="zh-CN"/>
        </w:rPr>
        <w:t>5</w:t>
      </w:r>
      <w:r>
        <w:rPr>
          <w:b/>
          <w:color w:val="auto"/>
          <w:sz w:val="24"/>
        </w:rPr>
        <w:t xml:space="preserve"> 废水污染物排放执行标准表</w:t>
      </w:r>
    </w:p>
    <w:tbl>
      <w:tblPr>
        <w:tblStyle w:val="4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5"/>
        <w:gridCol w:w="881"/>
        <w:gridCol w:w="2426"/>
        <w:gridCol w:w="2907"/>
        <w:gridCol w:w="16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379" w:type="pct"/>
            <w:vMerge w:val="restart"/>
            <w:vAlign w:val="center"/>
          </w:tcPr>
          <w:p>
            <w:pPr>
              <w:spacing w:line="0" w:lineRule="atLeast"/>
              <w:contextualSpacing/>
              <w:jc w:val="center"/>
              <w:rPr>
                <w:color w:val="auto"/>
                <w:szCs w:val="21"/>
              </w:rPr>
            </w:pPr>
            <w:r>
              <w:rPr>
                <w:color w:val="auto"/>
                <w:szCs w:val="21"/>
              </w:rPr>
              <w:t>序号</w:t>
            </w:r>
          </w:p>
        </w:tc>
        <w:tc>
          <w:tcPr>
            <w:tcW w:w="491" w:type="pct"/>
            <w:vMerge w:val="restart"/>
            <w:vAlign w:val="center"/>
          </w:tcPr>
          <w:p>
            <w:pPr>
              <w:spacing w:line="0" w:lineRule="atLeast"/>
              <w:contextualSpacing/>
              <w:jc w:val="center"/>
              <w:rPr>
                <w:color w:val="auto"/>
                <w:szCs w:val="21"/>
              </w:rPr>
            </w:pPr>
            <w:r>
              <w:rPr>
                <w:color w:val="auto"/>
                <w:szCs w:val="21"/>
              </w:rPr>
              <w:t>排放口编号</w:t>
            </w:r>
          </w:p>
        </w:tc>
        <w:tc>
          <w:tcPr>
            <w:tcW w:w="1430" w:type="pct"/>
            <w:vMerge w:val="restart"/>
            <w:vAlign w:val="center"/>
          </w:tcPr>
          <w:p>
            <w:pPr>
              <w:spacing w:line="0" w:lineRule="atLeast"/>
              <w:contextualSpacing/>
              <w:jc w:val="center"/>
              <w:rPr>
                <w:color w:val="auto"/>
                <w:szCs w:val="21"/>
              </w:rPr>
            </w:pPr>
            <w:r>
              <w:rPr>
                <w:color w:val="auto"/>
                <w:szCs w:val="21"/>
              </w:rPr>
              <w:t>污染物种类</w:t>
            </w:r>
          </w:p>
        </w:tc>
        <w:tc>
          <w:tcPr>
            <w:tcW w:w="2698" w:type="pct"/>
            <w:gridSpan w:val="2"/>
            <w:vAlign w:val="center"/>
          </w:tcPr>
          <w:p>
            <w:pPr>
              <w:spacing w:line="0" w:lineRule="atLeast"/>
              <w:contextualSpacing/>
              <w:jc w:val="center"/>
              <w:rPr>
                <w:color w:val="auto"/>
                <w:szCs w:val="21"/>
              </w:rPr>
            </w:pPr>
            <w:r>
              <w:rPr>
                <w:color w:val="auto"/>
                <w:szCs w:val="21"/>
              </w:rPr>
              <w:t>国家或地方污染物排放标准及其他按规定商定的排放协议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 w:hRule="atLeast"/>
        </w:trPr>
        <w:tc>
          <w:tcPr>
            <w:tcW w:w="379" w:type="pct"/>
            <w:vMerge w:val="continue"/>
            <w:vAlign w:val="center"/>
          </w:tcPr>
          <w:p>
            <w:pPr>
              <w:spacing w:line="0" w:lineRule="atLeast"/>
              <w:contextualSpacing/>
              <w:jc w:val="center"/>
              <w:rPr>
                <w:color w:val="auto"/>
                <w:szCs w:val="21"/>
              </w:rPr>
            </w:pPr>
          </w:p>
        </w:tc>
        <w:tc>
          <w:tcPr>
            <w:tcW w:w="491" w:type="pct"/>
            <w:vMerge w:val="continue"/>
            <w:vAlign w:val="center"/>
          </w:tcPr>
          <w:p>
            <w:pPr>
              <w:spacing w:line="0" w:lineRule="atLeast"/>
              <w:contextualSpacing/>
              <w:jc w:val="center"/>
              <w:rPr>
                <w:color w:val="auto"/>
                <w:szCs w:val="21"/>
              </w:rPr>
            </w:pPr>
          </w:p>
        </w:tc>
        <w:tc>
          <w:tcPr>
            <w:tcW w:w="1430" w:type="pct"/>
            <w:vMerge w:val="continue"/>
            <w:vAlign w:val="center"/>
          </w:tcPr>
          <w:p>
            <w:pPr>
              <w:spacing w:line="0" w:lineRule="atLeast"/>
              <w:contextualSpacing/>
              <w:jc w:val="center"/>
              <w:rPr>
                <w:color w:val="auto"/>
                <w:szCs w:val="21"/>
              </w:rPr>
            </w:pPr>
          </w:p>
        </w:tc>
        <w:tc>
          <w:tcPr>
            <w:tcW w:w="1712" w:type="pct"/>
            <w:vAlign w:val="center"/>
          </w:tcPr>
          <w:p>
            <w:pPr>
              <w:spacing w:line="0" w:lineRule="atLeast"/>
              <w:contextualSpacing/>
              <w:jc w:val="center"/>
              <w:rPr>
                <w:color w:val="auto"/>
                <w:szCs w:val="21"/>
              </w:rPr>
            </w:pPr>
            <w:r>
              <w:rPr>
                <w:color w:val="auto"/>
                <w:szCs w:val="21"/>
              </w:rPr>
              <w:t>名称</w:t>
            </w:r>
          </w:p>
        </w:tc>
        <w:tc>
          <w:tcPr>
            <w:tcW w:w="986" w:type="pct"/>
            <w:vAlign w:val="center"/>
          </w:tcPr>
          <w:p>
            <w:pPr>
              <w:spacing w:line="0" w:lineRule="atLeast"/>
              <w:contextualSpacing/>
              <w:jc w:val="center"/>
              <w:rPr>
                <w:color w:val="auto"/>
                <w:szCs w:val="21"/>
              </w:rPr>
            </w:pPr>
            <w:r>
              <w:rPr>
                <w:color w:val="auto"/>
                <w:szCs w:val="21"/>
              </w:rPr>
              <w:t>浓度限值/(mg/L)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 w:hRule="atLeast"/>
        </w:trPr>
        <w:tc>
          <w:tcPr>
            <w:tcW w:w="379" w:type="pct"/>
            <w:vMerge w:val="restart"/>
            <w:vAlign w:val="center"/>
          </w:tcPr>
          <w:p>
            <w:pPr>
              <w:spacing w:line="0" w:lineRule="atLeast"/>
              <w:contextualSpacing/>
              <w:jc w:val="center"/>
              <w:rPr>
                <w:color w:val="auto"/>
                <w:szCs w:val="21"/>
              </w:rPr>
            </w:pPr>
            <w:r>
              <w:rPr>
                <w:color w:val="auto"/>
                <w:szCs w:val="21"/>
              </w:rPr>
              <w:t>1</w:t>
            </w:r>
          </w:p>
        </w:tc>
        <w:tc>
          <w:tcPr>
            <w:tcW w:w="491" w:type="pct"/>
            <w:vMerge w:val="restart"/>
            <w:vAlign w:val="center"/>
          </w:tcPr>
          <w:p>
            <w:pPr>
              <w:spacing w:line="0" w:lineRule="atLeast"/>
              <w:contextualSpacing/>
              <w:jc w:val="center"/>
              <w:rPr>
                <w:color w:val="auto"/>
                <w:szCs w:val="21"/>
              </w:rPr>
            </w:pPr>
            <w:r>
              <w:rPr>
                <w:color w:val="auto"/>
                <w:szCs w:val="21"/>
              </w:rPr>
              <w:t>DW001</w:t>
            </w:r>
          </w:p>
        </w:tc>
        <w:tc>
          <w:tcPr>
            <w:tcW w:w="1430" w:type="pct"/>
            <w:vAlign w:val="center"/>
          </w:tcPr>
          <w:p>
            <w:pPr>
              <w:spacing w:line="0" w:lineRule="atLeast"/>
              <w:contextualSpacing/>
              <w:jc w:val="center"/>
              <w:rPr>
                <w:color w:val="auto"/>
                <w:szCs w:val="21"/>
              </w:rPr>
            </w:pPr>
            <w:r>
              <w:rPr>
                <w:color w:val="auto"/>
                <w:szCs w:val="21"/>
              </w:rPr>
              <w:t>p</w:t>
            </w:r>
            <w:r>
              <w:rPr>
                <w:rFonts w:hint="eastAsia"/>
                <w:color w:val="auto"/>
                <w:szCs w:val="21"/>
              </w:rPr>
              <w:t>H</w:t>
            </w:r>
          </w:p>
        </w:tc>
        <w:tc>
          <w:tcPr>
            <w:tcW w:w="1712" w:type="pct"/>
            <w:vMerge w:val="restart"/>
            <w:vAlign w:val="center"/>
          </w:tcPr>
          <w:p>
            <w:pPr>
              <w:spacing w:line="0" w:lineRule="atLeast"/>
              <w:contextualSpacing/>
              <w:jc w:val="center"/>
              <w:rPr>
                <w:color w:val="auto"/>
                <w:szCs w:val="21"/>
              </w:rPr>
            </w:pPr>
            <w:r>
              <w:rPr>
                <w:color w:val="auto"/>
                <w:kern w:val="0"/>
                <w:szCs w:val="21"/>
              </w:rPr>
              <w:t>《肉类加工工业水污染物排放标准》（GB13457-92）畜类屠宰加工三级标准</w:t>
            </w:r>
          </w:p>
        </w:tc>
        <w:tc>
          <w:tcPr>
            <w:tcW w:w="986" w:type="pct"/>
            <w:vAlign w:val="center"/>
          </w:tcPr>
          <w:p>
            <w:pPr>
              <w:spacing w:line="0" w:lineRule="atLeast"/>
              <w:contextualSpacing/>
              <w:jc w:val="center"/>
              <w:rPr>
                <w:color w:val="auto"/>
                <w:szCs w:val="21"/>
              </w:rPr>
            </w:pPr>
            <w:r>
              <w:rPr>
                <w:color w:val="auto"/>
                <w:szCs w:val="21"/>
              </w:rPr>
              <w:t>6.5～8.5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379" w:type="pct"/>
            <w:vMerge w:val="continue"/>
            <w:vAlign w:val="center"/>
          </w:tcPr>
          <w:p>
            <w:pPr>
              <w:spacing w:line="0" w:lineRule="atLeast"/>
              <w:contextualSpacing/>
              <w:jc w:val="center"/>
              <w:rPr>
                <w:color w:val="auto"/>
                <w:szCs w:val="21"/>
              </w:rPr>
            </w:pPr>
          </w:p>
        </w:tc>
        <w:tc>
          <w:tcPr>
            <w:tcW w:w="491" w:type="pct"/>
            <w:vMerge w:val="continue"/>
            <w:vAlign w:val="center"/>
          </w:tcPr>
          <w:p>
            <w:pPr>
              <w:spacing w:line="0" w:lineRule="atLeast"/>
              <w:contextualSpacing/>
              <w:jc w:val="center"/>
              <w:rPr>
                <w:color w:val="auto"/>
                <w:szCs w:val="21"/>
              </w:rPr>
            </w:pPr>
          </w:p>
        </w:tc>
        <w:tc>
          <w:tcPr>
            <w:tcW w:w="1430" w:type="pct"/>
            <w:vAlign w:val="center"/>
          </w:tcPr>
          <w:p>
            <w:pPr>
              <w:spacing w:line="0" w:lineRule="atLeast"/>
              <w:contextualSpacing/>
              <w:jc w:val="center"/>
              <w:rPr>
                <w:color w:val="auto"/>
                <w:szCs w:val="21"/>
              </w:rPr>
            </w:pPr>
            <w:r>
              <w:rPr>
                <w:color w:val="auto"/>
                <w:szCs w:val="21"/>
              </w:rPr>
              <w:t>COD</w:t>
            </w:r>
          </w:p>
        </w:tc>
        <w:tc>
          <w:tcPr>
            <w:tcW w:w="1712" w:type="pct"/>
            <w:vMerge w:val="continue"/>
            <w:vAlign w:val="center"/>
          </w:tcPr>
          <w:p>
            <w:pPr>
              <w:widowControl/>
              <w:spacing w:line="0" w:lineRule="atLeast"/>
              <w:contextualSpacing/>
              <w:jc w:val="center"/>
              <w:rPr>
                <w:color w:val="auto"/>
                <w:kern w:val="0"/>
                <w:szCs w:val="21"/>
              </w:rPr>
            </w:pPr>
          </w:p>
        </w:tc>
        <w:tc>
          <w:tcPr>
            <w:tcW w:w="986" w:type="pct"/>
            <w:vAlign w:val="center"/>
          </w:tcPr>
          <w:p>
            <w:pPr>
              <w:widowControl/>
              <w:spacing w:line="0" w:lineRule="atLeast"/>
              <w:contextualSpacing/>
              <w:jc w:val="center"/>
              <w:rPr>
                <w:rFonts w:hint="default" w:eastAsia="宋体"/>
                <w:color w:val="auto"/>
                <w:kern w:val="0"/>
                <w:szCs w:val="21"/>
                <w:lang w:val="en-US" w:eastAsia="zh-CN"/>
              </w:rPr>
            </w:pPr>
            <w:r>
              <w:rPr>
                <w:rFonts w:hint="eastAsia"/>
                <w:color w:val="auto"/>
                <w:spacing w:val="-6"/>
                <w:szCs w:val="21"/>
                <w:lang w:val="en-US" w:eastAsia="zh-CN"/>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 w:hRule="atLeast"/>
        </w:trPr>
        <w:tc>
          <w:tcPr>
            <w:tcW w:w="379" w:type="pct"/>
            <w:vMerge w:val="continue"/>
            <w:vAlign w:val="center"/>
          </w:tcPr>
          <w:p>
            <w:pPr>
              <w:spacing w:line="0" w:lineRule="atLeast"/>
              <w:contextualSpacing/>
              <w:jc w:val="center"/>
              <w:rPr>
                <w:color w:val="auto"/>
                <w:szCs w:val="21"/>
              </w:rPr>
            </w:pPr>
          </w:p>
        </w:tc>
        <w:tc>
          <w:tcPr>
            <w:tcW w:w="491" w:type="pct"/>
            <w:vMerge w:val="continue"/>
            <w:vAlign w:val="center"/>
          </w:tcPr>
          <w:p>
            <w:pPr>
              <w:spacing w:line="0" w:lineRule="atLeast"/>
              <w:contextualSpacing/>
              <w:jc w:val="center"/>
              <w:rPr>
                <w:color w:val="auto"/>
                <w:szCs w:val="21"/>
              </w:rPr>
            </w:pPr>
          </w:p>
        </w:tc>
        <w:tc>
          <w:tcPr>
            <w:tcW w:w="1430" w:type="pct"/>
            <w:vAlign w:val="center"/>
          </w:tcPr>
          <w:p>
            <w:pPr>
              <w:spacing w:line="0" w:lineRule="atLeast"/>
              <w:contextualSpacing/>
              <w:jc w:val="center"/>
              <w:rPr>
                <w:color w:val="auto"/>
                <w:szCs w:val="21"/>
              </w:rPr>
            </w:pPr>
            <w:r>
              <w:rPr>
                <w:color w:val="auto"/>
                <w:szCs w:val="21"/>
              </w:rPr>
              <w:t>BOD</w:t>
            </w:r>
            <w:r>
              <w:rPr>
                <w:color w:val="auto"/>
                <w:szCs w:val="21"/>
                <w:vertAlign w:val="subscript"/>
              </w:rPr>
              <w:t>5</w:t>
            </w:r>
          </w:p>
        </w:tc>
        <w:tc>
          <w:tcPr>
            <w:tcW w:w="1712" w:type="pct"/>
            <w:vMerge w:val="continue"/>
            <w:vAlign w:val="center"/>
          </w:tcPr>
          <w:p>
            <w:pPr>
              <w:widowControl/>
              <w:spacing w:line="0" w:lineRule="atLeast"/>
              <w:contextualSpacing/>
              <w:jc w:val="center"/>
              <w:rPr>
                <w:color w:val="auto"/>
                <w:kern w:val="0"/>
                <w:szCs w:val="21"/>
              </w:rPr>
            </w:pPr>
          </w:p>
        </w:tc>
        <w:tc>
          <w:tcPr>
            <w:tcW w:w="986" w:type="pct"/>
            <w:vAlign w:val="center"/>
          </w:tcPr>
          <w:p>
            <w:pPr>
              <w:widowControl/>
              <w:spacing w:line="0" w:lineRule="atLeast"/>
              <w:contextualSpacing/>
              <w:jc w:val="center"/>
              <w:rPr>
                <w:rFonts w:hint="default" w:eastAsia="宋体"/>
                <w:color w:val="auto"/>
                <w:kern w:val="0"/>
                <w:szCs w:val="21"/>
                <w:lang w:val="en-US" w:eastAsia="zh-CN"/>
              </w:rPr>
            </w:pPr>
            <w:r>
              <w:rPr>
                <w:rFonts w:hint="eastAsia"/>
                <w:color w:val="auto"/>
                <w:kern w:val="0"/>
                <w:szCs w:val="21"/>
                <w:lang w:val="en-US" w:eastAsia="zh-CN"/>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 w:hRule="atLeast"/>
        </w:trPr>
        <w:tc>
          <w:tcPr>
            <w:tcW w:w="379" w:type="pct"/>
            <w:vMerge w:val="continue"/>
            <w:vAlign w:val="center"/>
          </w:tcPr>
          <w:p>
            <w:pPr>
              <w:spacing w:line="0" w:lineRule="atLeast"/>
              <w:contextualSpacing/>
              <w:jc w:val="center"/>
              <w:rPr>
                <w:color w:val="auto"/>
                <w:szCs w:val="21"/>
              </w:rPr>
            </w:pPr>
          </w:p>
        </w:tc>
        <w:tc>
          <w:tcPr>
            <w:tcW w:w="491" w:type="pct"/>
            <w:vMerge w:val="continue"/>
            <w:vAlign w:val="center"/>
          </w:tcPr>
          <w:p>
            <w:pPr>
              <w:spacing w:line="0" w:lineRule="atLeast"/>
              <w:contextualSpacing/>
              <w:jc w:val="center"/>
              <w:rPr>
                <w:color w:val="auto"/>
                <w:szCs w:val="21"/>
              </w:rPr>
            </w:pPr>
          </w:p>
        </w:tc>
        <w:tc>
          <w:tcPr>
            <w:tcW w:w="1430" w:type="pct"/>
            <w:vAlign w:val="center"/>
          </w:tcPr>
          <w:p>
            <w:pPr>
              <w:spacing w:line="0" w:lineRule="atLeast"/>
              <w:contextualSpacing/>
              <w:jc w:val="center"/>
              <w:rPr>
                <w:color w:val="auto"/>
                <w:szCs w:val="21"/>
              </w:rPr>
            </w:pPr>
            <w:r>
              <w:rPr>
                <w:color w:val="auto"/>
                <w:szCs w:val="21"/>
              </w:rPr>
              <w:t>NH</w:t>
            </w:r>
            <w:r>
              <w:rPr>
                <w:color w:val="auto"/>
                <w:szCs w:val="21"/>
                <w:vertAlign w:val="subscript"/>
              </w:rPr>
              <w:t>3</w:t>
            </w:r>
            <w:r>
              <w:rPr>
                <w:color w:val="auto"/>
                <w:szCs w:val="21"/>
              </w:rPr>
              <w:t>-N</w:t>
            </w:r>
          </w:p>
        </w:tc>
        <w:tc>
          <w:tcPr>
            <w:tcW w:w="1712" w:type="pct"/>
            <w:vMerge w:val="continue"/>
            <w:vAlign w:val="center"/>
          </w:tcPr>
          <w:p>
            <w:pPr>
              <w:widowControl/>
              <w:spacing w:line="0" w:lineRule="atLeast"/>
              <w:contextualSpacing/>
              <w:jc w:val="center"/>
              <w:rPr>
                <w:color w:val="auto"/>
                <w:kern w:val="0"/>
                <w:szCs w:val="21"/>
              </w:rPr>
            </w:pPr>
          </w:p>
        </w:tc>
        <w:tc>
          <w:tcPr>
            <w:tcW w:w="986" w:type="pct"/>
            <w:vAlign w:val="center"/>
          </w:tcPr>
          <w:p>
            <w:pPr>
              <w:widowControl/>
              <w:spacing w:line="0" w:lineRule="atLeast"/>
              <w:contextualSpacing/>
              <w:jc w:val="center"/>
              <w:rPr>
                <w:rFonts w:hint="eastAsia" w:eastAsia="宋体"/>
                <w:color w:val="auto"/>
                <w:kern w:val="0"/>
                <w:szCs w:val="21"/>
                <w:lang w:eastAsia="zh-CN"/>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 w:hRule="atLeast"/>
        </w:trPr>
        <w:tc>
          <w:tcPr>
            <w:tcW w:w="379" w:type="pct"/>
            <w:vMerge w:val="continue"/>
            <w:vAlign w:val="center"/>
          </w:tcPr>
          <w:p>
            <w:pPr>
              <w:spacing w:line="0" w:lineRule="atLeast"/>
              <w:contextualSpacing/>
              <w:jc w:val="center"/>
              <w:rPr>
                <w:color w:val="auto"/>
                <w:szCs w:val="21"/>
              </w:rPr>
            </w:pPr>
          </w:p>
        </w:tc>
        <w:tc>
          <w:tcPr>
            <w:tcW w:w="491" w:type="pct"/>
            <w:vMerge w:val="continue"/>
            <w:vAlign w:val="center"/>
          </w:tcPr>
          <w:p>
            <w:pPr>
              <w:spacing w:line="0" w:lineRule="atLeast"/>
              <w:contextualSpacing/>
              <w:jc w:val="center"/>
              <w:rPr>
                <w:color w:val="auto"/>
                <w:szCs w:val="21"/>
              </w:rPr>
            </w:pPr>
          </w:p>
        </w:tc>
        <w:tc>
          <w:tcPr>
            <w:tcW w:w="1430" w:type="pct"/>
            <w:vAlign w:val="center"/>
          </w:tcPr>
          <w:p>
            <w:pPr>
              <w:spacing w:line="0" w:lineRule="atLeast"/>
              <w:contextualSpacing/>
              <w:jc w:val="center"/>
              <w:rPr>
                <w:color w:val="auto"/>
                <w:szCs w:val="21"/>
              </w:rPr>
            </w:pPr>
            <w:r>
              <w:rPr>
                <w:color w:val="auto"/>
                <w:szCs w:val="21"/>
              </w:rPr>
              <w:t>SS</w:t>
            </w:r>
          </w:p>
        </w:tc>
        <w:tc>
          <w:tcPr>
            <w:tcW w:w="1712" w:type="pct"/>
            <w:vMerge w:val="continue"/>
            <w:vAlign w:val="center"/>
          </w:tcPr>
          <w:p>
            <w:pPr>
              <w:widowControl/>
              <w:spacing w:line="0" w:lineRule="atLeast"/>
              <w:contextualSpacing/>
              <w:jc w:val="center"/>
              <w:rPr>
                <w:color w:val="auto"/>
                <w:kern w:val="0"/>
                <w:szCs w:val="21"/>
              </w:rPr>
            </w:pPr>
          </w:p>
        </w:tc>
        <w:tc>
          <w:tcPr>
            <w:tcW w:w="986" w:type="pct"/>
            <w:vAlign w:val="center"/>
          </w:tcPr>
          <w:p>
            <w:pPr>
              <w:widowControl/>
              <w:spacing w:line="0" w:lineRule="atLeast"/>
              <w:contextualSpacing/>
              <w:jc w:val="center"/>
              <w:rPr>
                <w:rFonts w:hint="default" w:eastAsia="宋体"/>
                <w:color w:val="auto"/>
                <w:kern w:val="0"/>
                <w:szCs w:val="21"/>
                <w:lang w:val="en-US" w:eastAsia="zh-CN"/>
              </w:rPr>
            </w:pPr>
            <w:r>
              <w:rPr>
                <w:rFonts w:hint="eastAsia"/>
                <w:color w:val="auto"/>
                <w:kern w:val="0"/>
                <w:szCs w:val="21"/>
                <w:lang w:val="en-US" w:eastAsia="zh-CN"/>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 w:hRule="atLeast"/>
        </w:trPr>
        <w:tc>
          <w:tcPr>
            <w:tcW w:w="379" w:type="pct"/>
            <w:vMerge w:val="continue"/>
            <w:vAlign w:val="center"/>
          </w:tcPr>
          <w:p>
            <w:pPr>
              <w:spacing w:line="0" w:lineRule="atLeast"/>
              <w:contextualSpacing/>
              <w:jc w:val="center"/>
              <w:rPr>
                <w:color w:val="auto"/>
                <w:szCs w:val="21"/>
              </w:rPr>
            </w:pPr>
          </w:p>
        </w:tc>
        <w:tc>
          <w:tcPr>
            <w:tcW w:w="491" w:type="pct"/>
            <w:vMerge w:val="continue"/>
            <w:vAlign w:val="center"/>
          </w:tcPr>
          <w:p>
            <w:pPr>
              <w:spacing w:line="0" w:lineRule="atLeast"/>
              <w:contextualSpacing/>
              <w:jc w:val="center"/>
              <w:rPr>
                <w:color w:val="auto"/>
                <w:szCs w:val="21"/>
              </w:rPr>
            </w:pPr>
          </w:p>
        </w:tc>
        <w:tc>
          <w:tcPr>
            <w:tcW w:w="1430" w:type="pct"/>
            <w:vAlign w:val="center"/>
          </w:tcPr>
          <w:p>
            <w:pPr>
              <w:spacing w:line="0" w:lineRule="atLeast"/>
              <w:contextualSpacing/>
              <w:jc w:val="center"/>
              <w:rPr>
                <w:color w:val="auto"/>
                <w:szCs w:val="21"/>
              </w:rPr>
            </w:pPr>
            <w:r>
              <w:rPr>
                <w:color w:val="auto"/>
                <w:szCs w:val="21"/>
              </w:rPr>
              <w:t>动植物油</w:t>
            </w:r>
          </w:p>
        </w:tc>
        <w:tc>
          <w:tcPr>
            <w:tcW w:w="1712" w:type="pct"/>
            <w:vMerge w:val="continue"/>
            <w:vAlign w:val="center"/>
          </w:tcPr>
          <w:p>
            <w:pPr>
              <w:widowControl/>
              <w:spacing w:line="0" w:lineRule="atLeast"/>
              <w:contextualSpacing/>
              <w:jc w:val="center"/>
              <w:rPr>
                <w:color w:val="auto"/>
                <w:kern w:val="0"/>
                <w:szCs w:val="21"/>
              </w:rPr>
            </w:pPr>
          </w:p>
        </w:tc>
        <w:tc>
          <w:tcPr>
            <w:tcW w:w="986" w:type="pct"/>
            <w:vAlign w:val="center"/>
          </w:tcPr>
          <w:p>
            <w:pPr>
              <w:widowControl/>
              <w:spacing w:line="0" w:lineRule="atLeast"/>
              <w:contextualSpacing/>
              <w:jc w:val="center"/>
              <w:rPr>
                <w:color w:val="auto"/>
                <w:kern w:val="0"/>
                <w:szCs w:val="21"/>
              </w:rPr>
            </w:pPr>
            <w:r>
              <w:rPr>
                <w:color w:val="auto"/>
                <w:szCs w:val="21"/>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 w:hRule="atLeast"/>
        </w:trPr>
        <w:tc>
          <w:tcPr>
            <w:tcW w:w="379" w:type="pct"/>
            <w:vMerge w:val="continue"/>
            <w:vAlign w:val="center"/>
          </w:tcPr>
          <w:p>
            <w:pPr>
              <w:spacing w:line="0" w:lineRule="atLeast"/>
              <w:contextualSpacing/>
              <w:jc w:val="center"/>
              <w:rPr>
                <w:color w:val="auto"/>
                <w:szCs w:val="21"/>
              </w:rPr>
            </w:pPr>
          </w:p>
        </w:tc>
        <w:tc>
          <w:tcPr>
            <w:tcW w:w="491" w:type="pct"/>
            <w:vMerge w:val="continue"/>
            <w:vAlign w:val="center"/>
          </w:tcPr>
          <w:p>
            <w:pPr>
              <w:spacing w:line="0" w:lineRule="atLeast"/>
              <w:contextualSpacing/>
              <w:jc w:val="center"/>
              <w:rPr>
                <w:color w:val="auto"/>
                <w:szCs w:val="21"/>
              </w:rPr>
            </w:pPr>
          </w:p>
        </w:tc>
        <w:tc>
          <w:tcPr>
            <w:tcW w:w="1430" w:type="pct"/>
            <w:vAlign w:val="center"/>
          </w:tcPr>
          <w:p>
            <w:pPr>
              <w:spacing w:line="0" w:lineRule="atLeast"/>
              <w:contextualSpacing/>
              <w:jc w:val="center"/>
              <w:rPr>
                <w:color w:val="auto"/>
                <w:szCs w:val="21"/>
              </w:rPr>
            </w:pPr>
            <w:r>
              <w:rPr>
                <w:color w:val="auto"/>
                <w:szCs w:val="21"/>
              </w:rPr>
              <w:t>大肠菌群数（个/L）</w:t>
            </w:r>
          </w:p>
        </w:tc>
        <w:tc>
          <w:tcPr>
            <w:tcW w:w="1712" w:type="pct"/>
            <w:vMerge w:val="continue"/>
            <w:vAlign w:val="center"/>
          </w:tcPr>
          <w:p>
            <w:pPr>
              <w:widowControl/>
              <w:spacing w:line="0" w:lineRule="atLeast"/>
              <w:contextualSpacing/>
              <w:jc w:val="center"/>
              <w:rPr>
                <w:color w:val="auto"/>
                <w:kern w:val="0"/>
                <w:szCs w:val="21"/>
              </w:rPr>
            </w:pPr>
          </w:p>
        </w:tc>
        <w:tc>
          <w:tcPr>
            <w:tcW w:w="986" w:type="pct"/>
            <w:vAlign w:val="center"/>
          </w:tcPr>
          <w:p>
            <w:pPr>
              <w:widowControl/>
              <w:spacing w:line="0" w:lineRule="atLeast"/>
              <w:contextualSpacing/>
              <w:jc w:val="center"/>
              <w:rPr>
                <w:color w:val="auto"/>
                <w:kern w:val="0"/>
                <w:szCs w:val="21"/>
              </w:rPr>
            </w:pPr>
            <w:r>
              <w:rPr>
                <w:rFonts w:hint="eastAsia"/>
                <w:color w:val="auto"/>
                <w:kern w:val="0"/>
                <w:szCs w:val="21"/>
              </w:rPr>
              <w:t>/</w:t>
            </w:r>
          </w:p>
        </w:tc>
      </w:tr>
    </w:tbl>
    <w:p>
      <w:pPr>
        <w:spacing w:line="360" w:lineRule="auto"/>
        <w:jc w:val="center"/>
        <w:rPr>
          <w:b/>
          <w:color w:val="auto"/>
          <w:sz w:val="24"/>
        </w:rPr>
      </w:pPr>
      <w:r>
        <w:rPr>
          <w:b/>
          <w:color w:val="auto"/>
          <w:sz w:val="24"/>
        </w:rPr>
        <w:t>表5-2-1</w:t>
      </w:r>
      <w:r>
        <w:rPr>
          <w:rFonts w:hint="eastAsia"/>
          <w:b/>
          <w:color w:val="auto"/>
          <w:sz w:val="24"/>
          <w:lang w:val="en-US" w:eastAsia="zh-CN"/>
        </w:rPr>
        <w:t>6</w:t>
      </w:r>
      <w:r>
        <w:rPr>
          <w:b/>
          <w:color w:val="auto"/>
          <w:sz w:val="24"/>
        </w:rPr>
        <w:t xml:space="preserve"> 废水污染物排放信息表（新建项目）</w:t>
      </w:r>
    </w:p>
    <w:tbl>
      <w:tblPr>
        <w:tblStyle w:val="46"/>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10"/>
        <w:gridCol w:w="1285"/>
        <w:gridCol w:w="1472"/>
        <w:gridCol w:w="1791"/>
        <w:gridCol w:w="1525"/>
        <w:gridCol w:w="173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jc w:val="center"/>
        </w:trPr>
        <w:tc>
          <w:tcPr>
            <w:tcW w:w="417" w:type="pct"/>
            <w:vAlign w:val="center"/>
          </w:tcPr>
          <w:p>
            <w:pPr>
              <w:spacing w:line="0" w:lineRule="atLeast"/>
              <w:contextualSpacing/>
              <w:jc w:val="center"/>
              <w:rPr>
                <w:color w:val="auto"/>
                <w:szCs w:val="21"/>
              </w:rPr>
            </w:pPr>
            <w:r>
              <w:rPr>
                <w:color w:val="auto"/>
                <w:szCs w:val="21"/>
              </w:rPr>
              <w:t>序号</w:t>
            </w:r>
          </w:p>
        </w:tc>
        <w:tc>
          <w:tcPr>
            <w:tcW w:w="753" w:type="pct"/>
            <w:vAlign w:val="center"/>
          </w:tcPr>
          <w:p>
            <w:pPr>
              <w:spacing w:line="0" w:lineRule="atLeast"/>
              <w:contextualSpacing/>
              <w:jc w:val="center"/>
              <w:rPr>
                <w:color w:val="auto"/>
                <w:szCs w:val="21"/>
              </w:rPr>
            </w:pPr>
            <w:r>
              <w:rPr>
                <w:color w:val="auto"/>
                <w:szCs w:val="21"/>
              </w:rPr>
              <w:t>排放口编号</w:t>
            </w:r>
          </w:p>
        </w:tc>
        <w:tc>
          <w:tcPr>
            <w:tcW w:w="864" w:type="pct"/>
            <w:vAlign w:val="center"/>
          </w:tcPr>
          <w:p>
            <w:pPr>
              <w:spacing w:line="0" w:lineRule="atLeast"/>
              <w:contextualSpacing/>
              <w:jc w:val="center"/>
              <w:rPr>
                <w:color w:val="auto"/>
                <w:szCs w:val="21"/>
              </w:rPr>
            </w:pPr>
            <w:r>
              <w:rPr>
                <w:color w:val="auto"/>
                <w:szCs w:val="21"/>
              </w:rPr>
              <w:t>污染物种类</w:t>
            </w:r>
          </w:p>
        </w:tc>
        <w:tc>
          <w:tcPr>
            <w:tcW w:w="1051" w:type="pct"/>
            <w:vAlign w:val="center"/>
          </w:tcPr>
          <w:p>
            <w:pPr>
              <w:spacing w:line="0" w:lineRule="atLeast"/>
              <w:contextualSpacing/>
              <w:jc w:val="center"/>
              <w:rPr>
                <w:color w:val="auto"/>
                <w:szCs w:val="21"/>
              </w:rPr>
            </w:pPr>
            <w:r>
              <w:rPr>
                <w:color w:val="auto"/>
                <w:szCs w:val="21"/>
              </w:rPr>
              <w:t>排放浓度/（mg/L）</w:t>
            </w:r>
          </w:p>
        </w:tc>
        <w:tc>
          <w:tcPr>
            <w:tcW w:w="894" w:type="pct"/>
            <w:vAlign w:val="center"/>
          </w:tcPr>
          <w:p>
            <w:pPr>
              <w:spacing w:line="0" w:lineRule="atLeast"/>
              <w:contextualSpacing/>
              <w:jc w:val="center"/>
              <w:rPr>
                <w:color w:val="auto"/>
                <w:szCs w:val="21"/>
              </w:rPr>
            </w:pPr>
            <w:r>
              <w:rPr>
                <w:color w:val="auto"/>
                <w:szCs w:val="21"/>
              </w:rPr>
              <w:t>日排放量/（t/d）</w:t>
            </w:r>
          </w:p>
        </w:tc>
        <w:tc>
          <w:tcPr>
            <w:tcW w:w="1018" w:type="pct"/>
            <w:vAlign w:val="center"/>
          </w:tcPr>
          <w:p>
            <w:pPr>
              <w:spacing w:line="0" w:lineRule="atLeast"/>
              <w:contextualSpacing/>
              <w:jc w:val="center"/>
              <w:rPr>
                <w:color w:val="auto"/>
                <w:szCs w:val="21"/>
              </w:rPr>
            </w:pPr>
            <w:r>
              <w:rPr>
                <w:color w:val="auto"/>
                <w:szCs w:val="21"/>
              </w:rPr>
              <w:t>年排放量/（t/a）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jc w:val="center"/>
        </w:trPr>
        <w:tc>
          <w:tcPr>
            <w:tcW w:w="417" w:type="pct"/>
            <w:vMerge w:val="restart"/>
            <w:vAlign w:val="center"/>
          </w:tcPr>
          <w:p>
            <w:pPr>
              <w:spacing w:line="0" w:lineRule="atLeast"/>
              <w:contextualSpacing/>
              <w:jc w:val="center"/>
              <w:rPr>
                <w:color w:val="auto"/>
                <w:szCs w:val="21"/>
              </w:rPr>
            </w:pPr>
            <w:r>
              <w:rPr>
                <w:color w:val="auto"/>
                <w:szCs w:val="21"/>
              </w:rPr>
              <w:t>1</w:t>
            </w:r>
          </w:p>
        </w:tc>
        <w:tc>
          <w:tcPr>
            <w:tcW w:w="753" w:type="pct"/>
            <w:vMerge w:val="restart"/>
            <w:vAlign w:val="center"/>
          </w:tcPr>
          <w:p>
            <w:pPr>
              <w:spacing w:line="0" w:lineRule="atLeast"/>
              <w:contextualSpacing/>
              <w:jc w:val="center"/>
              <w:rPr>
                <w:color w:val="auto"/>
                <w:szCs w:val="21"/>
              </w:rPr>
            </w:pPr>
            <w:r>
              <w:rPr>
                <w:color w:val="auto"/>
                <w:szCs w:val="21"/>
              </w:rPr>
              <w:t>DW001</w:t>
            </w:r>
          </w:p>
        </w:tc>
        <w:tc>
          <w:tcPr>
            <w:tcW w:w="864" w:type="pct"/>
            <w:vAlign w:val="center"/>
          </w:tcPr>
          <w:p>
            <w:pPr>
              <w:spacing w:line="0" w:lineRule="atLeast"/>
              <w:contextualSpacing/>
              <w:jc w:val="center"/>
              <w:rPr>
                <w:color w:val="auto"/>
                <w:szCs w:val="21"/>
              </w:rPr>
            </w:pPr>
            <w:r>
              <w:rPr>
                <w:color w:val="auto"/>
                <w:szCs w:val="21"/>
              </w:rPr>
              <w:t>p</w:t>
            </w:r>
            <w:r>
              <w:rPr>
                <w:rFonts w:hint="eastAsia"/>
                <w:color w:val="auto"/>
                <w:szCs w:val="21"/>
              </w:rPr>
              <w:t>H（无量纲）</w:t>
            </w:r>
          </w:p>
        </w:tc>
        <w:tc>
          <w:tcPr>
            <w:tcW w:w="1051" w:type="pct"/>
            <w:vAlign w:val="center"/>
          </w:tcPr>
          <w:p>
            <w:pPr>
              <w:spacing w:line="0" w:lineRule="atLeast"/>
              <w:contextualSpacing/>
              <w:jc w:val="center"/>
              <w:rPr>
                <w:color w:val="auto"/>
                <w:szCs w:val="21"/>
              </w:rPr>
            </w:pPr>
            <w:r>
              <w:rPr>
                <w:color w:val="auto"/>
                <w:szCs w:val="21"/>
              </w:rPr>
              <w:t>6.5-7.5</w:t>
            </w:r>
          </w:p>
        </w:tc>
        <w:tc>
          <w:tcPr>
            <w:tcW w:w="894" w:type="pct"/>
            <w:vAlign w:val="center"/>
          </w:tcPr>
          <w:p>
            <w:pPr>
              <w:spacing w:line="0" w:lineRule="atLeast"/>
              <w:contextualSpacing/>
              <w:jc w:val="center"/>
              <w:rPr>
                <w:color w:val="auto"/>
                <w:szCs w:val="21"/>
              </w:rPr>
            </w:pPr>
            <w:r>
              <w:rPr>
                <w:color w:val="auto"/>
                <w:szCs w:val="21"/>
              </w:rPr>
              <w:t>—</w:t>
            </w:r>
          </w:p>
        </w:tc>
        <w:tc>
          <w:tcPr>
            <w:tcW w:w="1018" w:type="pct"/>
            <w:vAlign w:val="center"/>
          </w:tcPr>
          <w:p>
            <w:pPr>
              <w:spacing w:line="0" w:lineRule="atLeast"/>
              <w:contextualSpacing/>
              <w:jc w:val="center"/>
              <w:rPr>
                <w:color w:val="auto"/>
                <w:szCs w:val="21"/>
              </w:rPr>
            </w:pPr>
            <w:r>
              <w:rPr>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417" w:type="pct"/>
            <w:vMerge w:val="continue"/>
            <w:vAlign w:val="center"/>
          </w:tcPr>
          <w:p>
            <w:pPr>
              <w:spacing w:line="0" w:lineRule="atLeast"/>
              <w:contextualSpacing/>
              <w:jc w:val="center"/>
              <w:rPr>
                <w:color w:val="auto"/>
                <w:szCs w:val="21"/>
              </w:rPr>
            </w:pPr>
          </w:p>
        </w:tc>
        <w:tc>
          <w:tcPr>
            <w:tcW w:w="753" w:type="pct"/>
            <w:vMerge w:val="continue"/>
            <w:vAlign w:val="center"/>
          </w:tcPr>
          <w:p>
            <w:pPr>
              <w:spacing w:line="0" w:lineRule="atLeast"/>
              <w:contextualSpacing/>
              <w:jc w:val="center"/>
              <w:rPr>
                <w:color w:val="auto"/>
                <w:szCs w:val="21"/>
              </w:rPr>
            </w:pPr>
          </w:p>
        </w:tc>
        <w:tc>
          <w:tcPr>
            <w:tcW w:w="864" w:type="pct"/>
            <w:vAlign w:val="center"/>
          </w:tcPr>
          <w:p>
            <w:pPr>
              <w:spacing w:line="0" w:lineRule="atLeast"/>
              <w:contextualSpacing/>
              <w:jc w:val="center"/>
              <w:rPr>
                <w:color w:val="auto"/>
                <w:szCs w:val="21"/>
              </w:rPr>
            </w:pPr>
            <w:r>
              <w:rPr>
                <w:color w:val="auto"/>
                <w:szCs w:val="21"/>
              </w:rPr>
              <w:t>COD</w:t>
            </w:r>
          </w:p>
        </w:tc>
        <w:tc>
          <w:tcPr>
            <w:tcW w:w="1051" w:type="pct"/>
            <w:vAlign w:val="center"/>
          </w:tcPr>
          <w:p>
            <w:pPr>
              <w:spacing w:line="0" w:lineRule="atLeast"/>
              <w:contextualSpacing/>
              <w:jc w:val="center"/>
              <w:rPr>
                <w:rFonts w:hint="eastAsia" w:eastAsia="宋体"/>
                <w:color w:val="auto"/>
                <w:szCs w:val="21"/>
                <w:lang w:eastAsia="zh-CN"/>
              </w:rPr>
            </w:pPr>
            <w:r>
              <w:rPr>
                <w:rFonts w:hint="eastAsia"/>
                <w:snapToGrid w:val="0"/>
                <w:color w:val="auto"/>
                <w:szCs w:val="21"/>
                <w:lang w:eastAsia="zh-CN"/>
              </w:rPr>
              <w:t>189.11</w:t>
            </w:r>
          </w:p>
        </w:tc>
        <w:tc>
          <w:tcPr>
            <w:tcW w:w="894" w:type="pct"/>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0.011</w:t>
            </w:r>
          </w:p>
        </w:tc>
        <w:tc>
          <w:tcPr>
            <w:tcW w:w="1018" w:type="pct"/>
            <w:vAlign w:val="center"/>
          </w:tcPr>
          <w:p>
            <w:pPr>
              <w:spacing w:line="0" w:lineRule="atLeast"/>
              <w:contextualSpacing/>
              <w:jc w:val="center"/>
              <w:rPr>
                <w:rFonts w:hint="eastAsia" w:eastAsia="宋体"/>
                <w:color w:val="auto"/>
                <w:szCs w:val="21"/>
                <w:lang w:eastAsia="zh-CN"/>
              </w:rPr>
            </w:pPr>
            <w:r>
              <w:rPr>
                <w:rFonts w:hint="eastAsia"/>
                <w:color w:val="auto"/>
                <w:szCs w:val="21"/>
                <w:lang w:eastAsia="zh-CN"/>
              </w:rPr>
              <w:t>3.31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jc w:val="center"/>
        </w:trPr>
        <w:tc>
          <w:tcPr>
            <w:tcW w:w="417" w:type="pct"/>
            <w:vMerge w:val="continue"/>
            <w:vAlign w:val="center"/>
          </w:tcPr>
          <w:p>
            <w:pPr>
              <w:spacing w:line="0" w:lineRule="atLeast"/>
              <w:contextualSpacing/>
              <w:jc w:val="center"/>
              <w:rPr>
                <w:color w:val="auto"/>
                <w:szCs w:val="21"/>
              </w:rPr>
            </w:pPr>
          </w:p>
        </w:tc>
        <w:tc>
          <w:tcPr>
            <w:tcW w:w="753" w:type="pct"/>
            <w:vMerge w:val="continue"/>
            <w:vAlign w:val="center"/>
          </w:tcPr>
          <w:p>
            <w:pPr>
              <w:spacing w:line="0" w:lineRule="atLeast"/>
              <w:contextualSpacing/>
              <w:jc w:val="center"/>
              <w:rPr>
                <w:color w:val="auto"/>
                <w:szCs w:val="21"/>
              </w:rPr>
            </w:pPr>
          </w:p>
        </w:tc>
        <w:tc>
          <w:tcPr>
            <w:tcW w:w="864" w:type="pct"/>
            <w:vAlign w:val="center"/>
          </w:tcPr>
          <w:p>
            <w:pPr>
              <w:spacing w:line="0" w:lineRule="atLeast"/>
              <w:contextualSpacing/>
              <w:jc w:val="center"/>
              <w:rPr>
                <w:color w:val="auto"/>
                <w:szCs w:val="21"/>
              </w:rPr>
            </w:pPr>
            <w:r>
              <w:rPr>
                <w:color w:val="auto"/>
                <w:szCs w:val="21"/>
              </w:rPr>
              <w:t>氨氮</w:t>
            </w:r>
          </w:p>
        </w:tc>
        <w:tc>
          <w:tcPr>
            <w:tcW w:w="1051" w:type="pct"/>
            <w:vAlign w:val="center"/>
          </w:tcPr>
          <w:p>
            <w:pPr>
              <w:spacing w:line="0" w:lineRule="atLeast"/>
              <w:contextualSpacing/>
              <w:jc w:val="center"/>
              <w:rPr>
                <w:rFonts w:hint="eastAsia" w:eastAsia="宋体"/>
                <w:color w:val="auto"/>
                <w:szCs w:val="21"/>
                <w:lang w:eastAsia="zh-CN"/>
              </w:rPr>
            </w:pPr>
            <w:r>
              <w:rPr>
                <w:rFonts w:hint="eastAsia"/>
                <w:color w:val="auto"/>
                <w:szCs w:val="21"/>
                <w:lang w:eastAsia="zh-CN"/>
              </w:rPr>
              <w:t>31.27</w:t>
            </w:r>
          </w:p>
        </w:tc>
        <w:tc>
          <w:tcPr>
            <w:tcW w:w="894" w:type="pct"/>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0.0018</w:t>
            </w:r>
          </w:p>
        </w:tc>
        <w:tc>
          <w:tcPr>
            <w:tcW w:w="1018" w:type="pct"/>
            <w:vAlign w:val="center"/>
          </w:tcPr>
          <w:p>
            <w:pPr>
              <w:spacing w:line="0" w:lineRule="atLeast"/>
              <w:contextualSpacing/>
              <w:jc w:val="center"/>
              <w:rPr>
                <w:rFonts w:hint="eastAsia" w:eastAsia="宋体"/>
                <w:color w:val="auto"/>
                <w:szCs w:val="21"/>
                <w:lang w:eastAsia="zh-CN"/>
              </w:rPr>
            </w:pPr>
            <w:r>
              <w:rPr>
                <w:rFonts w:hint="eastAsia"/>
                <w:color w:val="auto"/>
                <w:szCs w:val="21"/>
                <w:lang w:eastAsia="zh-CN"/>
              </w:rPr>
              <w:t>0.55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jc w:val="center"/>
        </w:trPr>
        <w:tc>
          <w:tcPr>
            <w:tcW w:w="417" w:type="pct"/>
            <w:vMerge w:val="continue"/>
            <w:vAlign w:val="center"/>
          </w:tcPr>
          <w:p>
            <w:pPr>
              <w:spacing w:line="0" w:lineRule="atLeast"/>
              <w:contextualSpacing/>
              <w:jc w:val="center"/>
              <w:rPr>
                <w:color w:val="auto"/>
                <w:szCs w:val="21"/>
              </w:rPr>
            </w:pPr>
          </w:p>
        </w:tc>
        <w:tc>
          <w:tcPr>
            <w:tcW w:w="753" w:type="pct"/>
            <w:vMerge w:val="continue"/>
            <w:vAlign w:val="center"/>
          </w:tcPr>
          <w:p>
            <w:pPr>
              <w:spacing w:line="0" w:lineRule="atLeast"/>
              <w:contextualSpacing/>
              <w:jc w:val="center"/>
              <w:rPr>
                <w:color w:val="auto"/>
                <w:szCs w:val="21"/>
              </w:rPr>
            </w:pPr>
          </w:p>
        </w:tc>
        <w:tc>
          <w:tcPr>
            <w:tcW w:w="864" w:type="pct"/>
            <w:vAlign w:val="center"/>
          </w:tcPr>
          <w:p>
            <w:pPr>
              <w:spacing w:line="0" w:lineRule="atLeast"/>
              <w:contextualSpacing/>
              <w:jc w:val="center"/>
              <w:rPr>
                <w:color w:val="auto"/>
                <w:szCs w:val="21"/>
              </w:rPr>
            </w:pPr>
            <w:r>
              <w:rPr>
                <w:color w:val="auto"/>
                <w:szCs w:val="21"/>
              </w:rPr>
              <w:t>BOD</w:t>
            </w:r>
            <w:r>
              <w:rPr>
                <w:rFonts w:hint="eastAsia"/>
                <w:color w:val="auto"/>
                <w:szCs w:val="21"/>
                <w:vertAlign w:val="subscript"/>
              </w:rPr>
              <w:t>5</w:t>
            </w:r>
          </w:p>
        </w:tc>
        <w:tc>
          <w:tcPr>
            <w:tcW w:w="1051" w:type="pct"/>
            <w:vAlign w:val="center"/>
          </w:tcPr>
          <w:p>
            <w:pPr>
              <w:spacing w:line="0" w:lineRule="atLeast"/>
              <w:contextualSpacing/>
              <w:jc w:val="center"/>
              <w:rPr>
                <w:rFonts w:hint="eastAsia" w:eastAsia="宋体"/>
                <w:color w:val="auto"/>
                <w:szCs w:val="21"/>
                <w:lang w:eastAsia="zh-CN"/>
              </w:rPr>
            </w:pPr>
            <w:r>
              <w:rPr>
                <w:rFonts w:hint="eastAsia"/>
                <w:color w:val="auto"/>
                <w:szCs w:val="21"/>
                <w:lang w:eastAsia="zh-CN"/>
              </w:rPr>
              <w:t>94.64</w:t>
            </w:r>
          </w:p>
        </w:tc>
        <w:tc>
          <w:tcPr>
            <w:tcW w:w="894" w:type="pct"/>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0.0055</w:t>
            </w:r>
          </w:p>
        </w:tc>
        <w:tc>
          <w:tcPr>
            <w:tcW w:w="1018" w:type="pct"/>
            <w:vAlign w:val="center"/>
          </w:tcPr>
          <w:p>
            <w:pPr>
              <w:spacing w:line="0" w:lineRule="atLeast"/>
              <w:contextualSpacing/>
              <w:jc w:val="center"/>
              <w:rPr>
                <w:rFonts w:hint="eastAsia" w:eastAsia="宋体"/>
                <w:color w:val="auto"/>
                <w:szCs w:val="21"/>
                <w:lang w:eastAsia="zh-CN"/>
              </w:rPr>
            </w:pPr>
            <w:r>
              <w:rPr>
                <w:rFonts w:hint="eastAsia"/>
                <w:color w:val="auto"/>
                <w:szCs w:val="21"/>
                <w:lang w:eastAsia="zh-CN"/>
              </w:rPr>
              <w:t>1.66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jc w:val="center"/>
        </w:trPr>
        <w:tc>
          <w:tcPr>
            <w:tcW w:w="417" w:type="pct"/>
            <w:vMerge w:val="continue"/>
            <w:vAlign w:val="center"/>
          </w:tcPr>
          <w:p>
            <w:pPr>
              <w:spacing w:line="0" w:lineRule="atLeast"/>
              <w:contextualSpacing/>
              <w:jc w:val="center"/>
              <w:rPr>
                <w:color w:val="auto"/>
                <w:szCs w:val="21"/>
              </w:rPr>
            </w:pPr>
          </w:p>
        </w:tc>
        <w:tc>
          <w:tcPr>
            <w:tcW w:w="753" w:type="pct"/>
            <w:vMerge w:val="continue"/>
            <w:vAlign w:val="center"/>
          </w:tcPr>
          <w:p>
            <w:pPr>
              <w:spacing w:line="0" w:lineRule="atLeast"/>
              <w:contextualSpacing/>
              <w:jc w:val="center"/>
              <w:rPr>
                <w:color w:val="auto"/>
                <w:szCs w:val="21"/>
              </w:rPr>
            </w:pPr>
          </w:p>
        </w:tc>
        <w:tc>
          <w:tcPr>
            <w:tcW w:w="864" w:type="pct"/>
            <w:vAlign w:val="center"/>
          </w:tcPr>
          <w:p>
            <w:pPr>
              <w:spacing w:line="0" w:lineRule="atLeast"/>
              <w:contextualSpacing/>
              <w:jc w:val="center"/>
              <w:rPr>
                <w:color w:val="auto"/>
                <w:szCs w:val="21"/>
              </w:rPr>
            </w:pPr>
            <w:r>
              <w:rPr>
                <w:rFonts w:hint="eastAsia"/>
                <w:color w:val="auto"/>
                <w:szCs w:val="21"/>
              </w:rPr>
              <w:t>SS</w:t>
            </w:r>
          </w:p>
        </w:tc>
        <w:tc>
          <w:tcPr>
            <w:tcW w:w="1051" w:type="pct"/>
            <w:vAlign w:val="center"/>
          </w:tcPr>
          <w:p>
            <w:pPr>
              <w:spacing w:line="0" w:lineRule="atLeast"/>
              <w:contextualSpacing/>
              <w:jc w:val="center"/>
              <w:rPr>
                <w:rFonts w:hint="eastAsia" w:eastAsia="宋体"/>
                <w:color w:val="auto"/>
                <w:szCs w:val="21"/>
                <w:lang w:eastAsia="zh-CN"/>
              </w:rPr>
            </w:pPr>
            <w:r>
              <w:rPr>
                <w:rFonts w:hint="eastAsia"/>
                <w:color w:val="auto"/>
                <w:szCs w:val="21"/>
                <w:lang w:eastAsia="zh-CN"/>
              </w:rPr>
              <w:t>94.76</w:t>
            </w:r>
          </w:p>
        </w:tc>
        <w:tc>
          <w:tcPr>
            <w:tcW w:w="894" w:type="pct"/>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0.0055</w:t>
            </w:r>
          </w:p>
        </w:tc>
        <w:tc>
          <w:tcPr>
            <w:tcW w:w="1018" w:type="pct"/>
            <w:vAlign w:val="center"/>
          </w:tcPr>
          <w:p>
            <w:pPr>
              <w:spacing w:line="0" w:lineRule="atLeast"/>
              <w:contextualSpacing/>
              <w:jc w:val="center"/>
              <w:rPr>
                <w:rFonts w:hint="eastAsia" w:eastAsia="宋体"/>
                <w:color w:val="auto"/>
                <w:szCs w:val="21"/>
                <w:lang w:eastAsia="zh-CN"/>
              </w:rPr>
            </w:pPr>
            <w:r>
              <w:rPr>
                <w:rFonts w:hint="eastAsia"/>
                <w:color w:val="auto"/>
                <w:szCs w:val="21"/>
                <w:lang w:eastAsia="zh-CN"/>
              </w:rPr>
              <w:t>1.66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jc w:val="center"/>
        </w:trPr>
        <w:tc>
          <w:tcPr>
            <w:tcW w:w="417" w:type="pct"/>
            <w:vMerge w:val="continue"/>
            <w:vAlign w:val="center"/>
          </w:tcPr>
          <w:p>
            <w:pPr>
              <w:spacing w:line="0" w:lineRule="atLeast"/>
              <w:contextualSpacing/>
              <w:jc w:val="center"/>
              <w:rPr>
                <w:color w:val="auto"/>
                <w:szCs w:val="21"/>
              </w:rPr>
            </w:pPr>
          </w:p>
        </w:tc>
        <w:tc>
          <w:tcPr>
            <w:tcW w:w="753" w:type="pct"/>
            <w:vMerge w:val="continue"/>
            <w:vAlign w:val="center"/>
          </w:tcPr>
          <w:p>
            <w:pPr>
              <w:spacing w:line="0" w:lineRule="atLeast"/>
              <w:contextualSpacing/>
              <w:jc w:val="center"/>
              <w:rPr>
                <w:color w:val="auto"/>
                <w:szCs w:val="21"/>
              </w:rPr>
            </w:pPr>
          </w:p>
        </w:tc>
        <w:tc>
          <w:tcPr>
            <w:tcW w:w="864" w:type="pct"/>
            <w:vAlign w:val="center"/>
          </w:tcPr>
          <w:p>
            <w:pPr>
              <w:spacing w:line="0" w:lineRule="atLeast"/>
              <w:contextualSpacing/>
              <w:jc w:val="center"/>
              <w:rPr>
                <w:color w:val="auto"/>
                <w:szCs w:val="21"/>
              </w:rPr>
            </w:pPr>
            <w:r>
              <w:rPr>
                <w:rFonts w:hint="eastAsia"/>
                <w:color w:val="auto"/>
                <w:szCs w:val="21"/>
              </w:rPr>
              <w:t>动植物油</w:t>
            </w:r>
          </w:p>
        </w:tc>
        <w:tc>
          <w:tcPr>
            <w:tcW w:w="1051" w:type="pct"/>
            <w:vAlign w:val="center"/>
          </w:tcPr>
          <w:p>
            <w:pPr>
              <w:spacing w:line="0" w:lineRule="atLeast"/>
              <w:contextualSpacing/>
              <w:jc w:val="center"/>
              <w:rPr>
                <w:rFonts w:hint="eastAsia" w:eastAsia="宋体"/>
                <w:color w:val="auto"/>
                <w:szCs w:val="21"/>
                <w:lang w:eastAsia="zh-CN"/>
              </w:rPr>
            </w:pPr>
            <w:r>
              <w:rPr>
                <w:rFonts w:hint="eastAsia"/>
                <w:color w:val="auto"/>
                <w:szCs w:val="21"/>
                <w:lang w:eastAsia="zh-CN"/>
              </w:rPr>
              <w:t>13.07</w:t>
            </w:r>
          </w:p>
        </w:tc>
        <w:tc>
          <w:tcPr>
            <w:tcW w:w="894" w:type="pct"/>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0.0007</w:t>
            </w:r>
          </w:p>
        </w:tc>
        <w:tc>
          <w:tcPr>
            <w:tcW w:w="1018" w:type="pct"/>
            <w:vAlign w:val="center"/>
          </w:tcPr>
          <w:p>
            <w:pPr>
              <w:spacing w:line="0" w:lineRule="atLeast"/>
              <w:contextualSpacing/>
              <w:jc w:val="center"/>
              <w:rPr>
                <w:rFonts w:hint="default" w:eastAsia="宋体"/>
                <w:color w:val="FF0000"/>
                <w:szCs w:val="21"/>
                <w:lang w:val="en-US" w:eastAsia="zh-CN"/>
              </w:rPr>
            </w:pPr>
            <w:r>
              <w:rPr>
                <w:rFonts w:hint="eastAsia"/>
                <w:color w:val="auto"/>
                <w:szCs w:val="21"/>
                <w:lang w:val="en-US" w:eastAsia="zh-CN"/>
              </w:rPr>
              <w:t>0.23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jc w:val="center"/>
        </w:trPr>
        <w:tc>
          <w:tcPr>
            <w:tcW w:w="417" w:type="pct"/>
            <w:vMerge w:val="continue"/>
            <w:vAlign w:val="center"/>
          </w:tcPr>
          <w:p>
            <w:pPr>
              <w:spacing w:line="0" w:lineRule="atLeast"/>
              <w:contextualSpacing/>
              <w:jc w:val="center"/>
              <w:rPr>
                <w:color w:val="auto"/>
                <w:szCs w:val="21"/>
              </w:rPr>
            </w:pPr>
          </w:p>
        </w:tc>
        <w:tc>
          <w:tcPr>
            <w:tcW w:w="753" w:type="pct"/>
            <w:vMerge w:val="continue"/>
            <w:vAlign w:val="center"/>
          </w:tcPr>
          <w:p>
            <w:pPr>
              <w:spacing w:line="0" w:lineRule="atLeast"/>
              <w:contextualSpacing/>
              <w:jc w:val="center"/>
              <w:rPr>
                <w:color w:val="auto"/>
                <w:szCs w:val="21"/>
              </w:rPr>
            </w:pPr>
          </w:p>
        </w:tc>
        <w:tc>
          <w:tcPr>
            <w:tcW w:w="864" w:type="pct"/>
            <w:vAlign w:val="center"/>
          </w:tcPr>
          <w:p>
            <w:pPr>
              <w:spacing w:line="0" w:lineRule="atLeast"/>
              <w:contextualSpacing/>
              <w:jc w:val="center"/>
              <w:rPr>
                <w:color w:val="auto"/>
                <w:szCs w:val="21"/>
              </w:rPr>
            </w:pPr>
            <w:r>
              <w:rPr>
                <w:color w:val="auto"/>
                <w:szCs w:val="21"/>
              </w:rPr>
              <w:t>大肠菌群数（个/L）</w:t>
            </w:r>
          </w:p>
        </w:tc>
        <w:tc>
          <w:tcPr>
            <w:tcW w:w="1051" w:type="pct"/>
            <w:vAlign w:val="center"/>
          </w:tcPr>
          <w:p>
            <w:pPr>
              <w:spacing w:line="0" w:lineRule="atLeast"/>
              <w:contextualSpacing/>
              <w:jc w:val="center"/>
              <w:rPr>
                <w:color w:val="auto"/>
                <w:szCs w:val="21"/>
              </w:rPr>
            </w:pPr>
            <w:r>
              <w:rPr>
                <w:rFonts w:hint="eastAsia"/>
                <w:snapToGrid w:val="0"/>
                <w:color w:val="auto"/>
                <w:szCs w:val="21"/>
                <w:lang w:eastAsia="zh-CN"/>
              </w:rPr>
              <w:t>19150</w:t>
            </w:r>
            <w:r>
              <w:rPr>
                <w:rFonts w:hint="eastAsia"/>
                <w:bCs/>
                <w:snapToGrid w:val="0"/>
                <w:color w:val="auto"/>
                <w:szCs w:val="21"/>
              </w:rPr>
              <w:t>个/L</w:t>
            </w:r>
          </w:p>
        </w:tc>
        <w:tc>
          <w:tcPr>
            <w:tcW w:w="894" w:type="pct"/>
            <w:vAlign w:val="center"/>
          </w:tcPr>
          <w:p>
            <w:pPr>
              <w:spacing w:line="0" w:lineRule="atLeast"/>
              <w:contextualSpacing/>
              <w:jc w:val="center"/>
              <w:rPr>
                <w:color w:val="auto"/>
                <w:szCs w:val="21"/>
              </w:rPr>
            </w:pPr>
            <w:r>
              <w:rPr>
                <w:rFonts w:hint="eastAsia"/>
                <w:color w:val="auto"/>
                <w:szCs w:val="21"/>
                <w:lang w:val="en-US" w:eastAsia="zh-CN"/>
              </w:rPr>
              <w:t>1.05</w:t>
            </w:r>
            <w:r>
              <w:rPr>
                <w:rFonts w:hint="eastAsia"/>
                <w:bCs/>
                <w:snapToGrid w:val="0"/>
                <w:color w:val="auto"/>
                <w:szCs w:val="21"/>
              </w:rPr>
              <w:t>×10</w:t>
            </w:r>
            <w:r>
              <w:rPr>
                <w:rFonts w:hint="eastAsia"/>
                <w:bCs/>
                <w:snapToGrid w:val="0"/>
                <w:color w:val="auto"/>
                <w:szCs w:val="21"/>
                <w:vertAlign w:val="superscript"/>
                <w:lang w:val="en-US" w:eastAsia="zh-CN"/>
              </w:rPr>
              <w:t>9</w:t>
            </w:r>
            <w:r>
              <w:rPr>
                <w:rFonts w:hint="eastAsia"/>
                <w:bCs/>
                <w:snapToGrid w:val="0"/>
                <w:color w:val="auto"/>
                <w:szCs w:val="21"/>
              </w:rPr>
              <w:t>个</w:t>
            </w:r>
          </w:p>
        </w:tc>
        <w:tc>
          <w:tcPr>
            <w:tcW w:w="1018" w:type="pct"/>
            <w:vAlign w:val="center"/>
          </w:tcPr>
          <w:p>
            <w:pPr>
              <w:spacing w:line="0" w:lineRule="atLeast"/>
              <w:contextualSpacing/>
              <w:jc w:val="center"/>
              <w:rPr>
                <w:color w:val="FF0000"/>
                <w:szCs w:val="21"/>
              </w:rPr>
            </w:pPr>
            <w:r>
              <w:rPr>
                <w:rFonts w:hint="eastAsia"/>
                <w:snapToGrid w:val="0"/>
                <w:color w:val="auto"/>
                <w:szCs w:val="21"/>
                <w:lang w:eastAsia="zh-CN"/>
              </w:rPr>
              <w:t>3.14</w:t>
            </w:r>
            <w:r>
              <w:rPr>
                <w:rFonts w:hint="eastAsia"/>
                <w:bCs/>
                <w:snapToGrid w:val="0"/>
                <w:color w:val="auto"/>
                <w:szCs w:val="21"/>
              </w:rPr>
              <w:t>×10</w:t>
            </w:r>
            <w:r>
              <w:rPr>
                <w:rFonts w:hint="eastAsia"/>
                <w:bCs/>
                <w:snapToGrid w:val="0"/>
                <w:color w:val="auto"/>
                <w:szCs w:val="21"/>
                <w:vertAlign w:val="superscript"/>
              </w:rPr>
              <w:t>11</w:t>
            </w:r>
            <w:r>
              <w:rPr>
                <w:rFonts w:hint="eastAsia"/>
                <w:bCs/>
                <w:snapToGrid w:val="0"/>
                <w:color w:val="auto"/>
                <w:szCs w:val="21"/>
              </w:rPr>
              <w:t>个</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2" w:hRule="atLeast"/>
          <w:jc w:val="center"/>
        </w:trPr>
        <w:tc>
          <w:tcPr>
            <w:tcW w:w="1171" w:type="pct"/>
            <w:gridSpan w:val="2"/>
            <w:vMerge w:val="restart"/>
            <w:vAlign w:val="center"/>
          </w:tcPr>
          <w:p>
            <w:pPr>
              <w:spacing w:line="0" w:lineRule="atLeast"/>
              <w:contextualSpacing/>
              <w:jc w:val="center"/>
              <w:rPr>
                <w:color w:val="auto"/>
                <w:szCs w:val="21"/>
              </w:rPr>
            </w:pPr>
            <w:r>
              <w:rPr>
                <w:color w:val="auto"/>
                <w:szCs w:val="21"/>
              </w:rPr>
              <w:t>全场排放口合计</w:t>
            </w:r>
          </w:p>
        </w:tc>
        <w:tc>
          <w:tcPr>
            <w:tcW w:w="2810" w:type="pct"/>
            <w:gridSpan w:val="3"/>
            <w:vAlign w:val="center"/>
          </w:tcPr>
          <w:p>
            <w:pPr>
              <w:spacing w:line="0" w:lineRule="atLeast"/>
              <w:contextualSpacing/>
              <w:jc w:val="center"/>
              <w:rPr>
                <w:color w:val="auto"/>
                <w:szCs w:val="21"/>
              </w:rPr>
            </w:pPr>
            <w:r>
              <w:rPr>
                <w:color w:val="auto"/>
                <w:szCs w:val="21"/>
              </w:rPr>
              <w:t>COD</w:t>
            </w:r>
          </w:p>
        </w:tc>
        <w:tc>
          <w:tcPr>
            <w:tcW w:w="1734" w:type="dxa"/>
            <w:vAlign w:val="center"/>
          </w:tcPr>
          <w:p>
            <w:pPr>
              <w:spacing w:line="0" w:lineRule="atLeast"/>
              <w:contextualSpacing/>
              <w:jc w:val="center"/>
              <w:rPr>
                <w:rFonts w:hint="eastAsia" w:eastAsia="宋体"/>
                <w:color w:val="FF0000"/>
                <w:szCs w:val="21"/>
                <w:lang w:eastAsia="zh-CN"/>
              </w:rPr>
            </w:pPr>
            <w:r>
              <w:rPr>
                <w:rFonts w:hint="eastAsia"/>
                <w:color w:val="auto"/>
                <w:szCs w:val="21"/>
                <w:lang w:eastAsia="zh-CN"/>
              </w:rPr>
              <w:t>3.31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jc w:val="center"/>
        </w:trPr>
        <w:tc>
          <w:tcPr>
            <w:tcW w:w="1171" w:type="pct"/>
            <w:gridSpan w:val="2"/>
            <w:vMerge w:val="continue"/>
            <w:vAlign w:val="center"/>
          </w:tcPr>
          <w:p>
            <w:pPr>
              <w:spacing w:line="0" w:lineRule="atLeast"/>
              <w:contextualSpacing/>
              <w:jc w:val="center"/>
              <w:rPr>
                <w:color w:val="auto"/>
                <w:szCs w:val="21"/>
              </w:rPr>
            </w:pPr>
          </w:p>
        </w:tc>
        <w:tc>
          <w:tcPr>
            <w:tcW w:w="2810" w:type="pct"/>
            <w:gridSpan w:val="3"/>
            <w:vAlign w:val="center"/>
          </w:tcPr>
          <w:p>
            <w:pPr>
              <w:spacing w:line="0" w:lineRule="atLeast"/>
              <w:contextualSpacing/>
              <w:jc w:val="center"/>
              <w:rPr>
                <w:color w:val="auto"/>
                <w:szCs w:val="21"/>
              </w:rPr>
            </w:pPr>
            <w:r>
              <w:rPr>
                <w:color w:val="auto"/>
                <w:szCs w:val="21"/>
              </w:rPr>
              <w:t>氨氮</w:t>
            </w:r>
          </w:p>
        </w:tc>
        <w:tc>
          <w:tcPr>
            <w:tcW w:w="1734" w:type="dxa"/>
            <w:vAlign w:val="center"/>
          </w:tcPr>
          <w:p>
            <w:pPr>
              <w:spacing w:line="0" w:lineRule="atLeast"/>
              <w:contextualSpacing/>
              <w:jc w:val="center"/>
              <w:rPr>
                <w:rFonts w:hint="eastAsia" w:eastAsia="宋体"/>
                <w:color w:val="FF0000"/>
                <w:szCs w:val="21"/>
                <w:lang w:eastAsia="zh-CN"/>
              </w:rPr>
            </w:pPr>
            <w:r>
              <w:rPr>
                <w:rFonts w:hint="eastAsia"/>
                <w:color w:val="auto"/>
                <w:szCs w:val="21"/>
                <w:lang w:eastAsia="zh-CN"/>
              </w:rPr>
              <w:t>0.55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jc w:val="center"/>
        </w:trPr>
        <w:tc>
          <w:tcPr>
            <w:tcW w:w="1171" w:type="pct"/>
            <w:gridSpan w:val="2"/>
            <w:vMerge w:val="continue"/>
            <w:vAlign w:val="center"/>
          </w:tcPr>
          <w:p>
            <w:pPr>
              <w:spacing w:line="0" w:lineRule="atLeast"/>
              <w:contextualSpacing/>
              <w:jc w:val="center"/>
              <w:rPr>
                <w:color w:val="auto"/>
                <w:szCs w:val="21"/>
              </w:rPr>
            </w:pPr>
          </w:p>
        </w:tc>
        <w:tc>
          <w:tcPr>
            <w:tcW w:w="2810" w:type="pct"/>
            <w:gridSpan w:val="3"/>
            <w:vAlign w:val="center"/>
          </w:tcPr>
          <w:p>
            <w:pPr>
              <w:spacing w:line="0" w:lineRule="atLeast"/>
              <w:contextualSpacing/>
              <w:jc w:val="center"/>
              <w:rPr>
                <w:color w:val="auto"/>
                <w:szCs w:val="21"/>
              </w:rPr>
            </w:pPr>
            <w:r>
              <w:rPr>
                <w:color w:val="auto"/>
                <w:szCs w:val="21"/>
              </w:rPr>
              <w:t>BOD</w:t>
            </w:r>
            <w:r>
              <w:rPr>
                <w:rFonts w:hint="eastAsia"/>
                <w:color w:val="auto"/>
                <w:szCs w:val="21"/>
                <w:vertAlign w:val="subscript"/>
              </w:rPr>
              <w:t>5</w:t>
            </w:r>
          </w:p>
        </w:tc>
        <w:tc>
          <w:tcPr>
            <w:tcW w:w="1734" w:type="dxa"/>
            <w:vAlign w:val="center"/>
          </w:tcPr>
          <w:p>
            <w:pPr>
              <w:spacing w:line="0" w:lineRule="atLeast"/>
              <w:contextualSpacing/>
              <w:jc w:val="center"/>
              <w:rPr>
                <w:rFonts w:hint="eastAsia" w:eastAsia="宋体"/>
                <w:color w:val="FF0000"/>
                <w:szCs w:val="21"/>
                <w:lang w:eastAsia="zh-CN"/>
              </w:rPr>
            </w:pPr>
            <w:r>
              <w:rPr>
                <w:rFonts w:hint="eastAsia"/>
                <w:color w:val="auto"/>
                <w:szCs w:val="21"/>
                <w:lang w:eastAsia="zh-CN"/>
              </w:rPr>
              <w:t>1.66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jc w:val="center"/>
        </w:trPr>
        <w:tc>
          <w:tcPr>
            <w:tcW w:w="1171" w:type="pct"/>
            <w:gridSpan w:val="2"/>
            <w:vMerge w:val="continue"/>
            <w:vAlign w:val="center"/>
          </w:tcPr>
          <w:p>
            <w:pPr>
              <w:spacing w:line="0" w:lineRule="atLeast"/>
              <w:contextualSpacing/>
              <w:jc w:val="center"/>
              <w:rPr>
                <w:color w:val="auto"/>
                <w:szCs w:val="21"/>
              </w:rPr>
            </w:pPr>
          </w:p>
        </w:tc>
        <w:tc>
          <w:tcPr>
            <w:tcW w:w="2810" w:type="pct"/>
            <w:gridSpan w:val="3"/>
            <w:vAlign w:val="center"/>
          </w:tcPr>
          <w:p>
            <w:pPr>
              <w:spacing w:line="0" w:lineRule="atLeast"/>
              <w:contextualSpacing/>
              <w:jc w:val="center"/>
              <w:rPr>
                <w:color w:val="auto"/>
                <w:szCs w:val="21"/>
              </w:rPr>
            </w:pPr>
            <w:r>
              <w:rPr>
                <w:rFonts w:hint="eastAsia"/>
                <w:color w:val="auto"/>
                <w:szCs w:val="21"/>
              </w:rPr>
              <w:t>SS</w:t>
            </w:r>
          </w:p>
        </w:tc>
        <w:tc>
          <w:tcPr>
            <w:tcW w:w="1734" w:type="dxa"/>
            <w:vAlign w:val="center"/>
          </w:tcPr>
          <w:p>
            <w:pPr>
              <w:spacing w:line="0" w:lineRule="atLeast"/>
              <w:contextualSpacing/>
              <w:jc w:val="center"/>
              <w:rPr>
                <w:rFonts w:hint="eastAsia" w:eastAsia="宋体"/>
                <w:color w:val="FF0000"/>
                <w:szCs w:val="21"/>
                <w:lang w:eastAsia="zh-CN"/>
              </w:rPr>
            </w:pPr>
            <w:r>
              <w:rPr>
                <w:rFonts w:hint="eastAsia"/>
                <w:color w:val="auto"/>
                <w:szCs w:val="21"/>
                <w:lang w:eastAsia="zh-CN"/>
              </w:rPr>
              <w:t>1.66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jc w:val="center"/>
        </w:trPr>
        <w:tc>
          <w:tcPr>
            <w:tcW w:w="1171" w:type="pct"/>
            <w:gridSpan w:val="2"/>
            <w:vMerge w:val="continue"/>
            <w:vAlign w:val="center"/>
          </w:tcPr>
          <w:p>
            <w:pPr>
              <w:spacing w:line="0" w:lineRule="atLeast"/>
              <w:contextualSpacing/>
              <w:jc w:val="center"/>
              <w:rPr>
                <w:color w:val="auto"/>
                <w:szCs w:val="21"/>
              </w:rPr>
            </w:pPr>
          </w:p>
        </w:tc>
        <w:tc>
          <w:tcPr>
            <w:tcW w:w="2810" w:type="pct"/>
            <w:gridSpan w:val="3"/>
            <w:vAlign w:val="center"/>
          </w:tcPr>
          <w:p>
            <w:pPr>
              <w:spacing w:line="0" w:lineRule="atLeast"/>
              <w:contextualSpacing/>
              <w:jc w:val="center"/>
              <w:rPr>
                <w:color w:val="auto"/>
                <w:szCs w:val="21"/>
              </w:rPr>
            </w:pPr>
            <w:r>
              <w:rPr>
                <w:rFonts w:hint="eastAsia"/>
                <w:color w:val="auto"/>
                <w:szCs w:val="21"/>
              </w:rPr>
              <w:t>动植物油</w:t>
            </w:r>
          </w:p>
        </w:tc>
        <w:tc>
          <w:tcPr>
            <w:tcW w:w="1734" w:type="dxa"/>
            <w:vAlign w:val="center"/>
          </w:tcPr>
          <w:p>
            <w:pPr>
              <w:spacing w:line="0" w:lineRule="atLeast"/>
              <w:contextualSpacing/>
              <w:jc w:val="center"/>
              <w:rPr>
                <w:color w:val="FF0000"/>
                <w:szCs w:val="21"/>
              </w:rPr>
            </w:pPr>
            <w:r>
              <w:rPr>
                <w:rFonts w:hint="eastAsia"/>
                <w:color w:val="auto"/>
                <w:szCs w:val="21"/>
                <w:lang w:val="en-US" w:eastAsia="zh-CN"/>
              </w:rPr>
              <w:t>0.23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jc w:val="center"/>
        </w:trPr>
        <w:tc>
          <w:tcPr>
            <w:tcW w:w="1171" w:type="pct"/>
            <w:gridSpan w:val="2"/>
            <w:vMerge w:val="continue"/>
            <w:vAlign w:val="center"/>
          </w:tcPr>
          <w:p>
            <w:pPr>
              <w:spacing w:line="0" w:lineRule="atLeast"/>
              <w:contextualSpacing/>
              <w:jc w:val="center"/>
              <w:rPr>
                <w:color w:val="auto"/>
                <w:szCs w:val="21"/>
              </w:rPr>
            </w:pPr>
          </w:p>
        </w:tc>
        <w:tc>
          <w:tcPr>
            <w:tcW w:w="2810" w:type="pct"/>
            <w:gridSpan w:val="3"/>
            <w:vAlign w:val="center"/>
          </w:tcPr>
          <w:p>
            <w:pPr>
              <w:spacing w:line="0" w:lineRule="atLeast"/>
              <w:contextualSpacing/>
              <w:jc w:val="center"/>
              <w:rPr>
                <w:color w:val="auto"/>
                <w:szCs w:val="21"/>
              </w:rPr>
            </w:pPr>
            <w:r>
              <w:rPr>
                <w:color w:val="auto"/>
                <w:szCs w:val="21"/>
              </w:rPr>
              <w:t>大肠菌群数（个/L）</w:t>
            </w:r>
          </w:p>
        </w:tc>
        <w:tc>
          <w:tcPr>
            <w:tcW w:w="1734" w:type="dxa"/>
            <w:vAlign w:val="center"/>
          </w:tcPr>
          <w:p>
            <w:pPr>
              <w:spacing w:line="0" w:lineRule="atLeast"/>
              <w:contextualSpacing/>
              <w:jc w:val="center"/>
              <w:rPr>
                <w:color w:val="FF0000"/>
                <w:szCs w:val="21"/>
              </w:rPr>
            </w:pPr>
            <w:r>
              <w:rPr>
                <w:rFonts w:hint="eastAsia"/>
                <w:snapToGrid w:val="0"/>
                <w:color w:val="auto"/>
                <w:szCs w:val="21"/>
                <w:lang w:eastAsia="zh-CN"/>
              </w:rPr>
              <w:t>3.14</w:t>
            </w:r>
            <w:r>
              <w:rPr>
                <w:rFonts w:hint="eastAsia"/>
                <w:bCs/>
                <w:snapToGrid w:val="0"/>
                <w:color w:val="auto"/>
                <w:szCs w:val="21"/>
              </w:rPr>
              <w:t>×10</w:t>
            </w:r>
            <w:r>
              <w:rPr>
                <w:rFonts w:hint="eastAsia"/>
                <w:bCs/>
                <w:snapToGrid w:val="0"/>
                <w:color w:val="auto"/>
                <w:szCs w:val="21"/>
                <w:vertAlign w:val="superscript"/>
              </w:rPr>
              <w:t>11</w:t>
            </w:r>
            <w:r>
              <w:rPr>
                <w:rFonts w:hint="eastAsia"/>
                <w:bCs/>
                <w:snapToGrid w:val="0"/>
                <w:color w:val="auto"/>
                <w:szCs w:val="21"/>
              </w:rPr>
              <w:t>个</w:t>
            </w:r>
          </w:p>
        </w:tc>
      </w:tr>
    </w:tbl>
    <w:p>
      <w:pPr>
        <w:spacing w:line="360" w:lineRule="auto"/>
        <w:jc w:val="center"/>
        <w:rPr>
          <w:b/>
          <w:color w:val="auto"/>
          <w:sz w:val="24"/>
        </w:rPr>
      </w:pPr>
      <w:r>
        <w:rPr>
          <w:b/>
          <w:color w:val="auto"/>
          <w:sz w:val="24"/>
        </w:rPr>
        <w:t>表5-2-1</w:t>
      </w:r>
      <w:r>
        <w:rPr>
          <w:rFonts w:hint="eastAsia"/>
          <w:b/>
          <w:color w:val="auto"/>
          <w:sz w:val="24"/>
          <w:lang w:val="en-US" w:eastAsia="zh-CN"/>
        </w:rPr>
        <w:t>7</w:t>
      </w:r>
      <w:r>
        <w:rPr>
          <w:b/>
          <w:color w:val="auto"/>
          <w:sz w:val="24"/>
        </w:rPr>
        <w:t xml:space="preserve"> 废水间接排放口基本情况表</w:t>
      </w:r>
    </w:p>
    <w:tbl>
      <w:tblPr>
        <w:tblStyle w:val="730"/>
        <w:tblW w:w="4998" w:type="pct"/>
        <w:jc w:val="center"/>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Layout w:type="autofit"/>
        <w:tblCellMar>
          <w:top w:w="0" w:type="dxa"/>
          <w:left w:w="108" w:type="dxa"/>
          <w:bottom w:w="0" w:type="dxa"/>
          <w:right w:w="108" w:type="dxa"/>
        </w:tblCellMar>
      </w:tblPr>
      <w:tblGrid>
        <w:gridCol w:w="420"/>
        <w:gridCol w:w="864"/>
        <w:gridCol w:w="1393"/>
        <w:gridCol w:w="1291"/>
        <w:gridCol w:w="1086"/>
        <w:gridCol w:w="421"/>
        <w:gridCol w:w="421"/>
        <w:gridCol w:w="421"/>
        <w:gridCol w:w="421"/>
        <w:gridCol w:w="715"/>
        <w:gridCol w:w="1069"/>
      </w:tblGrid>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568" w:hRule="atLeast"/>
          <w:jc w:val="center"/>
        </w:trPr>
        <w:tc>
          <w:tcPr>
            <w:tcW w:w="169" w:type="pct"/>
            <w:vMerge w:val="restart"/>
            <w:vAlign w:val="center"/>
          </w:tcPr>
          <w:p>
            <w:pPr>
              <w:spacing w:line="0" w:lineRule="atLeast"/>
              <w:contextualSpacing/>
              <w:jc w:val="center"/>
              <w:rPr>
                <w:color w:val="auto"/>
                <w:kern w:val="0"/>
                <w:sz w:val="21"/>
                <w:szCs w:val="21"/>
              </w:rPr>
            </w:pPr>
            <w:r>
              <w:rPr>
                <w:color w:val="auto"/>
                <w:kern w:val="0"/>
                <w:sz w:val="21"/>
                <w:szCs w:val="21"/>
              </w:rPr>
              <w:t>序号</w:t>
            </w:r>
          </w:p>
        </w:tc>
        <w:tc>
          <w:tcPr>
            <w:tcW w:w="313" w:type="pct"/>
            <w:vMerge w:val="restart"/>
            <w:vAlign w:val="center"/>
          </w:tcPr>
          <w:p>
            <w:pPr>
              <w:spacing w:line="0" w:lineRule="atLeast"/>
              <w:contextualSpacing/>
              <w:jc w:val="center"/>
              <w:rPr>
                <w:color w:val="auto"/>
                <w:kern w:val="0"/>
                <w:sz w:val="21"/>
                <w:szCs w:val="21"/>
              </w:rPr>
            </w:pPr>
            <w:r>
              <w:rPr>
                <w:color w:val="auto"/>
                <w:kern w:val="0"/>
                <w:sz w:val="21"/>
                <w:szCs w:val="21"/>
              </w:rPr>
              <w:t>排放口编号</w:t>
            </w:r>
          </w:p>
        </w:tc>
        <w:tc>
          <w:tcPr>
            <w:tcW w:w="849" w:type="pct"/>
            <w:gridSpan w:val="2"/>
            <w:tcBorders>
              <w:bottom w:val="single" w:color="000000" w:sz="4" w:space="0"/>
            </w:tcBorders>
            <w:vAlign w:val="center"/>
          </w:tcPr>
          <w:p>
            <w:pPr>
              <w:spacing w:line="0" w:lineRule="atLeast"/>
              <w:contextualSpacing/>
              <w:jc w:val="center"/>
              <w:rPr>
                <w:color w:val="auto"/>
                <w:kern w:val="0"/>
                <w:sz w:val="21"/>
                <w:szCs w:val="21"/>
              </w:rPr>
            </w:pPr>
            <w:r>
              <w:rPr>
                <w:color w:val="auto"/>
                <w:kern w:val="0"/>
                <w:sz w:val="21"/>
                <w:szCs w:val="21"/>
              </w:rPr>
              <w:t>排放口地理坐标</w:t>
            </w:r>
          </w:p>
        </w:tc>
        <w:tc>
          <w:tcPr>
            <w:tcW w:w="653" w:type="pct"/>
            <w:vMerge w:val="restart"/>
            <w:vAlign w:val="center"/>
          </w:tcPr>
          <w:p>
            <w:pPr>
              <w:spacing w:line="0" w:lineRule="atLeast"/>
              <w:contextualSpacing/>
              <w:jc w:val="center"/>
              <w:rPr>
                <w:color w:val="auto"/>
                <w:kern w:val="0"/>
                <w:sz w:val="21"/>
                <w:szCs w:val="21"/>
              </w:rPr>
            </w:pPr>
            <w:r>
              <w:rPr>
                <w:color w:val="auto"/>
                <w:kern w:val="0"/>
                <w:sz w:val="21"/>
                <w:szCs w:val="21"/>
              </w:rPr>
              <w:t>废水排放量/（万t/a）</w:t>
            </w:r>
          </w:p>
        </w:tc>
        <w:tc>
          <w:tcPr>
            <w:tcW w:w="489" w:type="pct"/>
            <w:vMerge w:val="restart"/>
            <w:vAlign w:val="center"/>
          </w:tcPr>
          <w:p>
            <w:pPr>
              <w:spacing w:line="0" w:lineRule="atLeast"/>
              <w:contextualSpacing/>
              <w:jc w:val="center"/>
              <w:rPr>
                <w:color w:val="auto"/>
                <w:kern w:val="0"/>
                <w:sz w:val="21"/>
                <w:szCs w:val="21"/>
              </w:rPr>
            </w:pPr>
            <w:r>
              <w:rPr>
                <w:color w:val="auto"/>
                <w:kern w:val="0"/>
                <w:sz w:val="21"/>
                <w:szCs w:val="21"/>
              </w:rPr>
              <w:t>排放去向</w:t>
            </w:r>
          </w:p>
        </w:tc>
        <w:tc>
          <w:tcPr>
            <w:tcW w:w="244" w:type="pct"/>
            <w:vMerge w:val="restart"/>
            <w:vAlign w:val="center"/>
          </w:tcPr>
          <w:p>
            <w:pPr>
              <w:spacing w:line="0" w:lineRule="atLeast"/>
              <w:contextualSpacing/>
              <w:jc w:val="center"/>
              <w:rPr>
                <w:color w:val="auto"/>
                <w:kern w:val="0"/>
                <w:sz w:val="21"/>
                <w:szCs w:val="21"/>
              </w:rPr>
            </w:pPr>
            <w:r>
              <w:rPr>
                <w:color w:val="auto"/>
                <w:kern w:val="0"/>
                <w:sz w:val="21"/>
                <w:szCs w:val="21"/>
              </w:rPr>
              <w:t>排放规律</w:t>
            </w:r>
          </w:p>
        </w:tc>
        <w:tc>
          <w:tcPr>
            <w:tcW w:w="342" w:type="pct"/>
            <w:vMerge w:val="restart"/>
            <w:vAlign w:val="center"/>
          </w:tcPr>
          <w:p>
            <w:pPr>
              <w:spacing w:line="0" w:lineRule="atLeast"/>
              <w:contextualSpacing/>
              <w:jc w:val="center"/>
              <w:rPr>
                <w:color w:val="auto"/>
                <w:kern w:val="0"/>
                <w:sz w:val="21"/>
                <w:szCs w:val="21"/>
              </w:rPr>
            </w:pPr>
            <w:r>
              <w:rPr>
                <w:color w:val="auto"/>
                <w:kern w:val="0"/>
                <w:sz w:val="21"/>
                <w:szCs w:val="21"/>
              </w:rPr>
              <w:t>间歇排放时段</w:t>
            </w:r>
          </w:p>
        </w:tc>
        <w:tc>
          <w:tcPr>
            <w:tcW w:w="1936" w:type="pct"/>
            <w:gridSpan w:val="3"/>
            <w:tcBorders>
              <w:bottom w:val="single" w:color="000000" w:sz="4" w:space="0"/>
            </w:tcBorders>
            <w:vAlign w:val="center"/>
          </w:tcPr>
          <w:p>
            <w:pPr>
              <w:spacing w:line="0" w:lineRule="atLeast"/>
              <w:contextualSpacing/>
              <w:jc w:val="center"/>
              <w:rPr>
                <w:color w:val="auto"/>
                <w:kern w:val="0"/>
                <w:sz w:val="21"/>
                <w:szCs w:val="21"/>
              </w:rPr>
            </w:pPr>
            <w:r>
              <w:rPr>
                <w:color w:val="auto"/>
                <w:kern w:val="0"/>
                <w:sz w:val="21"/>
                <w:szCs w:val="21"/>
              </w:rPr>
              <w:t>受纳污水处理厂信息</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151" w:hRule="atLeast"/>
          <w:jc w:val="center"/>
        </w:trPr>
        <w:tc>
          <w:tcPr>
            <w:tcW w:w="169" w:type="pct"/>
            <w:vMerge w:val="continue"/>
            <w:tcBorders>
              <w:bottom w:val="single" w:color="000000" w:sz="4" w:space="0"/>
            </w:tcBorders>
            <w:vAlign w:val="center"/>
          </w:tcPr>
          <w:p>
            <w:pPr>
              <w:spacing w:line="0" w:lineRule="atLeast"/>
              <w:contextualSpacing/>
              <w:jc w:val="center"/>
              <w:rPr>
                <w:color w:val="auto"/>
                <w:kern w:val="0"/>
                <w:sz w:val="21"/>
                <w:szCs w:val="21"/>
              </w:rPr>
            </w:pPr>
          </w:p>
        </w:tc>
        <w:tc>
          <w:tcPr>
            <w:tcW w:w="313" w:type="pct"/>
            <w:vMerge w:val="continue"/>
            <w:tcBorders>
              <w:bottom w:val="single" w:color="000000" w:sz="4" w:space="0"/>
            </w:tcBorders>
            <w:vAlign w:val="center"/>
          </w:tcPr>
          <w:p>
            <w:pPr>
              <w:spacing w:line="0" w:lineRule="atLeast"/>
              <w:contextualSpacing/>
              <w:jc w:val="center"/>
              <w:rPr>
                <w:color w:val="auto"/>
                <w:kern w:val="0"/>
                <w:sz w:val="21"/>
                <w:szCs w:val="21"/>
              </w:rPr>
            </w:pPr>
          </w:p>
        </w:tc>
        <w:tc>
          <w:tcPr>
            <w:tcW w:w="441" w:type="pct"/>
            <w:tcBorders>
              <w:top w:val="single" w:color="000000" w:sz="4" w:space="0"/>
              <w:bottom w:val="single" w:color="000000" w:sz="4" w:space="0"/>
            </w:tcBorders>
            <w:vAlign w:val="center"/>
          </w:tcPr>
          <w:p>
            <w:pPr>
              <w:spacing w:line="0" w:lineRule="atLeast"/>
              <w:contextualSpacing/>
              <w:jc w:val="center"/>
              <w:rPr>
                <w:color w:val="auto"/>
                <w:kern w:val="0"/>
                <w:sz w:val="21"/>
                <w:szCs w:val="21"/>
              </w:rPr>
            </w:pPr>
            <w:r>
              <w:rPr>
                <w:color w:val="auto"/>
                <w:kern w:val="0"/>
                <w:sz w:val="21"/>
                <w:szCs w:val="21"/>
              </w:rPr>
              <w:t>经度</w:t>
            </w:r>
          </w:p>
        </w:tc>
        <w:tc>
          <w:tcPr>
            <w:tcW w:w="408" w:type="pct"/>
            <w:tcBorders>
              <w:top w:val="single" w:color="000000" w:sz="4" w:space="0"/>
              <w:bottom w:val="single" w:color="000000" w:sz="4" w:space="0"/>
            </w:tcBorders>
            <w:vAlign w:val="center"/>
          </w:tcPr>
          <w:p>
            <w:pPr>
              <w:spacing w:line="0" w:lineRule="atLeast"/>
              <w:contextualSpacing/>
              <w:jc w:val="center"/>
              <w:rPr>
                <w:color w:val="auto"/>
                <w:kern w:val="0"/>
                <w:sz w:val="21"/>
                <w:szCs w:val="21"/>
              </w:rPr>
            </w:pPr>
            <w:r>
              <w:rPr>
                <w:color w:val="auto"/>
                <w:kern w:val="0"/>
                <w:sz w:val="21"/>
                <w:szCs w:val="21"/>
              </w:rPr>
              <w:t>纬度</w:t>
            </w:r>
          </w:p>
        </w:tc>
        <w:tc>
          <w:tcPr>
            <w:tcW w:w="653" w:type="pct"/>
            <w:vMerge w:val="continue"/>
            <w:tcBorders>
              <w:bottom w:val="single" w:color="000000" w:sz="4" w:space="0"/>
            </w:tcBorders>
            <w:vAlign w:val="center"/>
          </w:tcPr>
          <w:p>
            <w:pPr>
              <w:spacing w:line="0" w:lineRule="atLeast"/>
              <w:contextualSpacing/>
              <w:jc w:val="center"/>
              <w:rPr>
                <w:color w:val="auto"/>
                <w:kern w:val="0"/>
                <w:sz w:val="21"/>
                <w:szCs w:val="21"/>
              </w:rPr>
            </w:pPr>
          </w:p>
        </w:tc>
        <w:tc>
          <w:tcPr>
            <w:tcW w:w="489" w:type="pct"/>
            <w:vMerge w:val="continue"/>
            <w:tcBorders>
              <w:bottom w:val="single" w:color="000000" w:sz="4" w:space="0"/>
            </w:tcBorders>
            <w:vAlign w:val="center"/>
          </w:tcPr>
          <w:p>
            <w:pPr>
              <w:spacing w:line="0" w:lineRule="atLeast"/>
              <w:contextualSpacing/>
              <w:jc w:val="center"/>
              <w:rPr>
                <w:color w:val="auto"/>
                <w:kern w:val="0"/>
                <w:sz w:val="21"/>
                <w:szCs w:val="21"/>
              </w:rPr>
            </w:pPr>
          </w:p>
        </w:tc>
        <w:tc>
          <w:tcPr>
            <w:tcW w:w="244" w:type="pct"/>
            <w:vMerge w:val="continue"/>
            <w:tcBorders>
              <w:bottom w:val="single" w:color="000000" w:sz="4" w:space="0"/>
            </w:tcBorders>
            <w:vAlign w:val="center"/>
          </w:tcPr>
          <w:p>
            <w:pPr>
              <w:spacing w:line="0" w:lineRule="atLeast"/>
              <w:contextualSpacing/>
              <w:jc w:val="center"/>
              <w:rPr>
                <w:color w:val="auto"/>
                <w:kern w:val="0"/>
                <w:sz w:val="21"/>
                <w:szCs w:val="21"/>
              </w:rPr>
            </w:pPr>
          </w:p>
        </w:tc>
        <w:tc>
          <w:tcPr>
            <w:tcW w:w="342" w:type="pct"/>
            <w:vMerge w:val="continue"/>
            <w:tcBorders>
              <w:bottom w:val="single" w:color="000000" w:sz="4" w:space="0"/>
            </w:tcBorders>
            <w:vAlign w:val="center"/>
          </w:tcPr>
          <w:p>
            <w:pPr>
              <w:spacing w:line="0" w:lineRule="atLeast"/>
              <w:contextualSpacing/>
              <w:jc w:val="center"/>
              <w:rPr>
                <w:color w:val="auto"/>
                <w:kern w:val="0"/>
                <w:sz w:val="21"/>
                <w:szCs w:val="21"/>
              </w:rPr>
            </w:pPr>
          </w:p>
        </w:tc>
        <w:tc>
          <w:tcPr>
            <w:tcW w:w="469" w:type="pct"/>
            <w:tcBorders>
              <w:top w:val="single" w:color="000000" w:sz="4" w:space="0"/>
              <w:bottom w:val="single" w:color="000000" w:sz="4" w:space="0"/>
            </w:tcBorders>
            <w:vAlign w:val="center"/>
          </w:tcPr>
          <w:p>
            <w:pPr>
              <w:spacing w:line="0" w:lineRule="atLeast"/>
              <w:contextualSpacing/>
              <w:jc w:val="center"/>
              <w:rPr>
                <w:color w:val="auto"/>
                <w:kern w:val="0"/>
                <w:sz w:val="21"/>
                <w:szCs w:val="21"/>
              </w:rPr>
            </w:pPr>
            <w:r>
              <w:rPr>
                <w:color w:val="auto"/>
                <w:kern w:val="0"/>
                <w:sz w:val="21"/>
                <w:szCs w:val="21"/>
              </w:rPr>
              <w:t>名称</w:t>
            </w:r>
          </w:p>
        </w:tc>
        <w:tc>
          <w:tcPr>
            <w:tcW w:w="494" w:type="pct"/>
            <w:tcBorders>
              <w:top w:val="single" w:color="000000" w:sz="4" w:space="0"/>
              <w:bottom w:val="single" w:color="000000" w:sz="4" w:space="0"/>
            </w:tcBorders>
            <w:vAlign w:val="center"/>
          </w:tcPr>
          <w:p>
            <w:pPr>
              <w:spacing w:line="0" w:lineRule="atLeast"/>
              <w:contextualSpacing/>
              <w:jc w:val="center"/>
              <w:rPr>
                <w:color w:val="auto"/>
                <w:kern w:val="0"/>
                <w:sz w:val="21"/>
                <w:szCs w:val="21"/>
              </w:rPr>
            </w:pPr>
            <w:r>
              <w:rPr>
                <w:color w:val="auto"/>
                <w:kern w:val="0"/>
                <w:sz w:val="21"/>
                <w:szCs w:val="21"/>
              </w:rPr>
              <w:t>污染物种类</w:t>
            </w:r>
          </w:p>
        </w:tc>
        <w:tc>
          <w:tcPr>
            <w:tcW w:w="973" w:type="pct"/>
            <w:tcBorders>
              <w:top w:val="single" w:color="000000" w:sz="4" w:space="0"/>
              <w:bottom w:val="single" w:color="000000" w:sz="4" w:space="0"/>
            </w:tcBorders>
            <w:vAlign w:val="center"/>
          </w:tcPr>
          <w:p>
            <w:pPr>
              <w:spacing w:line="0" w:lineRule="atLeast"/>
              <w:contextualSpacing/>
              <w:jc w:val="center"/>
              <w:rPr>
                <w:color w:val="auto"/>
                <w:kern w:val="0"/>
                <w:sz w:val="21"/>
                <w:szCs w:val="21"/>
              </w:rPr>
            </w:pPr>
            <w:r>
              <w:rPr>
                <w:color w:val="auto"/>
                <w:kern w:val="0"/>
                <w:sz w:val="21"/>
                <w:szCs w:val="21"/>
              </w:rPr>
              <w:t>国家或地方污染物排放标准浓度限值/（mg/L）</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289" w:hRule="atLeast"/>
          <w:jc w:val="center"/>
        </w:trPr>
        <w:tc>
          <w:tcPr>
            <w:tcW w:w="169" w:type="pct"/>
            <w:vMerge w:val="restart"/>
            <w:tcBorders>
              <w:top w:val="single" w:color="000000" w:sz="4" w:space="0"/>
              <w:bottom w:val="single" w:color="auto" w:sz="8" w:space="0"/>
            </w:tcBorders>
            <w:vAlign w:val="center"/>
          </w:tcPr>
          <w:p>
            <w:pPr>
              <w:spacing w:line="0" w:lineRule="atLeast"/>
              <w:contextualSpacing/>
              <w:jc w:val="center"/>
              <w:rPr>
                <w:color w:val="auto"/>
                <w:kern w:val="0"/>
                <w:sz w:val="21"/>
                <w:szCs w:val="21"/>
              </w:rPr>
            </w:pPr>
            <w:r>
              <w:rPr>
                <w:color w:val="auto"/>
                <w:kern w:val="0"/>
                <w:sz w:val="21"/>
                <w:szCs w:val="21"/>
              </w:rPr>
              <w:t>1</w:t>
            </w:r>
          </w:p>
        </w:tc>
        <w:tc>
          <w:tcPr>
            <w:tcW w:w="313" w:type="pct"/>
            <w:vMerge w:val="restart"/>
            <w:tcBorders>
              <w:top w:val="single" w:color="000000" w:sz="4" w:space="0"/>
              <w:bottom w:val="single" w:color="auto" w:sz="8" w:space="0"/>
            </w:tcBorders>
            <w:vAlign w:val="center"/>
          </w:tcPr>
          <w:p>
            <w:pPr>
              <w:spacing w:line="0" w:lineRule="atLeast"/>
              <w:contextualSpacing/>
              <w:jc w:val="center"/>
              <w:rPr>
                <w:color w:val="auto"/>
                <w:kern w:val="0"/>
                <w:sz w:val="21"/>
                <w:szCs w:val="21"/>
              </w:rPr>
            </w:pPr>
            <w:r>
              <w:rPr>
                <w:color w:val="auto"/>
                <w:kern w:val="0"/>
                <w:sz w:val="21"/>
                <w:szCs w:val="21"/>
              </w:rPr>
              <w:t>DW001</w:t>
            </w:r>
          </w:p>
        </w:tc>
        <w:tc>
          <w:tcPr>
            <w:tcW w:w="441" w:type="pct"/>
            <w:vMerge w:val="restart"/>
            <w:tcBorders>
              <w:top w:val="single" w:color="000000" w:sz="4" w:space="0"/>
              <w:bottom w:val="single" w:color="auto" w:sz="8"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color w:val="auto"/>
                <w:kern w:val="0"/>
                <w:sz w:val="21"/>
                <w:szCs w:val="21"/>
              </w:rPr>
            </w:pPr>
            <w:r>
              <w:rPr>
                <w:color w:val="auto"/>
                <w:kern w:val="0"/>
                <w:sz w:val="21"/>
                <w:szCs w:val="21"/>
              </w:rPr>
              <w:t>127.80994177</w:t>
            </w:r>
          </w:p>
        </w:tc>
        <w:tc>
          <w:tcPr>
            <w:tcW w:w="408" w:type="pct"/>
            <w:vMerge w:val="restart"/>
            <w:tcBorders>
              <w:top w:val="single" w:color="000000" w:sz="4" w:space="0"/>
              <w:bottom w:val="single" w:color="auto" w:sz="8"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color w:val="auto"/>
                <w:kern w:val="0"/>
                <w:sz w:val="21"/>
                <w:szCs w:val="21"/>
              </w:rPr>
            </w:pPr>
            <w:r>
              <w:rPr>
                <w:color w:val="auto"/>
                <w:kern w:val="0"/>
                <w:sz w:val="21"/>
                <w:szCs w:val="21"/>
              </w:rPr>
              <w:t>45.30531212</w:t>
            </w:r>
          </w:p>
        </w:tc>
        <w:tc>
          <w:tcPr>
            <w:tcW w:w="653" w:type="pct"/>
            <w:vMerge w:val="restart"/>
            <w:tcBorders>
              <w:top w:val="single" w:color="000000" w:sz="4" w:space="0"/>
              <w:bottom w:val="single" w:color="auto" w:sz="8" w:space="0"/>
            </w:tcBorders>
            <w:vAlign w:val="center"/>
          </w:tcPr>
          <w:p>
            <w:pPr>
              <w:spacing w:line="0" w:lineRule="atLeast"/>
              <w:contextualSpacing/>
              <w:jc w:val="center"/>
              <w:rPr>
                <w:rFonts w:hint="default" w:eastAsia="宋体"/>
                <w:color w:val="auto"/>
                <w:kern w:val="0"/>
                <w:sz w:val="21"/>
                <w:szCs w:val="21"/>
                <w:lang w:val="en-US" w:eastAsia="zh-CN"/>
              </w:rPr>
            </w:pPr>
            <w:r>
              <w:rPr>
                <w:rFonts w:hint="eastAsia"/>
                <w:color w:val="auto"/>
                <w:kern w:val="0"/>
                <w:sz w:val="21"/>
                <w:szCs w:val="21"/>
                <w:lang w:val="en-US" w:eastAsia="zh-CN"/>
              </w:rPr>
              <w:t>1.7518608</w:t>
            </w:r>
          </w:p>
        </w:tc>
        <w:tc>
          <w:tcPr>
            <w:tcW w:w="489" w:type="pct"/>
            <w:vMerge w:val="restart"/>
            <w:tcBorders>
              <w:top w:val="single" w:color="000000" w:sz="4" w:space="0"/>
              <w:bottom w:val="single" w:color="auto" w:sz="8" w:space="0"/>
            </w:tcBorders>
            <w:vAlign w:val="center"/>
          </w:tcPr>
          <w:p>
            <w:pPr>
              <w:spacing w:line="0" w:lineRule="atLeast"/>
              <w:contextualSpacing/>
              <w:jc w:val="center"/>
              <w:rPr>
                <w:rFonts w:hint="eastAsia" w:eastAsia="宋体"/>
                <w:color w:val="auto"/>
                <w:kern w:val="0"/>
                <w:sz w:val="21"/>
                <w:szCs w:val="21"/>
                <w:lang w:eastAsia="zh-CN"/>
              </w:rPr>
            </w:pPr>
            <w:r>
              <w:rPr>
                <w:rFonts w:hint="eastAsia"/>
                <w:color w:val="auto"/>
                <w:kern w:val="0"/>
                <w:sz w:val="21"/>
                <w:szCs w:val="21"/>
                <w:lang w:eastAsia="zh-CN"/>
              </w:rPr>
              <w:t>尚志污水处理厂</w:t>
            </w:r>
          </w:p>
        </w:tc>
        <w:tc>
          <w:tcPr>
            <w:tcW w:w="244" w:type="pct"/>
            <w:vMerge w:val="restart"/>
            <w:tcBorders>
              <w:top w:val="single" w:color="000000" w:sz="4" w:space="0"/>
              <w:bottom w:val="single" w:color="auto" w:sz="8" w:space="0"/>
            </w:tcBorders>
            <w:vAlign w:val="center"/>
          </w:tcPr>
          <w:p>
            <w:pPr>
              <w:spacing w:line="0" w:lineRule="atLeast"/>
              <w:contextualSpacing/>
              <w:jc w:val="center"/>
              <w:rPr>
                <w:color w:val="auto"/>
                <w:kern w:val="0"/>
                <w:sz w:val="21"/>
                <w:szCs w:val="21"/>
              </w:rPr>
            </w:pPr>
            <w:r>
              <w:rPr>
                <w:color w:val="auto"/>
                <w:kern w:val="0"/>
                <w:sz w:val="21"/>
                <w:szCs w:val="21"/>
              </w:rPr>
              <w:t>/</w:t>
            </w:r>
          </w:p>
        </w:tc>
        <w:tc>
          <w:tcPr>
            <w:tcW w:w="342" w:type="pct"/>
            <w:vMerge w:val="restart"/>
            <w:tcBorders>
              <w:top w:val="single" w:color="000000" w:sz="4" w:space="0"/>
              <w:bottom w:val="single" w:color="auto" w:sz="8" w:space="0"/>
            </w:tcBorders>
            <w:vAlign w:val="center"/>
          </w:tcPr>
          <w:p>
            <w:pPr>
              <w:spacing w:line="0" w:lineRule="atLeast"/>
              <w:contextualSpacing/>
              <w:jc w:val="center"/>
              <w:rPr>
                <w:color w:val="auto"/>
                <w:kern w:val="0"/>
                <w:sz w:val="21"/>
                <w:szCs w:val="21"/>
              </w:rPr>
            </w:pPr>
            <w:r>
              <w:rPr>
                <w:color w:val="auto"/>
                <w:kern w:val="0"/>
                <w:sz w:val="21"/>
                <w:szCs w:val="21"/>
              </w:rPr>
              <w:t>/</w:t>
            </w:r>
          </w:p>
        </w:tc>
        <w:tc>
          <w:tcPr>
            <w:tcW w:w="469" w:type="pct"/>
            <w:vMerge w:val="restart"/>
            <w:tcBorders>
              <w:top w:val="single" w:color="000000" w:sz="4" w:space="0"/>
              <w:bottom w:val="single" w:color="auto" w:sz="8" w:space="0"/>
            </w:tcBorders>
            <w:vAlign w:val="center"/>
          </w:tcPr>
          <w:p>
            <w:pPr>
              <w:spacing w:line="0" w:lineRule="atLeast"/>
              <w:contextualSpacing/>
              <w:jc w:val="center"/>
              <w:rPr>
                <w:rFonts w:hint="eastAsia" w:eastAsia="宋体"/>
                <w:color w:val="auto"/>
                <w:kern w:val="0"/>
                <w:sz w:val="21"/>
                <w:szCs w:val="21"/>
                <w:lang w:eastAsia="zh-CN"/>
              </w:rPr>
            </w:pPr>
            <w:r>
              <w:rPr>
                <w:rFonts w:hint="eastAsia"/>
                <w:color w:val="auto"/>
                <w:kern w:val="0"/>
                <w:sz w:val="21"/>
                <w:szCs w:val="21"/>
                <w:lang w:eastAsia="zh-CN"/>
              </w:rPr>
              <w:t>尚志污水处理厂</w:t>
            </w:r>
          </w:p>
        </w:tc>
        <w:tc>
          <w:tcPr>
            <w:tcW w:w="494" w:type="pct"/>
            <w:tcBorders>
              <w:top w:val="single" w:color="000000" w:sz="4" w:space="0"/>
              <w:bottom w:val="single" w:color="000000" w:sz="4" w:space="0"/>
            </w:tcBorders>
            <w:vAlign w:val="center"/>
          </w:tcPr>
          <w:p>
            <w:pPr>
              <w:spacing w:line="0" w:lineRule="atLeast"/>
              <w:contextualSpacing/>
              <w:jc w:val="center"/>
              <w:rPr>
                <w:color w:val="auto"/>
                <w:kern w:val="0"/>
                <w:sz w:val="21"/>
                <w:szCs w:val="21"/>
              </w:rPr>
            </w:pPr>
            <w:r>
              <w:rPr>
                <w:color w:val="auto"/>
                <w:kern w:val="0"/>
                <w:sz w:val="21"/>
                <w:szCs w:val="21"/>
              </w:rPr>
              <w:t>COD</w:t>
            </w:r>
          </w:p>
        </w:tc>
        <w:tc>
          <w:tcPr>
            <w:tcW w:w="973" w:type="pct"/>
            <w:tcBorders>
              <w:top w:val="single" w:color="000000" w:sz="4" w:space="0"/>
              <w:bottom w:val="single" w:color="000000" w:sz="4" w:space="0"/>
            </w:tcBorders>
            <w:vAlign w:val="center"/>
          </w:tcPr>
          <w:p>
            <w:pPr>
              <w:spacing w:line="0" w:lineRule="atLeast"/>
              <w:contextualSpacing/>
              <w:jc w:val="center"/>
              <w:rPr>
                <w:color w:val="auto"/>
                <w:kern w:val="0"/>
                <w:sz w:val="21"/>
                <w:szCs w:val="21"/>
              </w:rPr>
            </w:pPr>
            <w:r>
              <w:rPr>
                <w:rFonts w:hint="eastAsia"/>
                <w:color w:val="auto"/>
                <w:kern w:val="0"/>
                <w:sz w:val="21"/>
                <w:szCs w:val="21"/>
              </w:rPr>
              <w:t>50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289" w:hRule="atLeast"/>
          <w:jc w:val="center"/>
        </w:trPr>
        <w:tc>
          <w:tcPr>
            <w:tcW w:w="169" w:type="pct"/>
            <w:vMerge w:val="continue"/>
            <w:tcBorders>
              <w:top w:val="single" w:color="000000" w:sz="4" w:space="0"/>
              <w:bottom w:val="single" w:color="auto" w:sz="8" w:space="0"/>
            </w:tcBorders>
            <w:vAlign w:val="center"/>
          </w:tcPr>
          <w:p>
            <w:pPr>
              <w:spacing w:line="0" w:lineRule="atLeast"/>
              <w:contextualSpacing/>
              <w:jc w:val="center"/>
              <w:rPr>
                <w:color w:val="FF0000"/>
                <w:kern w:val="0"/>
                <w:sz w:val="21"/>
                <w:szCs w:val="21"/>
              </w:rPr>
            </w:pPr>
          </w:p>
        </w:tc>
        <w:tc>
          <w:tcPr>
            <w:tcW w:w="313" w:type="pct"/>
            <w:vMerge w:val="continue"/>
            <w:tcBorders>
              <w:top w:val="single" w:color="000000" w:sz="4" w:space="0"/>
              <w:bottom w:val="single" w:color="auto" w:sz="8" w:space="0"/>
            </w:tcBorders>
            <w:vAlign w:val="center"/>
          </w:tcPr>
          <w:p>
            <w:pPr>
              <w:spacing w:line="0" w:lineRule="atLeast"/>
              <w:contextualSpacing/>
              <w:jc w:val="center"/>
              <w:rPr>
                <w:color w:val="FF0000"/>
                <w:kern w:val="0"/>
                <w:sz w:val="21"/>
                <w:szCs w:val="21"/>
              </w:rPr>
            </w:pPr>
          </w:p>
        </w:tc>
        <w:tc>
          <w:tcPr>
            <w:tcW w:w="441" w:type="pct"/>
            <w:vMerge w:val="continue"/>
            <w:tcBorders>
              <w:top w:val="single" w:color="000000" w:sz="4" w:space="0"/>
              <w:bottom w:val="single" w:color="auto" w:sz="8" w:space="0"/>
            </w:tcBorders>
            <w:vAlign w:val="center"/>
          </w:tcPr>
          <w:p>
            <w:pPr>
              <w:spacing w:line="0" w:lineRule="atLeast"/>
              <w:contextualSpacing/>
              <w:jc w:val="center"/>
              <w:rPr>
                <w:color w:val="FF0000"/>
                <w:kern w:val="0"/>
                <w:sz w:val="21"/>
                <w:szCs w:val="21"/>
              </w:rPr>
            </w:pPr>
          </w:p>
        </w:tc>
        <w:tc>
          <w:tcPr>
            <w:tcW w:w="408" w:type="pct"/>
            <w:vMerge w:val="continue"/>
            <w:tcBorders>
              <w:top w:val="single" w:color="000000" w:sz="4" w:space="0"/>
              <w:bottom w:val="single" w:color="auto" w:sz="8" w:space="0"/>
            </w:tcBorders>
            <w:vAlign w:val="center"/>
          </w:tcPr>
          <w:p>
            <w:pPr>
              <w:spacing w:line="0" w:lineRule="atLeast"/>
              <w:contextualSpacing/>
              <w:jc w:val="center"/>
              <w:rPr>
                <w:color w:val="FF0000"/>
                <w:kern w:val="0"/>
                <w:sz w:val="21"/>
                <w:szCs w:val="21"/>
              </w:rPr>
            </w:pPr>
          </w:p>
        </w:tc>
        <w:tc>
          <w:tcPr>
            <w:tcW w:w="653" w:type="pct"/>
            <w:vMerge w:val="continue"/>
            <w:tcBorders>
              <w:top w:val="single" w:color="000000" w:sz="4" w:space="0"/>
              <w:bottom w:val="single" w:color="auto" w:sz="8" w:space="0"/>
            </w:tcBorders>
            <w:vAlign w:val="center"/>
          </w:tcPr>
          <w:p>
            <w:pPr>
              <w:spacing w:line="0" w:lineRule="atLeast"/>
              <w:contextualSpacing/>
              <w:jc w:val="center"/>
              <w:rPr>
                <w:color w:val="FF0000"/>
                <w:kern w:val="0"/>
                <w:sz w:val="21"/>
                <w:szCs w:val="21"/>
              </w:rPr>
            </w:pPr>
          </w:p>
        </w:tc>
        <w:tc>
          <w:tcPr>
            <w:tcW w:w="489" w:type="pct"/>
            <w:vMerge w:val="continue"/>
            <w:tcBorders>
              <w:top w:val="single" w:color="000000" w:sz="4" w:space="0"/>
              <w:bottom w:val="single" w:color="auto" w:sz="8" w:space="0"/>
            </w:tcBorders>
            <w:vAlign w:val="center"/>
          </w:tcPr>
          <w:p>
            <w:pPr>
              <w:spacing w:line="0" w:lineRule="atLeast"/>
              <w:contextualSpacing/>
              <w:jc w:val="center"/>
              <w:rPr>
                <w:color w:val="FF0000"/>
                <w:kern w:val="0"/>
                <w:sz w:val="21"/>
                <w:szCs w:val="21"/>
              </w:rPr>
            </w:pPr>
          </w:p>
        </w:tc>
        <w:tc>
          <w:tcPr>
            <w:tcW w:w="244" w:type="pct"/>
            <w:vMerge w:val="continue"/>
            <w:tcBorders>
              <w:top w:val="single" w:color="000000" w:sz="4" w:space="0"/>
              <w:bottom w:val="single" w:color="auto" w:sz="8" w:space="0"/>
            </w:tcBorders>
            <w:vAlign w:val="center"/>
          </w:tcPr>
          <w:p>
            <w:pPr>
              <w:spacing w:line="0" w:lineRule="atLeast"/>
              <w:contextualSpacing/>
              <w:jc w:val="center"/>
              <w:rPr>
                <w:color w:val="FF0000"/>
                <w:kern w:val="0"/>
                <w:sz w:val="21"/>
                <w:szCs w:val="21"/>
              </w:rPr>
            </w:pPr>
          </w:p>
        </w:tc>
        <w:tc>
          <w:tcPr>
            <w:tcW w:w="342" w:type="pct"/>
            <w:vMerge w:val="continue"/>
            <w:tcBorders>
              <w:top w:val="single" w:color="000000" w:sz="4" w:space="0"/>
              <w:bottom w:val="single" w:color="auto" w:sz="8" w:space="0"/>
            </w:tcBorders>
            <w:vAlign w:val="center"/>
          </w:tcPr>
          <w:p>
            <w:pPr>
              <w:spacing w:line="0" w:lineRule="atLeast"/>
              <w:contextualSpacing/>
              <w:jc w:val="center"/>
              <w:rPr>
                <w:color w:val="FF0000"/>
                <w:kern w:val="0"/>
                <w:sz w:val="21"/>
                <w:szCs w:val="21"/>
              </w:rPr>
            </w:pPr>
          </w:p>
        </w:tc>
        <w:tc>
          <w:tcPr>
            <w:tcW w:w="469" w:type="pct"/>
            <w:vMerge w:val="continue"/>
            <w:tcBorders>
              <w:top w:val="single" w:color="000000" w:sz="4" w:space="0"/>
              <w:bottom w:val="single" w:color="auto" w:sz="8" w:space="0"/>
            </w:tcBorders>
            <w:vAlign w:val="center"/>
          </w:tcPr>
          <w:p>
            <w:pPr>
              <w:spacing w:line="0" w:lineRule="atLeast"/>
              <w:contextualSpacing/>
              <w:jc w:val="center"/>
              <w:rPr>
                <w:color w:val="auto"/>
                <w:kern w:val="0"/>
                <w:sz w:val="21"/>
                <w:szCs w:val="21"/>
              </w:rPr>
            </w:pPr>
          </w:p>
        </w:tc>
        <w:tc>
          <w:tcPr>
            <w:tcW w:w="494" w:type="pct"/>
            <w:tcBorders>
              <w:top w:val="single" w:color="000000" w:sz="4" w:space="0"/>
              <w:bottom w:val="single" w:color="000000" w:sz="4" w:space="0"/>
            </w:tcBorders>
            <w:vAlign w:val="center"/>
          </w:tcPr>
          <w:p>
            <w:pPr>
              <w:spacing w:line="0" w:lineRule="atLeast"/>
              <w:contextualSpacing/>
              <w:jc w:val="center"/>
              <w:rPr>
                <w:color w:val="auto"/>
                <w:kern w:val="0"/>
                <w:sz w:val="21"/>
                <w:szCs w:val="21"/>
              </w:rPr>
            </w:pPr>
            <w:r>
              <w:rPr>
                <w:color w:val="auto"/>
                <w:kern w:val="0"/>
                <w:sz w:val="21"/>
                <w:szCs w:val="21"/>
              </w:rPr>
              <w:t>p</w:t>
            </w:r>
            <w:r>
              <w:rPr>
                <w:rFonts w:hint="eastAsia"/>
                <w:color w:val="auto"/>
                <w:kern w:val="0"/>
                <w:sz w:val="21"/>
                <w:szCs w:val="21"/>
              </w:rPr>
              <w:t>H</w:t>
            </w:r>
          </w:p>
        </w:tc>
        <w:tc>
          <w:tcPr>
            <w:tcW w:w="973" w:type="pct"/>
            <w:tcBorders>
              <w:top w:val="single" w:color="000000" w:sz="4" w:space="0"/>
              <w:bottom w:val="single" w:color="000000" w:sz="4" w:space="0"/>
            </w:tcBorders>
            <w:vAlign w:val="center"/>
          </w:tcPr>
          <w:p>
            <w:pPr>
              <w:spacing w:line="0" w:lineRule="atLeast"/>
              <w:contextualSpacing/>
              <w:jc w:val="center"/>
              <w:rPr>
                <w:color w:val="auto"/>
                <w:kern w:val="0"/>
                <w:sz w:val="21"/>
                <w:szCs w:val="21"/>
              </w:rPr>
            </w:pPr>
            <w:r>
              <w:rPr>
                <w:rFonts w:hint="eastAsia"/>
                <w:color w:val="auto"/>
                <w:kern w:val="0"/>
                <w:sz w:val="21"/>
                <w:szCs w:val="21"/>
              </w:rPr>
              <w:t>6~9</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14" w:hRule="atLeast"/>
          <w:jc w:val="center"/>
        </w:trPr>
        <w:tc>
          <w:tcPr>
            <w:tcW w:w="169" w:type="pct"/>
            <w:vMerge w:val="continue"/>
            <w:tcBorders>
              <w:top w:val="single" w:color="auto" w:sz="8" w:space="0"/>
              <w:bottom w:val="single" w:color="auto" w:sz="8" w:space="0"/>
            </w:tcBorders>
            <w:vAlign w:val="center"/>
          </w:tcPr>
          <w:p>
            <w:pPr>
              <w:spacing w:line="0" w:lineRule="atLeast"/>
              <w:contextualSpacing/>
              <w:jc w:val="center"/>
              <w:rPr>
                <w:color w:val="FF0000"/>
                <w:kern w:val="0"/>
                <w:sz w:val="21"/>
                <w:szCs w:val="21"/>
              </w:rPr>
            </w:pPr>
          </w:p>
        </w:tc>
        <w:tc>
          <w:tcPr>
            <w:tcW w:w="313" w:type="pct"/>
            <w:vMerge w:val="continue"/>
            <w:tcBorders>
              <w:top w:val="single" w:color="auto" w:sz="8" w:space="0"/>
              <w:bottom w:val="single" w:color="auto" w:sz="8" w:space="0"/>
            </w:tcBorders>
            <w:vAlign w:val="center"/>
          </w:tcPr>
          <w:p>
            <w:pPr>
              <w:spacing w:line="0" w:lineRule="atLeast"/>
              <w:contextualSpacing/>
              <w:jc w:val="center"/>
              <w:rPr>
                <w:color w:val="FF0000"/>
                <w:kern w:val="0"/>
                <w:sz w:val="21"/>
                <w:szCs w:val="21"/>
              </w:rPr>
            </w:pPr>
          </w:p>
        </w:tc>
        <w:tc>
          <w:tcPr>
            <w:tcW w:w="441" w:type="pct"/>
            <w:vMerge w:val="continue"/>
            <w:tcBorders>
              <w:top w:val="single" w:color="auto" w:sz="8" w:space="0"/>
              <w:bottom w:val="single" w:color="auto" w:sz="8" w:space="0"/>
            </w:tcBorders>
            <w:vAlign w:val="center"/>
          </w:tcPr>
          <w:p>
            <w:pPr>
              <w:spacing w:line="0" w:lineRule="atLeast"/>
              <w:contextualSpacing/>
              <w:jc w:val="center"/>
              <w:rPr>
                <w:color w:val="FF0000"/>
                <w:kern w:val="0"/>
                <w:sz w:val="21"/>
                <w:szCs w:val="21"/>
              </w:rPr>
            </w:pPr>
          </w:p>
        </w:tc>
        <w:tc>
          <w:tcPr>
            <w:tcW w:w="408" w:type="pct"/>
            <w:vMerge w:val="continue"/>
            <w:tcBorders>
              <w:top w:val="single" w:color="auto" w:sz="8" w:space="0"/>
              <w:bottom w:val="single" w:color="auto" w:sz="8" w:space="0"/>
            </w:tcBorders>
            <w:vAlign w:val="center"/>
          </w:tcPr>
          <w:p>
            <w:pPr>
              <w:spacing w:line="0" w:lineRule="atLeast"/>
              <w:contextualSpacing/>
              <w:jc w:val="center"/>
              <w:rPr>
                <w:color w:val="FF0000"/>
                <w:kern w:val="0"/>
                <w:sz w:val="21"/>
                <w:szCs w:val="21"/>
              </w:rPr>
            </w:pPr>
          </w:p>
        </w:tc>
        <w:tc>
          <w:tcPr>
            <w:tcW w:w="653" w:type="pct"/>
            <w:vMerge w:val="continue"/>
            <w:tcBorders>
              <w:top w:val="single" w:color="auto" w:sz="8" w:space="0"/>
              <w:bottom w:val="single" w:color="auto" w:sz="8" w:space="0"/>
            </w:tcBorders>
            <w:vAlign w:val="center"/>
          </w:tcPr>
          <w:p>
            <w:pPr>
              <w:spacing w:line="0" w:lineRule="atLeast"/>
              <w:contextualSpacing/>
              <w:jc w:val="center"/>
              <w:rPr>
                <w:color w:val="FF0000"/>
                <w:kern w:val="0"/>
                <w:sz w:val="21"/>
                <w:szCs w:val="21"/>
              </w:rPr>
            </w:pPr>
          </w:p>
        </w:tc>
        <w:tc>
          <w:tcPr>
            <w:tcW w:w="489" w:type="pct"/>
            <w:vMerge w:val="continue"/>
            <w:tcBorders>
              <w:top w:val="single" w:color="auto" w:sz="8" w:space="0"/>
              <w:bottom w:val="single" w:color="auto" w:sz="8" w:space="0"/>
            </w:tcBorders>
            <w:vAlign w:val="center"/>
          </w:tcPr>
          <w:p>
            <w:pPr>
              <w:spacing w:line="0" w:lineRule="atLeast"/>
              <w:contextualSpacing/>
              <w:jc w:val="center"/>
              <w:rPr>
                <w:color w:val="FF0000"/>
                <w:kern w:val="0"/>
                <w:sz w:val="21"/>
                <w:szCs w:val="21"/>
              </w:rPr>
            </w:pPr>
          </w:p>
        </w:tc>
        <w:tc>
          <w:tcPr>
            <w:tcW w:w="244" w:type="pct"/>
            <w:vMerge w:val="continue"/>
            <w:tcBorders>
              <w:top w:val="single" w:color="auto" w:sz="8" w:space="0"/>
              <w:bottom w:val="single" w:color="auto" w:sz="8" w:space="0"/>
            </w:tcBorders>
            <w:vAlign w:val="center"/>
          </w:tcPr>
          <w:p>
            <w:pPr>
              <w:spacing w:line="0" w:lineRule="atLeast"/>
              <w:contextualSpacing/>
              <w:jc w:val="center"/>
              <w:rPr>
                <w:color w:val="FF0000"/>
                <w:kern w:val="0"/>
                <w:sz w:val="21"/>
                <w:szCs w:val="21"/>
              </w:rPr>
            </w:pPr>
          </w:p>
        </w:tc>
        <w:tc>
          <w:tcPr>
            <w:tcW w:w="342" w:type="pct"/>
            <w:vMerge w:val="continue"/>
            <w:tcBorders>
              <w:top w:val="single" w:color="auto" w:sz="8" w:space="0"/>
              <w:bottom w:val="single" w:color="auto" w:sz="8" w:space="0"/>
            </w:tcBorders>
            <w:vAlign w:val="center"/>
          </w:tcPr>
          <w:p>
            <w:pPr>
              <w:spacing w:line="0" w:lineRule="atLeast"/>
              <w:contextualSpacing/>
              <w:jc w:val="center"/>
              <w:rPr>
                <w:color w:val="FF0000"/>
                <w:kern w:val="0"/>
                <w:sz w:val="21"/>
                <w:szCs w:val="21"/>
              </w:rPr>
            </w:pPr>
          </w:p>
        </w:tc>
        <w:tc>
          <w:tcPr>
            <w:tcW w:w="469" w:type="pct"/>
            <w:vMerge w:val="continue"/>
            <w:tcBorders>
              <w:top w:val="single" w:color="auto" w:sz="8" w:space="0"/>
              <w:bottom w:val="single" w:color="auto" w:sz="8" w:space="0"/>
            </w:tcBorders>
            <w:vAlign w:val="center"/>
          </w:tcPr>
          <w:p>
            <w:pPr>
              <w:spacing w:line="0" w:lineRule="atLeast"/>
              <w:contextualSpacing/>
              <w:jc w:val="center"/>
              <w:rPr>
                <w:color w:val="auto"/>
                <w:kern w:val="0"/>
                <w:sz w:val="21"/>
                <w:szCs w:val="21"/>
              </w:rPr>
            </w:pPr>
          </w:p>
        </w:tc>
        <w:tc>
          <w:tcPr>
            <w:tcW w:w="494" w:type="pct"/>
            <w:tcBorders>
              <w:top w:val="single" w:color="000000" w:sz="4" w:space="0"/>
              <w:bottom w:val="single" w:color="000000" w:sz="4" w:space="0"/>
            </w:tcBorders>
            <w:vAlign w:val="center"/>
          </w:tcPr>
          <w:p>
            <w:pPr>
              <w:spacing w:line="0" w:lineRule="atLeast"/>
              <w:contextualSpacing/>
              <w:jc w:val="center"/>
              <w:rPr>
                <w:color w:val="auto"/>
                <w:kern w:val="0"/>
                <w:sz w:val="21"/>
                <w:szCs w:val="21"/>
              </w:rPr>
            </w:pPr>
            <w:r>
              <w:rPr>
                <w:color w:val="auto"/>
                <w:kern w:val="0"/>
                <w:sz w:val="21"/>
                <w:szCs w:val="21"/>
              </w:rPr>
              <w:t>氨氮</w:t>
            </w:r>
          </w:p>
        </w:tc>
        <w:tc>
          <w:tcPr>
            <w:tcW w:w="973" w:type="pct"/>
            <w:tcBorders>
              <w:top w:val="single" w:color="000000" w:sz="4" w:space="0"/>
              <w:bottom w:val="single" w:color="000000" w:sz="4" w:space="0"/>
            </w:tcBorders>
            <w:vAlign w:val="center"/>
          </w:tcPr>
          <w:p>
            <w:pPr>
              <w:spacing w:line="0" w:lineRule="atLeast"/>
              <w:contextualSpacing/>
              <w:jc w:val="center"/>
              <w:rPr>
                <w:color w:val="auto"/>
                <w:kern w:val="0"/>
                <w:sz w:val="21"/>
                <w:szCs w:val="21"/>
              </w:rPr>
            </w:pPr>
            <w:r>
              <w:rPr>
                <w:rFonts w:hint="eastAsia"/>
                <w:color w:val="auto"/>
                <w:kern w:val="0"/>
                <w:sz w:val="21"/>
                <w:szCs w:val="21"/>
              </w:rPr>
              <w:t>5（8）</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14" w:hRule="atLeast"/>
          <w:jc w:val="center"/>
        </w:trPr>
        <w:tc>
          <w:tcPr>
            <w:tcW w:w="169" w:type="pct"/>
            <w:vMerge w:val="continue"/>
            <w:tcBorders>
              <w:top w:val="single" w:color="auto" w:sz="8" w:space="0"/>
              <w:bottom w:val="single" w:color="auto" w:sz="8" w:space="0"/>
            </w:tcBorders>
            <w:vAlign w:val="center"/>
          </w:tcPr>
          <w:p>
            <w:pPr>
              <w:spacing w:line="0" w:lineRule="atLeast"/>
              <w:contextualSpacing/>
              <w:jc w:val="center"/>
              <w:rPr>
                <w:color w:val="FF0000"/>
                <w:kern w:val="0"/>
                <w:sz w:val="21"/>
                <w:szCs w:val="21"/>
              </w:rPr>
            </w:pPr>
          </w:p>
        </w:tc>
        <w:tc>
          <w:tcPr>
            <w:tcW w:w="313" w:type="pct"/>
            <w:vMerge w:val="continue"/>
            <w:tcBorders>
              <w:top w:val="single" w:color="auto" w:sz="8" w:space="0"/>
              <w:bottom w:val="single" w:color="auto" w:sz="8" w:space="0"/>
            </w:tcBorders>
            <w:vAlign w:val="center"/>
          </w:tcPr>
          <w:p>
            <w:pPr>
              <w:spacing w:line="0" w:lineRule="atLeast"/>
              <w:contextualSpacing/>
              <w:jc w:val="center"/>
              <w:rPr>
                <w:color w:val="FF0000"/>
                <w:kern w:val="0"/>
                <w:sz w:val="21"/>
                <w:szCs w:val="21"/>
              </w:rPr>
            </w:pPr>
          </w:p>
        </w:tc>
        <w:tc>
          <w:tcPr>
            <w:tcW w:w="441" w:type="pct"/>
            <w:vMerge w:val="continue"/>
            <w:tcBorders>
              <w:top w:val="single" w:color="auto" w:sz="8" w:space="0"/>
              <w:bottom w:val="single" w:color="auto" w:sz="8" w:space="0"/>
            </w:tcBorders>
            <w:vAlign w:val="center"/>
          </w:tcPr>
          <w:p>
            <w:pPr>
              <w:spacing w:line="0" w:lineRule="atLeast"/>
              <w:contextualSpacing/>
              <w:jc w:val="center"/>
              <w:rPr>
                <w:color w:val="FF0000"/>
                <w:kern w:val="0"/>
                <w:sz w:val="21"/>
                <w:szCs w:val="21"/>
              </w:rPr>
            </w:pPr>
          </w:p>
        </w:tc>
        <w:tc>
          <w:tcPr>
            <w:tcW w:w="408" w:type="pct"/>
            <w:vMerge w:val="continue"/>
            <w:tcBorders>
              <w:top w:val="single" w:color="auto" w:sz="8" w:space="0"/>
              <w:bottom w:val="single" w:color="auto" w:sz="8" w:space="0"/>
            </w:tcBorders>
            <w:vAlign w:val="center"/>
          </w:tcPr>
          <w:p>
            <w:pPr>
              <w:spacing w:line="0" w:lineRule="atLeast"/>
              <w:contextualSpacing/>
              <w:jc w:val="center"/>
              <w:rPr>
                <w:color w:val="FF0000"/>
                <w:kern w:val="0"/>
                <w:sz w:val="21"/>
                <w:szCs w:val="21"/>
              </w:rPr>
            </w:pPr>
          </w:p>
        </w:tc>
        <w:tc>
          <w:tcPr>
            <w:tcW w:w="653" w:type="pct"/>
            <w:vMerge w:val="continue"/>
            <w:tcBorders>
              <w:top w:val="single" w:color="auto" w:sz="8" w:space="0"/>
              <w:bottom w:val="single" w:color="auto" w:sz="8" w:space="0"/>
            </w:tcBorders>
            <w:vAlign w:val="center"/>
          </w:tcPr>
          <w:p>
            <w:pPr>
              <w:spacing w:line="0" w:lineRule="atLeast"/>
              <w:contextualSpacing/>
              <w:jc w:val="center"/>
              <w:rPr>
                <w:color w:val="FF0000"/>
                <w:kern w:val="0"/>
                <w:sz w:val="21"/>
                <w:szCs w:val="21"/>
              </w:rPr>
            </w:pPr>
          </w:p>
        </w:tc>
        <w:tc>
          <w:tcPr>
            <w:tcW w:w="489" w:type="pct"/>
            <w:vMerge w:val="continue"/>
            <w:tcBorders>
              <w:top w:val="single" w:color="auto" w:sz="8" w:space="0"/>
              <w:bottom w:val="single" w:color="auto" w:sz="8" w:space="0"/>
            </w:tcBorders>
            <w:vAlign w:val="center"/>
          </w:tcPr>
          <w:p>
            <w:pPr>
              <w:spacing w:line="0" w:lineRule="atLeast"/>
              <w:contextualSpacing/>
              <w:jc w:val="center"/>
              <w:rPr>
                <w:color w:val="FF0000"/>
                <w:kern w:val="0"/>
                <w:sz w:val="21"/>
                <w:szCs w:val="21"/>
              </w:rPr>
            </w:pPr>
          </w:p>
        </w:tc>
        <w:tc>
          <w:tcPr>
            <w:tcW w:w="244" w:type="pct"/>
            <w:vMerge w:val="continue"/>
            <w:tcBorders>
              <w:top w:val="single" w:color="auto" w:sz="8" w:space="0"/>
              <w:bottom w:val="single" w:color="auto" w:sz="8" w:space="0"/>
            </w:tcBorders>
            <w:vAlign w:val="center"/>
          </w:tcPr>
          <w:p>
            <w:pPr>
              <w:spacing w:line="0" w:lineRule="atLeast"/>
              <w:contextualSpacing/>
              <w:jc w:val="center"/>
              <w:rPr>
                <w:color w:val="FF0000"/>
                <w:kern w:val="0"/>
                <w:sz w:val="21"/>
                <w:szCs w:val="21"/>
              </w:rPr>
            </w:pPr>
          </w:p>
        </w:tc>
        <w:tc>
          <w:tcPr>
            <w:tcW w:w="342" w:type="pct"/>
            <w:vMerge w:val="continue"/>
            <w:tcBorders>
              <w:top w:val="single" w:color="auto" w:sz="8" w:space="0"/>
              <w:bottom w:val="single" w:color="auto" w:sz="8" w:space="0"/>
            </w:tcBorders>
            <w:vAlign w:val="center"/>
          </w:tcPr>
          <w:p>
            <w:pPr>
              <w:spacing w:line="0" w:lineRule="atLeast"/>
              <w:contextualSpacing/>
              <w:jc w:val="center"/>
              <w:rPr>
                <w:color w:val="FF0000"/>
                <w:kern w:val="0"/>
                <w:sz w:val="21"/>
                <w:szCs w:val="21"/>
              </w:rPr>
            </w:pPr>
          </w:p>
        </w:tc>
        <w:tc>
          <w:tcPr>
            <w:tcW w:w="469" w:type="pct"/>
            <w:vMerge w:val="continue"/>
            <w:tcBorders>
              <w:top w:val="single" w:color="auto" w:sz="8" w:space="0"/>
              <w:bottom w:val="single" w:color="auto" w:sz="8" w:space="0"/>
            </w:tcBorders>
            <w:vAlign w:val="center"/>
          </w:tcPr>
          <w:p>
            <w:pPr>
              <w:spacing w:line="0" w:lineRule="atLeast"/>
              <w:contextualSpacing/>
              <w:jc w:val="center"/>
              <w:rPr>
                <w:color w:val="auto"/>
                <w:kern w:val="0"/>
                <w:sz w:val="21"/>
                <w:szCs w:val="21"/>
              </w:rPr>
            </w:pPr>
          </w:p>
        </w:tc>
        <w:tc>
          <w:tcPr>
            <w:tcW w:w="494" w:type="pct"/>
            <w:tcBorders>
              <w:top w:val="single" w:color="000000" w:sz="4" w:space="0"/>
              <w:bottom w:val="single" w:color="000000" w:sz="4" w:space="0"/>
            </w:tcBorders>
            <w:vAlign w:val="center"/>
          </w:tcPr>
          <w:p>
            <w:pPr>
              <w:spacing w:line="0" w:lineRule="atLeast"/>
              <w:contextualSpacing/>
              <w:jc w:val="center"/>
              <w:rPr>
                <w:color w:val="auto"/>
                <w:kern w:val="0"/>
                <w:sz w:val="21"/>
                <w:szCs w:val="21"/>
              </w:rPr>
            </w:pPr>
            <w:r>
              <w:rPr>
                <w:color w:val="auto"/>
                <w:kern w:val="0"/>
                <w:sz w:val="21"/>
                <w:szCs w:val="21"/>
              </w:rPr>
              <w:t>BOD</w:t>
            </w:r>
            <w:r>
              <w:rPr>
                <w:rFonts w:hint="eastAsia"/>
                <w:color w:val="auto"/>
                <w:kern w:val="0"/>
                <w:sz w:val="21"/>
                <w:szCs w:val="21"/>
                <w:vertAlign w:val="subscript"/>
              </w:rPr>
              <w:t>5</w:t>
            </w:r>
          </w:p>
        </w:tc>
        <w:tc>
          <w:tcPr>
            <w:tcW w:w="973" w:type="pct"/>
            <w:tcBorders>
              <w:top w:val="single" w:color="000000" w:sz="4" w:space="0"/>
              <w:bottom w:val="single" w:color="000000" w:sz="4" w:space="0"/>
            </w:tcBorders>
            <w:vAlign w:val="center"/>
          </w:tcPr>
          <w:p>
            <w:pPr>
              <w:spacing w:line="0" w:lineRule="atLeast"/>
              <w:contextualSpacing/>
              <w:jc w:val="center"/>
              <w:rPr>
                <w:color w:val="auto"/>
                <w:kern w:val="0"/>
                <w:sz w:val="21"/>
                <w:szCs w:val="21"/>
              </w:rPr>
            </w:pPr>
            <w:r>
              <w:rPr>
                <w:rFonts w:hint="eastAsia"/>
                <w:color w:val="auto"/>
                <w:kern w:val="0"/>
                <w:sz w:val="21"/>
                <w:szCs w:val="21"/>
              </w:rPr>
              <w:t>10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217" w:hRule="atLeast"/>
          <w:jc w:val="center"/>
        </w:trPr>
        <w:tc>
          <w:tcPr>
            <w:tcW w:w="169" w:type="pct"/>
            <w:vMerge w:val="continue"/>
            <w:tcBorders>
              <w:top w:val="single" w:color="auto" w:sz="8" w:space="0"/>
            </w:tcBorders>
            <w:vAlign w:val="center"/>
          </w:tcPr>
          <w:p>
            <w:pPr>
              <w:spacing w:line="0" w:lineRule="atLeast"/>
              <w:contextualSpacing/>
              <w:jc w:val="center"/>
              <w:rPr>
                <w:color w:val="FF0000"/>
                <w:kern w:val="0"/>
                <w:sz w:val="21"/>
                <w:szCs w:val="21"/>
              </w:rPr>
            </w:pPr>
          </w:p>
        </w:tc>
        <w:tc>
          <w:tcPr>
            <w:tcW w:w="313" w:type="pct"/>
            <w:vMerge w:val="continue"/>
            <w:tcBorders>
              <w:top w:val="single" w:color="auto" w:sz="8" w:space="0"/>
            </w:tcBorders>
            <w:vAlign w:val="center"/>
          </w:tcPr>
          <w:p>
            <w:pPr>
              <w:spacing w:line="0" w:lineRule="atLeast"/>
              <w:contextualSpacing/>
              <w:jc w:val="center"/>
              <w:rPr>
                <w:color w:val="FF0000"/>
                <w:kern w:val="0"/>
                <w:sz w:val="21"/>
                <w:szCs w:val="21"/>
              </w:rPr>
            </w:pPr>
          </w:p>
        </w:tc>
        <w:tc>
          <w:tcPr>
            <w:tcW w:w="441" w:type="pct"/>
            <w:vMerge w:val="continue"/>
            <w:tcBorders>
              <w:top w:val="single" w:color="auto" w:sz="8" w:space="0"/>
            </w:tcBorders>
            <w:vAlign w:val="center"/>
          </w:tcPr>
          <w:p>
            <w:pPr>
              <w:spacing w:line="0" w:lineRule="atLeast"/>
              <w:contextualSpacing/>
              <w:jc w:val="center"/>
              <w:rPr>
                <w:color w:val="FF0000"/>
                <w:kern w:val="0"/>
                <w:sz w:val="21"/>
                <w:szCs w:val="21"/>
              </w:rPr>
            </w:pPr>
          </w:p>
        </w:tc>
        <w:tc>
          <w:tcPr>
            <w:tcW w:w="408" w:type="pct"/>
            <w:vMerge w:val="continue"/>
            <w:tcBorders>
              <w:top w:val="single" w:color="auto" w:sz="8" w:space="0"/>
            </w:tcBorders>
            <w:vAlign w:val="center"/>
          </w:tcPr>
          <w:p>
            <w:pPr>
              <w:spacing w:line="0" w:lineRule="atLeast"/>
              <w:contextualSpacing/>
              <w:jc w:val="center"/>
              <w:rPr>
                <w:color w:val="FF0000"/>
                <w:kern w:val="0"/>
                <w:sz w:val="21"/>
                <w:szCs w:val="21"/>
              </w:rPr>
            </w:pPr>
          </w:p>
        </w:tc>
        <w:tc>
          <w:tcPr>
            <w:tcW w:w="653" w:type="pct"/>
            <w:vMerge w:val="continue"/>
            <w:tcBorders>
              <w:top w:val="single" w:color="auto" w:sz="8" w:space="0"/>
            </w:tcBorders>
            <w:vAlign w:val="center"/>
          </w:tcPr>
          <w:p>
            <w:pPr>
              <w:spacing w:line="0" w:lineRule="atLeast"/>
              <w:contextualSpacing/>
              <w:jc w:val="center"/>
              <w:rPr>
                <w:color w:val="FF0000"/>
                <w:kern w:val="0"/>
                <w:sz w:val="21"/>
                <w:szCs w:val="21"/>
              </w:rPr>
            </w:pPr>
          </w:p>
        </w:tc>
        <w:tc>
          <w:tcPr>
            <w:tcW w:w="489" w:type="pct"/>
            <w:vMerge w:val="continue"/>
            <w:tcBorders>
              <w:top w:val="single" w:color="auto" w:sz="8" w:space="0"/>
            </w:tcBorders>
            <w:vAlign w:val="center"/>
          </w:tcPr>
          <w:p>
            <w:pPr>
              <w:spacing w:line="0" w:lineRule="atLeast"/>
              <w:contextualSpacing/>
              <w:jc w:val="center"/>
              <w:rPr>
                <w:color w:val="FF0000"/>
                <w:kern w:val="0"/>
                <w:sz w:val="21"/>
                <w:szCs w:val="21"/>
              </w:rPr>
            </w:pPr>
          </w:p>
        </w:tc>
        <w:tc>
          <w:tcPr>
            <w:tcW w:w="244" w:type="pct"/>
            <w:vMerge w:val="continue"/>
            <w:tcBorders>
              <w:top w:val="single" w:color="auto" w:sz="8" w:space="0"/>
            </w:tcBorders>
            <w:vAlign w:val="center"/>
          </w:tcPr>
          <w:p>
            <w:pPr>
              <w:spacing w:line="0" w:lineRule="atLeast"/>
              <w:contextualSpacing/>
              <w:jc w:val="center"/>
              <w:rPr>
                <w:color w:val="FF0000"/>
                <w:kern w:val="0"/>
                <w:sz w:val="21"/>
                <w:szCs w:val="21"/>
              </w:rPr>
            </w:pPr>
          </w:p>
        </w:tc>
        <w:tc>
          <w:tcPr>
            <w:tcW w:w="342" w:type="pct"/>
            <w:vMerge w:val="continue"/>
            <w:tcBorders>
              <w:top w:val="single" w:color="auto" w:sz="8" w:space="0"/>
            </w:tcBorders>
            <w:vAlign w:val="center"/>
          </w:tcPr>
          <w:p>
            <w:pPr>
              <w:spacing w:line="0" w:lineRule="atLeast"/>
              <w:contextualSpacing/>
              <w:jc w:val="center"/>
              <w:rPr>
                <w:color w:val="FF0000"/>
                <w:kern w:val="0"/>
                <w:sz w:val="21"/>
                <w:szCs w:val="21"/>
              </w:rPr>
            </w:pPr>
          </w:p>
        </w:tc>
        <w:tc>
          <w:tcPr>
            <w:tcW w:w="469" w:type="pct"/>
            <w:vMerge w:val="continue"/>
            <w:tcBorders>
              <w:top w:val="single" w:color="auto" w:sz="8" w:space="0"/>
            </w:tcBorders>
            <w:vAlign w:val="center"/>
          </w:tcPr>
          <w:p>
            <w:pPr>
              <w:spacing w:line="0" w:lineRule="atLeast"/>
              <w:contextualSpacing/>
              <w:jc w:val="center"/>
              <w:rPr>
                <w:color w:val="auto"/>
                <w:kern w:val="0"/>
                <w:sz w:val="21"/>
                <w:szCs w:val="21"/>
              </w:rPr>
            </w:pPr>
          </w:p>
        </w:tc>
        <w:tc>
          <w:tcPr>
            <w:tcW w:w="494" w:type="pct"/>
            <w:tcBorders>
              <w:top w:val="single" w:color="000000" w:sz="4" w:space="0"/>
              <w:bottom w:val="single" w:color="000000" w:sz="4" w:space="0"/>
            </w:tcBorders>
            <w:vAlign w:val="center"/>
          </w:tcPr>
          <w:p>
            <w:pPr>
              <w:spacing w:line="0" w:lineRule="atLeast"/>
              <w:contextualSpacing/>
              <w:jc w:val="center"/>
              <w:rPr>
                <w:color w:val="auto"/>
                <w:kern w:val="0"/>
                <w:sz w:val="21"/>
                <w:szCs w:val="21"/>
              </w:rPr>
            </w:pPr>
            <w:r>
              <w:rPr>
                <w:color w:val="auto"/>
                <w:kern w:val="0"/>
                <w:sz w:val="21"/>
                <w:szCs w:val="21"/>
              </w:rPr>
              <w:t>SS</w:t>
            </w:r>
          </w:p>
        </w:tc>
        <w:tc>
          <w:tcPr>
            <w:tcW w:w="973" w:type="pct"/>
            <w:tcBorders>
              <w:top w:val="single" w:color="000000" w:sz="4" w:space="0"/>
              <w:bottom w:val="single" w:color="000000" w:sz="4" w:space="0"/>
            </w:tcBorders>
            <w:vAlign w:val="center"/>
          </w:tcPr>
          <w:p>
            <w:pPr>
              <w:spacing w:line="0" w:lineRule="atLeast"/>
              <w:contextualSpacing/>
              <w:jc w:val="center"/>
              <w:rPr>
                <w:color w:val="auto"/>
                <w:kern w:val="0"/>
                <w:sz w:val="21"/>
                <w:szCs w:val="21"/>
              </w:rPr>
            </w:pPr>
            <w:r>
              <w:rPr>
                <w:rFonts w:hint="eastAsia"/>
                <w:color w:val="auto"/>
                <w:kern w:val="0"/>
                <w:sz w:val="21"/>
                <w:szCs w:val="21"/>
              </w:rPr>
              <w:t>10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217" w:hRule="atLeast"/>
          <w:jc w:val="center"/>
        </w:trPr>
        <w:tc>
          <w:tcPr>
            <w:tcW w:w="169" w:type="pct"/>
            <w:vMerge w:val="continue"/>
            <w:tcBorders>
              <w:top w:val="single" w:color="auto" w:sz="8" w:space="0"/>
            </w:tcBorders>
            <w:vAlign w:val="center"/>
          </w:tcPr>
          <w:p>
            <w:pPr>
              <w:spacing w:line="0" w:lineRule="atLeast"/>
              <w:contextualSpacing/>
              <w:jc w:val="center"/>
              <w:rPr>
                <w:color w:val="FF0000"/>
                <w:kern w:val="0"/>
                <w:sz w:val="21"/>
                <w:szCs w:val="21"/>
              </w:rPr>
            </w:pPr>
          </w:p>
        </w:tc>
        <w:tc>
          <w:tcPr>
            <w:tcW w:w="313" w:type="pct"/>
            <w:vMerge w:val="continue"/>
            <w:tcBorders>
              <w:top w:val="single" w:color="auto" w:sz="8" w:space="0"/>
            </w:tcBorders>
            <w:vAlign w:val="center"/>
          </w:tcPr>
          <w:p>
            <w:pPr>
              <w:spacing w:line="0" w:lineRule="atLeast"/>
              <w:contextualSpacing/>
              <w:jc w:val="center"/>
              <w:rPr>
                <w:color w:val="FF0000"/>
                <w:kern w:val="0"/>
                <w:sz w:val="21"/>
                <w:szCs w:val="21"/>
              </w:rPr>
            </w:pPr>
          </w:p>
        </w:tc>
        <w:tc>
          <w:tcPr>
            <w:tcW w:w="441" w:type="pct"/>
            <w:vMerge w:val="continue"/>
            <w:tcBorders>
              <w:top w:val="single" w:color="auto" w:sz="8" w:space="0"/>
            </w:tcBorders>
            <w:vAlign w:val="center"/>
          </w:tcPr>
          <w:p>
            <w:pPr>
              <w:spacing w:line="0" w:lineRule="atLeast"/>
              <w:contextualSpacing/>
              <w:jc w:val="center"/>
              <w:rPr>
                <w:color w:val="FF0000"/>
                <w:kern w:val="0"/>
                <w:sz w:val="21"/>
                <w:szCs w:val="21"/>
              </w:rPr>
            </w:pPr>
          </w:p>
        </w:tc>
        <w:tc>
          <w:tcPr>
            <w:tcW w:w="408" w:type="pct"/>
            <w:vMerge w:val="continue"/>
            <w:tcBorders>
              <w:top w:val="single" w:color="auto" w:sz="8" w:space="0"/>
            </w:tcBorders>
            <w:vAlign w:val="center"/>
          </w:tcPr>
          <w:p>
            <w:pPr>
              <w:spacing w:line="0" w:lineRule="atLeast"/>
              <w:contextualSpacing/>
              <w:jc w:val="center"/>
              <w:rPr>
                <w:color w:val="FF0000"/>
                <w:kern w:val="0"/>
                <w:sz w:val="21"/>
                <w:szCs w:val="21"/>
              </w:rPr>
            </w:pPr>
          </w:p>
        </w:tc>
        <w:tc>
          <w:tcPr>
            <w:tcW w:w="653" w:type="pct"/>
            <w:vMerge w:val="continue"/>
            <w:tcBorders>
              <w:top w:val="single" w:color="auto" w:sz="8" w:space="0"/>
            </w:tcBorders>
            <w:vAlign w:val="center"/>
          </w:tcPr>
          <w:p>
            <w:pPr>
              <w:spacing w:line="0" w:lineRule="atLeast"/>
              <w:contextualSpacing/>
              <w:jc w:val="center"/>
              <w:rPr>
                <w:color w:val="FF0000"/>
                <w:kern w:val="0"/>
                <w:sz w:val="21"/>
                <w:szCs w:val="21"/>
              </w:rPr>
            </w:pPr>
          </w:p>
        </w:tc>
        <w:tc>
          <w:tcPr>
            <w:tcW w:w="489" w:type="pct"/>
            <w:vMerge w:val="continue"/>
            <w:tcBorders>
              <w:top w:val="single" w:color="auto" w:sz="8" w:space="0"/>
            </w:tcBorders>
            <w:vAlign w:val="center"/>
          </w:tcPr>
          <w:p>
            <w:pPr>
              <w:spacing w:line="0" w:lineRule="atLeast"/>
              <w:contextualSpacing/>
              <w:jc w:val="center"/>
              <w:rPr>
                <w:color w:val="FF0000"/>
                <w:kern w:val="0"/>
                <w:sz w:val="21"/>
                <w:szCs w:val="21"/>
              </w:rPr>
            </w:pPr>
          </w:p>
        </w:tc>
        <w:tc>
          <w:tcPr>
            <w:tcW w:w="244" w:type="pct"/>
            <w:vMerge w:val="continue"/>
            <w:tcBorders>
              <w:top w:val="single" w:color="auto" w:sz="8" w:space="0"/>
            </w:tcBorders>
            <w:vAlign w:val="center"/>
          </w:tcPr>
          <w:p>
            <w:pPr>
              <w:spacing w:line="0" w:lineRule="atLeast"/>
              <w:contextualSpacing/>
              <w:jc w:val="center"/>
              <w:rPr>
                <w:color w:val="FF0000"/>
                <w:kern w:val="0"/>
                <w:sz w:val="21"/>
                <w:szCs w:val="21"/>
              </w:rPr>
            </w:pPr>
          </w:p>
        </w:tc>
        <w:tc>
          <w:tcPr>
            <w:tcW w:w="342" w:type="pct"/>
            <w:vMerge w:val="continue"/>
            <w:tcBorders>
              <w:top w:val="single" w:color="auto" w:sz="8" w:space="0"/>
            </w:tcBorders>
            <w:vAlign w:val="center"/>
          </w:tcPr>
          <w:p>
            <w:pPr>
              <w:spacing w:line="0" w:lineRule="atLeast"/>
              <w:contextualSpacing/>
              <w:jc w:val="center"/>
              <w:rPr>
                <w:color w:val="FF0000"/>
                <w:kern w:val="0"/>
                <w:sz w:val="21"/>
                <w:szCs w:val="21"/>
              </w:rPr>
            </w:pPr>
          </w:p>
        </w:tc>
        <w:tc>
          <w:tcPr>
            <w:tcW w:w="469" w:type="pct"/>
            <w:vMerge w:val="continue"/>
            <w:tcBorders>
              <w:top w:val="single" w:color="auto" w:sz="8" w:space="0"/>
            </w:tcBorders>
            <w:vAlign w:val="center"/>
          </w:tcPr>
          <w:p>
            <w:pPr>
              <w:spacing w:line="0" w:lineRule="atLeast"/>
              <w:contextualSpacing/>
              <w:jc w:val="center"/>
              <w:rPr>
                <w:color w:val="auto"/>
                <w:kern w:val="0"/>
                <w:sz w:val="21"/>
                <w:szCs w:val="21"/>
              </w:rPr>
            </w:pPr>
          </w:p>
        </w:tc>
        <w:tc>
          <w:tcPr>
            <w:tcW w:w="494" w:type="pct"/>
            <w:tcBorders>
              <w:top w:val="single" w:color="000000" w:sz="4" w:space="0"/>
              <w:bottom w:val="single" w:color="000000" w:sz="4" w:space="0"/>
            </w:tcBorders>
            <w:vAlign w:val="center"/>
          </w:tcPr>
          <w:p>
            <w:pPr>
              <w:spacing w:line="0" w:lineRule="atLeast"/>
              <w:contextualSpacing/>
              <w:jc w:val="center"/>
              <w:rPr>
                <w:color w:val="auto"/>
                <w:kern w:val="0"/>
                <w:sz w:val="21"/>
                <w:szCs w:val="21"/>
              </w:rPr>
            </w:pPr>
            <w:r>
              <w:rPr>
                <w:rFonts w:hint="eastAsia"/>
                <w:color w:val="auto"/>
                <w:kern w:val="0"/>
                <w:sz w:val="21"/>
                <w:szCs w:val="21"/>
              </w:rPr>
              <w:t>动植物油</w:t>
            </w:r>
          </w:p>
        </w:tc>
        <w:tc>
          <w:tcPr>
            <w:tcW w:w="973" w:type="pct"/>
            <w:tcBorders>
              <w:top w:val="single" w:color="000000" w:sz="4" w:space="0"/>
              <w:bottom w:val="single" w:color="000000" w:sz="4" w:space="0"/>
            </w:tcBorders>
            <w:vAlign w:val="center"/>
          </w:tcPr>
          <w:p>
            <w:pPr>
              <w:spacing w:line="0" w:lineRule="atLeast"/>
              <w:contextualSpacing/>
              <w:jc w:val="center"/>
              <w:rPr>
                <w:color w:val="auto"/>
                <w:kern w:val="0"/>
                <w:sz w:val="21"/>
                <w:szCs w:val="21"/>
              </w:rPr>
            </w:pPr>
            <w:r>
              <w:rPr>
                <w:rFonts w:hint="eastAsia"/>
                <w:color w:val="auto"/>
                <w:kern w:val="0"/>
                <w:sz w:val="21"/>
                <w:szCs w:val="21"/>
              </w:rPr>
              <w:t>1</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217" w:hRule="atLeast"/>
          <w:jc w:val="center"/>
        </w:trPr>
        <w:tc>
          <w:tcPr>
            <w:tcW w:w="169" w:type="pct"/>
            <w:vMerge w:val="continue"/>
            <w:vAlign w:val="center"/>
          </w:tcPr>
          <w:p>
            <w:pPr>
              <w:spacing w:line="0" w:lineRule="atLeast"/>
              <w:contextualSpacing/>
              <w:jc w:val="center"/>
              <w:rPr>
                <w:color w:val="FF0000"/>
                <w:kern w:val="0"/>
                <w:sz w:val="21"/>
                <w:szCs w:val="21"/>
              </w:rPr>
            </w:pPr>
          </w:p>
        </w:tc>
        <w:tc>
          <w:tcPr>
            <w:tcW w:w="313" w:type="pct"/>
            <w:vMerge w:val="continue"/>
            <w:vAlign w:val="center"/>
          </w:tcPr>
          <w:p>
            <w:pPr>
              <w:spacing w:line="0" w:lineRule="atLeast"/>
              <w:contextualSpacing/>
              <w:jc w:val="center"/>
              <w:rPr>
                <w:color w:val="FF0000"/>
                <w:kern w:val="0"/>
                <w:sz w:val="21"/>
                <w:szCs w:val="21"/>
              </w:rPr>
            </w:pPr>
          </w:p>
        </w:tc>
        <w:tc>
          <w:tcPr>
            <w:tcW w:w="441" w:type="pct"/>
            <w:vMerge w:val="continue"/>
            <w:vAlign w:val="center"/>
          </w:tcPr>
          <w:p>
            <w:pPr>
              <w:spacing w:line="0" w:lineRule="atLeast"/>
              <w:contextualSpacing/>
              <w:jc w:val="center"/>
              <w:rPr>
                <w:color w:val="FF0000"/>
                <w:kern w:val="0"/>
                <w:sz w:val="21"/>
                <w:szCs w:val="21"/>
              </w:rPr>
            </w:pPr>
          </w:p>
        </w:tc>
        <w:tc>
          <w:tcPr>
            <w:tcW w:w="408" w:type="pct"/>
            <w:vMerge w:val="continue"/>
            <w:vAlign w:val="center"/>
          </w:tcPr>
          <w:p>
            <w:pPr>
              <w:spacing w:line="0" w:lineRule="atLeast"/>
              <w:contextualSpacing/>
              <w:jc w:val="center"/>
              <w:rPr>
                <w:color w:val="FF0000"/>
                <w:kern w:val="0"/>
                <w:sz w:val="21"/>
                <w:szCs w:val="21"/>
              </w:rPr>
            </w:pPr>
          </w:p>
        </w:tc>
        <w:tc>
          <w:tcPr>
            <w:tcW w:w="653" w:type="pct"/>
            <w:vMerge w:val="continue"/>
            <w:vAlign w:val="center"/>
          </w:tcPr>
          <w:p>
            <w:pPr>
              <w:spacing w:line="0" w:lineRule="atLeast"/>
              <w:contextualSpacing/>
              <w:jc w:val="center"/>
              <w:rPr>
                <w:color w:val="FF0000"/>
                <w:kern w:val="0"/>
                <w:sz w:val="21"/>
                <w:szCs w:val="21"/>
              </w:rPr>
            </w:pPr>
          </w:p>
        </w:tc>
        <w:tc>
          <w:tcPr>
            <w:tcW w:w="489" w:type="pct"/>
            <w:vMerge w:val="continue"/>
            <w:vAlign w:val="center"/>
          </w:tcPr>
          <w:p>
            <w:pPr>
              <w:spacing w:line="0" w:lineRule="atLeast"/>
              <w:contextualSpacing/>
              <w:jc w:val="center"/>
              <w:rPr>
                <w:color w:val="FF0000"/>
                <w:kern w:val="0"/>
                <w:sz w:val="21"/>
                <w:szCs w:val="21"/>
              </w:rPr>
            </w:pPr>
          </w:p>
        </w:tc>
        <w:tc>
          <w:tcPr>
            <w:tcW w:w="244" w:type="pct"/>
            <w:vMerge w:val="continue"/>
            <w:vAlign w:val="center"/>
          </w:tcPr>
          <w:p>
            <w:pPr>
              <w:spacing w:line="0" w:lineRule="atLeast"/>
              <w:contextualSpacing/>
              <w:jc w:val="center"/>
              <w:rPr>
                <w:color w:val="FF0000"/>
                <w:kern w:val="0"/>
                <w:sz w:val="21"/>
                <w:szCs w:val="21"/>
              </w:rPr>
            </w:pPr>
          </w:p>
        </w:tc>
        <w:tc>
          <w:tcPr>
            <w:tcW w:w="342" w:type="pct"/>
            <w:vMerge w:val="continue"/>
            <w:vAlign w:val="center"/>
          </w:tcPr>
          <w:p>
            <w:pPr>
              <w:spacing w:line="0" w:lineRule="atLeast"/>
              <w:contextualSpacing/>
              <w:jc w:val="center"/>
              <w:rPr>
                <w:color w:val="FF0000"/>
                <w:kern w:val="0"/>
                <w:sz w:val="21"/>
                <w:szCs w:val="21"/>
              </w:rPr>
            </w:pPr>
          </w:p>
        </w:tc>
        <w:tc>
          <w:tcPr>
            <w:tcW w:w="469" w:type="pct"/>
            <w:vMerge w:val="continue"/>
            <w:vAlign w:val="center"/>
          </w:tcPr>
          <w:p>
            <w:pPr>
              <w:spacing w:line="0" w:lineRule="atLeast"/>
              <w:contextualSpacing/>
              <w:jc w:val="center"/>
              <w:rPr>
                <w:color w:val="auto"/>
                <w:kern w:val="0"/>
                <w:sz w:val="21"/>
                <w:szCs w:val="21"/>
              </w:rPr>
            </w:pPr>
          </w:p>
        </w:tc>
        <w:tc>
          <w:tcPr>
            <w:tcW w:w="494" w:type="pct"/>
            <w:tcBorders>
              <w:top w:val="single" w:color="000000" w:sz="4" w:space="0"/>
              <w:bottom w:val="single" w:color="auto" w:sz="12" w:space="0"/>
            </w:tcBorders>
            <w:vAlign w:val="center"/>
          </w:tcPr>
          <w:p>
            <w:pPr>
              <w:spacing w:line="0" w:lineRule="atLeast"/>
              <w:contextualSpacing/>
              <w:jc w:val="center"/>
              <w:rPr>
                <w:color w:val="auto"/>
                <w:kern w:val="0"/>
                <w:sz w:val="21"/>
                <w:szCs w:val="21"/>
              </w:rPr>
            </w:pPr>
            <w:r>
              <w:rPr>
                <w:color w:val="auto"/>
                <w:kern w:val="0"/>
                <w:sz w:val="21"/>
                <w:szCs w:val="21"/>
              </w:rPr>
              <w:t>大肠菌群数（个/L）</w:t>
            </w:r>
          </w:p>
        </w:tc>
        <w:tc>
          <w:tcPr>
            <w:tcW w:w="973" w:type="pct"/>
            <w:tcBorders>
              <w:top w:val="single" w:color="000000" w:sz="4" w:space="0"/>
              <w:bottom w:val="single" w:color="auto" w:sz="12" w:space="0"/>
            </w:tcBorders>
            <w:vAlign w:val="center"/>
          </w:tcPr>
          <w:p>
            <w:pPr>
              <w:spacing w:line="0" w:lineRule="atLeast"/>
              <w:contextualSpacing/>
              <w:jc w:val="center"/>
              <w:rPr>
                <w:color w:val="auto"/>
                <w:kern w:val="0"/>
                <w:sz w:val="21"/>
                <w:szCs w:val="21"/>
              </w:rPr>
            </w:pPr>
            <w:r>
              <w:rPr>
                <w:rFonts w:hint="eastAsia"/>
                <w:color w:val="auto"/>
                <w:kern w:val="0"/>
                <w:sz w:val="21"/>
                <w:szCs w:val="21"/>
              </w:rPr>
              <w:t>1000</w:t>
            </w:r>
          </w:p>
        </w:tc>
      </w:tr>
      <w:bookmarkEnd w:id="191"/>
    </w:tbl>
    <w:p>
      <w:pPr>
        <w:spacing w:line="360" w:lineRule="auto"/>
        <w:outlineLvl w:val="3"/>
        <w:rPr>
          <w:b/>
          <w:snapToGrid w:val="0"/>
          <w:color w:val="auto"/>
          <w:kern w:val="0"/>
          <w:sz w:val="24"/>
        </w:rPr>
      </w:pPr>
      <w:r>
        <w:rPr>
          <w:b/>
          <w:snapToGrid w:val="0"/>
          <w:color w:val="auto"/>
          <w:kern w:val="0"/>
          <w:sz w:val="24"/>
        </w:rPr>
        <w:t>5.2.</w:t>
      </w:r>
      <w:r>
        <w:rPr>
          <w:rFonts w:hint="eastAsia"/>
          <w:b/>
          <w:snapToGrid w:val="0"/>
          <w:color w:val="auto"/>
          <w:kern w:val="0"/>
          <w:sz w:val="24"/>
        </w:rPr>
        <w:t>2.2</w:t>
      </w:r>
      <w:r>
        <w:rPr>
          <w:b/>
          <w:snapToGrid w:val="0"/>
          <w:color w:val="auto"/>
          <w:kern w:val="0"/>
          <w:sz w:val="24"/>
        </w:rPr>
        <w:t>地下水环境影响预测与分析</w:t>
      </w:r>
    </w:p>
    <w:p>
      <w:pPr>
        <w:spacing w:line="360" w:lineRule="auto"/>
        <w:ind w:firstLine="480" w:firstLineChars="200"/>
        <w:contextualSpacing/>
        <w:rPr>
          <w:color w:val="auto"/>
          <w:sz w:val="24"/>
        </w:rPr>
      </w:pPr>
      <w:r>
        <w:rPr>
          <w:rFonts w:hint="eastAsia"/>
          <w:color w:val="auto"/>
          <w:sz w:val="24"/>
        </w:rPr>
        <w:t>1、</w:t>
      </w:r>
      <w:r>
        <w:rPr>
          <w:color w:val="auto"/>
          <w:sz w:val="24"/>
        </w:rPr>
        <w:t>预测范围</w:t>
      </w:r>
    </w:p>
    <w:p>
      <w:pPr>
        <w:spacing w:line="360" w:lineRule="auto"/>
        <w:ind w:firstLine="480" w:firstLineChars="200"/>
        <w:rPr>
          <w:color w:val="auto"/>
          <w:sz w:val="24"/>
        </w:rPr>
      </w:pPr>
      <w:r>
        <w:rPr>
          <w:color w:val="auto"/>
          <w:sz w:val="24"/>
        </w:rPr>
        <w:t>根据《环境影响评价技术导则地下水环境》（HJ610-2016）的要求，本次地下水环境影响评价预测范围与地下水现状调查范围一致，即：项目所在区域</w:t>
      </w:r>
      <w:r>
        <w:rPr>
          <w:rFonts w:hint="eastAsia"/>
          <w:color w:val="auto"/>
          <w:sz w:val="24"/>
          <w:lang w:val="en-US" w:eastAsia="zh-CN"/>
        </w:rPr>
        <w:t>6</w:t>
      </w:r>
      <w:r>
        <w:rPr>
          <w:color w:val="auto"/>
          <w:sz w:val="24"/>
        </w:rPr>
        <w:t>km</w:t>
      </w:r>
      <w:r>
        <w:rPr>
          <w:color w:val="auto"/>
          <w:sz w:val="24"/>
          <w:vertAlign w:val="superscript"/>
        </w:rPr>
        <w:t>2</w:t>
      </w:r>
      <w:r>
        <w:rPr>
          <w:color w:val="auto"/>
          <w:sz w:val="24"/>
        </w:rPr>
        <w:t>（边界上游</w:t>
      </w:r>
      <w:r>
        <w:rPr>
          <w:rFonts w:hint="eastAsia"/>
          <w:color w:val="auto"/>
          <w:sz w:val="24"/>
          <w:lang w:val="en-US" w:eastAsia="zh-CN"/>
        </w:rPr>
        <w:t>15</w:t>
      </w:r>
      <w:r>
        <w:rPr>
          <w:color w:val="auto"/>
          <w:sz w:val="24"/>
        </w:rPr>
        <w:t>00m、下游</w:t>
      </w:r>
      <w:r>
        <w:rPr>
          <w:rFonts w:hint="eastAsia"/>
          <w:color w:val="auto"/>
          <w:sz w:val="24"/>
          <w:lang w:val="en-US" w:eastAsia="zh-CN"/>
        </w:rPr>
        <w:t>1500</w:t>
      </w:r>
      <w:r>
        <w:rPr>
          <w:color w:val="auto"/>
          <w:sz w:val="24"/>
        </w:rPr>
        <w:t>m，左侧</w:t>
      </w:r>
      <w:r>
        <w:rPr>
          <w:rFonts w:hint="eastAsia"/>
          <w:color w:val="auto"/>
          <w:sz w:val="24"/>
        </w:rPr>
        <w:t>1000</w:t>
      </w:r>
      <w:r>
        <w:rPr>
          <w:color w:val="auto"/>
          <w:sz w:val="24"/>
        </w:rPr>
        <w:t>m，右侧1000m范围的多边形）范围内。预测层位为地下水的潜水层。</w:t>
      </w:r>
    </w:p>
    <w:p>
      <w:pPr>
        <w:spacing w:line="360" w:lineRule="auto"/>
        <w:ind w:firstLine="480" w:firstLineChars="200"/>
        <w:contextualSpacing/>
        <w:rPr>
          <w:color w:val="auto"/>
          <w:sz w:val="24"/>
        </w:rPr>
      </w:pPr>
      <w:r>
        <w:rPr>
          <w:rFonts w:hint="eastAsia"/>
          <w:color w:val="auto"/>
          <w:sz w:val="24"/>
        </w:rPr>
        <w:t>2、</w:t>
      </w:r>
      <w:r>
        <w:rPr>
          <w:color w:val="auto"/>
          <w:sz w:val="24"/>
        </w:rPr>
        <w:t>预测时段</w:t>
      </w:r>
    </w:p>
    <w:p>
      <w:pPr>
        <w:spacing w:line="360" w:lineRule="auto"/>
        <w:ind w:firstLine="480" w:firstLineChars="200"/>
        <w:rPr>
          <w:color w:val="auto"/>
          <w:sz w:val="24"/>
        </w:rPr>
      </w:pPr>
      <w:r>
        <w:rPr>
          <w:color w:val="auto"/>
          <w:sz w:val="24"/>
        </w:rPr>
        <w:t>结合地下水跟踪监测的频率（1次/</w:t>
      </w:r>
      <w:r>
        <w:rPr>
          <w:rFonts w:hint="eastAsia"/>
          <w:color w:val="auto"/>
          <w:sz w:val="24"/>
        </w:rPr>
        <w:t>年</w:t>
      </w:r>
      <w:r>
        <w:rPr>
          <w:color w:val="auto"/>
          <w:sz w:val="24"/>
        </w:rPr>
        <w:t>），预测时段设定为发生泄漏后的100天、1000天、</w:t>
      </w:r>
      <w:r>
        <w:rPr>
          <w:rFonts w:hint="eastAsia"/>
          <w:color w:val="auto"/>
          <w:sz w:val="24"/>
        </w:rPr>
        <w:t>20年（服务年限）</w:t>
      </w:r>
      <w:r>
        <w:rPr>
          <w:color w:val="auto"/>
          <w:sz w:val="24"/>
        </w:rPr>
        <w:t>。</w:t>
      </w:r>
    </w:p>
    <w:p>
      <w:pPr>
        <w:spacing w:line="360" w:lineRule="auto"/>
        <w:ind w:firstLine="480" w:firstLineChars="200"/>
        <w:contextualSpacing/>
        <w:rPr>
          <w:color w:val="auto"/>
          <w:sz w:val="24"/>
        </w:rPr>
      </w:pPr>
      <w:r>
        <w:rPr>
          <w:rFonts w:hint="eastAsia"/>
          <w:color w:val="auto"/>
          <w:sz w:val="24"/>
        </w:rPr>
        <w:t>3、</w:t>
      </w:r>
      <w:r>
        <w:rPr>
          <w:color w:val="auto"/>
          <w:sz w:val="24"/>
        </w:rPr>
        <w:t>情景设置</w:t>
      </w:r>
    </w:p>
    <w:p>
      <w:pPr>
        <w:spacing w:line="360" w:lineRule="auto"/>
        <w:ind w:firstLine="480" w:firstLineChars="200"/>
        <w:rPr>
          <w:color w:val="auto"/>
          <w:sz w:val="24"/>
        </w:rPr>
      </w:pPr>
      <w:r>
        <w:rPr>
          <w:rFonts w:hint="eastAsia"/>
          <w:color w:val="auto"/>
          <w:sz w:val="24"/>
        </w:rPr>
        <w:t>（1）</w:t>
      </w:r>
      <w:r>
        <w:rPr>
          <w:color w:val="auto"/>
          <w:sz w:val="24"/>
        </w:rPr>
        <w:t>运营期正常工况下地下水环境影响分析</w:t>
      </w:r>
    </w:p>
    <w:p>
      <w:pPr>
        <w:spacing w:line="360" w:lineRule="auto"/>
        <w:ind w:firstLine="480" w:firstLineChars="200"/>
        <w:rPr>
          <w:color w:val="auto"/>
          <w:sz w:val="24"/>
        </w:rPr>
      </w:pPr>
      <w:r>
        <w:rPr>
          <w:color w:val="auto"/>
          <w:sz w:val="24"/>
        </w:rPr>
        <w:t>本项目</w:t>
      </w:r>
      <w:r>
        <w:rPr>
          <w:rFonts w:hint="eastAsia"/>
          <w:color w:val="auto"/>
          <w:sz w:val="24"/>
        </w:rPr>
        <w:t>污水处理站池体</w:t>
      </w:r>
      <w:r>
        <w:rPr>
          <w:color w:val="auto"/>
          <w:sz w:val="24"/>
        </w:rPr>
        <w:t>、</w:t>
      </w:r>
      <w:r>
        <w:rPr>
          <w:rFonts w:hint="eastAsia"/>
          <w:color w:val="auto"/>
          <w:sz w:val="24"/>
        </w:rPr>
        <w:t>贮水池</w:t>
      </w:r>
      <w:r>
        <w:rPr>
          <w:color w:val="auto"/>
          <w:sz w:val="24"/>
        </w:rPr>
        <w:t>都有可能存在污染因子入渗而影响地下水的可能，在按照《给水排水工程构筑物结构设计规范》（GB50069-2002）中有关防渗要求构筑前提下，认真落实报告书中提出的地下水污染防治措施的基础上，项目运行期间产生的废水不会渗入地下，不会对地下水产生影响。</w:t>
      </w:r>
    </w:p>
    <w:p>
      <w:pPr>
        <w:spacing w:line="360" w:lineRule="auto"/>
        <w:ind w:firstLine="480" w:firstLineChars="200"/>
        <w:rPr>
          <w:color w:val="auto"/>
          <w:sz w:val="24"/>
        </w:rPr>
      </w:pPr>
      <w:r>
        <w:rPr>
          <w:rFonts w:hint="eastAsia"/>
          <w:color w:val="auto"/>
          <w:sz w:val="24"/>
        </w:rPr>
        <w:t>（2）</w:t>
      </w:r>
      <w:r>
        <w:rPr>
          <w:color w:val="auto"/>
          <w:sz w:val="24"/>
        </w:rPr>
        <w:t>运营期非正常工况下地下水环境影响预测</w:t>
      </w:r>
    </w:p>
    <w:p>
      <w:pPr>
        <w:spacing w:line="360" w:lineRule="auto"/>
        <w:ind w:firstLine="480" w:firstLineChars="200"/>
        <w:rPr>
          <w:color w:val="auto"/>
          <w:sz w:val="24"/>
        </w:rPr>
      </w:pPr>
      <w:r>
        <w:rPr>
          <w:color w:val="auto"/>
          <w:sz w:val="24"/>
        </w:rPr>
        <w:t>非正常工况是指违反操作规程和有关规定或由于工艺设备或地下水环境保护措施因系统老化或腐蚀，使正常生产秩序被破坏，造成环境污染的状态。污染来源于埋在地下不可视部分的破损、管线泄漏等。</w:t>
      </w:r>
    </w:p>
    <w:p>
      <w:pPr>
        <w:pStyle w:val="74"/>
        <w:adjustRightInd/>
        <w:snapToGrid/>
        <w:jc w:val="both"/>
        <w:rPr>
          <w:rFonts w:ascii="Times New Roman" w:hAnsi="Times New Roman" w:eastAsia="宋体" w:cs="Times New Roman"/>
          <w:color w:val="auto"/>
        </w:rPr>
      </w:pPr>
      <w:r>
        <w:rPr>
          <w:rFonts w:hint="eastAsia" w:ascii="Times New Roman" w:hAnsi="Times New Roman" w:eastAsia="宋体" w:cs="Times New Roman"/>
          <w:color w:val="auto"/>
        </w:rPr>
        <w:t>①</w:t>
      </w:r>
      <w:r>
        <w:rPr>
          <w:rFonts w:ascii="Times New Roman" w:hAnsi="Times New Roman" w:eastAsia="宋体" w:cs="Times New Roman"/>
          <w:color w:val="auto"/>
        </w:rPr>
        <w:t>泄漏点的设定</w:t>
      </w:r>
    </w:p>
    <w:p>
      <w:pPr>
        <w:pStyle w:val="74"/>
        <w:adjustRightInd/>
        <w:snapToGrid/>
        <w:jc w:val="both"/>
        <w:rPr>
          <w:rFonts w:ascii="Times New Roman" w:hAnsi="Times New Roman" w:eastAsia="宋体" w:cs="Times New Roman"/>
          <w:color w:val="auto"/>
        </w:rPr>
      </w:pPr>
      <w:r>
        <w:rPr>
          <w:rFonts w:ascii="Times New Roman" w:hAnsi="Times New Roman" w:eastAsia="宋体" w:cs="Times New Roman"/>
          <w:color w:val="auto"/>
        </w:rPr>
        <w:t>综合考虑本工程特性及平面布置，非正常状况主要考虑污水处理站隔油池</w:t>
      </w:r>
      <w:r>
        <w:rPr>
          <w:rFonts w:hint="eastAsia" w:ascii="Times New Roman" w:hAnsi="Times New Roman" w:eastAsia="宋体" w:cs="Times New Roman"/>
          <w:color w:val="auto"/>
        </w:rPr>
        <w:t>渗漏</w:t>
      </w:r>
      <w:r>
        <w:rPr>
          <w:rFonts w:ascii="Times New Roman" w:hAnsi="Times New Roman" w:eastAsia="宋体" w:cs="Times New Roman"/>
          <w:color w:val="auto"/>
        </w:rPr>
        <w:t>及贮水池渗漏情景，本项目</w:t>
      </w:r>
      <w:r>
        <w:rPr>
          <w:rFonts w:hint="eastAsia" w:ascii="Times New Roman" w:hAnsi="Times New Roman" w:eastAsia="宋体" w:cs="Times New Roman"/>
          <w:color w:val="auto"/>
        </w:rPr>
        <w:t>生产废水</w:t>
      </w:r>
      <w:r>
        <w:rPr>
          <w:rFonts w:ascii="Times New Roman" w:hAnsi="Times New Roman" w:eastAsia="宋体" w:cs="Times New Roman"/>
          <w:color w:val="auto"/>
        </w:rPr>
        <w:t>和生活污水经厂区污水处理站（</w:t>
      </w:r>
      <w:r>
        <w:rPr>
          <w:rFonts w:ascii="Times New Roman" w:hAnsi="Times New Roman" w:eastAsia="宋体" w:cs="Times New Roman"/>
          <w:bCs/>
          <w:color w:val="auto"/>
        </w:rPr>
        <w:t>格栅+</w:t>
      </w:r>
      <w:r>
        <w:rPr>
          <w:rFonts w:ascii="Times New Roman" w:hAnsi="Times New Roman" w:eastAsia="宋体" w:cs="Times New Roman"/>
          <w:color w:val="auto"/>
        </w:rPr>
        <w:t>隔油沉砂+气浮+水解酸化+生物接触氧化</w:t>
      </w:r>
      <w:r>
        <w:rPr>
          <w:rFonts w:hint="eastAsia" w:ascii="Times New Roman" w:hAnsi="Times New Roman" w:eastAsia="宋体" w:cs="Times New Roman"/>
          <w:color w:val="auto"/>
        </w:rPr>
        <w:t>+二沉池+</w:t>
      </w:r>
      <w:r>
        <w:rPr>
          <w:rFonts w:ascii="Times New Roman" w:hAnsi="Times New Roman" w:eastAsia="宋体" w:cs="Times New Roman"/>
          <w:color w:val="auto"/>
        </w:rPr>
        <w:t>消毒工艺），处理后的废水满足《肉类加工工业水污染物排放标准》（GB13457-92）表3中</w:t>
      </w:r>
      <w:r>
        <w:rPr>
          <w:rFonts w:ascii="Times New Roman" w:hAnsi="Times New Roman" w:eastAsia="宋体" w:cs="Times New Roman"/>
          <w:bCs/>
          <w:color w:val="auto"/>
        </w:rPr>
        <w:t>三级畜类屠宰加工标准限值</w:t>
      </w:r>
      <w:r>
        <w:rPr>
          <w:rFonts w:ascii="Times New Roman" w:hAnsi="Times New Roman" w:eastAsia="宋体" w:cs="Times New Roman"/>
          <w:color w:val="auto"/>
        </w:rPr>
        <w:t>的要求后</w:t>
      </w:r>
      <w:r>
        <w:rPr>
          <w:rFonts w:hint="eastAsia" w:ascii="Times New Roman" w:hAnsi="Times New Roman" w:eastAsia="宋体" w:cs="Times New Roman"/>
          <w:bCs/>
          <w:color w:val="auto"/>
        </w:rPr>
        <w:t>暂存</w:t>
      </w:r>
      <w:r>
        <w:rPr>
          <w:rFonts w:ascii="Times New Roman" w:hAnsi="Times New Roman" w:eastAsia="宋体" w:cs="Times New Roman"/>
          <w:bCs/>
          <w:color w:val="auto"/>
        </w:rPr>
        <w:t>于贮水池，</w:t>
      </w:r>
      <w:r>
        <w:rPr>
          <w:rFonts w:hint="eastAsia" w:ascii="Times New Roman" w:hAnsi="Times New Roman" w:eastAsia="宋体" w:cs="Times New Roman"/>
          <w:bCs/>
          <w:color w:val="auto"/>
        </w:rPr>
        <w:t>每天</w:t>
      </w:r>
      <w:r>
        <w:rPr>
          <w:rFonts w:ascii="Times New Roman" w:hAnsi="Times New Roman" w:eastAsia="宋体" w:cs="Times New Roman"/>
          <w:bCs/>
          <w:color w:val="auto"/>
        </w:rPr>
        <w:t>采用专用罐车</w:t>
      </w:r>
      <w:r>
        <w:rPr>
          <w:rFonts w:hint="eastAsia" w:ascii="Times New Roman" w:hAnsi="Times New Roman" w:eastAsia="宋体" w:cs="Times New Roman"/>
          <w:bCs/>
          <w:color w:val="auto"/>
        </w:rPr>
        <w:t>运至</w:t>
      </w:r>
      <w:r>
        <w:rPr>
          <w:rFonts w:hint="eastAsia" w:ascii="Times New Roman" w:hAnsi="Times New Roman" w:eastAsia="宋体" w:cs="Times New Roman"/>
          <w:bCs/>
          <w:color w:val="auto"/>
          <w:lang w:eastAsia="zh-CN"/>
        </w:rPr>
        <w:t>尚志污水处理厂</w:t>
      </w:r>
      <w:r>
        <w:rPr>
          <w:rFonts w:ascii="Times New Roman" w:hAnsi="Times New Roman" w:eastAsia="宋体" w:cs="Times New Roman"/>
          <w:bCs/>
          <w:color w:val="auto"/>
        </w:rPr>
        <w:t>进一步处理</w:t>
      </w:r>
      <w:r>
        <w:rPr>
          <w:rFonts w:ascii="Times New Roman" w:hAnsi="Times New Roman" w:eastAsia="宋体" w:cs="Times New Roman"/>
          <w:color w:val="auto"/>
        </w:rPr>
        <w:t>。因此选择源强最大的主要污染源污水处理站隔油池及贮水池进行非正常状况地下水环境影响预测评价。</w:t>
      </w:r>
    </w:p>
    <w:p>
      <w:pPr>
        <w:spacing w:line="360" w:lineRule="auto"/>
        <w:ind w:firstLine="480" w:firstLineChars="200"/>
        <w:rPr>
          <w:color w:val="auto"/>
          <w:sz w:val="24"/>
        </w:rPr>
      </w:pPr>
      <w:r>
        <w:rPr>
          <w:rFonts w:hint="eastAsia"/>
          <w:color w:val="auto"/>
          <w:sz w:val="24"/>
        </w:rPr>
        <w:t>②</w:t>
      </w:r>
      <w:r>
        <w:rPr>
          <w:color w:val="auto"/>
          <w:sz w:val="24"/>
        </w:rPr>
        <w:t>预测因子</w:t>
      </w:r>
    </w:p>
    <w:p>
      <w:pPr>
        <w:spacing w:line="360" w:lineRule="auto"/>
        <w:ind w:firstLine="480" w:firstLineChars="200"/>
        <w:rPr>
          <w:color w:val="auto"/>
          <w:sz w:val="24"/>
        </w:rPr>
      </w:pPr>
      <w:r>
        <w:rPr>
          <w:color w:val="auto"/>
          <w:sz w:val="24"/>
        </w:rPr>
        <w:t>本项目不涉及重金属，污水中主要污染物因子为</w:t>
      </w:r>
      <w:r>
        <w:rPr>
          <w:rFonts w:hint="eastAsia"/>
          <w:color w:val="auto"/>
          <w:sz w:val="24"/>
        </w:rPr>
        <w:t>COD</w:t>
      </w:r>
      <w:r>
        <w:rPr>
          <w:color w:val="auto"/>
          <w:sz w:val="24"/>
        </w:rPr>
        <w:t>、氨氮，选取</w:t>
      </w:r>
      <w:r>
        <w:rPr>
          <w:rFonts w:hint="eastAsia"/>
          <w:color w:val="auto"/>
          <w:sz w:val="24"/>
        </w:rPr>
        <w:t>COD</w:t>
      </w:r>
      <w:r>
        <w:rPr>
          <w:color w:val="auto"/>
          <w:sz w:val="24"/>
        </w:rPr>
        <w:t>和氨氮为预测因子。</w:t>
      </w:r>
    </w:p>
    <w:p>
      <w:pPr>
        <w:ind w:firstLine="426" w:firstLineChars="177"/>
        <w:jc w:val="center"/>
        <w:rPr>
          <w:b/>
          <w:color w:val="auto"/>
          <w:kern w:val="0"/>
          <w:sz w:val="24"/>
        </w:rPr>
      </w:pPr>
      <w:r>
        <w:rPr>
          <w:b/>
          <w:color w:val="auto"/>
          <w:kern w:val="0"/>
          <w:sz w:val="24"/>
        </w:rPr>
        <w:t>表5-2-1</w:t>
      </w:r>
      <w:r>
        <w:rPr>
          <w:rFonts w:hint="eastAsia"/>
          <w:b/>
          <w:color w:val="auto"/>
          <w:kern w:val="0"/>
          <w:sz w:val="24"/>
          <w:lang w:val="en-US" w:eastAsia="zh-CN"/>
        </w:rPr>
        <w:t>8</w:t>
      </w:r>
      <w:r>
        <w:rPr>
          <w:b/>
          <w:color w:val="auto"/>
          <w:kern w:val="0"/>
          <w:sz w:val="24"/>
        </w:rPr>
        <w:t>预测因子源强、标准限值及最低检出限</w:t>
      </w:r>
    </w:p>
    <w:tbl>
      <w:tblPr>
        <w:tblStyle w:val="46"/>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160"/>
        <w:gridCol w:w="2160"/>
        <w:gridCol w:w="1459"/>
        <w:gridCol w:w="1150"/>
        <w:gridCol w:w="135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2160" w:type="dxa"/>
            <w:tcBorders>
              <w:top w:val="single" w:color="auto" w:sz="12" w:space="0"/>
              <w:left w:val="nil"/>
              <w:bottom w:val="single" w:color="auto" w:sz="6" w:space="0"/>
              <w:right w:val="single" w:color="auto" w:sz="6" w:space="0"/>
            </w:tcBorders>
            <w:vAlign w:val="center"/>
          </w:tcPr>
          <w:p>
            <w:pPr>
              <w:contextualSpacing/>
              <w:jc w:val="center"/>
              <w:rPr>
                <w:color w:val="auto"/>
                <w:szCs w:val="21"/>
              </w:rPr>
            </w:pPr>
            <w:r>
              <w:rPr>
                <w:color w:val="auto"/>
                <w:szCs w:val="21"/>
              </w:rPr>
              <w:t>预测单元</w:t>
            </w:r>
          </w:p>
        </w:tc>
        <w:tc>
          <w:tcPr>
            <w:tcW w:w="2160" w:type="dxa"/>
            <w:tcBorders>
              <w:top w:val="single" w:color="auto" w:sz="12" w:space="0"/>
              <w:left w:val="nil"/>
              <w:bottom w:val="single" w:color="auto" w:sz="6" w:space="0"/>
              <w:right w:val="single" w:color="auto" w:sz="6" w:space="0"/>
            </w:tcBorders>
            <w:vAlign w:val="center"/>
          </w:tcPr>
          <w:p>
            <w:pPr>
              <w:contextualSpacing/>
              <w:jc w:val="center"/>
              <w:rPr>
                <w:color w:val="auto"/>
                <w:szCs w:val="21"/>
              </w:rPr>
            </w:pPr>
            <w:r>
              <w:rPr>
                <w:color w:val="auto"/>
                <w:szCs w:val="21"/>
              </w:rPr>
              <w:t>主要污染因子</w:t>
            </w:r>
          </w:p>
        </w:tc>
        <w:tc>
          <w:tcPr>
            <w:tcW w:w="1459" w:type="dxa"/>
            <w:tcBorders>
              <w:top w:val="single" w:color="auto" w:sz="12" w:space="0"/>
              <w:left w:val="single" w:color="auto" w:sz="6" w:space="0"/>
              <w:bottom w:val="single" w:color="auto" w:sz="6" w:space="0"/>
              <w:right w:val="single" w:color="auto" w:sz="6" w:space="0"/>
            </w:tcBorders>
            <w:vAlign w:val="center"/>
          </w:tcPr>
          <w:p>
            <w:pPr>
              <w:contextualSpacing/>
              <w:jc w:val="center"/>
              <w:rPr>
                <w:color w:val="auto"/>
                <w:szCs w:val="21"/>
              </w:rPr>
            </w:pPr>
            <w:r>
              <w:rPr>
                <w:color w:val="auto"/>
                <w:szCs w:val="21"/>
              </w:rPr>
              <w:t>泄漏浓度</w:t>
            </w:r>
          </w:p>
        </w:tc>
        <w:tc>
          <w:tcPr>
            <w:tcW w:w="1150" w:type="dxa"/>
            <w:tcBorders>
              <w:top w:val="single" w:color="auto" w:sz="12" w:space="0"/>
              <w:left w:val="single" w:color="auto" w:sz="6" w:space="0"/>
              <w:bottom w:val="single" w:color="auto" w:sz="6" w:space="0"/>
              <w:right w:val="single" w:color="auto" w:sz="6" w:space="0"/>
            </w:tcBorders>
            <w:vAlign w:val="center"/>
          </w:tcPr>
          <w:p>
            <w:pPr>
              <w:contextualSpacing/>
              <w:jc w:val="center"/>
              <w:rPr>
                <w:color w:val="auto"/>
                <w:szCs w:val="21"/>
              </w:rPr>
            </w:pPr>
            <w:r>
              <w:rPr>
                <w:color w:val="auto"/>
                <w:szCs w:val="21"/>
              </w:rPr>
              <w:t>标准限值</w:t>
            </w:r>
          </w:p>
        </w:tc>
        <w:tc>
          <w:tcPr>
            <w:tcW w:w="1358" w:type="dxa"/>
            <w:tcBorders>
              <w:top w:val="single" w:color="auto" w:sz="12" w:space="0"/>
              <w:left w:val="single" w:color="auto" w:sz="6" w:space="0"/>
              <w:bottom w:val="single" w:color="auto" w:sz="6" w:space="0"/>
              <w:right w:val="nil"/>
            </w:tcBorders>
          </w:tcPr>
          <w:p>
            <w:pPr>
              <w:contextualSpacing/>
              <w:jc w:val="center"/>
              <w:rPr>
                <w:color w:val="auto"/>
                <w:szCs w:val="21"/>
              </w:rPr>
            </w:pPr>
            <w:r>
              <w:rPr>
                <w:snapToGrid w:val="0"/>
                <w:color w:val="auto"/>
              </w:rPr>
              <w:t>检出限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 w:hRule="atLeast"/>
          <w:jc w:val="center"/>
        </w:trPr>
        <w:tc>
          <w:tcPr>
            <w:tcW w:w="2160" w:type="dxa"/>
            <w:vMerge w:val="restart"/>
            <w:tcBorders>
              <w:top w:val="single" w:color="auto" w:sz="6" w:space="0"/>
              <w:left w:val="nil"/>
              <w:right w:val="single" w:color="auto" w:sz="6" w:space="0"/>
            </w:tcBorders>
            <w:vAlign w:val="center"/>
          </w:tcPr>
          <w:p>
            <w:pPr>
              <w:pStyle w:val="84"/>
              <w:contextualSpacing/>
              <w:rPr>
                <w:rFonts w:hAnsi="Times New Roman"/>
                <w:snapToGrid w:val="0"/>
                <w:color w:val="auto"/>
              </w:rPr>
            </w:pPr>
            <w:r>
              <w:rPr>
                <w:rFonts w:hAnsi="Times New Roman"/>
                <w:snapToGrid w:val="0"/>
                <w:color w:val="auto"/>
              </w:rPr>
              <w:t>污水处理站隔油池</w:t>
            </w:r>
          </w:p>
        </w:tc>
        <w:tc>
          <w:tcPr>
            <w:tcW w:w="2160" w:type="dxa"/>
            <w:tcBorders>
              <w:top w:val="single" w:color="auto" w:sz="6" w:space="0"/>
              <w:left w:val="nil"/>
              <w:bottom w:val="single" w:color="auto" w:sz="6" w:space="0"/>
              <w:right w:val="single" w:color="auto" w:sz="6" w:space="0"/>
            </w:tcBorders>
            <w:vAlign w:val="center"/>
          </w:tcPr>
          <w:p>
            <w:pPr>
              <w:pStyle w:val="84"/>
              <w:contextualSpacing/>
              <w:rPr>
                <w:rFonts w:hAnsi="Times New Roman"/>
                <w:snapToGrid w:val="0"/>
                <w:color w:val="auto"/>
              </w:rPr>
            </w:pPr>
            <w:r>
              <w:rPr>
                <w:rFonts w:hint="eastAsia" w:hAnsi="Times New Roman"/>
                <w:snapToGrid w:val="0"/>
                <w:color w:val="auto"/>
              </w:rPr>
              <w:t>COD</w:t>
            </w:r>
          </w:p>
        </w:tc>
        <w:tc>
          <w:tcPr>
            <w:tcW w:w="1459" w:type="dxa"/>
            <w:tcBorders>
              <w:top w:val="single" w:color="auto" w:sz="6" w:space="0"/>
              <w:left w:val="single" w:color="auto" w:sz="6" w:space="0"/>
              <w:bottom w:val="single" w:color="auto" w:sz="6" w:space="0"/>
              <w:right w:val="single" w:color="auto" w:sz="6" w:space="0"/>
            </w:tcBorders>
            <w:vAlign w:val="center"/>
          </w:tcPr>
          <w:p>
            <w:pPr>
              <w:pStyle w:val="84"/>
              <w:rPr>
                <w:rFonts w:hAnsi="Times New Roman"/>
                <w:snapToGrid w:val="0"/>
                <w:color w:val="auto"/>
              </w:rPr>
            </w:pPr>
            <w:r>
              <w:rPr>
                <w:rFonts w:hint="eastAsia"/>
                <w:color w:val="auto"/>
                <w:lang w:eastAsia="zh-CN"/>
              </w:rPr>
              <w:t>1891.13</w:t>
            </w:r>
            <w:r>
              <w:rPr>
                <w:color w:val="auto"/>
              </w:rPr>
              <w:t>mg/L</w:t>
            </w:r>
          </w:p>
        </w:tc>
        <w:tc>
          <w:tcPr>
            <w:tcW w:w="1150" w:type="dxa"/>
            <w:tcBorders>
              <w:top w:val="single" w:color="auto" w:sz="6" w:space="0"/>
              <w:left w:val="single" w:color="auto" w:sz="6" w:space="0"/>
              <w:bottom w:val="single" w:color="auto" w:sz="6" w:space="0"/>
              <w:right w:val="single" w:color="auto" w:sz="6" w:space="0"/>
            </w:tcBorders>
            <w:vAlign w:val="center"/>
          </w:tcPr>
          <w:p>
            <w:pPr>
              <w:contextualSpacing/>
              <w:jc w:val="center"/>
              <w:rPr>
                <w:color w:val="auto"/>
                <w:szCs w:val="21"/>
              </w:rPr>
            </w:pPr>
            <w:r>
              <w:rPr>
                <w:rFonts w:hint="eastAsia"/>
                <w:color w:val="auto"/>
                <w:szCs w:val="21"/>
              </w:rPr>
              <w:t>15</w:t>
            </w:r>
            <w:r>
              <w:rPr>
                <w:color w:val="auto"/>
                <w:szCs w:val="21"/>
              </w:rPr>
              <w:t>mg/L</w:t>
            </w:r>
          </w:p>
        </w:tc>
        <w:tc>
          <w:tcPr>
            <w:tcW w:w="1358" w:type="dxa"/>
            <w:tcBorders>
              <w:top w:val="single" w:color="auto" w:sz="6" w:space="0"/>
              <w:left w:val="single" w:color="auto" w:sz="6" w:space="0"/>
              <w:bottom w:val="single" w:color="auto" w:sz="6" w:space="0"/>
              <w:right w:val="nil"/>
            </w:tcBorders>
          </w:tcPr>
          <w:p>
            <w:pPr>
              <w:contextualSpacing/>
              <w:jc w:val="center"/>
              <w:rPr>
                <w:color w:val="auto"/>
                <w:szCs w:val="21"/>
              </w:rPr>
            </w:pPr>
            <w:r>
              <w:rPr>
                <w:rFonts w:hint="eastAsia"/>
                <w:snapToGrid w:val="0"/>
                <w:color w:val="auto"/>
                <w:lang w:val="en-US" w:eastAsia="zh-CN"/>
              </w:rPr>
              <w:t>10</w:t>
            </w:r>
            <w:r>
              <w:rPr>
                <w:snapToGrid w:val="0"/>
                <w:color w:val="auto"/>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2160" w:type="dxa"/>
            <w:vMerge w:val="continue"/>
            <w:tcBorders>
              <w:left w:val="nil"/>
              <w:bottom w:val="single" w:color="auto" w:sz="6" w:space="0"/>
              <w:right w:val="single" w:color="auto" w:sz="6" w:space="0"/>
            </w:tcBorders>
            <w:vAlign w:val="center"/>
          </w:tcPr>
          <w:p>
            <w:pPr>
              <w:widowControl/>
              <w:contextualSpacing/>
              <w:jc w:val="center"/>
              <w:rPr>
                <w:snapToGrid w:val="0"/>
                <w:color w:val="auto"/>
                <w:szCs w:val="21"/>
              </w:rPr>
            </w:pPr>
          </w:p>
        </w:tc>
        <w:tc>
          <w:tcPr>
            <w:tcW w:w="2160" w:type="dxa"/>
            <w:tcBorders>
              <w:top w:val="single" w:color="auto" w:sz="6" w:space="0"/>
              <w:left w:val="nil"/>
              <w:bottom w:val="single" w:color="auto" w:sz="6" w:space="0"/>
              <w:right w:val="single" w:color="auto" w:sz="6" w:space="0"/>
            </w:tcBorders>
            <w:vAlign w:val="center"/>
          </w:tcPr>
          <w:p>
            <w:pPr>
              <w:widowControl/>
              <w:contextualSpacing/>
              <w:jc w:val="center"/>
              <w:rPr>
                <w:snapToGrid w:val="0"/>
                <w:color w:val="auto"/>
                <w:szCs w:val="21"/>
              </w:rPr>
            </w:pPr>
            <w:r>
              <w:rPr>
                <w:snapToGrid w:val="0"/>
                <w:color w:val="auto"/>
                <w:szCs w:val="21"/>
              </w:rPr>
              <w:t>氨氮</w:t>
            </w:r>
          </w:p>
        </w:tc>
        <w:tc>
          <w:tcPr>
            <w:tcW w:w="1459" w:type="dxa"/>
            <w:tcBorders>
              <w:top w:val="single" w:color="auto" w:sz="6" w:space="0"/>
              <w:left w:val="single" w:color="auto" w:sz="6" w:space="0"/>
              <w:bottom w:val="single" w:color="auto" w:sz="6" w:space="0"/>
              <w:right w:val="single" w:color="auto" w:sz="6" w:space="0"/>
            </w:tcBorders>
            <w:vAlign w:val="center"/>
          </w:tcPr>
          <w:p>
            <w:pPr>
              <w:jc w:val="center"/>
              <w:rPr>
                <w:color w:val="auto"/>
                <w:szCs w:val="21"/>
              </w:rPr>
            </w:pPr>
            <w:r>
              <w:rPr>
                <w:rFonts w:hint="eastAsia"/>
                <w:color w:val="auto"/>
                <w:lang w:eastAsia="zh-CN"/>
              </w:rPr>
              <w:t>142.13</w:t>
            </w:r>
            <w:r>
              <w:rPr>
                <w:color w:val="auto"/>
                <w:szCs w:val="21"/>
              </w:rPr>
              <w:t>mg/L</w:t>
            </w:r>
          </w:p>
        </w:tc>
        <w:tc>
          <w:tcPr>
            <w:tcW w:w="1150" w:type="dxa"/>
            <w:tcBorders>
              <w:top w:val="single" w:color="auto" w:sz="6" w:space="0"/>
              <w:left w:val="single" w:color="auto" w:sz="6" w:space="0"/>
              <w:bottom w:val="single" w:color="auto" w:sz="6" w:space="0"/>
              <w:right w:val="single" w:color="auto" w:sz="6" w:space="0"/>
            </w:tcBorders>
            <w:vAlign w:val="center"/>
          </w:tcPr>
          <w:p>
            <w:pPr>
              <w:contextualSpacing/>
              <w:jc w:val="center"/>
              <w:rPr>
                <w:color w:val="auto"/>
                <w:szCs w:val="21"/>
              </w:rPr>
            </w:pPr>
            <w:r>
              <w:rPr>
                <w:color w:val="auto"/>
                <w:szCs w:val="21"/>
              </w:rPr>
              <w:t>0.5mg/L</w:t>
            </w:r>
          </w:p>
        </w:tc>
        <w:tc>
          <w:tcPr>
            <w:tcW w:w="1358" w:type="dxa"/>
            <w:tcBorders>
              <w:top w:val="single" w:color="auto" w:sz="6" w:space="0"/>
              <w:left w:val="single" w:color="auto" w:sz="6" w:space="0"/>
              <w:bottom w:val="single" w:color="auto" w:sz="6" w:space="0"/>
              <w:right w:val="nil"/>
            </w:tcBorders>
          </w:tcPr>
          <w:p>
            <w:pPr>
              <w:contextualSpacing/>
              <w:jc w:val="center"/>
              <w:rPr>
                <w:color w:val="auto"/>
                <w:szCs w:val="21"/>
              </w:rPr>
            </w:pPr>
            <w:r>
              <w:rPr>
                <w:rFonts w:hint="eastAsia"/>
                <w:snapToGrid w:val="0"/>
                <w:color w:val="auto"/>
                <w:lang w:val="en-US" w:eastAsia="zh-CN"/>
              </w:rPr>
              <w:t>0.01</w:t>
            </w:r>
            <w:r>
              <w:rPr>
                <w:snapToGrid w:val="0"/>
                <w:color w:val="auto"/>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2160" w:type="dxa"/>
            <w:vMerge w:val="restart"/>
            <w:tcBorders>
              <w:top w:val="single" w:color="auto" w:sz="6" w:space="0"/>
              <w:left w:val="nil"/>
              <w:right w:val="single" w:color="auto" w:sz="6" w:space="0"/>
            </w:tcBorders>
            <w:vAlign w:val="center"/>
          </w:tcPr>
          <w:p>
            <w:pPr>
              <w:widowControl/>
              <w:contextualSpacing/>
              <w:jc w:val="center"/>
              <w:rPr>
                <w:snapToGrid w:val="0"/>
                <w:color w:val="auto"/>
                <w:szCs w:val="21"/>
              </w:rPr>
            </w:pPr>
            <w:r>
              <w:rPr>
                <w:snapToGrid w:val="0"/>
                <w:color w:val="auto"/>
                <w:szCs w:val="21"/>
              </w:rPr>
              <w:t>贮水池</w:t>
            </w:r>
          </w:p>
        </w:tc>
        <w:tc>
          <w:tcPr>
            <w:tcW w:w="2160" w:type="dxa"/>
            <w:tcBorders>
              <w:top w:val="single" w:color="auto" w:sz="6" w:space="0"/>
              <w:left w:val="nil"/>
              <w:bottom w:val="single" w:color="auto" w:sz="6" w:space="0"/>
              <w:right w:val="single" w:color="auto" w:sz="6" w:space="0"/>
            </w:tcBorders>
            <w:vAlign w:val="center"/>
          </w:tcPr>
          <w:p>
            <w:pPr>
              <w:pStyle w:val="84"/>
              <w:contextualSpacing/>
              <w:rPr>
                <w:rFonts w:hAnsi="Times New Roman"/>
                <w:snapToGrid w:val="0"/>
                <w:color w:val="auto"/>
              </w:rPr>
            </w:pPr>
            <w:r>
              <w:rPr>
                <w:rFonts w:hint="eastAsia" w:hAnsi="Times New Roman"/>
                <w:snapToGrid w:val="0"/>
                <w:color w:val="auto"/>
              </w:rPr>
              <w:t>COD</w:t>
            </w:r>
          </w:p>
        </w:tc>
        <w:tc>
          <w:tcPr>
            <w:tcW w:w="1459" w:type="dxa"/>
            <w:tcBorders>
              <w:top w:val="single" w:color="auto" w:sz="6" w:space="0"/>
              <w:left w:val="single" w:color="auto" w:sz="6" w:space="0"/>
              <w:bottom w:val="single" w:color="auto" w:sz="6" w:space="0"/>
              <w:right w:val="single" w:color="auto" w:sz="6" w:space="0"/>
            </w:tcBorders>
            <w:vAlign w:val="center"/>
          </w:tcPr>
          <w:p>
            <w:pPr>
              <w:pStyle w:val="84"/>
              <w:rPr>
                <w:rFonts w:hAnsi="Times New Roman"/>
                <w:snapToGrid w:val="0"/>
                <w:color w:val="auto"/>
              </w:rPr>
            </w:pPr>
            <w:r>
              <w:rPr>
                <w:rFonts w:hint="eastAsia"/>
                <w:snapToGrid w:val="0"/>
                <w:color w:val="auto"/>
                <w:lang w:eastAsia="zh-CN"/>
              </w:rPr>
              <w:t>189.11</w:t>
            </w:r>
            <w:r>
              <w:rPr>
                <w:color w:val="auto"/>
              </w:rPr>
              <w:t>mg/L</w:t>
            </w:r>
          </w:p>
        </w:tc>
        <w:tc>
          <w:tcPr>
            <w:tcW w:w="1150" w:type="dxa"/>
            <w:tcBorders>
              <w:top w:val="single" w:color="auto" w:sz="6" w:space="0"/>
              <w:left w:val="single" w:color="auto" w:sz="6" w:space="0"/>
              <w:bottom w:val="single" w:color="auto" w:sz="6" w:space="0"/>
              <w:right w:val="single" w:color="auto" w:sz="6" w:space="0"/>
            </w:tcBorders>
            <w:vAlign w:val="center"/>
          </w:tcPr>
          <w:p>
            <w:pPr>
              <w:contextualSpacing/>
              <w:jc w:val="center"/>
              <w:rPr>
                <w:color w:val="auto"/>
                <w:szCs w:val="21"/>
              </w:rPr>
            </w:pPr>
            <w:r>
              <w:rPr>
                <w:rFonts w:hint="eastAsia"/>
                <w:color w:val="auto"/>
                <w:szCs w:val="21"/>
              </w:rPr>
              <w:t>15</w:t>
            </w:r>
            <w:r>
              <w:rPr>
                <w:color w:val="auto"/>
                <w:szCs w:val="21"/>
              </w:rPr>
              <w:t>mg/L</w:t>
            </w:r>
          </w:p>
        </w:tc>
        <w:tc>
          <w:tcPr>
            <w:tcW w:w="1358" w:type="dxa"/>
            <w:tcBorders>
              <w:top w:val="single" w:color="auto" w:sz="6" w:space="0"/>
              <w:left w:val="single" w:color="auto" w:sz="6" w:space="0"/>
              <w:bottom w:val="single" w:color="auto" w:sz="6" w:space="0"/>
              <w:right w:val="nil"/>
            </w:tcBorders>
          </w:tcPr>
          <w:p>
            <w:pPr>
              <w:contextualSpacing/>
              <w:jc w:val="center"/>
              <w:rPr>
                <w:color w:val="auto"/>
                <w:szCs w:val="21"/>
              </w:rPr>
            </w:pPr>
            <w:r>
              <w:rPr>
                <w:rFonts w:hint="eastAsia"/>
                <w:snapToGrid w:val="0"/>
                <w:color w:val="auto"/>
                <w:lang w:val="en-US" w:eastAsia="zh-CN"/>
              </w:rPr>
              <w:t>10</w:t>
            </w:r>
            <w:r>
              <w:rPr>
                <w:snapToGrid w:val="0"/>
                <w:color w:val="auto"/>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2160" w:type="dxa"/>
            <w:vMerge w:val="continue"/>
            <w:tcBorders>
              <w:left w:val="nil"/>
              <w:bottom w:val="single" w:color="auto" w:sz="12" w:space="0"/>
              <w:right w:val="single" w:color="auto" w:sz="6" w:space="0"/>
            </w:tcBorders>
          </w:tcPr>
          <w:p>
            <w:pPr>
              <w:widowControl/>
              <w:contextualSpacing/>
              <w:jc w:val="center"/>
              <w:rPr>
                <w:snapToGrid w:val="0"/>
                <w:color w:val="auto"/>
                <w:szCs w:val="21"/>
              </w:rPr>
            </w:pPr>
          </w:p>
        </w:tc>
        <w:tc>
          <w:tcPr>
            <w:tcW w:w="2160" w:type="dxa"/>
            <w:tcBorders>
              <w:top w:val="single" w:color="auto" w:sz="6" w:space="0"/>
              <w:left w:val="nil"/>
              <w:bottom w:val="single" w:color="auto" w:sz="12" w:space="0"/>
              <w:right w:val="single" w:color="auto" w:sz="6" w:space="0"/>
            </w:tcBorders>
            <w:vAlign w:val="center"/>
          </w:tcPr>
          <w:p>
            <w:pPr>
              <w:widowControl/>
              <w:contextualSpacing/>
              <w:jc w:val="center"/>
              <w:rPr>
                <w:snapToGrid w:val="0"/>
                <w:color w:val="auto"/>
                <w:szCs w:val="21"/>
              </w:rPr>
            </w:pPr>
            <w:r>
              <w:rPr>
                <w:snapToGrid w:val="0"/>
                <w:color w:val="auto"/>
                <w:szCs w:val="21"/>
              </w:rPr>
              <w:t>氨氮</w:t>
            </w:r>
          </w:p>
        </w:tc>
        <w:tc>
          <w:tcPr>
            <w:tcW w:w="1459" w:type="dxa"/>
            <w:tcBorders>
              <w:top w:val="single" w:color="auto" w:sz="6" w:space="0"/>
              <w:left w:val="single" w:color="auto" w:sz="6" w:space="0"/>
              <w:bottom w:val="single" w:color="auto" w:sz="12" w:space="0"/>
              <w:right w:val="single" w:color="auto" w:sz="6" w:space="0"/>
            </w:tcBorders>
            <w:vAlign w:val="center"/>
          </w:tcPr>
          <w:p>
            <w:pPr>
              <w:jc w:val="center"/>
              <w:rPr>
                <w:color w:val="auto"/>
                <w:szCs w:val="21"/>
              </w:rPr>
            </w:pPr>
            <w:r>
              <w:rPr>
                <w:rFonts w:hint="eastAsia"/>
                <w:color w:val="auto"/>
                <w:szCs w:val="21"/>
                <w:lang w:eastAsia="zh-CN"/>
              </w:rPr>
              <w:t>31.27</w:t>
            </w:r>
            <w:r>
              <w:rPr>
                <w:color w:val="auto"/>
                <w:szCs w:val="21"/>
              </w:rPr>
              <w:t>mg/L</w:t>
            </w:r>
          </w:p>
        </w:tc>
        <w:tc>
          <w:tcPr>
            <w:tcW w:w="1150" w:type="dxa"/>
            <w:tcBorders>
              <w:top w:val="single" w:color="auto" w:sz="6" w:space="0"/>
              <w:left w:val="single" w:color="auto" w:sz="6" w:space="0"/>
              <w:bottom w:val="single" w:color="auto" w:sz="12" w:space="0"/>
              <w:right w:val="single" w:color="auto" w:sz="6" w:space="0"/>
            </w:tcBorders>
            <w:vAlign w:val="center"/>
          </w:tcPr>
          <w:p>
            <w:pPr>
              <w:contextualSpacing/>
              <w:jc w:val="center"/>
              <w:rPr>
                <w:color w:val="auto"/>
                <w:szCs w:val="21"/>
              </w:rPr>
            </w:pPr>
            <w:r>
              <w:rPr>
                <w:color w:val="auto"/>
                <w:szCs w:val="21"/>
              </w:rPr>
              <w:t>0.5mg/L</w:t>
            </w:r>
          </w:p>
        </w:tc>
        <w:tc>
          <w:tcPr>
            <w:tcW w:w="1358" w:type="dxa"/>
            <w:tcBorders>
              <w:top w:val="single" w:color="auto" w:sz="6" w:space="0"/>
              <w:left w:val="single" w:color="auto" w:sz="6" w:space="0"/>
              <w:bottom w:val="single" w:color="auto" w:sz="12" w:space="0"/>
              <w:right w:val="nil"/>
            </w:tcBorders>
          </w:tcPr>
          <w:p>
            <w:pPr>
              <w:contextualSpacing/>
              <w:jc w:val="center"/>
              <w:rPr>
                <w:color w:val="auto"/>
                <w:szCs w:val="21"/>
              </w:rPr>
            </w:pPr>
            <w:r>
              <w:rPr>
                <w:rFonts w:hint="eastAsia"/>
                <w:snapToGrid w:val="0"/>
                <w:color w:val="auto"/>
                <w:lang w:val="en-US" w:eastAsia="zh-CN"/>
              </w:rPr>
              <w:t>0.01</w:t>
            </w:r>
            <w:r>
              <w:rPr>
                <w:snapToGrid w:val="0"/>
                <w:color w:val="auto"/>
              </w:rPr>
              <w:t>mg/L</w:t>
            </w:r>
          </w:p>
        </w:tc>
      </w:tr>
    </w:tbl>
    <w:p>
      <w:pPr>
        <w:spacing w:line="360" w:lineRule="auto"/>
        <w:ind w:firstLine="480" w:firstLineChars="200"/>
        <w:rPr>
          <w:color w:val="auto"/>
          <w:sz w:val="24"/>
        </w:rPr>
      </w:pPr>
      <w:r>
        <w:rPr>
          <w:rFonts w:hint="eastAsia"/>
          <w:color w:val="auto"/>
          <w:sz w:val="24"/>
        </w:rPr>
        <w:t>③</w:t>
      </w:r>
      <w:r>
        <w:rPr>
          <w:color w:val="auto"/>
          <w:sz w:val="24"/>
        </w:rPr>
        <w:t>评价标准</w:t>
      </w:r>
    </w:p>
    <w:p>
      <w:pPr>
        <w:spacing w:line="360" w:lineRule="auto"/>
        <w:ind w:firstLine="480" w:firstLineChars="200"/>
        <w:rPr>
          <w:color w:val="auto"/>
          <w:sz w:val="24"/>
        </w:rPr>
      </w:pPr>
      <w:r>
        <w:rPr>
          <w:color w:val="auto"/>
          <w:sz w:val="24"/>
        </w:rPr>
        <w:t>氨氮评价标准</w:t>
      </w:r>
      <w:r>
        <w:rPr>
          <w:rFonts w:hint="eastAsia"/>
          <w:color w:val="auto"/>
          <w:sz w:val="24"/>
        </w:rPr>
        <w:t>执行</w:t>
      </w:r>
      <w:r>
        <w:rPr>
          <w:color w:val="auto"/>
          <w:sz w:val="24"/>
        </w:rPr>
        <w:t>《地下水质量标准》（GB/T14848-2017）Ш类标准（氨氮≤0.5mg/L）；COD在《地下水质量标准》（GB/T14848-2017）中无标准，根据《环境影响评价技术导则 地下水环境》（HJ610-2016）规定可参照国家（行业、地方）相关标准的水质标准值（如GB3838、GB5749 等）进行评价。《地下水质量标准》（GB/T14848-2017）中Ⅲ类水体“地下水化学组分含量中等，以GB5749-2006为依据，主要适用于集中式生活饮用水水源及工农业用水”，对应《地表水质量标准》（GB3838-2002）中Ⅱ类水体“主要适用于集中式生活饮用水地表水源地一级保护区、珍稀水生生物栖息地、鱼虾类产卵场、仔稚幼鱼的索饵场等”。故本项目COD评价标准参照《地表水质量标准》（GB3838-2002）中Ⅱ类水体标准限值15mg/L。</w:t>
      </w:r>
    </w:p>
    <w:p>
      <w:pPr>
        <w:spacing w:line="360" w:lineRule="auto"/>
        <w:ind w:firstLine="480" w:firstLineChars="200"/>
        <w:rPr>
          <w:color w:val="auto"/>
          <w:sz w:val="24"/>
        </w:rPr>
      </w:pPr>
      <w:r>
        <w:rPr>
          <w:rFonts w:hint="eastAsia"/>
          <w:color w:val="auto"/>
          <w:sz w:val="24"/>
        </w:rPr>
        <w:t>④</w:t>
      </w:r>
      <w:r>
        <w:rPr>
          <w:color w:val="auto"/>
          <w:sz w:val="24"/>
        </w:rPr>
        <w:t>预测模式</w:t>
      </w:r>
    </w:p>
    <w:p>
      <w:pPr>
        <w:spacing w:line="360" w:lineRule="auto"/>
        <w:ind w:firstLine="480" w:firstLineChars="200"/>
        <w:rPr>
          <w:color w:val="auto"/>
          <w:sz w:val="24"/>
        </w:rPr>
      </w:pPr>
      <w:r>
        <w:rPr>
          <w:color w:val="auto"/>
          <w:sz w:val="24"/>
        </w:rPr>
        <w:t>预测模型</w:t>
      </w:r>
      <w:r>
        <w:rPr>
          <w:rFonts w:hint="eastAsia"/>
          <w:color w:val="auto"/>
          <w:sz w:val="24"/>
        </w:rPr>
        <w:t>：</w:t>
      </w:r>
    </w:p>
    <w:p>
      <w:pPr>
        <w:spacing w:line="360" w:lineRule="auto"/>
        <w:ind w:firstLine="480" w:firstLineChars="200"/>
        <w:rPr>
          <w:color w:val="auto"/>
          <w:sz w:val="24"/>
        </w:rPr>
      </w:pPr>
      <w:r>
        <w:rPr>
          <w:color w:val="auto"/>
          <w:sz w:val="24"/>
        </w:rPr>
        <w:t>根据《环境影响评价技术导则地下水环境》（HJ610-2016）要求，地下水环境影响评价三级评价预测方法可以选用解析法。根据本项目地下水的污染特性选用“一维半无限长多孔介质柱体，一端为定浓度边界”预测模型，公式如下。</w:t>
      </w:r>
    </w:p>
    <w:p>
      <w:pPr>
        <w:spacing w:line="360" w:lineRule="auto"/>
        <w:ind w:firstLine="480" w:firstLineChars="200"/>
        <w:jc w:val="center"/>
        <w:rPr>
          <w:color w:val="auto"/>
          <w:sz w:val="24"/>
        </w:rPr>
      </w:pPr>
      <w:r>
        <w:rPr>
          <w:color w:val="auto"/>
          <w:sz w:val="24"/>
        </w:rPr>
        <w:drawing>
          <wp:inline distT="0" distB="0" distL="0" distR="0">
            <wp:extent cx="2311400" cy="541020"/>
            <wp:effectExtent l="19050" t="0" r="0" b="0"/>
            <wp:docPr id="69" name="图片 39" descr="wps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9" descr="wps371"/>
                    <pic:cNvPicPr>
                      <a:picLocks noChangeAspect="1" noChangeArrowheads="1"/>
                    </pic:cNvPicPr>
                  </pic:nvPicPr>
                  <pic:blipFill>
                    <a:blip r:embed="rId59" cstate="print"/>
                    <a:srcRect/>
                    <a:stretch>
                      <a:fillRect/>
                    </a:stretch>
                  </pic:blipFill>
                  <pic:spPr>
                    <a:xfrm>
                      <a:off x="0" y="0"/>
                      <a:ext cx="2311400" cy="541020"/>
                    </a:xfrm>
                    <a:prstGeom prst="rect">
                      <a:avLst/>
                    </a:prstGeom>
                    <a:noFill/>
                    <a:ln w="9525">
                      <a:noFill/>
                      <a:miter lim="800000"/>
                      <a:headEnd/>
                      <a:tailEnd/>
                    </a:ln>
                  </pic:spPr>
                </pic:pic>
              </a:graphicData>
            </a:graphic>
          </wp:inline>
        </w:drawing>
      </w:r>
    </w:p>
    <w:p>
      <w:pPr>
        <w:spacing w:line="360" w:lineRule="auto"/>
        <w:ind w:firstLine="480" w:firstLineChars="200"/>
        <w:rPr>
          <w:color w:val="auto"/>
          <w:sz w:val="24"/>
        </w:rPr>
      </w:pPr>
      <w:r>
        <w:rPr>
          <w:color w:val="auto"/>
          <w:sz w:val="24"/>
        </w:rPr>
        <w:t>式中：</w:t>
      </w:r>
      <w:r>
        <w:rPr>
          <w:i/>
          <w:color w:val="auto"/>
          <w:sz w:val="24"/>
        </w:rPr>
        <w:t>x</w:t>
      </w:r>
      <w:r>
        <w:rPr>
          <w:color w:val="auto"/>
          <w:sz w:val="24"/>
        </w:rPr>
        <w:t>—距注入点的距离，m；</w:t>
      </w:r>
    </w:p>
    <w:p>
      <w:pPr>
        <w:spacing w:line="360" w:lineRule="auto"/>
        <w:ind w:firstLine="480" w:firstLineChars="200"/>
        <w:rPr>
          <w:color w:val="auto"/>
          <w:sz w:val="24"/>
        </w:rPr>
      </w:pPr>
      <w:r>
        <w:rPr>
          <w:i/>
          <w:color w:val="auto"/>
          <w:sz w:val="24"/>
        </w:rPr>
        <w:t>t</w:t>
      </w:r>
      <w:r>
        <w:rPr>
          <w:color w:val="auto"/>
          <w:sz w:val="24"/>
        </w:rPr>
        <w:t>—时间，d；</w:t>
      </w:r>
    </w:p>
    <w:p>
      <w:pPr>
        <w:spacing w:line="360" w:lineRule="auto"/>
        <w:ind w:firstLine="480" w:firstLineChars="200"/>
        <w:rPr>
          <w:color w:val="auto"/>
          <w:sz w:val="24"/>
        </w:rPr>
      </w:pPr>
      <w:r>
        <w:rPr>
          <w:i/>
          <w:color w:val="auto"/>
          <w:sz w:val="24"/>
        </w:rPr>
        <w:t>C</w:t>
      </w:r>
      <w:r>
        <w:rPr>
          <w:color w:val="auto"/>
          <w:sz w:val="24"/>
        </w:rPr>
        <w:t>(</w:t>
      </w:r>
      <w:r>
        <w:rPr>
          <w:i/>
          <w:color w:val="auto"/>
          <w:sz w:val="24"/>
        </w:rPr>
        <w:t>x</w:t>
      </w:r>
      <w:r>
        <w:rPr>
          <w:color w:val="auto"/>
          <w:sz w:val="24"/>
        </w:rPr>
        <w:t>,</w:t>
      </w:r>
      <w:r>
        <w:rPr>
          <w:i/>
          <w:color w:val="auto"/>
          <w:sz w:val="24"/>
        </w:rPr>
        <w:t>t</w:t>
      </w:r>
      <w:r>
        <w:rPr>
          <w:color w:val="auto"/>
          <w:sz w:val="24"/>
        </w:rPr>
        <w:t>)—t时刻点x处的示踪剂浓度，g/L；</w:t>
      </w:r>
    </w:p>
    <w:p>
      <w:pPr>
        <w:spacing w:line="360" w:lineRule="auto"/>
        <w:ind w:firstLine="480" w:firstLineChars="200"/>
        <w:rPr>
          <w:color w:val="auto"/>
          <w:sz w:val="24"/>
        </w:rPr>
      </w:pPr>
      <w:r>
        <w:rPr>
          <w:i/>
          <w:color w:val="auto"/>
          <w:sz w:val="24"/>
        </w:rPr>
        <w:t>C</w:t>
      </w:r>
      <w:r>
        <w:rPr>
          <w:color w:val="auto"/>
          <w:sz w:val="24"/>
          <w:vertAlign w:val="subscript"/>
        </w:rPr>
        <w:t>0</w:t>
      </w:r>
      <w:r>
        <w:rPr>
          <w:color w:val="auto"/>
          <w:sz w:val="24"/>
        </w:rPr>
        <w:t>—注入示踪剂浓度，g/L；</w:t>
      </w:r>
    </w:p>
    <w:p>
      <w:pPr>
        <w:spacing w:line="360" w:lineRule="auto"/>
        <w:ind w:firstLine="480" w:firstLineChars="200"/>
        <w:rPr>
          <w:color w:val="auto"/>
          <w:sz w:val="24"/>
        </w:rPr>
      </w:pPr>
      <w:r>
        <w:rPr>
          <w:i/>
          <w:color w:val="auto"/>
          <w:sz w:val="24"/>
        </w:rPr>
        <w:t>u</w:t>
      </w:r>
      <w:r>
        <w:rPr>
          <w:color w:val="auto"/>
          <w:sz w:val="24"/>
        </w:rPr>
        <w:t>—水流速度，m/d；</w:t>
      </w:r>
    </w:p>
    <w:p>
      <w:pPr>
        <w:spacing w:line="360" w:lineRule="auto"/>
        <w:ind w:firstLine="480" w:firstLineChars="200"/>
        <w:rPr>
          <w:color w:val="auto"/>
          <w:sz w:val="24"/>
        </w:rPr>
      </w:pPr>
      <w:r>
        <w:rPr>
          <w:i/>
          <w:color w:val="auto"/>
          <w:sz w:val="24"/>
        </w:rPr>
        <w:t>D</w:t>
      </w:r>
      <w:r>
        <w:rPr>
          <w:color w:val="auto"/>
          <w:sz w:val="24"/>
          <w:vertAlign w:val="subscript"/>
        </w:rPr>
        <w:t>L</w:t>
      </w:r>
      <w:r>
        <w:rPr>
          <w:color w:val="auto"/>
          <w:sz w:val="24"/>
        </w:rPr>
        <w:t>—纵向弥散系数，m</w:t>
      </w:r>
      <w:r>
        <w:rPr>
          <w:color w:val="auto"/>
          <w:sz w:val="24"/>
          <w:vertAlign w:val="superscript"/>
        </w:rPr>
        <w:t>2</w:t>
      </w:r>
      <w:r>
        <w:rPr>
          <w:color w:val="auto"/>
          <w:sz w:val="24"/>
        </w:rPr>
        <w:t>/d；</w:t>
      </w:r>
    </w:p>
    <w:p>
      <w:pPr>
        <w:spacing w:line="360" w:lineRule="auto"/>
        <w:ind w:firstLine="480" w:firstLineChars="200"/>
        <w:rPr>
          <w:color w:val="auto"/>
          <w:sz w:val="24"/>
        </w:rPr>
      </w:pPr>
      <w:r>
        <w:rPr>
          <w:color w:val="auto"/>
          <w:sz w:val="24"/>
        </w:rPr>
        <w:t>erfc()—余差数函数；</w:t>
      </w:r>
    </w:p>
    <w:p>
      <w:pPr>
        <w:spacing w:line="360" w:lineRule="auto"/>
        <w:ind w:left="568"/>
        <w:rPr>
          <w:color w:val="auto"/>
          <w:sz w:val="24"/>
        </w:rPr>
      </w:pPr>
      <w:r>
        <w:rPr>
          <w:color w:val="auto"/>
          <w:sz w:val="24"/>
        </w:rPr>
        <w:t>模式中参数的确定</w:t>
      </w:r>
      <w:r>
        <w:rPr>
          <w:rFonts w:hint="eastAsia"/>
          <w:color w:val="auto"/>
          <w:sz w:val="24"/>
        </w:rPr>
        <w:t>：</w:t>
      </w:r>
    </w:p>
    <w:p>
      <w:pPr>
        <w:adjustRightInd w:val="0"/>
        <w:snapToGrid w:val="0"/>
        <w:spacing w:line="360" w:lineRule="auto"/>
        <w:ind w:firstLine="480" w:firstLineChars="200"/>
        <w:rPr>
          <w:color w:val="auto"/>
          <w:sz w:val="24"/>
        </w:rPr>
      </w:pPr>
      <w:r>
        <w:rPr>
          <w:rFonts w:hint="eastAsia"/>
          <w:color w:val="auto"/>
          <w:sz w:val="24"/>
        </w:rPr>
        <w:t>本项目</w:t>
      </w:r>
      <w:r>
        <w:rPr>
          <w:color w:val="auto"/>
          <w:sz w:val="24"/>
        </w:rPr>
        <w:t>含水层主要</w:t>
      </w:r>
      <w:r>
        <w:rPr>
          <w:rFonts w:hint="eastAsia"/>
          <w:color w:val="auto"/>
          <w:sz w:val="24"/>
        </w:rPr>
        <w:t>为细砂</w:t>
      </w:r>
      <w:r>
        <w:rPr>
          <w:color w:val="auto"/>
          <w:sz w:val="24"/>
        </w:rPr>
        <w:t>，根据</w:t>
      </w:r>
      <w:r>
        <w:rPr>
          <w:rFonts w:hint="eastAsia"/>
          <w:color w:val="auto"/>
          <w:sz w:val="24"/>
        </w:rPr>
        <w:t>《环境影响评价技术导则 地下水环境》附录B，渗透系数5~10</w:t>
      </w:r>
      <w:r>
        <w:rPr>
          <w:color w:val="auto"/>
          <w:sz w:val="24"/>
        </w:rPr>
        <w:t>m/d</w:t>
      </w:r>
      <w:r>
        <w:rPr>
          <w:rFonts w:hint="eastAsia"/>
          <w:color w:val="auto"/>
          <w:sz w:val="24"/>
        </w:rPr>
        <w:t>，本项目</w:t>
      </w:r>
      <w:r>
        <w:rPr>
          <w:color w:val="auto"/>
          <w:sz w:val="24"/>
        </w:rPr>
        <w:t>渗透系数取</w:t>
      </w:r>
      <w:r>
        <w:rPr>
          <w:rFonts w:hint="eastAsia"/>
          <w:color w:val="auto"/>
          <w:sz w:val="24"/>
        </w:rPr>
        <w:t>5</w:t>
      </w:r>
      <w:r>
        <w:rPr>
          <w:color w:val="auto"/>
          <w:sz w:val="24"/>
        </w:rPr>
        <w:t>m/d；水力坡度取I=1</w:t>
      </w:r>
      <w:r>
        <w:rPr>
          <w:rFonts w:hint="eastAsia"/>
          <w:color w:val="auto"/>
          <w:sz w:val="24"/>
        </w:rPr>
        <w:t>%</w:t>
      </w:r>
      <w:r>
        <w:rPr>
          <w:color w:val="auto"/>
          <w:sz w:val="24"/>
        </w:rPr>
        <w:t>；水流速度为</w:t>
      </w:r>
      <w:r>
        <w:rPr>
          <w:rFonts w:hint="eastAsia"/>
          <w:color w:val="auto"/>
          <w:sz w:val="24"/>
        </w:rPr>
        <w:t>0.0</w:t>
      </w:r>
      <w:r>
        <w:rPr>
          <w:rFonts w:hint="eastAsia"/>
          <w:color w:val="auto"/>
          <w:sz w:val="24"/>
          <w:lang w:val="en-US" w:eastAsia="zh-CN"/>
        </w:rPr>
        <w:t>1</w:t>
      </w:r>
      <w:r>
        <w:rPr>
          <w:color w:val="auto"/>
          <w:sz w:val="24"/>
        </w:rPr>
        <w:t>m/d。本项目有效孔隙度取0.</w:t>
      </w:r>
      <w:r>
        <w:rPr>
          <w:rFonts w:hint="eastAsia"/>
          <w:color w:val="auto"/>
          <w:sz w:val="24"/>
        </w:rPr>
        <w:t>4</w:t>
      </w:r>
      <w:r>
        <w:rPr>
          <w:color w:val="auto"/>
          <w:sz w:val="24"/>
        </w:rPr>
        <w:t>。弥散系数：纵横弥散系数根据含水层岩性及渗透系数、水力坡度等因素，参照相同地区的经验值确定，0.2m</w:t>
      </w:r>
      <w:r>
        <w:rPr>
          <w:color w:val="auto"/>
          <w:sz w:val="24"/>
          <w:vertAlign w:val="superscript"/>
        </w:rPr>
        <w:t>2</w:t>
      </w:r>
      <w:r>
        <w:rPr>
          <w:color w:val="auto"/>
          <w:sz w:val="24"/>
        </w:rPr>
        <w:t>/d。</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color w:val="auto"/>
          <w:sz w:val="24"/>
        </w:rPr>
      </w:pPr>
      <w:r>
        <w:rPr>
          <w:b/>
          <w:color w:val="auto"/>
          <w:sz w:val="24"/>
        </w:rPr>
        <w:t>表5-2-1</w:t>
      </w:r>
      <w:r>
        <w:rPr>
          <w:rFonts w:hint="eastAsia"/>
          <w:b/>
          <w:color w:val="auto"/>
          <w:sz w:val="24"/>
          <w:lang w:val="en-US" w:eastAsia="zh-CN"/>
        </w:rPr>
        <w:t>9</w:t>
      </w:r>
      <w:r>
        <w:rPr>
          <w:b/>
          <w:color w:val="auto"/>
          <w:sz w:val="24"/>
        </w:rPr>
        <w:t>预测参数</w:t>
      </w:r>
    </w:p>
    <w:tbl>
      <w:tblPr>
        <w:tblStyle w:val="46"/>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0"/>
        <w:gridCol w:w="2131"/>
        <w:gridCol w:w="21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2130" w:type="dxa"/>
            <w:vAlign w:val="center"/>
          </w:tcPr>
          <w:p>
            <w:pPr>
              <w:spacing w:line="0" w:lineRule="atLeast"/>
              <w:contextualSpacing/>
              <w:jc w:val="center"/>
              <w:rPr>
                <w:color w:val="auto"/>
                <w:szCs w:val="21"/>
              </w:rPr>
            </w:pPr>
            <w:bookmarkStart w:id="194" w:name="_Hlk522485953"/>
            <w:r>
              <w:rPr>
                <w:color w:val="auto"/>
                <w:szCs w:val="21"/>
              </w:rPr>
              <w:t>含水层参数</w:t>
            </w:r>
          </w:p>
        </w:tc>
        <w:tc>
          <w:tcPr>
            <w:tcW w:w="2130" w:type="dxa"/>
            <w:vAlign w:val="center"/>
          </w:tcPr>
          <w:p>
            <w:pPr>
              <w:spacing w:line="0" w:lineRule="atLeast"/>
              <w:contextualSpacing/>
              <w:jc w:val="center"/>
              <w:rPr>
                <w:color w:val="auto"/>
                <w:szCs w:val="21"/>
              </w:rPr>
            </w:pPr>
            <w:r>
              <w:rPr>
                <w:color w:val="auto"/>
                <w:szCs w:val="21"/>
              </w:rPr>
              <w:t>取值</w:t>
            </w:r>
          </w:p>
        </w:tc>
        <w:tc>
          <w:tcPr>
            <w:tcW w:w="2131" w:type="dxa"/>
            <w:vAlign w:val="center"/>
          </w:tcPr>
          <w:p>
            <w:pPr>
              <w:spacing w:line="0" w:lineRule="atLeast"/>
              <w:contextualSpacing/>
              <w:jc w:val="center"/>
              <w:rPr>
                <w:color w:val="auto"/>
                <w:szCs w:val="21"/>
              </w:rPr>
            </w:pPr>
            <w:r>
              <w:rPr>
                <w:color w:val="auto"/>
                <w:szCs w:val="21"/>
              </w:rPr>
              <w:t>含水层参数</w:t>
            </w:r>
          </w:p>
        </w:tc>
        <w:tc>
          <w:tcPr>
            <w:tcW w:w="2131" w:type="dxa"/>
            <w:vAlign w:val="center"/>
          </w:tcPr>
          <w:p>
            <w:pPr>
              <w:spacing w:line="0" w:lineRule="atLeast"/>
              <w:contextualSpacing/>
              <w:jc w:val="center"/>
              <w:rPr>
                <w:color w:val="auto"/>
                <w:szCs w:val="21"/>
              </w:rPr>
            </w:pPr>
            <w:r>
              <w:rPr>
                <w:color w:val="auto"/>
                <w:szCs w:val="21"/>
              </w:rPr>
              <w:t>取值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vAlign w:val="center"/>
          </w:tcPr>
          <w:p>
            <w:pPr>
              <w:spacing w:line="0" w:lineRule="atLeast"/>
              <w:contextualSpacing/>
              <w:jc w:val="center"/>
              <w:rPr>
                <w:color w:val="auto"/>
                <w:szCs w:val="21"/>
              </w:rPr>
            </w:pPr>
            <w:r>
              <w:rPr>
                <w:color w:val="auto"/>
                <w:szCs w:val="21"/>
              </w:rPr>
              <w:t>渗透系数</w:t>
            </w:r>
          </w:p>
        </w:tc>
        <w:tc>
          <w:tcPr>
            <w:tcW w:w="2130" w:type="dxa"/>
            <w:vAlign w:val="center"/>
          </w:tcPr>
          <w:p>
            <w:pPr>
              <w:spacing w:line="0" w:lineRule="atLeast"/>
              <w:contextualSpacing/>
              <w:jc w:val="center"/>
              <w:rPr>
                <w:color w:val="auto"/>
                <w:szCs w:val="21"/>
              </w:rPr>
            </w:pPr>
            <w:r>
              <w:rPr>
                <w:rFonts w:hint="eastAsia"/>
                <w:color w:val="auto"/>
                <w:szCs w:val="21"/>
              </w:rPr>
              <w:t>5</w:t>
            </w:r>
            <w:r>
              <w:rPr>
                <w:color w:val="auto"/>
                <w:szCs w:val="21"/>
              </w:rPr>
              <w:t>m/d</w:t>
            </w:r>
          </w:p>
        </w:tc>
        <w:tc>
          <w:tcPr>
            <w:tcW w:w="2131" w:type="dxa"/>
            <w:vAlign w:val="center"/>
          </w:tcPr>
          <w:p>
            <w:pPr>
              <w:spacing w:line="0" w:lineRule="atLeast"/>
              <w:contextualSpacing/>
              <w:jc w:val="center"/>
              <w:rPr>
                <w:color w:val="auto"/>
                <w:szCs w:val="21"/>
              </w:rPr>
            </w:pPr>
            <w:r>
              <w:rPr>
                <w:color w:val="auto"/>
                <w:szCs w:val="21"/>
              </w:rPr>
              <w:t>水利坡度</w:t>
            </w:r>
          </w:p>
        </w:tc>
        <w:tc>
          <w:tcPr>
            <w:tcW w:w="2131" w:type="dxa"/>
            <w:vAlign w:val="center"/>
          </w:tcPr>
          <w:p>
            <w:pPr>
              <w:spacing w:line="0" w:lineRule="atLeast"/>
              <w:contextualSpacing/>
              <w:jc w:val="center"/>
              <w:rPr>
                <w:color w:val="auto"/>
                <w:szCs w:val="21"/>
              </w:rPr>
            </w:pPr>
            <w:r>
              <w:rPr>
                <w:rFonts w:hint="eastAsia"/>
                <w:color w:val="auto"/>
                <w:szCs w:val="21"/>
              </w:rPr>
              <w:t>1</w:t>
            </w: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vAlign w:val="center"/>
          </w:tcPr>
          <w:p>
            <w:pPr>
              <w:spacing w:line="0" w:lineRule="atLeast"/>
              <w:contextualSpacing/>
              <w:jc w:val="center"/>
              <w:rPr>
                <w:color w:val="auto"/>
                <w:szCs w:val="21"/>
              </w:rPr>
            </w:pPr>
            <w:r>
              <w:rPr>
                <w:color w:val="auto"/>
                <w:szCs w:val="21"/>
              </w:rPr>
              <w:t>有效孔隙率</w:t>
            </w:r>
          </w:p>
        </w:tc>
        <w:tc>
          <w:tcPr>
            <w:tcW w:w="2130" w:type="dxa"/>
            <w:vAlign w:val="center"/>
          </w:tcPr>
          <w:p>
            <w:pPr>
              <w:spacing w:line="0" w:lineRule="atLeast"/>
              <w:contextualSpacing/>
              <w:jc w:val="center"/>
              <w:rPr>
                <w:color w:val="auto"/>
                <w:szCs w:val="21"/>
              </w:rPr>
            </w:pPr>
            <w:r>
              <w:rPr>
                <w:color w:val="auto"/>
                <w:szCs w:val="21"/>
              </w:rPr>
              <w:t>0.</w:t>
            </w:r>
            <w:r>
              <w:rPr>
                <w:rFonts w:hint="eastAsia"/>
                <w:color w:val="auto"/>
                <w:szCs w:val="21"/>
              </w:rPr>
              <w:t>4</w:t>
            </w:r>
          </w:p>
        </w:tc>
        <w:tc>
          <w:tcPr>
            <w:tcW w:w="2131" w:type="dxa"/>
            <w:vAlign w:val="center"/>
          </w:tcPr>
          <w:p>
            <w:pPr>
              <w:spacing w:line="0" w:lineRule="atLeast"/>
              <w:contextualSpacing/>
              <w:jc w:val="center"/>
              <w:rPr>
                <w:color w:val="auto"/>
                <w:szCs w:val="21"/>
              </w:rPr>
            </w:pPr>
            <w:r>
              <w:rPr>
                <w:color w:val="auto"/>
                <w:szCs w:val="21"/>
              </w:rPr>
              <w:t>弥散系数</w:t>
            </w:r>
          </w:p>
        </w:tc>
        <w:tc>
          <w:tcPr>
            <w:tcW w:w="2131" w:type="dxa"/>
            <w:vAlign w:val="center"/>
          </w:tcPr>
          <w:p>
            <w:pPr>
              <w:spacing w:line="0" w:lineRule="atLeast"/>
              <w:contextualSpacing/>
              <w:jc w:val="center"/>
              <w:rPr>
                <w:color w:val="auto"/>
                <w:szCs w:val="21"/>
              </w:rPr>
            </w:pPr>
            <w:r>
              <w:rPr>
                <w:color w:val="auto"/>
                <w:szCs w:val="21"/>
              </w:rPr>
              <w:t>0.</w:t>
            </w:r>
            <w:r>
              <w:rPr>
                <w:rFonts w:hint="eastAsia"/>
                <w:color w:val="auto"/>
                <w:szCs w:val="21"/>
              </w:rPr>
              <w:t>2</w:t>
            </w:r>
            <w:r>
              <w:rPr>
                <w:color w:val="auto"/>
                <w:szCs w:val="21"/>
              </w:rPr>
              <w:t>m</w:t>
            </w:r>
            <w:r>
              <w:rPr>
                <w:color w:val="auto"/>
                <w:szCs w:val="21"/>
                <w:vertAlign w:val="superscript"/>
              </w:rPr>
              <w:t>2</w:t>
            </w:r>
            <w:r>
              <w:rPr>
                <w:color w:val="auto"/>
                <w:szCs w:val="21"/>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 w:hRule="atLeast"/>
          <w:jc w:val="center"/>
        </w:trPr>
        <w:tc>
          <w:tcPr>
            <w:tcW w:w="2130" w:type="dxa"/>
            <w:vAlign w:val="center"/>
          </w:tcPr>
          <w:p>
            <w:pPr>
              <w:spacing w:line="0" w:lineRule="atLeast"/>
              <w:contextualSpacing/>
              <w:jc w:val="center"/>
              <w:rPr>
                <w:color w:val="auto"/>
                <w:szCs w:val="21"/>
              </w:rPr>
            </w:pPr>
            <w:r>
              <w:rPr>
                <w:color w:val="auto"/>
                <w:szCs w:val="21"/>
              </w:rPr>
              <w:t>流速</w:t>
            </w:r>
          </w:p>
        </w:tc>
        <w:tc>
          <w:tcPr>
            <w:tcW w:w="6392" w:type="dxa"/>
            <w:gridSpan w:val="3"/>
            <w:vAlign w:val="center"/>
          </w:tcPr>
          <w:p>
            <w:pPr>
              <w:spacing w:line="0" w:lineRule="atLeast"/>
              <w:contextualSpacing/>
              <w:jc w:val="center"/>
              <w:rPr>
                <w:color w:val="auto"/>
                <w:szCs w:val="21"/>
              </w:rPr>
            </w:pPr>
            <w:r>
              <w:rPr>
                <w:color w:val="auto"/>
                <w:szCs w:val="21"/>
              </w:rPr>
              <w:t>0.</w:t>
            </w:r>
            <w:r>
              <w:rPr>
                <w:rFonts w:hint="eastAsia"/>
                <w:color w:val="auto"/>
                <w:szCs w:val="21"/>
              </w:rPr>
              <w:t>0</w:t>
            </w:r>
            <w:r>
              <w:rPr>
                <w:rFonts w:hint="eastAsia"/>
                <w:color w:val="auto"/>
                <w:szCs w:val="21"/>
                <w:lang w:val="en-US" w:eastAsia="zh-CN"/>
              </w:rPr>
              <w:t>1</w:t>
            </w:r>
            <w:r>
              <w:rPr>
                <w:color w:val="auto"/>
                <w:szCs w:val="21"/>
              </w:rPr>
              <w:t>m/d</w:t>
            </w:r>
          </w:p>
        </w:tc>
      </w:tr>
      <w:bookmarkEnd w:id="194"/>
    </w:tbl>
    <w:p>
      <w:pPr>
        <w:spacing w:line="360" w:lineRule="auto"/>
        <w:ind w:firstLine="480" w:firstLineChars="200"/>
        <w:contextualSpacing/>
        <w:rPr>
          <w:color w:val="auto"/>
          <w:sz w:val="24"/>
        </w:rPr>
      </w:pPr>
      <w:r>
        <w:rPr>
          <w:rFonts w:hint="eastAsia"/>
          <w:color w:val="auto"/>
          <w:sz w:val="24"/>
        </w:rPr>
        <w:t>⑤</w:t>
      </w:r>
      <w:r>
        <w:rPr>
          <w:color w:val="auto"/>
          <w:sz w:val="24"/>
        </w:rPr>
        <w:t>预测结果</w:t>
      </w:r>
    </w:p>
    <w:p>
      <w:pPr>
        <w:spacing w:line="360" w:lineRule="auto"/>
        <w:ind w:firstLine="495"/>
        <w:rPr>
          <w:color w:val="auto"/>
          <w:sz w:val="24"/>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color w:val="auto"/>
          <w:sz w:val="24"/>
        </w:rPr>
        <w:t>预测计算结果见下表。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color w:val="auto"/>
          <w:kern w:val="0"/>
          <w:sz w:val="24"/>
        </w:rPr>
      </w:pPr>
      <w:r>
        <w:rPr>
          <w:b/>
          <w:color w:val="auto"/>
          <w:kern w:val="0"/>
          <w:sz w:val="24"/>
        </w:rPr>
        <w:t>表5-2-</w:t>
      </w:r>
      <w:r>
        <w:rPr>
          <w:rFonts w:hint="eastAsia"/>
          <w:b/>
          <w:color w:val="auto"/>
          <w:kern w:val="0"/>
          <w:sz w:val="24"/>
          <w:lang w:val="en-US" w:eastAsia="zh-CN"/>
        </w:rPr>
        <w:t>20</w:t>
      </w:r>
      <w:r>
        <w:rPr>
          <w:b/>
          <w:color w:val="auto"/>
          <w:kern w:val="0"/>
          <w:sz w:val="24"/>
        </w:rPr>
        <w:t>地下预测结果（污水处理站隔油池泄漏）</w:t>
      </w:r>
    </w:p>
    <w:tbl>
      <w:tblPr>
        <w:tblStyle w:val="46"/>
        <w:tblW w:w="0" w:type="auto"/>
        <w:tblInd w:w="0" w:type="dxa"/>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979"/>
        <w:gridCol w:w="1332"/>
        <w:gridCol w:w="979"/>
        <w:gridCol w:w="1332"/>
        <w:gridCol w:w="935"/>
        <w:gridCol w:w="1275"/>
        <w:gridCol w:w="993"/>
        <w:gridCol w:w="1275"/>
        <w:gridCol w:w="1134"/>
        <w:gridCol w:w="1418"/>
        <w:gridCol w:w="1134"/>
        <w:gridCol w:w="1228"/>
      </w:tblGrid>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64" w:hRule="atLeast"/>
        </w:trPr>
        <w:tc>
          <w:tcPr>
            <w:tcW w:w="6832" w:type="dxa"/>
            <w:gridSpan w:val="6"/>
            <w:vAlign w:val="center"/>
          </w:tcPr>
          <w:p>
            <w:pPr>
              <w:pStyle w:val="84"/>
              <w:spacing w:line="0" w:lineRule="atLeast"/>
              <w:contextualSpacing/>
              <w:rPr>
                <w:rFonts w:hAnsi="Times New Roman"/>
                <w:color w:val="auto"/>
              </w:rPr>
            </w:pPr>
            <w:r>
              <w:rPr>
                <w:rFonts w:hint="eastAsia" w:hAnsi="Times New Roman"/>
                <w:snapToGrid w:val="0"/>
                <w:color w:val="auto"/>
              </w:rPr>
              <w:t>COD</w:t>
            </w:r>
          </w:p>
        </w:tc>
        <w:tc>
          <w:tcPr>
            <w:tcW w:w="7182" w:type="dxa"/>
            <w:gridSpan w:val="6"/>
            <w:vAlign w:val="center"/>
          </w:tcPr>
          <w:p>
            <w:pPr>
              <w:pStyle w:val="84"/>
              <w:spacing w:line="0" w:lineRule="atLeast"/>
              <w:contextualSpacing/>
              <w:rPr>
                <w:rFonts w:hAnsi="Times New Roman"/>
                <w:color w:val="auto"/>
              </w:rPr>
            </w:pPr>
            <w:r>
              <w:rPr>
                <w:rFonts w:hAnsi="Times New Roman"/>
                <w:color w:val="auto"/>
              </w:rPr>
              <w:t>氨氮</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64" w:hRule="atLeast"/>
        </w:trPr>
        <w:tc>
          <w:tcPr>
            <w:tcW w:w="2311" w:type="dxa"/>
            <w:gridSpan w:val="2"/>
            <w:vAlign w:val="center"/>
          </w:tcPr>
          <w:p>
            <w:pPr>
              <w:spacing w:line="0" w:lineRule="atLeast"/>
              <w:contextualSpacing/>
              <w:jc w:val="center"/>
              <w:rPr>
                <w:color w:val="auto"/>
                <w:szCs w:val="21"/>
              </w:rPr>
            </w:pPr>
            <w:r>
              <w:rPr>
                <w:color w:val="auto"/>
                <w:szCs w:val="21"/>
              </w:rPr>
              <w:t>100天</w:t>
            </w:r>
          </w:p>
        </w:tc>
        <w:tc>
          <w:tcPr>
            <w:tcW w:w="2311" w:type="dxa"/>
            <w:gridSpan w:val="2"/>
            <w:vAlign w:val="center"/>
          </w:tcPr>
          <w:p>
            <w:pPr>
              <w:spacing w:line="0" w:lineRule="atLeast"/>
              <w:contextualSpacing/>
              <w:jc w:val="center"/>
              <w:rPr>
                <w:color w:val="auto"/>
                <w:szCs w:val="21"/>
              </w:rPr>
            </w:pPr>
            <w:r>
              <w:rPr>
                <w:color w:val="auto"/>
                <w:szCs w:val="21"/>
              </w:rPr>
              <w:t>1000天</w:t>
            </w:r>
          </w:p>
        </w:tc>
        <w:tc>
          <w:tcPr>
            <w:tcW w:w="2210" w:type="dxa"/>
            <w:gridSpan w:val="2"/>
            <w:vAlign w:val="center"/>
          </w:tcPr>
          <w:p>
            <w:pPr>
              <w:spacing w:line="0" w:lineRule="atLeast"/>
              <w:contextualSpacing/>
              <w:jc w:val="center"/>
              <w:rPr>
                <w:color w:val="auto"/>
                <w:szCs w:val="21"/>
              </w:rPr>
            </w:pPr>
            <w:r>
              <w:rPr>
                <w:rFonts w:hint="eastAsia"/>
                <w:color w:val="auto"/>
                <w:szCs w:val="21"/>
              </w:rPr>
              <w:t>20年（服务年限）</w:t>
            </w:r>
          </w:p>
        </w:tc>
        <w:tc>
          <w:tcPr>
            <w:tcW w:w="2268" w:type="dxa"/>
            <w:gridSpan w:val="2"/>
            <w:vAlign w:val="center"/>
          </w:tcPr>
          <w:p>
            <w:pPr>
              <w:spacing w:line="0" w:lineRule="atLeast"/>
              <w:contextualSpacing/>
              <w:jc w:val="center"/>
              <w:rPr>
                <w:color w:val="auto"/>
                <w:szCs w:val="21"/>
              </w:rPr>
            </w:pPr>
            <w:r>
              <w:rPr>
                <w:color w:val="auto"/>
                <w:szCs w:val="21"/>
              </w:rPr>
              <w:t>100天</w:t>
            </w:r>
          </w:p>
        </w:tc>
        <w:tc>
          <w:tcPr>
            <w:tcW w:w="2552" w:type="dxa"/>
            <w:gridSpan w:val="2"/>
            <w:vAlign w:val="center"/>
          </w:tcPr>
          <w:p>
            <w:pPr>
              <w:spacing w:line="0" w:lineRule="atLeast"/>
              <w:contextualSpacing/>
              <w:jc w:val="center"/>
              <w:rPr>
                <w:color w:val="auto"/>
                <w:szCs w:val="21"/>
              </w:rPr>
            </w:pPr>
            <w:r>
              <w:rPr>
                <w:color w:val="auto"/>
                <w:szCs w:val="21"/>
              </w:rPr>
              <w:t>1000天</w:t>
            </w:r>
          </w:p>
        </w:tc>
        <w:tc>
          <w:tcPr>
            <w:tcW w:w="2362" w:type="dxa"/>
            <w:gridSpan w:val="2"/>
            <w:vAlign w:val="center"/>
          </w:tcPr>
          <w:p>
            <w:pPr>
              <w:spacing w:line="0" w:lineRule="atLeast"/>
              <w:contextualSpacing/>
              <w:jc w:val="center"/>
              <w:rPr>
                <w:color w:val="auto"/>
                <w:szCs w:val="21"/>
              </w:rPr>
            </w:pPr>
            <w:r>
              <w:rPr>
                <w:rFonts w:hint="eastAsia"/>
                <w:color w:val="auto"/>
                <w:szCs w:val="21"/>
              </w:rPr>
              <w:t>20年（服务年限）</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8" w:hRule="atLeast"/>
        </w:trPr>
        <w:tc>
          <w:tcPr>
            <w:tcW w:w="979" w:type="dxa"/>
            <w:vAlign w:val="center"/>
          </w:tcPr>
          <w:p>
            <w:pPr>
              <w:spacing w:line="0" w:lineRule="atLeast"/>
              <w:contextualSpacing/>
              <w:jc w:val="center"/>
              <w:rPr>
                <w:color w:val="auto"/>
                <w:szCs w:val="21"/>
              </w:rPr>
            </w:pPr>
            <w:r>
              <w:rPr>
                <w:color w:val="auto"/>
                <w:szCs w:val="21"/>
              </w:rPr>
              <w:t>距离（m）</w:t>
            </w:r>
          </w:p>
        </w:tc>
        <w:tc>
          <w:tcPr>
            <w:tcW w:w="1332" w:type="dxa"/>
            <w:vAlign w:val="center"/>
          </w:tcPr>
          <w:p>
            <w:pPr>
              <w:spacing w:line="0" w:lineRule="atLeast"/>
              <w:contextualSpacing/>
              <w:jc w:val="center"/>
              <w:rPr>
                <w:color w:val="auto"/>
                <w:szCs w:val="21"/>
              </w:rPr>
            </w:pPr>
            <w:r>
              <w:rPr>
                <w:color w:val="auto"/>
                <w:szCs w:val="21"/>
              </w:rPr>
              <w:t>浓度（mg/L）</w:t>
            </w:r>
          </w:p>
        </w:tc>
        <w:tc>
          <w:tcPr>
            <w:tcW w:w="979" w:type="dxa"/>
            <w:vAlign w:val="center"/>
          </w:tcPr>
          <w:p>
            <w:pPr>
              <w:spacing w:line="0" w:lineRule="atLeast"/>
              <w:contextualSpacing/>
              <w:jc w:val="center"/>
              <w:rPr>
                <w:color w:val="auto"/>
                <w:szCs w:val="21"/>
              </w:rPr>
            </w:pPr>
            <w:r>
              <w:rPr>
                <w:color w:val="auto"/>
                <w:szCs w:val="21"/>
              </w:rPr>
              <w:t>距离（m）</w:t>
            </w:r>
          </w:p>
        </w:tc>
        <w:tc>
          <w:tcPr>
            <w:tcW w:w="1332" w:type="dxa"/>
            <w:vAlign w:val="center"/>
          </w:tcPr>
          <w:p>
            <w:pPr>
              <w:spacing w:line="0" w:lineRule="atLeast"/>
              <w:contextualSpacing/>
              <w:jc w:val="center"/>
              <w:rPr>
                <w:color w:val="auto"/>
                <w:szCs w:val="21"/>
              </w:rPr>
            </w:pPr>
            <w:r>
              <w:rPr>
                <w:color w:val="auto"/>
                <w:szCs w:val="21"/>
              </w:rPr>
              <w:t>浓度（mg/L）</w:t>
            </w:r>
          </w:p>
        </w:tc>
        <w:tc>
          <w:tcPr>
            <w:tcW w:w="935" w:type="dxa"/>
            <w:vAlign w:val="center"/>
          </w:tcPr>
          <w:p>
            <w:pPr>
              <w:spacing w:line="0" w:lineRule="atLeast"/>
              <w:contextualSpacing/>
              <w:jc w:val="center"/>
              <w:rPr>
                <w:color w:val="auto"/>
                <w:szCs w:val="21"/>
              </w:rPr>
            </w:pPr>
            <w:r>
              <w:rPr>
                <w:color w:val="auto"/>
                <w:szCs w:val="21"/>
              </w:rPr>
              <w:t>距离（m）</w:t>
            </w:r>
          </w:p>
        </w:tc>
        <w:tc>
          <w:tcPr>
            <w:tcW w:w="1275" w:type="dxa"/>
            <w:vAlign w:val="center"/>
          </w:tcPr>
          <w:p>
            <w:pPr>
              <w:spacing w:line="0" w:lineRule="atLeast"/>
              <w:contextualSpacing/>
              <w:jc w:val="center"/>
              <w:rPr>
                <w:color w:val="auto"/>
                <w:szCs w:val="21"/>
              </w:rPr>
            </w:pPr>
            <w:r>
              <w:rPr>
                <w:color w:val="auto"/>
                <w:szCs w:val="21"/>
              </w:rPr>
              <w:t>浓度（mg/L）</w:t>
            </w:r>
          </w:p>
        </w:tc>
        <w:tc>
          <w:tcPr>
            <w:tcW w:w="993" w:type="dxa"/>
            <w:vAlign w:val="center"/>
          </w:tcPr>
          <w:p>
            <w:pPr>
              <w:spacing w:line="0" w:lineRule="atLeast"/>
              <w:contextualSpacing/>
              <w:jc w:val="center"/>
              <w:rPr>
                <w:color w:val="auto"/>
                <w:szCs w:val="21"/>
              </w:rPr>
            </w:pPr>
            <w:r>
              <w:rPr>
                <w:color w:val="auto"/>
                <w:szCs w:val="21"/>
              </w:rPr>
              <w:t>距离（m）</w:t>
            </w:r>
          </w:p>
        </w:tc>
        <w:tc>
          <w:tcPr>
            <w:tcW w:w="1275" w:type="dxa"/>
            <w:vAlign w:val="center"/>
          </w:tcPr>
          <w:p>
            <w:pPr>
              <w:spacing w:line="0" w:lineRule="atLeast"/>
              <w:contextualSpacing/>
              <w:jc w:val="center"/>
              <w:rPr>
                <w:color w:val="auto"/>
                <w:szCs w:val="21"/>
              </w:rPr>
            </w:pPr>
            <w:r>
              <w:rPr>
                <w:color w:val="auto"/>
                <w:szCs w:val="21"/>
              </w:rPr>
              <w:t>浓度（mg/L）</w:t>
            </w:r>
          </w:p>
        </w:tc>
        <w:tc>
          <w:tcPr>
            <w:tcW w:w="1134" w:type="dxa"/>
            <w:vAlign w:val="center"/>
          </w:tcPr>
          <w:p>
            <w:pPr>
              <w:spacing w:line="0" w:lineRule="atLeast"/>
              <w:contextualSpacing/>
              <w:jc w:val="center"/>
              <w:rPr>
                <w:color w:val="auto"/>
                <w:szCs w:val="21"/>
              </w:rPr>
            </w:pPr>
            <w:r>
              <w:rPr>
                <w:color w:val="auto"/>
                <w:szCs w:val="21"/>
              </w:rPr>
              <w:t>距离（m）</w:t>
            </w:r>
          </w:p>
        </w:tc>
        <w:tc>
          <w:tcPr>
            <w:tcW w:w="1418" w:type="dxa"/>
            <w:vAlign w:val="center"/>
          </w:tcPr>
          <w:p>
            <w:pPr>
              <w:spacing w:line="0" w:lineRule="atLeast"/>
              <w:contextualSpacing/>
              <w:jc w:val="center"/>
              <w:rPr>
                <w:color w:val="auto"/>
                <w:szCs w:val="21"/>
              </w:rPr>
            </w:pPr>
            <w:r>
              <w:rPr>
                <w:color w:val="auto"/>
                <w:szCs w:val="21"/>
              </w:rPr>
              <w:t>浓度（mg/L）</w:t>
            </w:r>
          </w:p>
        </w:tc>
        <w:tc>
          <w:tcPr>
            <w:tcW w:w="1134" w:type="dxa"/>
            <w:vAlign w:val="center"/>
          </w:tcPr>
          <w:p>
            <w:pPr>
              <w:spacing w:line="0" w:lineRule="atLeast"/>
              <w:contextualSpacing/>
              <w:jc w:val="center"/>
              <w:rPr>
                <w:color w:val="auto"/>
                <w:szCs w:val="21"/>
              </w:rPr>
            </w:pPr>
            <w:r>
              <w:rPr>
                <w:color w:val="auto"/>
                <w:szCs w:val="21"/>
              </w:rPr>
              <w:t>距离（m）</w:t>
            </w:r>
          </w:p>
        </w:tc>
        <w:tc>
          <w:tcPr>
            <w:tcW w:w="1228" w:type="dxa"/>
            <w:vAlign w:val="center"/>
          </w:tcPr>
          <w:p>
            <w:pPr>
              <w:spacing w:line="0" w:lineRule="atLeast"/>
              <w:contextualSpacing/>
              <w:jc w:val="center"/>
              <w:rPr>
                <w:color w:val="auto"/>
                <w:szCs w:val="21"/>
              </w:rPr>
            </w:pPr>
            <w:r>
              <w:rPr>
                <w:color w:val="auto"/>
                <w:szCs w:val="21"/>
              </w:rPr>
              <w:t>浓度（mg/L）</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6" w:hRule="atLeast"/>
        </w:trPr>
        <w:tc>
          <w:tcPr>
            <w:tcW w:w="979" w:type="dxa"/>
            <w:vAlign w:val="center"/>
          </w:tcPr>
          <w:p>
            <w:pPr>
              <w:spacing w:line="0" w:lineRule="atLeast"/>
              <w:contextualSpacing/>
              <w:jc w:val="center"/>
              <w:rPr>
                <w:color w:val="auto"/>
                <w:szCs w:val="21"/>
              </w:rPr>
            </w:pPr>
            <w:r>
              <w:rPr>
                <w:color w:val="auto"/>
                <w:szCs w:val="21"/>
              </w:rPr>
              <w:t>0</w:t>
            </w:r>
          </w:p>
        </w:tc>
        <w:tc>
          <w:tcPr>
            <w:tcW w:w="1332" w:type="dxa"/>
            <w:vAlign w:val="center"/>
          </w:tcPr>
          <w:p>
            <w:pPr>
              <w:widowControl/>
              <w:spacing w:line="0" w:lineRule="atLeast"/>
              <w:contextualSpacing/>
              <w:jc w:val="center"/>
              <w:textAlignment w:val="center"/>
              <w:rPr>
                <w:rFonts w:hint="eastAsia" w:eastAsia="宋体"/>
                <w:color w:val="auto"/>
                <w:kern w:val="0"/>
                <w:szCs w:val="21"/>
                <w:lang w:eastAsia="zh-CN"/>
              </w:rPr>
            </w:pPr>
            <w:r>
              <w:rPr>
                <w:rFonts w:hint="eastAsia" w:eastAsia="宋体"/>
                <w:color w:val="auto"/>
                <w:kern w:val="0"/>
                <w:szCs w:val="21"/>
                <w:lang w:eastAsia="zh-CN"/>
              </w:rPr>
              <w:t>1.89E+03</w:t>
            </w:r>
          </w:p>
        </w:tc>
        <w:tc>
          <w:tcPr>
            <w:tcW w:w="979" w:type="dxa"/>
            <w:vAlign w:val="center"/>
          </w:tcPr>
          <w:p>
            <w:pPr>
              <w:widowControl/>
              <w:spacing w:line="0" w:lineRule="atLeast"/>
              <w:contextualSpacing/>
              <w:jc w:val="center"/>
              <w:textAlignment w:val="center"/>
              <w:rPr>
                <w:color w:val="auto"/>
                <w:kern w:val="0"/>
                <w:szCs w:val="21"/>
              </w:rPr>
            </w:pPr>
            <w:r>
              <w:rPr>
                <w:color w:val="auto"/>
                <w:kern w:val="0"/>
                <w:szCs w:val="21"/>
              </w:rPr>
              <w:t>0</w:t>
            </w:r>
          </w:p>
        </w:tc>
        <w:tc>
          <w:tcPr>
            <w:tcW w:w="1332" w:type="dxa"/>
            <w:vAlign w:val="center"/>
          </w:tcPr>
          <w:p>
            <w:pPr>
              <w:widowControl/>
              <w:spacing w:line="0" w:lineRule="atLeast"/>
              <w:contextualSpacing/>
              <w:jc w:val="center"/>
              <w:textAlignment w:val="center"/>
              <w:rPr>
                <w:rFonts w:hint="eastAsia" w:eastAsia="宋体"/>
                <w:color w:val="auto"/>
                <w:kern w:val="0"/>
                <w:szCs w:val="21"/>
                <w:lang w:eastAsia="zh-CN"/>
              </w:rPr>
            </w:pPr>
            <w:r>
              <w:rPr>
                <w:rFonts w:hint="eastAsia" w:eastAsia="宋体"/>
                <w:color w:val="auto"/>
                <w:kern w:val="0"/>
                <w:szCs w:val="21"/>
                <w:lang w:eastAsia="zh-CN"/>
              </w:rPr>
              <w:t>1.89E+03</w:t>
            </w:r>
          </w:p>
        </w:tc>
        <w:tc>
          <w:tcPr>
            <w:tcW w:w="935"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1275" w:type="dxa"/>
            <w:vAlign w:val="center"/>
          </w:tcPr>
          <w:p>
            <w:pPr>
              <w:widowControl/>
              <w:spacing w:line="0" w:lineRule="atLeast"/>
              <w:contextualSpacing/>
              <w:jc w:val="center"/>
              <w:textAlignment w:val="center"/>
              <w:rPr>
                <w:rFonts w:hint="eastAsia" w:eastAsia="宋体"/>
                <w:color w:val="auto"/>
                <w:kern w:val="0"/>
                <w:szCs w:val="21"/>
                <w:lang w:eastAsia="zh-CN"/>
              </w:rPr>
            </w:pPr>
            <w:r>
              <w:rPr>
                <w:rFonts w:hint="eastAsia" w:eastAsia="宋体"/>
                <w:color w:val="auto"/>
                <w:kern w:val="0"/>
                <w:szCs w:val="21"/>
                <w:lang w:eastAsia="zh-CN"/>
              </w:rPr>
              <w:t>1.89E+03</w:t>
            </w:r>
          </w:p>
        </w:tc>
        <w:tc>
          <w:tcPr>
            <w:tcW w:w="993" w:type="dxa"/>
            <w:vAlign w:val="center"/>
          </w:tcPr>
          <w:p>
            <w:pPr>
              <w:spacing w:line="0" w:lineRule="atLeast"/>
              <w:contextualSpacing/>
              <w:jc w:val="center"/>
              <w:rPr>
                <w:color w:val="auto"/>
                <w:szCs w:val="21"/>
              </w:rPr>
            </w:pPr>
            <w:r>
              <w:rPr>
                <w:color w:val="auto"/>
                <w:szCs w:val="21"/>
              </w:rPr>
              <w:t>0</w:t>
            </w:r>
          </w:p>
        </w:tc>
        <w:tc>
          <w:tcPr>
            <w:tcW w:w="1275" w:type="dxa"/>
            <w:vAlign w:val="center"/>
          </w:tcPr>
          <w:p>
            <w:pPr>
              <w:widowControl/>
              <w:spacing w:line="0" w:lineRule="atLeast"/>
              <w:contextualSpacing/>
              <w:jc w:val="center"/>
              <w:textAlignment w:val="center"/>
              <w:rPr>
                <w:rFonts w:hint="eastAsia" w:eastAsia="宋体"/>
                <w:color w:val="auto"/>
                <w:kern w:val="0"/>
                <w:szCs w:val="21"/>
                <w:lang w:eastAsia="zh-CN"/>
              </w:rPr>
            </w:pPr>
            <w:r>
              <w:rPr>
                <w:rFonts w:hint="eastAsia" w:eastAsia="宋体"/>
                <w:color w:val="auto"/>
                <w:kern w:val="0"/>
                <w:szCs w:val="21"/>
                <w:lang w:eastAsia="zh-CN"/>
              </w:rPr>
              <w:t>1.42E+02</w:t>
            </w:r>
          </w:p>
        </w:tc>
        <w:tc>
          <w:tcPr>
            <w:tcW w:w="1134" w:type="dxa"/>
            <w:vAlign w:val="center"/>
          </w:tcPr>
          <w:p>
            <w:pPr>
              <w:widowControl/>
              <w:spacing w:line="0" w:lineRule="atLeast"/>
              <w:contextualSpacing/>
              <w:jc w:val="center"/>
              <w:textAlignment w:val="center"/>
              <w:rPr>
                <w:color w:val="auto"/>
                <w:kern w:val="0"/>
                <w:szCs w:val="21"/>
              </w:rPr>
            </w:pPr>
            <w:r>
              <w:rPr>
                <w:color w:val="auto"/>
                <w:kern w:val="0"/>
                <w:szCs w:val="21"/>
              </w:rPr>
              <w:t>0</w:t>
            </w:r>
          </w:p>
        </w:tc>
        <w:tc>
          <w:tcPr>
            <w:tcW w:w="1418" w:type="dxa"/>
            <w:vAlign w:val="center"/>
          </w:tcPr>
          <w:p>
            <w:pPr>
              <w:widowControl/>
              <w:spacing w:line="0" w:lineRule="atLeast"/>
              <w:contextualSpacing/>
              <w:jc w:val="center"/>
              <w:textAlignment w:val="center"/>
              <w:rPr>
                <w:rFonts w:hint="eastAsia" w:eastAsia="宋体"/>
                <w:color w:val="auto"/>
                <w:kern w:val="0"/>
                <w:szCs w:val="21"/>
                <w:lang w:eastAsia="zh-CN"/>
              </w:rPr>
            </w:pPr>
            <w:r>
              <w:rPr>
                <w:rFonts w:hint="eastAsia" w:eastAsia="宋体"/>
                <w:color w:val="auto"/>
                <w:kern w:val="0"/>
                <w:szCs w:val="21"/>
                <w:lang w:eastAsia="zh-CN"/>
              </w:rPr>
              <w:t>1.42E+02</w:t>
            </w:r>
          </w:p>
        </w:tc>
        <w:tc>
          <w:tcPr>
            <w:tcW w:w="1134"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1228" w:type="dxa"/>
            <w:vAlign w:val="center"/>
          </w:tcPr>
          <w:p>
            <w:pPr>
              <w:widowControl/>
              <w:spacing w:line="0" w:lineRule="atLeast"/>
              <w:contextualSpacing/>
              <w:jc w:val="center"/>
              <w:textAlignment w:val="center"/>
              <w:rPr>
                <w:rFonts w:hint="eastAsia" w:eastAsia="宋体"/>
                <w:color w:val="auto"/>
                <w:kern w:val="0"/>
                <w:szCs w:val="21"/>
                <w:lang w:eastAsia="zh-CN"/>
              </w:rPr>
            </w:pPr>
            <w:r>
              <w:rPr>
                <w:rFonts w:hint="eastAsia" w:eastAsia="宋体"/>
                <w:color w:val="auto"/>
                <w:kern w:val="0"/>
                <w:szCs w:val="21"/>
                <w:lang w:eastAsia="zh-CN"/>
              </w:rPr>
              <w:t>1.42E+02</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6" w:hRule="atLeast"/>
        </w:trPr>
        <w:tc>
          <w:tcPr>
            <w:tcW w:w="979" w:type="dxa"/>
            <w:vAlign w:val="center"/>
          </w:tcPr>
          <w:p>
            <w:pPr>
              <w:spacing w:line="0" w:lineRule="atLeast"/>
              <w:contextualSpacing/>
              <w:jc w:val="center"/>
              <w:rPr>
                <w:color w:val="auto"/>
                <w:szCs w:val="21"/>
              </w:rPr>
            </w:pPr>
            <w:r>
              <w:rPr>
                <w:rFonts w:hint="eastAsia"/>
                <w:color w:val="auto"/>
                <w:szCs w:val="21"/>
              </w:rPr>
              <w:t>10</w:t>
            </w:r>
          </w:p>
        </w:tc>
        <w:tc>
          <w:tcPr>
            <w:tcW w:w="1332" w:type="dxa"/>
            <w:vAlign w:val="center"/>
          </w:tcPr>
          <w:p>
            <w:pPr>
              <w:widowControl/>
              <w:spacing w:line="0" w:lineRule="atLeast"/>
              <w:contextualSpacing/>
              <w:jc w:val="center"/>
              <w:textAlignment w:val="center"/>
              <w:rPr>
                <w:color w:val="auto"/>
                <w:szCs w:val="21"/>
              </w:rPr>
            </w:pPr>
            <w:r>
              <w:rPr>
                <w:rFonts w:hint="eastAsia"/>
                <w:color w:val="auto"/>
                <w:szCs w:val="21"/>
              </w:rPr>
              <w:t>2.74E+02</w:t>
            </w:r>
          </w:p>
        </w:tc>
        <w:tc>
          <w:tcPr>
            <w:tcW w:w="979" w:type="dxa"/>
            <w:vAlign w:val="center"/>
          </w:tcPr>
          <w:p>
            <w:pPr>
              <w:spacing w:line="0" w:lineRule="atLeast"/>
              <w:contextualSpacing/>
              <w:jc w:val="center"/>
              <w:rPr>
                <w:color w:val="auto"/>
                <w:szCs w:val="21"/>
              </w:rPr>
            </w:pPr>
            <w:r>
              <w:rPr>
                <w:color w:val="auto"/>
                <w:szCs w:val="21"/>
              </w:rPr>
              <w:t>10</w:t>
            </w:r>
          </w:p>
        </w:tc>
        <w:tc>
          <w:tcPr>
            <w:tcW w:w="1332" w:type="dxa"/>
            <w:vAlign w:val="center"/>
          </w:tcPr>
          <w:p>
            <w:pPr>
              <w:widowControl/>
              <w:spacing w:line="0" w:lineRule="atLeast"/>
              <w:contextualSpacing/>
              <w:jc w:val="center"/>
              <w:textAlignment w:val="center"/>
              <w:rPr>
                <w:color w:val="auto"/>
                <w:szCs w:val="21"/>
              </w:rPr>
            </w:pPr>
            <w:r>
              <w:rPr>
                <w:rFonts w:hint="eastAsia"/>
                <w:color w:val="auto"/>
                <w:szCs w:val="21"/>
              </w:rPr>
              <w:t>1.44E+03</w:t>
            </w:r>
          </w:p>
        </w:tc>
        <w:tc>
          <w:tcPr>
            <w:tcW w:w="935" w:type="dxa"/>
            <w:vAlign w:val="center"/>
          </w:tcPr>
          <w:p>
            <w:pPr>
              <w:spacing w:line="0" w:lineRule="atLeast"/>
              <w:contextualSpacing/>
              <w:jc w:val="center"/>
              <w:rPr>
                <w:color w:val="auto"/>
                <w:szCs w:val="21"/>
              </w:rPr>
            </w:pPr>
            <w:r>
              <w:rPr>
                <w:rFonts w:hint="eastAsia"/>
                <w:color w:val="auto"/>
                <w:szCs w:val="21"/>
              </w:rPr>
              <w:t>10</w:t>
            </w:r>
          </w:p>
        </w:tc>
        <w:tc>
          <w:tcPr>
            <w:tcW w:w="1275" w:type="dxa"/>
            <w:vAlign w:val="center"/>
          </w:tcPr>
          <w:p>
            <w:pPr>
              <w:spacing w:line="0" w:lineRule="atLeast"/>
              <w:contextualSpacing/>
              <w:jc w:val="center"/>
              <w:rPr>
                <w:rFonts w:hint="eastAsia" w:eastAsia="宋体"/>
                <w:color w:val="auto"/>
                <w:szCs w:val="21"/>
                <w:lang w:eastAsia="zh-CN"/>
              </w:rPr>
            </w:pPr>
            <w:r>
              <w:rPr>
                <w:rFonts w:hint="eastAsia" w:eastAsia="宋体"/>
                <w:color w:val="auto"/>
                <w:szCs w:val="21"/>
                <w:lang w:eastAsia="zh-CN"/>
              </w:rPr>
              <w:t>1.85E+03</w:t>
            </w:r>
          </w:p>
        </w:tc>
        <w:tc>
          <w:tcPr>
            <w:tcW w:w="993" w:type="dxa"/>
            <w:vAlign w:val="center"/>
          </w:tcPr>
          <w:p>
            <w:pPr>
              <w:spacing w:line="0" w:lineRule="atLeast"/>
              <w:contextualSpacing/>
              <w:jc w:val="center"/>
              <w:rPr>
                <w:color w:val="auto"/>
                <w:szCs w:val="21"/>
              </w:rPr>
            </w:pPr>
            <w:r>
              <w:rPr>
                <w:rFonts w:hint="eastAsia"/>
                <w:color w:val="auto"/>
                <w:szCs w:val="21"/>
              </w:rPr>
              <w:t>10</w:t>
            </w:r>
          </w:p>
        </w:tc>
        <w:tc>
          <w:tcPr>
            <w:tcW w:w="1275"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2.06E+01</w:t>
            </w:r>
          </w:p>
        </w:tc>
        <w:tc>
          <w:tcPr>
            <w:tcW w:w="1134" w:type="dxa"/>
            <w:vAlign w:val="center"/>
          </w:tcPr>
          <w:p>
            <w:pPr>
              <w:spacing w:line="0" w:lineRule="atLeast"/>
              <w:contextualSpacing/>
              <w:jc w:val="center"/>
              <w:rPr>
                <w:color w:val="auto"/>
                <w:szCs w:val="21"/>
              </w:rPr>
            </w:pPr>
            <w:r>
              <w:rPr>
                <w:color w:val="auto"/>
                <w:szCs w:val="21"/>
              </w:rPr>
              <w:t>10</w:t>
            </w:r>
          </w:p>
        </w:tc>
        <w:tc>
          <w:tcPr>
            <w:tcW w:w="1418"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1.08E+02</w:t>
            </w:r>
          </w:p>
        </w:tc>
        <w:tc>
          <w:tcPr>
            <w:tcW w:w="1134" w:type="dxa"/>
            <w:vAlign w:val="center"/>
          </w:tcPr>
          <w:p>
            <w:pPr>
              <w:spacing w:line="0" w:lineRule="atLeast"/>
              <w:contextualSpacing/>
              <w:jc w:val="center"/>
              <w:rPr>
                <w:color w:val="auto"/>
                <w:szCs w:val="21"/>
              </w:rPr>
            </w:pPr>
            <w:r>
              <w:rPr>
                <w:rFonts w:hint="eastAsia"/>
                <w:color w:val="auto"/>
                <w:szCs w:val="21"/>
              </w:rPr>
              <w:t>10</w:t>
            </w:r>
          </w:p>
        </w:tc>
        <w:tc>
          <w:tcPr>
            <w:tcW w:w="1228" w:type="dxa"/>
            <w:vAlign w:val="center"/>
          </w:tcPr>
          <w:p>
            <w:pPr>
              <w:widowControl/>
              <w:spacing w:line="0" w:lineRule="atLeast"/>
              <w:contextualSpacing/>
              <w:jc w:val="center"/>
              <w:textAlignment w:val="center"/>
              <w:rPr>
                <w:rFonts w:hint="eastAsia" w:eastAsia="宋体"/>
                <w:color w:val="auto"/>
                <w:kern w:val="0"/>
                <w:szCs w:val="21"/>
                <w:lang w:eastAsia="zh-CN"/>
              </w:rPr>
            </w:pPr>
            <w:r>
              <w:rPr>
                <w:rFonts w:hint="eastAsia" w:eastAsia="宋体"/>
                <w:color w:val="auto"/>
                <w:kern w:val="0"/>
                <w:szCs w:val="21"/>
                <w:lang w:eastAsia="zh-CN"/>
              </w:rPr>
              <w:t>1.39E+02</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6" w:hRule="atLeast"/>
        </w:trPr>
        <w:tc>
          <w:tcPr>
            <w:tcW w:w="979" w:type="dxa"/>
            <w:vAlign w:val="center"/>
          </w:tcPr>
          <w:p>
            <w:pPr>
              <w:spacing w:line="0" w:lineRule="atLeast"/>
              <w:contextualSpacing/>
              <w:jc w:val="center"/>
              <w:rPr>
                <w:color w:val="auto"/>
                <w:szCs w:val="21"/>
              </w:rPr>
            </w:pPr>
            <w:r>
              <w:rPr>
                <w:rFonts w:hint="eastAsia"/>
                <w:color w:val="auto"/>
                <w:szCs w:val="21"/>
              </w:rPr>
              <w:t>20</w:t>
            </w:r>
          </w:p>
        </w:tc>
        <w:tc>
          <w:tcPr>
            <w:tcW w:w="1332" w:type="dxa"/>
            <w:vAlign w:val="center"/>
          </w:tcPr>
          <w:p>
            <w:pPr>
              <w:widowControl/>
              <w:spacing w:line="0" w:lineRule="atLeast"/>
              <w:contextualSpacing/>
              <w:jc w:val="center"/>
              <w:textAlignment w:val="center"/>
              <w:rPr>
                <w:color w:val="auto"/>
                <w:szCs w:val="21"/>
              </w:rPr>
            </w:pPr>
            <w:r>
              <w:rPr>
                <w:rFonts w:hint="eastAsia"/>
                <w:color w:val="auto"/>
                <w:szCs w:val="21"/>
              </w:rPr>
              <w:t>4.83E+00</w:t>
            </w:r>
          </w:p>
        </w:tc>
        <w:tc>
          <w:tcPr>
            <w:tcW w:w="979" w:type="dxa"/>
            <w:vAlign w:val="center"/>
          </w:tcPr>
          <w:p>
            <w:pPr>
              <w:spacing w:line="0" w:lineRule="atLeast"/>
              <w:contextualSpacing/>
              <w:jc w:val="center"/>
              <w:rPr>
                <w:color w:val="auto"/>
                <w:szCs w:val="21"/>
              </w:rPr>
            </w:pPr>
            <w:r>
              <w:rPr>
                <w:color w:val="auto"/>
                <w:szCs w:val="21"/>
              </w:rPr>
              <w:t>20</w:t>
            </w:r>
          </w:p>
        </w:tc>
        <w:tc>
          <w:tcPr>
            <w:tcW w:w="1332" w:type="dxa"/>
            <w:vAlign w:val="center"/>
          </w:tcPr>
          <w:p>
            <w:pPr>
              <w:widowControl/>
              <w:spacing w:line="0" w:lineRule="atLeast"/>
              <w:contextualSpacing/>
              <w:jc w:val="center"/>
              <w:textAlignment w:val="center"/>
              <w:rPr>
                <w:color w:val="auto"/>
                <w:szCs w:val="21"/>
              </w:rPr>
            </w:pPr>
            <w:r>
              <w:rPr>
                <w:rFonts w:hint="eastAsia"/>
                <w:color w:val="auto"/>
                <w:szCs w:val="21"/>
              </w:rPr>
              <w:t>9.27E+02</w:t>
            </w:r>
          </w:p>
        </w:tc>
        <w:tc>
          <w:tcPr>
            <w:tcW w:w="935" w:type="dxa"/>
            <w:vAlign w:val="center"/>
          </w:tcPr>
          <w:p>
            <w:pPr>
              <w:spacing w:line="0" w:lineRule="atLeast"/>
              <w:contextualSpacing/>
              <w:jc w:val="center"/>
              <w:rPr>
                <w:color w:val="auto"/>
                <w:szCs w:val="21"/>
              </w:rPr>
            </w:pPr>
            <w:r>
              <w:rPr>
                <w:rFonts w:hint="eastAsia"/>
                <w:color w:val="auto"/>
                <w:szCs w:val="21"/>
              </w:rPr>
              <w:t>50</w:t>
            </w:r>
          </w:p>
        </w:tc>
        <w:tc>
          <w:tcPr>
            <w:tcW w:w="1275" w:type="dxa"/>
            <w:vAlign w:val="center"/>
          </w:tcPr>
          <w:p>
            <w:pPr>
              <w:spacing w:line="0" w:lineRule="atLeast"/>
              <w:contextualSpacing/>
              <w:jc w:val="center"/>
              <w:rPr>
                <w:rFonts w:hint="eastAsia" w:eastAsia="宋体"/>
                <w:color w:val="auto"/>
                <w:szCs w:val="21"/>
                <w:lang w:eastAsia="zh-CN"/>
              </w:rPr>
            </w:pPr>
            <w:r>
              <w:rPr>
                <w:rFonts w:hint="eastAsia" w:eastAsia="宋体"/>
                <w:color w:val="auto"/>
                <w:szCs w:val="21"/>
                <w:lang w:eastAsia="zh-CN"/>
              </w:rPr>
              <w:t>1.52E+03</w:t>
            </w:r>
          </w:p>
        </w:tc>
        <w:tc>
          <w:tcPr>
            <w:tcW w:w="993" w:type="dxa"/>
            <w:vAlign w:val="center"/>
          </w:tcPr>
          <w:p>
            <w:pPr>
              <w:spacing w:line="0" w:lineRule="atLeast"/>
              <w:contextualSpacing/>
              <w:jc w:val="center"/>
              <w:rPr>
                <w:color w:val="auto"/>
                <w:szCs w:val="21"/>
              </w:rPr>
            </w:pPr>
            <w:r>
              <w:rPr>
                <w:rFonts w:hint="eastAsia"/>
                <w:color w:val="auto"/>
                <w:szCs w:val="21"/>
              </w:rPr>
              <w:t>20</w:t>
            </w:r>
          </w:p>
        </w:tc>
        <w:tc>
          <w:tcPr>
            <w:tcW w:w="1275"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3.63E-01</w:t>
            </w:r>
          </w:p>
        </w:tc>
        <w:tc>
          <w:tcPr>
            <w:tcW w:w="1134" w:type="dxa"/>
            <w:vAlign w:val="center"/>
          </w:tcPr>
          <w:p>
            <w:pPr>
              <w:spacing w:line="0" w:lineRule="atLeast"/>
              <w:contextualSpacing/>
              <w:jc w:val="center"/>
              <w:rPr>
                <w:color w:val="auto"/>
                <w:szCs w:val="21"/>
              </w:rPr>
            </w:pPr>
            <w:r>
              <w:rPr>
                <w:color w:val="auto"/>
                <w:szCs w:val="21"/>
              </w:rPr>
              <w:t>20</w:t>
            </w:r>
          </w:p>
        </w:tc>
        <w:tc>
          <w:tcPr>
            <w:tcW w:w="1418"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6.97E+01</w:t>
            </w:r>
          </w:p>
        </w:tc>
        <w:tc>
          <w:tcPr>
            <w:tcW w:w="1134" w:type="dxa"/>
            <w:vAlign w:val="center"/>
          </w:tcPr>
          <w:p>
            <w:pPr>
              <w:spacing w:line="0" w:lineRule="atLeast"/>
              <w:contextualSpacing/>
              <w:jc w:val="center"/>
              <w:rPr>
                <w:color w:val="auto"/>
                <w:szCs w:val="21"/>
              </w:rPr>
            </w:pPr>
            <w:r>
              <w:rPr>
                <w:rFonts w:hint="eastAsia"/>
                <w:color w:val="auto"/>
                <w:szCs w:val="21"/>
              </w:rPr>
              <w:t>50</w:t>
            </w:r>
          </w:p>
        </w:tc>
        <w:tc>
          <w:tcPr>
            <w:tcW w:w="1228" w:type="dxa"/>
            <w:vAlign w:val="center"/>
          </w:tcPr>
          <w:p>
            <w:pPr>
              <w:widowControl/>
              <w:spacing w:line="0" w:lineRule="atLeast"/>
              <w:contextualSpacing/>
              <w:jc w:val="center"/>
              <w:textAlignment w:val="center"/>
              <w:rPr>
                <w:rFonts w:hint="eastAsia" w:eastAsia="宋体"/>
                <w:color w:val="auto"/>
                <w:kern w:val="0"/>
                <w:szCs w:val="21"/>
                <w:lang w:eastAsia="zh-CN"/>
              </w:rPr>
            </w:pPr>
            <w:r>
              <w:rPr>
                <w:rFonts w:hint="eastAsia" w:eastAsia="宋体"/>
                <w:color w:val="auto"/>
                <w:kern w:val="0"/>
                <w:szCs w:val="21"/>
                <w:lang w:eastAsia="zh-CN"/>
              </w:rPr>
              <w:t>1.14E+02</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6" w:hRule="atLeast"/>
        </w:trPr>
        <w:tc>
          <w:tcPr>
            <w:tcW w:w="979" w:type="dxa"/>
            <w:vAlign w:val="center"/>
          </w:tcPr>
          <w:p>
            <w:pPr>
              <w:spacing w:line="0" w:lineRule="atLeast"/>
              <w:contextualSpacing/>
              <w:jc w:val="center"/>
              <w:rPr>
                <w:color w:val="auto"/>
                <w:szCs w:val="21"/>
              </w:rPr>
            </w:pPr>
            <w:r>
              <w:rPr>
                <w:rFonts w:hint="eastAsia"/>
                <w:color w:val="auto"/>
                <w:szCs w:val="21"/>
              </w:rPr>
              <w:t>30</w:t>
            </w:r>
          </w:p>
        </w:tc>
        <w:tc>
          <w:tcPr>
            <w:tcW w:w="1332" w:type="dxa"/>
            <w:vAlign w:val="center"/>
          </w:tcPr>
          <w:p>
            <w:pPr>
              <w:widowControl/>
              <w:spacing w:line="0" w:lineRule="atLeast"/>
              <w:contextualSpacing/>
              <w:jc w:val="center"/>
              <w:textAlignment w:val="center"/>
              <w:rPr>
                <w:color w:val="auto"/>
                <w:szCs w:val="21"/>
              </w:rPr>
            </w:pPr>
            <w:r>
              <w:rPr>
                <w:rFonts w:hint="eastAsia"/>
                <w:color w:val="auto"/>
                <w:szCs w:val="21"/>
              </w:rPr>
              <w:t>8.33E-03</w:t>
            </w:r>
          </w:p>
        </w:tc>
        <w:tc>
          <w:tcPr>
            <w:tcW w:w="979" w:type="dxa"/>
            <w:vAlign w:val="center"/>
          </w:tcPr>
          <w:p>
            <w:pPr>
              <w:spacing w:line="0" w:lineRule="atLeast"/>
              <w:contextualSpacing/>
              <w:jc w:val="center"/>
              <w:rPr>
                <w:color w:val="auto"/>
                <w:szCs w:val="21"/>
              </w:rPr>
            </w:pPr>
            <w:r>
              <w:rPr>
                <w:rFonts w:hint="eastAsia"/>
                <w:color w:val="auto"/>
                <w:szCs w:val="21"/>
              </w:rPr>
              <w:t>30</w:t>
            </w:r>
          </w:p>
        </w:tc>
        <w:tc>
          <w:tcPr>
            <w:tcW w:w="1332" w:type="dxa"/>
            <w:vAlign w:val="center"/>
          </w:tcPr>
          <w:p>
            <w:pPr>
              <w:widowControl/>
              <w:spacing w:line="0" w:lineRule="atLeast"/>
              <w:contextualSpacing/>
              <w:jc w:val="center"/>
              <w:textAlignment w:val="center"/>
              <w:rPr>
                <w:color w:val="auto"/>
                <w:szCs w:val="21"/>
              </w:rPr>
            </w:pPr>
            <w:r>
              <w:rPr>
                <w:rFonts w:hint="eastAsia"/>
                <w:color w:val="auto"/>
                <w:szCs w:val="21"/>
              </w:rPr>
              <w:t>4.93E+02</w:t>
            </w:r>
          </w:p>
        </w:tc>
        <w:tc>
          <w:tcPr>
            <w:tcW w:w="935" w:type="dxa"/>
            <w:vAlign w:val="center"/>
          </w:tcPr>
          <w:p>
            <w:pPr>
              <w:spacing w:line="0" w:lineRule="atLeast"/>
              <w:contextualSpacing/>
              <w:jc w:val="center"/>
              <w:rPr>
                <w:color w:val="auto"/>
                <w:szCs w:val="21"/>
              </w:rPr>
            </w:pPr>
            <w:r>
              <w:rPr>
                <w:rFonts w:hint="eastAsia"/>
                <w:color w:val="auto"/>
                <w:szCs w:val="21"/>
              </w:rPr>
              <w:t>100</w:t>
            </w:r>
          </w:p>
        </w:tc>
        <w:tc>
          <w:tcPr>
            <w:tcW w:w="1275" w:type="dxa"/>
            <w:vAlign w:val="center"/>
          </w:tcPr>
          <w:p>
            <w:pPr>
              <w:spacing w:line="0" w:lineRule="atLeast"/>
              <w:contextualSpacing/>
              <w:jc w:val="center"/>
              <w:rPr>
                <w:color w:val="auto"/>
                <w:szCs w:val="21"/>
              </w:rPr>
            </w:pPr>
            <w:r>
              <w:rPr>
                <w:rFonts w:hint="eastAsia"/>
                <w:color w:val="auto"/>
                <w:szCs w:val="21"/>
              </w:rPr>
              <w:t>7.76E+02</w:t>
            </w:r>
          </w:p>
        </w:tc>
        <w:tc>
          <w:tcPr>
            <w:tcW w:w="993" w:type="dxa"/>
            <w:vAlign w:val="center"/>
          </w:tcPr>
          <w:p>
            <w:pPr>
              <w:spacing w:line="0" w:lineRule="atLeast"/>
              <w:contextualSpacing/>
              <w:jc w:val="center"/>
              <w:rPr>
                <w:color w:val="auto"/>
                <w:szCs w:val="21"/>
              </w:rPr>
            </w:pPr>
            <w:r>
              <w:rPr>
                <w:rFonts w:hint="eastAsia"/>
                <w:color w:val="auto"/>
                <w:szCs w:val="21"/>
              </w:rPr>
              <w:t>30</w:t>
            </w:r>
          </w:p>
        </w:tc>
        <w:tc>
          <w:tcPr>
            <w:tcW w:w="1275"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6.26E-04</w:t>
            </w:r>
          </w:p>
        </w:tc>
        <w:tc>
          <w:tcPr>
            <w:tcW w:w="1134" w:type="dxa"/>
            <w:vAlign w:val="center"/>
          </w:tcPr>
          <w:p>
            <w:pPr>
              <w:spacing w:line="0" w:lineRule="atLeast"/>
              <w:contextualSpacing/>
              <w:jc w:val="center"/>
              <w:rPr>
                <w:color w:val="auto"/>
                <w:szCs w:val="21"/>
              </w:rPr>
            </w:pPr>
            <w:r>
              <w:rPr>
                <w:rFonts w:hint="eastAsia"/>
                <w:color w:val="auto"/>
                <w:szCs w:val="21"/>
              </w:rPr>
              <w:t>30</w:t>
            </w:r>
          </w:p>
        </w:tc>
        <w:tc>
          <w:tcPr>
            <w:tcW w:w="1418"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3.70E+01</w:t>
            </w:r>
          </w:p>
        </w:tc>
        <w:tc>
          <w:tcPr>
            <w:tcW w:w="1134" w:type="dxa"/>
            <w:vAlign w:val="center"/>
          </w:tcPr>
          <w:p>
            <w:pPr>
              <w:spacing w:line="0" w:lineRule="atLeast"/>
              <w:contextualSpacing/>
              <w:jc w:val="center"/>
              <w:rPr>
                <w:color w:val="auto"/>
                <w:szCs w:val="21"/>
              </w:rPr>
            </w:pPr>
            <w:r>
              <w:rPr>
                <w:rFonts w:hint="eastAsia"/>
                <w:color w:val="auto"/>
                <w:szCs w:val="21"/>
              </w:rPr>
              <w:t>100</w:t>
            </w:r>
          </w:p>
        </w:tc>
        <w:tc>
          <w:tcPr>
            <w:tcW w:w="1228"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5.83E+01</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6" w:hRule="atLeast"/>
        </w:trPr>
        <w:tc>
          <w:tcPr>
            <w:tcW w:w="979" w:type="dxa"/>
            <w:vAlign w:val="center"/>
          </w:tcPr>
          <w:p>
            <w:pPr>
              <w:spacing w:line="0" w:lineRule="atLeast"/>
              <w:contextualSpacing/>
              <w:jc w:val="center"/>
              <w:rPr>
                <w:color w:val="auto"/>
                <w:szCs w:val="21"/>
              </w:rPr>
            </w:pPr>
            <w:r>
              <w:rPr>
                <w:rFonts w:hint="eastAsia"/>
                <w:color w:val="auto"/>
                <w:szCs w:val="21"/>
              </w:rPr>
              <w:t>40</w:t>
            </w:r>
          </w:p>
        </w:tc>
        <w:tc>
          <w:tcPr>
            <w:tcW w:w="1332" w:type="dxa"/>
            <w:vAlign w:val="center"/>
          </w:tcPr>
          <w:p>
            <w:pPr>
              <w:widowControl/>
              <w:spacing w:line="0" w:lineRule="atLeast"/>
              <w:contextualSpacing/>
              <w:jc w:val="center"/>
              <w:textAlignment w:val="center"/>
              <w:rPr>
                <w:color w:val="auto"/>
                <w:szCs w:val="21"/>
              </w:rPr>
            </w:pPr>
            <w:r>
              <w:rPr>
                <w:rFonts w:hint="eastAsia"/>
                <w:color w:val="auto"/>
                <w:szCs w:val="21"/>
              </w:rPr>
              <w:t>1.30E-06</w:t>
            </w:r>
          </w:p>
        </w:tc>
        <w:tc>
          <w:tcPr>
            <w:tcW w:w="979" w:type="dxa"/>
            <w:vAlign w:val="center"/>
          </w:tcPr>
          <w:p>
            <w:pPr>
              <w:spacing w:line="0" w:lineRule="atLeast"/>
              <w:contextualSpacing/>
              <w:jc w:val="center"/>
              <w:rPr>
                <w:color w:val="auto"/>
                <w:szCs w:val="21"/>
              </w:rPr>
            </w:pPr>
            <w:r>
              <w:rPr>
                <w:rFonts w:hint="eastAsia"/>
                <w:color w:val="auto"/>
                <w:szCs w:val="21"/>
              </w:rPr>
              <w:t>40</w:t>
            </w:r>
          </w:p>
        </w:tc>
        <w:tc>
          <w:tcPr>
            <w:tcW w:w="1332" w:type="dxa"/>
            <w:vAlign w:val="center"/>
          </w:tcPr>
          <w:p>
            <w:pPr>
              <w:widowControl/>
              <w:spacing w:line="0" w:lineRule="atLeast"/>
              <w:contextualSpacing/>
              <w:jc w:val="center"/>
              <w:textAlignment w:val="center"/>
              <w:rPr>
                <w:color w:val="auto"/>
                <w:szCs w:val="21"/>
              </w:rPr>
            </w:pPr>
            <w:r>
              <w:rPr>
                <w:rFonts w:hint="eastAsia"/>
                <w:color w:val="auto"/>
                <w:szCs w:val="21"/>
              </w:rPr>
              <w:t>2.13E+02</w:t>
            </w:r>
          </w:p>
        </w:tc>
        <w:tc>
          <w:tcPr>
            <w:tcW w:w="935" w:type="dxa"/>
            <w:vAlign w:val="center"/>
          </w:tcPr>
          <w:p>
            <w:pPr>
              <w:spacing w:line="0" w:lineRule="atLeast"/>
              <w:contextualSpacing/>
              <w:jc w:val="center"/>
              <w:rPr>
                <w:color w:val="auto"/>
                <w:szCs w:val="21"/>
              </w:rPr>
            </w:pPr>
            <w:r>
              <w:rPr>
                <w:rFonts w:hint="eastAsia"/>
                <w:color w:val="auto"/>
                <w:szCs w:val="21"/>
              </w:rPr>
              <w:t>200</w:t>
            </w:r>
          </w:p>
        </w:tc>
        <w:tc>
          <w:tcPr>
            <w:tcW w:w="1275" w:type="dxa"/>
            <w:vAlign w:val="center"/>
          </w:tcPr>
          <w:p>
            <w:pPr>
              <w:spacing w:line="0" w:lineRule="atLeast"/>
              <w:contextualSpacing/>
              <w:jc w:val="center"/>
              <w:rPr>
                <w:color w:val="auto"/>
                <w:szCs w:val="21"/>
              </w:rPr>
            </w:pPr>
            <w:r>
              <w:rPr>
                <w:rFonts w:hint="eastAsia"/>
                <w:color w:val="auto"/>
                <w:szCs w:val="21"/>
              </w:rPr>
              <w:t>2.69E+01</w:t>
            </w:r>
          </w:p>
        </w:tc>
        <w:tc>
          <w:tcPr>
            <w:tcW w:w="993" w:type="dxa"/>
            <w:vAlign w:val="center"/>
          </w:tcPr>
          <w:p>
            <w:pPr>
              <w:spacing w:line="0" w:lineRule="atLeast"/>
              <w:contextualSpacing/>
              <w:jc w:val="center"/>
              <w:rPr>
                <w:color w:val="auto"/>
                <w:szCs w:val="21"/>
              </w:rPr>
            </w:pPr>
            <w:r>
              <w:rPr>
                <w:rFonts w:hint="eastAsia"/>
                <w:color w:val="auto"/>
                <w:szCs w:val="21"/>
              </w:rPr>
              <w:t>40</w:t>
            </w:r>
          </w:p>
        </w:tc>
        <w:tc>
          <w:tcPr>
            <w:tcW w:w="1275"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9.74E-08</w:t>
            </w:r>
          </w:p>
        </w:tc>
        <w:tc>
          <w:tcPr>
            <w:tcW w:w="1134" w:type="dxa"/>
            <w:vAlign w:val="center"/>
          </w:tcPr>
          <w:p>
            <w:pPr>
              <w:spacing w:line="0" w:lineRule="atLeast"/>
              <w:contextualSpacing/>
              <w:jc w:val="center"/>
              <w:rPr>
                <w:color w:val="auto"/>
                <w:szCs w:val="21"/>
              </w:rPr>
            </w:pPr>
            <w:r>
              <w:rPr>
                <w:rFonts w:hint="eastAsia"/>
                <w:color w:val="auto"/>
                <w:szCs w:val="21"/>
              </w:rPr>
              <w:t>40</w:t>
            </w:r>
          </w:p>
        </w:tc>
        <w:tc>
          <w:tcPr>
            <w:tcW w:w="1418" w:type="dxa"/>
            <w:vAlign w:val="center"/>
          </w:tcPr>
          <w:p>
            <w:pPr>
              <w:widowControl/>
              <w:spacing w:line="0" w:lineRule="atLeast"/>
              <w:contextualSpacing/>
              <w:jc w:val="center"/>
              <w:textAlignment w:val="center"/>
              <w:rPr>
                <w:bCs/>
                <w:color w:val="auto"/>
                <w:kern w:val="0"/>
                <w:szCs w:val="21"/>
              </w:rPr>
            </w:pPr>
            <w:r>
              <w:rPr>
                <w:rFonts w:hint="eastAsia"/>
                <w:bCs/>
                <w:color w:val="auto"/>
                <w:kern w:val="0"/>
                <w:szCs w:val="21"/>
              </w:rPr>
              <w:t>1.60E+01</w:t>
            </w:r>
          </w:p>
        </w:tc>
        <w:tc>
          <w:tcPr>
            <w:tcW w:w="1134" w:type="dxa"/>
            <w:vAlign w:val="center"/>
          </w:tcPr>
          <w:p>
            <w:pPr>
              <w:spacing w:line="0" w:lineRule="atLeast"/>
              <w:contextualSpacing/>
              <w:jc w:val="center"/>
              <w:rPr>
                <w:color w:val="auto"/>
                <w:szCs w:val="21"/>
              </w:rPr>
            </w:pPr>
            <w:r>
              <w:rPr>
                <w:rFonts w:hint="eastAsia"/>
                <w:color w:val="auto"/>
                <w:szCs w:val="21"/>
              </w:rPr>
              <w:t>200</w:t>
            </w:r>
          </w:p>
        </w:tc>
        <w:tc>
          <w:tcPr>
            <w:tcW w:w="1228" w:type="dxa"/>
            <w:vAlign w:val="center"/>
          </w:tcPr>
          <w:p>
            <w:pPr>
              <w:widowControl/>
              <w:spacing w:line="0" w:lineRule="atLeast"/>
              <w:contextualSpacing/>
              <w:jc w:val="center"/>
              <w:textAlignment w:val="center"/>
              <w:rPr>
                <w:bCs/>
                <w:color w:val="auto"/>
                <w:kern w:val="0"/>
                <w:szCs w:val="21"/>
              </w:rPr>
            </w:pPr>
            <w:r>
              <w:rPr>
                <w:rFonts w:hint="eastAsia"/>
                <w:bCs/>
                <w:color w:val="auto"/>
                <w:kern w:val="0"/>
                <w:szCs w:val="21"/>
              </w:rPr>
              <w:t>2.02E+00</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6" w:hRule="atLeast"/>
        </w:trPr>
        <w:tc>
          <w:tcPr>
            <w:tcW w:w="979" w:type="dxa"/>
            <w:vAlign w:val="center"/>
          </w:tcPr>
          <w:p>
            <w:pPr>
              <w:spacing w:line="0" w:lineRule="atLeast"/>
              <w:contextualSpacing/>
              <w:jc w:val="center"/>
              <w:rPr>
                <w:color w:val="auto"/>
                <w:szCs w:val="21"/>
              </w:rPr>
            </w:pPr>
            <w:r>
              <w:rPr>
                <w:rFonts w:hint="eastAsia"/>
                <w:color w:val="auto"/>
                <w:szCs w:val="21"/>
              </w:rPr>
              <w:t>50</w:t>
            </w:r>
          </w:p>
        </w:tc>
        <w:tc>
          <w:tcPr>
            <w:tcW w:w="1332"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1.84E-11</w:t>
            </w:r>
          </w:p>
        </w:tc>
        <w:tc>
          <w:tcPr>
            <w:tcW w:w="979" w:type="dxa"/>
            <w:vAlign w:val="center"/>
          </w:tcPr>
          <w:p>
            <w:pPr>
              <w:spacing w:line="0" w:lineRule="atLeast"/>
              <w:contextualSpacing/>
              <w:jc w:val="center"/>
              <w:rPr>
                <w:bCs/>
                <w:color w:val="auto"/>
                <w:szCs w:val="21"/>
              </w:rPr>
            </w:pPr>
            <w:r>
              <w:rPr>
                <w:color w:val="auto"/>
                <w:szCs w:val="21"/>
              </w:rPr>
              <w:t>50</w:t>
            </w:r>
          </w:p>
        </w:tc>
        <w:tc>
          <w:tcPr>
            <w:tcW w:w="1332" w:type="dxa"/>
            <w:vAlign w:val="center"/>
          </w:tcPr>
          <w:p>
            <w:pPr>
              <w:widowControl/>
              <w:spacing w:line="0" w:lineRule="atLeast"/>
              <w:contextualSpacing/>
              <w:jc w:val="center"/>
              <w:textAlignment w:val="center"/>
              <w:rPr>
                <w:bCs/>
                <w:color w:val="auto"/>
                <w:kern w:val="0"/>
                <w:szCs w:val="21"/>
              </w:rPr>
            </w:pPr>
            <w:r>
              <w:rPr>
                <w:rFonts w:hint="eastAsia"/>
                <w:bCs/>
                <w:color w:val="auto"/>
                <w:kern w:val="0"/>
                <w:szCs w:val="21"/>
              </w:rPr>
              <w:t>7.41E+01</w:t>
            </w:r>
          </w:p>
        </w:tc>
        <w:tc>
          <w:tcPr>
            <w:tcW w:w="935" w:type="dxa"/>
            <w:vAlign w:val="center"/>
          </w:tcPr>
          <w:p>
            <w:pPr>
              <w:spacing w:line="0" w:lineRule="atLeast"/>
              <w:contextualSpacing/>
              <w:jc w:val="center"/>
              <w:rPr>
                <w:color w:val="auto"/>
                <w:szCs w:val="21"/>
              </w:rPr>
            </w:pPr>
            <w:r>
              <w:rPr>
                <w:rFonts w:hint="eastAsia"/>
                <w:color w:val="auto"/>
                <w:szCs w:val="21"/>
              </w:rPr>
              <w:t>300</w:t>
            </w:r>
          </w:p>
        </w:tc>
        <w:tc>
          <w:tcPr>
            <w:tcW w:w="1275" w:type="dxa"/>
            <w:vAlign w:val="center"/>
          </w:tcPr>
          <w:p>
            <w:pPr>
              <w:spacing w:line="0" w:lineRule="atLeast"/>
              <w:contextualSpacing/>
              <w:jc w:val="center"/>
              <w:rPr>
                <w:color w:val="auto"/>
                <w:szCs w:val="21"/>
              </w:rPr>
            </w:pPr>
            <w:r>
              <w:rPr>
                <w:rFonts w:hint="eastAsia"/>
                <w:color w:val="auto"/>
                <w:szCs w:val="21"/>
              </w:rPr>
              <w:t>4.10E-02</w:t>
            </w:r>
          </w:p>
        </w:tc>
        <w:tc>
          <w:tcPr>
            <w:tcW w:w="993" w:type="dxa"/>
            <w:vAlign w:val="center"/>
          </w:tcPr>
          <w:p>
            <w:pPr>
              <w:spacing w:line="0" w:lineRule="atLeast"/>
              <w:contextualSpacing/>
              <w:jc w:val="center"/>
              <w:rPr>
                <w:color w:val="auto"/>
                <w:szCs w:val="21"/>
              </w:rPr>
            </w:pPr>
            <w:r>
              <w:rPr>
                <w:rFonts w:hint="eastAsia"/>
                <w:color w:val="auto"/>
                <w:szCs w:val="21"/>
              </w:rPr>
              <w:t>50</w:t>
            </w:r>
          </w:p>
        </w:tc>
        <w:tc>
          <w:tcPr>
            <w:tcW w:w="1275" w:type="dxa"/>
            <w:vAlign w:val="center"/>
          </w:tcPr>
          <w:p>
            <w:pPr>
              <w:widowControl/>
              <w:spacing w:line="0" w:lineRule="atLeast"/>
              <w:contextualSpacing/>
              <w:jc w:val="center"/>
              <w:textAlignment w:val="center"/>
              <w:rPr>
                <w:bCs/>
                <w:color w:val="auto"/>
                <w:szCs w:val="21"/>
              </w:rPr>
            </w:pPr>
            <w:r>
              <w:rPr>
                <w:rFonts w:hint="eastAsia"/>
                <w:bCs/>
                <w:color w:val="auto"/>
                <w:szCs w:val="21"/>
              </w:rPr>
              <w:t>1.38E-12</w:t>
            </w:r>
          </w:p>
        </w:tc>
        <w:tc>
          <w:tcPr>
            <w:tcW w:w="1134" w:type="dxa"/>
            <w:vAlign w:val="center"/>
          </w:tcPr>
          <w:p>
            <w:pPr>
              <w:spacing w:line="0" w:lineRule="atLeast"/>
              <w:contextualSpacing/>
              <w:jc w:val="center"/>
              <w:rPr>
                <w:bCs/>
                <w:color w:val="auto"/>
                <w:szCs w:val="21"/>
              </w:rPr>
            </w:pPr>
            <w:r>
              <w:rPr>
                <w:color w:val="auto"/>
                <w:szCs w:val="21"/>
              </w:rPr>
              <w:t>50</w:t>
            </w:r>
          </w:p>
        </w:tc>
        <w:tc>
          <w:tcPr>
            <w:tcW w:w="1418" w:type="dxa"/>
            <w:vAlign w:val="center"/>
          </w:tcPr>
          <w:p>
            <w:pPr>
              <w:widowControl/>
              <w:spacing w:line="0" w:lineRule="atLeast"/>
              <w:contextualSpacing/>
              <w:jc w:val="center"/>
              <w:textAlignment w:val="center"/>
              <w:rPr>
                <w:bCs/>
                <w:color w:val="auto"/>
                <w:szCs w:val="21"/>
              </w:rPr>
            </w:pPr>
            <w:r>
              <w:rPr>
                <w:rFonts w:hint="eastAsia"/>
                <w:bCs/>
                <w:color w:val="auto"/>
                <w:szCs w:val="21"/>
              </w:rPr>
              <w:t>5.57E+00</w:t>
            </w:r>
          </w:p>
        </w:tc>
        <w:tc>
          <w:tcPr>
            <w:tcW w:w="1134" w:type="dxa"/>
            <w:vAlign w:val="center"/>
          </w:tcPr>
          <w:p>
            <w:pPr>
              <w:spacing w:line="0" w:lineRule="atLeast"/>
              <w:contextualSpacing/>
              <w:jc w:val="center"/>
              <w:rPr>
                <w:color w:val="auto"/>
                <w:szCs w:val="21"/>
              </w:rPr>
            </w:pPr>
            <w:r>
              <w:rPr>
                <w:rFonts w:hint="eastAsia"/>
                <w:color w:val="auto"/>
                <w:szCs w:val="21"/>
              </w:rPr>
              <w:t>300</w:t>
            </w:r>
          </w:p>
        </w:tc>
        <w:tc>
          <w:tcPr>
            <w:tcW w:w="1228" w:type="dxa"/>
            <w:vAlign w:val="center"/>
          </w:tcPr>
          <w:p>
            <w:pPr>
              <w:widowControl/>
              <w:spacing w:line="0" w:lineRule="atLeast"/>
              <w:contextualSpacing/>
              <w:jc w:val="center"/>
              <w:textAlignment w:val="center"/>
              <w:rPr>
                <w:bCs/>
                <w:color w:val="auto"/>
                <w:szCs w:val="21"/>
              </w:rPr>
            </w:pPr>
            <w:r>
              <w:rPr>
                <w:rFonts w:hint="eastAsia"/>
                <w:bCs/>
                <w:color w:val="auto"/>
                <w:szCs w:val="21"/>
              </w:rPr>
              <w:t>3.08E-03</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8" w:hRule="atLeast"/>
        </w:trPr>
        <w:tc>
          <w:tcPr>
            <w:tcW w:w="979" w:type="dxa"/>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55</w:t>
            </w:r>
          </w:p>
        </w:tc>
        <w:tc>
          <w:tcPr>
            <w:tcW w:w="1332"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c>
          <w:tcPr>
            <w:tcW w:w="979" w:type="dxa"/>
            <w:vAlign w:val="center"/>
          </w:tcPr>
          <w:p>
            <w:pPr>
              <w:spacing w:line="0" w:lineRule="atLeast"/>
              <w:contextualSpacing/>
              <w:jc w:val="center"/>
              <w:rPr>
                <w:color w:val="auto"/>
                <w:szCs w:val="21"/>
              </w:rPr>
            </w:pPr>
            <w:r>
              <w:rPr>
                <w:rFonts w:hint="eastAsia"/>
                <w:color w:val="auto"/>
                <w:szCs w:val="21"/>
              </w:rPr>
              <w:t>90</w:t>
            </w:r>
          </w:p>
        </w:tc>
        <w:tc>
          <w:tcPr>
            <w:tcW w:w="1332" w:type="dxa"/>
            <w:vAlign w:val="center"/>
          </w:tcPr>
          <w:p>
            <w:pPr>
              <w:widowControl/>
              <w:spacing w:line="0" w:lineRule="atLeast"/>
              <w:contextualSpacing/>
              <w:jc w:val="center"/>
              <w:textAlignment w:val="center"/>
              <w:rPr>
                <w:color w:val="auto"/>
                <w:szCs w:val="21"/>
              </w:rPr>
            </w:pPr>
            <w:r>
              <w:rPr>
                <w:rFonts w:hint="eastAsia"/>
                <w:color w:val="auto"/>
                <w:kern w:val="0"/>
                <w:szCs w:val="21"/>
              </w:rPr>
              <w:t>1.09E-01</w:t>
            </w:r>
          </w:p>
        </w:tc>
        <w:tc>
          <w:tcPr>
            <w:tcW w:w="935" w:type="dxa"/>
            <w:vAlign w:val="center"/>
          </w:tcPr>
          <w:p>
            <w:pPr>
              <w:spacing w:line="0" w:lineRule="atLeast"/>
              <w:contextualSpacing/>
              <w:jc w:val="center"/>
              <w:rPr>
                <w:color w:val="auto"/>
                <w:szCs w:val="21"/>
              </w:rPr>
            </w:pPr>
            <w:r>
              <w:rPr>
                <w:rFonts w:hint="eastAsia"/>
                <w:color w:val="auto"/>
                <w:szCs w:val="21"/>
              </w:rPr>
              <w:t>400</w:t>
            </w:r>
          </w:p>
        </w:tc>
        <w:tc>
          <w:tcPr>
            <w:tcW w:w="1275" w:type="dxa"/>
            <w:vAlign w:val="center"/>
          </w:tcPr>
          <w:p>
            <w:pPr>
              <w:spacing w:line="0" w:lineRule="atLeast"/>
              <w:contextualSpacing/>
              <w:jc w:val="center"/>
              <w:rPr>
                <w:color w:val="auto"/>
                <w:szCs w:val="21"/>
              </w:rPr>
            </w:pPr>
            <w:r>
              <w:rPr>
                <w:rFonts w:hint="eastAsia"/>
                <w:color w:val="auto"/>
                <w:szCs w:val="21"/>
              </w:rPr>
              <w:t>1.36E-06</w:t>
            </w:r>
          </w:p>
        </w:tc>
        <w:tc>
          <w:tcPr>
            <w:tcW w:w="993" w:type="dxa"/>
            <w:vAlign w:val="center"/>
          </w:tcPr>
          <w:p>
            <w:pPr>
              <w:spacing w:line="0" w:lineRule="atLeast"/>
              <w:contextualSpacing/>
              <w:jc w:val="center"/>
              <w:rPr>
                <w:color w:val="auto"/>
                <w:szCs w:val="21"/>
              </w:rPr>
            </w:pPr>
            <w:r>
              <w:rPr>
                <w:rFonts w:hint="eastAsia"/>
                <w:color w:val="auto"/>
                <w:szCs w:val="21"/>
                <w:lang w:val="en-US" w:eastAsia="zh-CN"/>
              </w:rPr>
              <w:t>55</w:t>
            </w:r>
          </w:p>
        </w:tc>
        <w:tc>
          <w:tcPr>
            <w:tcW w:w="1275"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c>
          <w:tcPr>
            <w:tcW w:w="1134" w:type="dxa"/>
            <w:vAlign w:val="center"/>
          </w:tcPr>
          <w:p>
            <w:pPr>
              <w:spacing w:line="0" w:lineRule="atLeast"/>
              <w:contextualSpacing/>
              <w:jc w:val="center"/>
              <w:rPr>
                <w:color w:val="auto"/>
                <w:szCs w:val="21"/>
              </w:rPr>
            </w:pPr>
            <w:r>
              <w:rPr>
                <w:rFonts w:hint="eastAsia"/>
                <w:color w:val="auto"/>
                <w:szCs w:val="21"/>
              </w:rPr>
              <w:t>90</w:t>
            </w:r>
          </w:p>
        </w:tc>
        <w:tc>
          <w:tcPr>
            <w:tcW w:w="1418"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8.18E-03</w:t>
            </w:r>
          </w:p>
        </w:tc>
        <w:tc>
          <w:tcPr>
            <w:tcW w:w="1134" w:type="dxa"/>
            <w:vAlign w:val="center"/>
          </w:tcPr>
          <w:p>
            <w:pPr>
              <w:spacing w:line="0" w:lineRule="atLeast"/>
              <w:contextualSpacing/>
              <w:jc w:val="center"/>
              <w:rPr>
                <w:color w:val="auto"/>
                <w:szCs w:val="21"/>
              </w:rPr>
            </w:pPr>
            <w:r>
              <w:rPr>
                <w:rFonts w:hint="eastAsia"/>
                <w:color w:val="auto"/>
                <w:szCs w:val="21"/>
              </w:rPr>
              <w:t>400</w:t>
            </w:r>
          </w:p>
        </w:tc>
        <w:tc>
          <w:tcPr>
            <w:tcW w:w="1228"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1.02E-07</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8" w:hRule="atLeast"/>
        </w:trPr>
        <w:tc>
          <w:tcPr>
            <w:tcW w:w="979" w:type="dxa"/>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60</w:t>
            </w:r>
          </w:p>
        </w:tc>
        <w:tc>
          <w:tcPr>
            <w:tcW w:w="1332"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c>
          <w:tcPr>
            <w:tcW w:w="979" w:type="dxa"/>
            <w:vAlign w:val="center"/>
          </w:tcPr>
          <w:p>
            <w:pPr>
              <w:spacing w:line="0" w:lineRule="atLeast"/>
              <w:contextualSpacing/>
              <w:jc w:val="center"/>
              <w:rPr>
                <w:color w:val="auto"/>
                <w:szCs w:val="21"/>
              </w:rPr>
            </w:pPr>
            <w:r>
              <w:rPr>
                <w:rFonts w:hint="eastAsia"/>
                <w:color w:val="auto"/>
                <w:szCs w:val="21"/>
              </w:rPr>
              <w:t>100</w:t>
            </w:r>
          </w:p>
        </w:tc>
        <w:tc>
          <w:tcPr>
            <w:tcW w:w="1332"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1.18E-02</w:t>
            </w:r>
          </w:p>
        </w:tc>
        <w:tc>
          <w:tcPr>
            <w:tcW w:w="935" w:type="dxa"/>
            <w:vAlign w:val="center"/>
          </w:tcPr>
          <w:p>
            <w:pPr>
              <w:spacing w:line="0" w:lineRule="atLeast"/>
              <w:contextualSpacing/>
              <w:jc w:val="center"/>
              <w:rPr>
                <w:color w:val="auto"/>
                <w:szCs w:val="21"/>
              </w:rPr>
            </w:pPr>
            <w:r>
              <w:rPr>
                <w:rFonts w:hint="eastAsia"/>
                <w:color w:val="auto"/>
                <w:szCs w:val="21"/>
              </w:rPr>
              <w:t>500</w:t>
            </w:r>
          </w:p>
        </w:tc>
        <w:tc>
          <w:tcPr>
            <w:tcW w:w="1275" w:type="dxa"/>
            <w:vAlign w:val="center"/>
          </w:tcPr>
          <w:p>
            <w:pPr>
              <w:spacing w:line="0" w:lineRule="atLeast"/>
              <w:contextualSpacing/>
              <w:jc w:val="center"/>
              <w:rPr>
                <w:color w:val="auto"/>
                <w:szCs w:val="21"/>
              </w:rPr>
            </w:pPr>
            <w:r>
              <w:rPr>
                <w:rFonts w:hint="eastAsia"/>
                <w:color w:val="auto"/>
                <w:szCs w:val="21"/>
              </w:rPr>
              <w:t>2.73E-12</w:t>
            </w:r>
          </w:p>
        </w:tc>
        <w:tc>
          <w:tcPr>
            <w:tcW w:w="993" w:type="dxa"/>
            <w:vAlign w:val="center"/>
          </w:tcPr>
          <w:p>
            <w:pPr>
              <w:spacing w:line="0" w:lineRule="atLeast"/>
              <w:contextualSpacing/>
              <w:jc w:val="center"/>
              <w:rPr>
                <w:color w:val="auto"/>
                <w:szCs w:val="21"/>
              </w:rPr>
            </w:pPr>
            <w:r>
              <w:rPr>
                <w:rFonts w:hint="eastAsia"/>
                <w:color w:val="auto"/>
                <w:szCs w:val="21"/>
                <w:lang w:val="en-US" w:eastAsia="zh-CN"/>
              </w:rPr>
              <w:t>60</w:t>
            </w:r>
          </w:p>
        </w:tc>
        <w:tc>
          <w:tcPr>
            <w:tcW w:w="1275"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c>
          <w:tcPr>
            <w:tcW w:w="1134" w:type="dxa"/>
            <w:vAlign w:val="center"/>
          </w:tcPr>
          <w:p>
            <w:pPr>
              <w:spacing w:line="0" w:lineRule="atLeast"/>
              <w:contextualSpacing/>
              <w:jc w:val="center"/>
              <w:rPr>
                <w:color w:val="auto"/>
                <w:szCs w:val="21"/>
              </w:rPr>
            </w:pPr>
            <w:r>
              <w:rPr>
                <w:rFonts w:hint="eastAsia"/>
                <w:color w:val="auto"/>
                <w:szCs w:val="21"/>
              </w:rPr>
              <w:t>100</w:t>
            </w:r>
          </w:p>
        </w:tc>
        <w:tc>
          <w:tcPr>
            <w:tcW w:w="1418"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8.85E-04</w:t>
            </w:r>
          </w:p>
        </w:tc>
        <w:tc>
          <w:tcPr>
            <w:tcW w:w="1134" w:type="dxa"/>
            <w:vAlign w:val="center"/>
          </w:tcPr>
          <w:p>
            <w:pPr>
              <w:spacing w:line="0" w:lineRule="atLeast"/>
              <w:contextualSpacing/>
              <w:jc w:val="center"/>
              <w:rPr>
                <w:color w:val="auto"/>
                <w:szCs w:val="21"/>
              </w:rPr>
            </w:pPr>
            <w:r>
              <w:rPr>
                <w:rFonts w:hint="eastAsia"/>
                <w:color w:val="auto"/>
                <w:szCs w:val="21"/>
              </w:rPr>
              <w:t>500</w:t>
            </w:r>
          </w:p>
        </w:tc>
        <w:tc>
          <w:tcPr>
            <w:tcW w:w="1228"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2.05E-13</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8" w:hRule="atLeast"/>
        </w:trPr>
        <w:tc>
          <w:tcPr>
            <w:tcW w:w="979" w:type="dxa"/>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65</w:t>
            </w:r>
          </w:p>
        </w:tc>
        <w:tc>
          <w:tcPr>
            <w:tcW w:w="1332"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979" w:type="dxa"/>
            <w:vAlign w:val="center"/>
          </w:tcPr>
          <w:p>
            <w:pPr>
              <w:spacing w:line="0" w:lineRule="atLeast"/>
              <w:contextualSpacing/>
              <w:jc w:val="center"/>
              <w:rPr>
                <w:color w:val="auto"/>
                <w:szCs w:val="21"/>
              </w:rPr>
            </w:pPr>
            <w:r>
              <w:rPr>
                <w:rFonts w:hint="eastAsia"/>
                <w:color w:val="auto"/>
                <w:szCs w:val="21"/>
              </w:rPr>
              <w:t>120</w:t>
            </w:r>
          </w:p>
        </w:tc>
        <w:tc>
          <w:tcPr>
            <w:tcW w:w="1332"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6.68E-05</w:t>
            </w:r>
          </w:p>
        </w:tc>
        <w:tc>
          <w:tcPr>
            <w:tcW w:w="935" w:type="dxa"/>
            <w:vAlign w:val="center"/>
          </w:tcPr>
          <w:p>
            <w:pPr>
              <w:spacing w:line="0" w:lineRule="atLeast"/>
              <w:contextualSpacing/>
              <w:jc w:val="center"/>
              <w:rPr>
                <w:color w:val="auto"/>
                <w:szCs w:val="21"/>
              </w:rPr>
            </w:pPr>
            <w:r>
              <w:rPr>
                <w:rFonts w:hint="eastAsia"/>
                <w:color w:val="auto"/>
                <w:szCs w:val="21"/>
              </w:rPr>
              <w:t>600</w:t>
            </w:r>
          </w:p>
        </w:tc>
        <w:tc>
          <w:tcPr>
            <w:tcW w:w="1275" w:type="dxa"/>
            <w:vAlign w:val="center"/>
          </w:tcPr>
          <w:p>
            <w:pPr>
              <w:spacing w:line="0" w:lineRule="atLeast"/>
              <w:contextualSpacing/>
              <w:jc w:val="center"/>
              <w:rPr>
                <w:rFonts w:hint="eastAsia" w:eastAsia="宋体"/>
                <w:color w:val="auto"/>
                <w:szCs w:val="21"/>
                <w:lang w:val="en-US" w:eastAsia="zh-CN"/>
              </w:rPr>
            </w:pPr>
            <w:r>
              <w:rPr>
                <w:rFonts w:hint="eastAsia"/>
                <w:color w:val="auto"/>
                <w:szCs w:val="21"/>
                <w:lang w:val="en-US" w:eastAsia="zh-CN"/>
              </w:rPr>
              <w:t>0</w:t>
            </w:r>
          </w:p>
        </w:tc>
        <w:tc>
          <w:tcPr>
            <w:tcW w:w="993" w:type="dxa"/>
            <w:vAlign w:val="center"/>
          </w:tcPr>
          <w:p>
            <w:pPr>
              <w:spacing w:line="0" w:lineRule="atLeast"/>
              <w:contextualSpacing/>
              <w:jc w:val="center"/>
              <w:rPr>
                <w:color w:val="auto"/>
                <w:szCs w:val="21"/>
              </w:rPr>
            </w:pPr>
            <w:r>
              <w:rPr>
                <w:rFonts w:hint="eastAsia"/>
                <w:color w:val="auto"/>
                <w:szCs w:val="21"/>
                <w:lang w:val="en-US" w:eastAsia="zh-CN"/>
              </w:rPr>
              <w:t>65</w:t>
            </w:r>
          </w:p>
        </w:tc>
        <w:tc>
          <w:tcPr>
            <w:tcW w:w="1275"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1134" w:type="dxa"/>
            <w:vAlign w:val="center"/>
          </w:tcPr>
          <w:p>
            <w:pPr>
              <w:spacing w:line="0" w:lineRule="atLeast"/>
              <w:contextualSpacing/>
              <w:jc w:val="center"/>
              <w:rPr>
                <w:color w:val="auto"/>
                <w:szCs w:val="21"/>
              </w:rPr>
            </w:pPr>
            <w:r>
              <w:rPr>
                <w:rFonts w:hint="eastAsia"/>
                <w:color w:val="auto"/>
                <w:szCs w:val="21"/>
              </w:rPr>
              <w:t>120</w:t>
            </w:r>
          </w:p>
        </w:tc>
        <w:tc>
          <w:tcPr>
            <w:tcW w:w="1418"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5.02E-06</w:t>
            </w:r>
          </w:p>
        </w:tc>
        <w:tc>
          <w:tcPr>
            <w:tcW w:w="1134" w:type="dxa"/>
            <w:vAlign w:val="center"/>
          </w:tcPr>
          <w:p>
            <w:pPr>
              <w:spacing w:line="0" w:lineRule="atLeast"/>
              <w:contextualSpacing/>
              <w:jc w:val="center"/>
              <w:rPr>
                <w:color w:val="auto"/>
                <w:szCs w:val="21"/>
              </w:rPr>
            </w:pPr>
            <w:r>
              <w:rPr>
                <w:rFonts w:hint="eastAsia"/>
                <w:color w:val="auto"/>
                <w:szCs w:val="21"/>
              </w:rPr>
              <w:t>600</w:t>
            </w:r>
          </w:p>
        </w:tc>
        <w:tc>
          <w:tcPr>
            <w:tcW w:w="1228"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8" w:hRule="atLeast"/>
        </w:trPr>
        <w:tc>
          <w:tcPr>
            <w:tcW w:w="979" w:type="dxa"/>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70</w:t>
            </w:r>
          </w:p>
        </w:tc>
        <w:tc>
          <w:tcPr>
            <w:tcW w:w="1332"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979" w:type="dxa"/>
            <w:vAlign w:val="center"/>
          </w:tcPr>
          <w:p>
            <w:pPr>
              <w:spacing w:line="0" w:lineRule="atLeast"/>
              <w:contextualSpacing/>
              <w:jc w:val="center"/>
              <w:rPr>
                <w:color w:val="auto"/>
                <w:szCs w:val="21"/>
              </w:rPr>
            </w:pPr>
            <w:r>
              <w:rPr>
                <w:rFonts w:hint="eastAsia"/>
                <w:color w:val="auto"/>
                <w:szCs w:val="21"/>
              </w:rPr>
              <w:t>150</w:t>
            </w:r>
          </w:p>
        </w:tc>
        <w:tc>
          <w:tcPr>
            <w:tcW w:w="1332"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4.71E-09</w:t>
            </w:r>
          </w:p>
        </w:tc>
        <w:tc>
          <w:tcPr>
            <w:tcW w:w="935" w:type="dxa"/>
            <w:vAlign w:val="center"/>
          </w:tcPr>
          <w:p>
            <w:pPr>
              <w:spacing w:line="0" w:lineRule="atLeast"/>
              <w:contextualSpacing/>
              <w:jc w:val="center"/>
              <w:rPr>
                <w:color w:val="auto"/>
                <w:szCs w:val="21"/>
              </w:rPr>
            </w:pPr>
            <w:r>
              <w:rPr>
                <w:rFonts w:hint="eastAsia"/>
                <w:color w:val="auto"/>
                <w:szCs w:val="21"/>
              </w:rPr>
              <w:t>700</w:t>
            </w:r>
          </w:p>
        </w:tc>
        <w:tc>
          <w:tcPr>
            <w:tcW w:w="1275" w:type="dxa"/>
            <w:vAlign w:val="center"/>
          </w:tcPr>
          <w:p>
            <w:pPr>
              <w:spacing w:line="0" w:lineRule="atLeast"/>
              <w:contextualSpacing/>
              <w:jc w:val="center"/>
              <w:rPr>
                <w:rFonts w:hint="eastAsia" w:eastAsia="宋体"/>
                <w:color w:val="auto"/>
                <w:szCs w:val="21"/>
                <w:lang w:val="en-US" w:eastAsia="zh-CN"/>
              </w:rPr>
            </w:pPr>
            <w:r>
              <w:rPr>
                <w:rFonts w:hint="eastAsia"/>
                <w:color w:val="auto"/>
                <w:szCs w:val="21"/>
                <w:lang w:val="en-US" w:eastAsia="zh-CN"/>
              </w:rPr>
              <w:t>0</w:t>
            </w:r>
          </w:p>
        </w:tc>
        <w:tc>
          <w:tcPr>
            <w:tcW w:w="993" w:type="dxa"/>
            <w:vAlign w:val="center"/>
          </w:tcPr>
          <w:p>
            <w:pPr>
              <w:spacing w:line="0" w:lineRule="atLeast"/>
              <w:contextualSpacing/>
              <w:jc w:val="center"/>
              <w:rPr>
                <w:color w:val="auto"/>
                <w:szCs w:val="21"/>
              </w:rPr>
            </w:pPr>
            <w:r>
              <w:rPr>
                <w:rFonts w:hint="eastAsia"/>
                <w:color w:val="auto"/>
                <w:szCs w:val="21"/>
                <w:lang w:val="en-US" w:eastAsia="zh-CN"/>
              </w:rPr>
              <w:t>70</w:t>
            </w:r>
          </w:p>
        </w:tc>
        <w:tc>
          <w:tcPr>
            <w:tcW w:w="1275"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1134" w:type="dxa"/>
            <w:vAlign w:val="center"/>
          </w:tcPr>
          <w:p>
            <w:pPr>
              <w:spacing w:line="0" w:lineRule="atLeast"/>
              <w:contextualSpacing/>
              <w:jc w:val="center"/>
              <w:rPr>
                <w:color w:val="auto"/>
                <w:szCs w:val="21"/>
              </w:rPr>
            </w:pPr>
            <w:r>
              <w:rPr>
                <w:rFonts w:hint="eastAsia"/>
                <w:color w:val="auto"/>
                <w:szCs w:val="21"/>
              </w:rPr>
              <w:t>150</w:t>
            </w:r>
          </w:p>
        </w:tc>
        <w:tc>
          <w:tcPr>
            <w:tcW w:w="1418"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3.54E-10</w:t>
            </w:r>
          </w:p>
        </w:tc>
        <w:tc>
          <w:tcPr>
            <w:tcW w:w="1134" w:type="dxa"/>
            <w:vAlign w:val="center"/>
          </w:tcPr>
          <w:p>
            <w:pPr>
              <w:spacing w:line="0" w:lineRule="atLeast"/>
              <w:contextualSpacing/>
              <w:jc w:val="center"/>
              <w:rPr>
                <w:color w:val="auto"/>
                <w:szCs w:val="21"/>
              </w:rPr>
            </w:pPr>
            <w:r>
              <w:rPr>
                <w:rFonts w:hint="eastAsia"/>
                <w:color w:val="auto"/>
                <w:szCs w:val="21"/>
              </w:rPr>
              <w:t>700</w:t>
            </w:r>
          </w:p>
        </w:tc>
        <w:tc>
          <w:tcPr>
            <w:tcW w:w="1228"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8" w:hRule="atLeast"/>
        </w:trPr>
        <w:tc>
          <w:tcPr>
            <w:tcW w:w="979" w:type="dxa"/>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75</w:t>
            </w:r>
          </w:p>
        </w:tc>
        <w:tc>
          <w:tcPr>
            <w:tcW w:w="1332"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979" w:type="dxa"/>
            <w:vAlign w:val="center"/>
          </w:tcPr>
          <w:p>
            <w:pPr>
              <w:spacing w:line="0" w:lineRule="atLeast"/>
              <w:contextualSpacing/>
              <w:jc w:val="center"/>
              <w:rPr>
                <w:color w:val="auto"/>
                <w:szCs w:val="21"/>
              </w:rPr>
            </w:pPr>
            <w:r>
              <w:rPr>
                <w:rFonts w:hint="eastAsia"/>
                <w:color w:val="auto"/>
                <w:szCs w:val="21"/>
              </w:rPr>
              <w:t>200</w:t>
            </w:r>
          </w:p>
        </w:tc>
        <w:tc>
          <w:tcPr>
            <w:tcW w:w="1332"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935" w:type="dxa"/>
            <w:vAlign w:val="center"/>
          </w:tcPr>
          <w:p>
            <w:pPr>
              <w:spacing w:line="0" w:lineRule="atLeast"/>
              <w:contextualSpacing/>
              <w:jc w:val="center"/>
              <w:rPr>
                <w:color w:val="auto"/>
                <w:szCs w:val="21"/>
              </w:rPr>
            </w:pPr>
            <w:r>
              <w:rPr>
                <w:rFonts w:hint="eastAsia"/>
                <w:color w:val="auto"/>
                <w:szCs w:val="21"/>
              </w:rPr>
              <w:t>800</w:t>
            </w:r>
          </w:p>
        </w:tc>
        <w:tc>
          <w:tcPr>
            <w:tcW w:w="1275" w:type="dxa"/>
            <w:vAlign w:val="center"/>
          </w:tcPr>
          <w:p>
            <w:pPr>
              <w:spacing w:line="0" w:lineRule="atLeast"/>
              <w:contextualSpacing/>
              <w:jc w:val="center"/>
              <w:rPr>
                <w:rFonts w:hint="eastAsia" w:eastAsia="宋体"/>
                <w:color w:val="auto"/>
                <w:szCs w:val="21"/>
                <w:lang w:val="en-US" w:eastAsia="zh-CN"/>
              </w:rPr>
            </w:pPr>
            <w:r>
              <w:rPr>
                <w:rFonts w:hint="eastAsia"/>
                <w:color w:val="auto"/>
                <w:szCs w:val="21"/>
                <w:lang w:val="en-US" w:eastAsia="zh-CN"/>
              </w:rPr>
              <w:t>0</w:t>
            </w:r>
          </w:p>
        </w:tc>
        <w:tc>
          <w:tcPr>
            <w:tcW w:w="993" w:type="dxa"/>
            <w:vAlign w:val="center"/>
          </w:tcPr>
          <w:p>
            <w:pPr>
              <w:spacing w:line="0" w:lineRule="atLeast"/>
              <w:contextualSpacing/>
              <w:jc w:val="center"/>
              <w:rPr>
                <w:color w:val="auto"/>
                <w:szCs w:val="21"/>
              </w:rPr>
            </w:pPr>
            <w:r>
              <w:rPr>
                <w:rFonts w:hint="eastAsia"/>
                <w:color w:val="auto"/>
                <w:szCs w:val="21"/>
                <w:lang w:val="en-US" w:eastAsia="zh-CN"/>
              </w:rPr>
              <w:t>75</w:t>
            </w:r>
          </w:p>
        </w:tc>
        <w:tc>
          <w:tcPr>
            <w:tcW w:w="1275"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1134" w:type="dxa"/>
            <w:vAlign w:val="center"/>
          </w:tcPr>
          <w:p>
            <w:pPr>
              <w:spacing w:line="0" w:lineRule="atLeast"/>
              <w:contextualSpacing/>
              <w:jc w:val="center"/>
              <w:rPr>
                <w:color w:val="auto"/>
                <w:szCs w:val="21"/>
              </w:rPr>
            </w:pPr>
            <w:r>
              <w:rPr>
                <w:rFonts w:hint="eastAsia"/>
                <w:color w:val="auto"/>
                <w:szCs w:val="21"/>
              </w:rPr>
              <w:t>200</w:t>
            </w:r>
          </w:p>
        </w:tc>
        <w:tc>
          <w:tcPr>
            <w:tcW w:w="1418"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c>
          <w:tcPr>
            <w:tcW w:w="1134" w:type="dxa"/>
            <w:vAlign w:val="center"/>
          </w:tcPr>
          <w:p>
            <w:pPr>
              <w:spacing w:line="0" w:lineRule="atLeast"/>
              <w:contextualSpacing/>
              <w:jc w:val="center"/>
              <w:rPr>
                <w:color w:val="auto"/>
                <w:szCs w:val="21"/>
              </w:rPr>
            </w:pPr>
            <w:r>
              <w:rPr>
                <w:rFonts w:hint="eastAsia"/>
                <w:color w:val="auto"/>
                <w:szCs w:val="21"/>
              </w:rPr>
              <w:t>800</w:t>
            </w:r>
          </w:p>
        </w:tc>
        <w:tc>
          <w:tcPr>
            <w:tcW w:w="1228"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8" w:hRule="atLeast"/>
        </w:trPr>
        <w:tc>
          <w:tcPr>
            <w:tcW w:w="979" w:type="dxa"/>
            <w:vAlign w:val="center"/>
          </w:tcPr>
          <w:p>
            <w:pPr>
              <w:spacing w:line="0" w:lineRule="atLeast"/>
              <w:contextualSpacing/>
              <w:jc w:val="center"/>
              <w:rPr>
                <w:color w:val="auto"/>
                <w:szCs w:val="21"/>
              </w:rPr>
            </w:pPr>
            <w:r>
              <w:rPr>
                <w:rFonts w:hint="eastAsia"/>
                <w:color w:val="auto"/>
                <w:szCs w:val="21"/>
              </w:rPr>
              <w:t>80</w:t>
            </w:r>
          </w:p>
        </w:tc>
        <w:tc>
          <w:tcPr>
            <w:tcW w:w="1332"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979" w:type="dxa"/>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210</w:t>
            </w:r>
          </w:p>
        </w:tc>
        <w:tc>
          <w:tcPr>
            <w:tcW w:w="1332"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935" w:type="dxa"/>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850</w:t>
            </w:r>
          </w:p>
        </w:tc>
        <w:tc>
          <w:tcPr>
            <w:tcW w:w="1275" w:type="dxa"/>
            <w:vAlign w:val="center"/>
          </w:tcPr>
          <w:p>
            <w:pPr>
              <w:spacing w:line="0" w:lineRule="atLeast"/>
              <w:contextualSpacing/>
              <w:jc w:val="center"/>
              <w:rPr>
                <w:rFonts w:hint="eastAsia" w:eastAsia="宋体"/>
                <w:color w:val="auto"/>
                <w:szCs w:val="21"/>
                <w:lang w:val="en-US" w:eastAsia="zh-CN"/>
              </w:rPr>
            </w:pPr>
            <w:r>
              <w:rPr>
                <w:rFonts w:hint="eastAsia"/>
                <w:color w:val="auto"/>
                <w:szCs w:val="21"/>
                <w:lang w:val="en-US" w:eastAsia="zh-CN"/>
              </w:rPr>
              <w:t>0</w:t>
            </w:r>
          </w:p>
        </w:tc>
        <w:tc>
          <w:tcPr>
            <w:tcW w:w="993" w:type="dxa"/>
            <w:vAlign w:val="center"/>
          </w:tcPr>
          <w:p>
            <w:pPr>
              <w:spacing w:line="0" w:lineRule="atLeast"/>
              <w:contextualSpacing/>
              <w:jc w:val="center"/>
              <w:rPr>
                <w:color w:val="auto"/>
                <w:szCs w:val="21"/>
              </w:rPr>
            </w:pPr>
            <w:r>
              <w:rPr>
                <w:rFonts w:hint="eastAsia"/>
                <w:color w:val="auto"/>
                <w:szCs w:val="21"/>
              </w:rPr>
              <w:t>80</w:t>
            </w:r>
          </w:p>
        </w:tc>
        <w:tc>
          <w:tcPr>
            <w:tcW w:w="1275"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1134" w:type="dxa"/>
            <w:vAlign w:val="center"/>
          </w:tcPr>
          <w:p>
            <w:pPr>
              <w:spacing w:line="0" w:lineRule="atLeast"/>
              <w:contextualSpacing/>
              <w:jc w:val="center"/>
              <w:rPr>
                <w:color w:val="auto"/>
                <w:szCs w:val="21"/>
              </w:rPr>
            </w:pPr>
            <w:r>
              <w:rPr>
                <w:rFonts w:hint="eastAsia"/>
                <w:color w:val="auto"/>
                <w:szCs w:val="21"/>
                <w:lang w:val="en-US" w:eastAsia="zh-CN"/>
              </w:rPr>
              <w:t>210</w:t>
            </w:r>
          </w:p>
        </w:tc>
        <w:tc>
          <w:tcPr>
            <w:tcW w:w="1418"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c>
          <w:tcPr>
            <w:tcW w:w="1134" w:type="dxa"/>
            <w:vAlign w:val="center"/>
          </w:tcPr>
          <w:p>
            <w:pPr>
              <w:spacing w:line="0" w:lineRule="atLeast"/>
              <w:contextualSpacing/>
              <w:jc w:val="center"/>
              <w:rPr>
                <w:color w:val="auto"/>
                <w:szCs w:val="21"/>
              </w:rPr>
            </w:pPr>
            <w:r>
              <w:rPr>
                <w:rFonts w:hint="eastAsia"/>
                <w:color w:val="auto"/>
                <w:szCs w:val="21"/>
                <w:lang w:val="en-US" w:eastAsia="zh-CN"/>
              </w:rPr>
              <w:t>850</w:t>
            </w:r>
          </w:p>
        </w:tc>
        <w:tc>
          <w:tcPr>
            <w:tcW w:w="1228"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8" w:hRule="atLeast"/>
        </w:trPr>
        <w:tc>
          <w:tcPr>
            <w:tcW w:w="979" w:type="dxa"/>
            <w:vAlign w:val="center"/>
          </w:tcPr>
          <w:p>
            <w:pPr>
              <w:spacing w:line="0" w:lineRule="atLeast"/>
              <w:contextualSpacing/>
              <w:jc w:val="center"/>
              <w:rPr>
                <w:color w:val="auto"/>
                <w:szCs w:val="21"/>
              </w:rPr>
            </w:pPr>
            <w:r>
              <w:rPr>
                <w:rFonts w:hint="eastAsia"/>
                <w:color w:val="auto"/>
                <w:szCs w:val="21"/>
              </w:rPr>
              <w:t>90</w:t>
            </w:r>
          </w:p>
        </w:tc>
        <w:tc>
          <w:tcPr>
            <w:tcW w:w="1332" w:type="dxa"/>
            <w:vAlign w:val="center"/>
          </w:tcPr>
          <w:p>
            <w:pPr>
              <w:widowControl/>
              <w:spacing w:line="0" w:lineRule="atLeast"/>
              <w:contextualSpacing/>
              <w:jc w:val="center"/>
              <w:textAlignment w:val="center"/>
              <w:rPr>
                <w:color w:val="auto"/>
                <w:kern w:val="0"/>
                <w:szCs w:val="21"/>
              </w:rPr>
            </w:pPr>
            <w:r>
              <w:rPr>
                <w:color w:val="auto"/>
                <w:kern w:val="0"/>
                <w:szCs w:val="21"/>
              </w:rPr>
              <w:t>0</w:t>
            </w:r>
          </w:p>
        </w:tc>
        <w:tc>
          <w:tcPr>
            <w:tcW w:w="979" w:type="dxa"/>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220</w:t>
            </w:r>
          </w:p>
        </w:tc>
        <w:tc>
          <w:tcPr>
            <w:tcW w:w="1332"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935" w:type="dxa"/>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900</w:t>
            </w:r>
          </w:p>
        </w:tc>
        <w:tc>
          <w:tcPr>
            <w:tcW w:w="1275" w:type="dxa"/>
            <w:vAlign w:val="center"/>
          </w:tcPr>
          <w:p>
            <w:pPr>
              <w:spacing w:line="0" w:lineRule="atLeast"/>
              <w:contextualSpacing/>
              <w:jc w:val="center"/>
              <w:rPr>
                <w:rFonts w:hint="eastAsia" w:eastAsia="宋体"/>
                <w:color w:val="auto"/>
                <w:szCs w:val="21"/>
                <w:lang w:val="en-US" w:eastAsia="zh-CN"/>
              </w:rPr>
            </w:pPr>
            <w:r>
              <w:rPr>
                <w:rFonts w:hint="eastAsia"/>
                <w:color w:val="auto"/>
                <w:szCs w:val="21"/>
                <w:lang w:val="en-US" w:eastAsia="zh-CN"/>
              </w:rPr>
              <w:t>0</w:t>
            </w:r>
          </w:p>
        </w:tc>
        <w:tc>
          <w:tcPr>
            <w:tcW w:w="993" w:type="dxa"/>
            <w:vAlign w:val="center"/>
          </w:tcPr>
          <w:p>
            <w:pPr>
              <w:spacing w:line="0" w:lineRule="atLeast"/>
              <w:contextualSpacing/>
              <w:jc w:val="center"/>
              <w:rPr>
                <w:color w:val="auto"/>
                <w:szCs w:val="21"/>
              </w:rPr>
            </w:pPr>
            <w:r>
              <w:rPr>
                <w:rFonts w:hint="eastAsia"/>
                <w:color w:val="auto"/>
                <w:szCs w:val="21"/>
              </w:rPr>
              <w:t>90</w:t>
            </w:r>
          </w:p>
        </w:tc>
        <w:tc>
          <w:tcPr>
            <w:tcW w:w="1275" w:type="dxa"/>
            <w:vAlign w:val="center"/>
          </w:tcPr>
          <w:p>
            <w:pPr>
              <w:widowControl/>
              <w:spacing w:line="0" w:lineRule="atLeast"/>
              <w:contextualSpacing/>
              <w:jc w:val="center"/>
              <w:textAlignment w:val="center"/>
              <w:rPr>
                <w:color w:val="auto"/>
                <w:kern w:val="0"/>
                <w:szCs w:val="21"/>
              </w:rPr>
            </w:pPr>
            <w:r>
              <w:rPr>
                <w:color w:val="auto"/>
                <w:kern w:val="0"/>
                <w:szCs w:val="21"/>
              </w:rPr>
              <w:t>0</w:t>
            </w:r>
          </w:p>
        </w:tc>
        <w:tc>
          <w:tcPr>
            <w:tcW w:w="1134" w:type="dxa"/>
            <w:vAlign w:val="center"/>
          </w:tcPr>
          <w:p>
            <w:pPr>
              <w:spacing w:line="0" w:lineRule="atLeast"/>
              <w:contextualSpacing/>
              <w:jc w:val="center"/>
              <w:rPr>
                <w:color w:val="auto"/>
                <w:szCs w:val="21"/>
              </w:rPr>
            </w:pPr>
            <w:r>
              <w:rPr>
                <w:rFonts w:hint="eastAsia"/>
                <w:color w:val="auto"/>
                <w:szCs w:val="21"/>
                <w:lang w:val="en-US" w:eastAsia="zh-CN"/>
              </w:rPr>
              <w:t>220</w:t>
            </w:r>
          </w:p>
        </w:tc>
        <w:tc>
          <w:tcPr>
            <w:tcW w:w="1418"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1134" w:type="dxa"/>
            <w:vAlign w:val="center"/>
          </w:tcPr>
          <w:p>
            <w:pPr>
              <w:spacing w:line="0" w:lineRule="atLeast"/>
              <w:contextualSpacing/>
              <w:jc w:val="center"/>
              <w:rPr>
                <w:color w:val="auto"/>
                <w:szCs w:val="21"/>
              </w:rPr>
            </w:pPr>
            <w:r>
              <w:rPr>
                <w:rFonts w:hint="eastAsia"/>
                <w:color w:val="auto"/>
                <w:szCs w:val="21"/>
                <w:lang w:val="en-US" w:eastAsia="zh-CN"/>
              </w:rPr>
              <w:t>900</w:t>
            </w:r>
          </w:p>
        </w:tc>
        <w:tc>
          <w:tcPr>
            <w:tcW w:w="1228"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8" w:hRule="atLeast"/>
        </w:trPr>
        <w:tc>
          <w:tcPr>
            <w:tcW w:w="979" w:type="dxa"/>
            <w:vAlign w:val="center"/>
          </w:tcPr>
          <w:p>
            <w:pPr>
              <w:spacing w:line="0" w:lineRule="atLeast"/>
              <w:contextualSpacing/>
              <w:jc w:val="center"/>
              <w:rPr>
                <w:color w:val="auto"/>
                <w:szCs w:val="21"/>
              </w:rPr>
            </w:pPr>
            <w:r>
              <w:rPr>
                <w:rFonts w:hint="eastAsia"/>
                <w:color w:val="auto"/>
                <w:szCs w:val="21"/>
              </w:rPr>
              <w:t>100</w:t>
            </w:r>
          </w:p>
        </w:tc>
        <w:tc>
          <w:tcPr>
            <w:tcW w:w="1332" w:type="dxa"/>
            <w:vAlign w:val="center"/>
          </w:tcPr>
          <w:p>
            <w:pPr>
              <w:widowControl/>
              <w:spacing w:line="0" w:lineRule="atLeast"/>
              <w:contextualSpacing/>
              <w:jc w:val="center"/>
              <w:textAlignment w:val="center"/>
              <w:rPr>
                <w:color w:val="auto"/>
                <w:kern w:val="0"/>
                <w:szCs w:val="21"/>
              </w:rPr>
            </w:pPr>
            <w:r>
              <w:rPr>
                <w:color w:val="auto"/>
                <w:kern w:val="0"/>
                <w:szCs w:val="21"/>
              </w:rPr>
              <w:t>0</w:t>
            </w:r>
          </w:p>
        </w:tc>
        <w:tc>
          <w:tcPr>
            <w:tcW w:w="979" w:type="dxa"/>
            <w:vAlign w:val="center"/>
          </w:tcPr>
          <w:p>
            <w:pPr>
              <w:spacing w:line="0" w:lineRule="atLeast"/>
              <w:contextualSpacing/>
              <w:jc w:val="center"/>
              <w:rPr>
                <w:rFonts w:hint="default" w:eastAsia="宋体"/>
                <w:color w:val="auto"/>
                <w:szCs w:val="21"/>
                <w:lang w:val="en-US" w:eastAsia="zh-CN"/>
              </w:rPr>
            </w:pPr>
            <w:r>
              <w:rPr>
                <w:rFonts w:hint="eastAsia"/>
                <w:color w:val="auto"/>
                <w:szCs w:val="21"/>
              </w:rPr>
              <w:t>2</w:t>
            </w:r>
            <w:r>
              <w:rPr>
                <w:rFonts w:hint="eastAsia"/>
                <w:color w:val="auto"/>
                <w:szCs w:val="21"/>
                <w:lang w:val="en-US" w:eastAsia="zh-CN"/>
              </w:rPr>
              <w:t>30</w:t>
            </w:r>
          </w:p>
        </w:tc>
        <w:tc>
          <w:tcPr>
            <w:tcW w:w="1332"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935" w:type="dxa"/>
            <w:vAlign w:val="center"/>
          </w:tcPr>
          <w:p>
            <w:pPr>
              <w:spacing w:line="0" w:lineRule="atLeast"/>
              <w:contextualSpacing/>
              <w:jc w:val="center"/>
              <w:rPr>
                <w:rFonts w:hint="default" w:eastAsia="宋体"/>
                <w:color w:val="auto"/>
                <w:szCs w:val="21"/>
                <w:lang w:val="en-US" w:eastAsia="zh-CN"/>
              </w:rPr>
            </w:pPr>
            <w:r>
              <w:rPr>
                <w:rFonts w:hint="eastAsia"/>
                <w:color w:val="auto"/>
                <w:szCs w:val="21"/>
              </w:rPr>
              <w:t>9</w:t>
            </w:r>
            <w:r>
              <w:rPr>
                <w:rFonts w:hint="eastAsia"/>
                <w:color w:val="auto"/>
                <w:szCs w:val="21"/>
                <w:lang w:val="en-US" w:eastAsia="zh-CN"/>
              </w:rPr>
              <w:t>50</w:t>
            </w:r>
          </w:p>
        </w:tc>
        <w:tc>
          <w:tcPr>
            <w:tcW w:w="1275" w:type="dxa"/>
            <w:vAlign w:val="center"/>
          </w:tcPr>
          <w:p>
            <w:pPr>
              <w:spacing w:line="0" w:lineRule="atLeast"/>
              <w:contextualSpacing/>
              <w:jc w:val="center"/>
              <w:rPr>
                <w:rFonts w:hint="eastAsia" w:eastAsia="宋体"/>
                <w:color w:val="auto"/>
                <w:szCs w:val="21"/>
                <w:lang w:val="en-US" w:eastAsia="zh-CN"/>
              </w:rPr>
            </w:pPr>
            <w:r>
              <w:rPr>
                <w:rFonts w:hint="eastAsia"/>
                <w:color w:val="auto"/>
                <w:szCs w:val="21"/>
                <w:lang w:val="en-US" w:eastAsia="zh-CN"/>
              </w:rPr>
              <w:t>0</w:t>
            </w:r>
          </w:p>
        </w:tc>
        <w:tc>
          <w:tcPr>
            <w:tcW w:w="993" w:type="dxa"/>
            <w:vAlign w:val="center"/>
          </w:tcPr>
          <w:p>
            <w:pPr>
              <w:spacing w:line="0" w:lineRule="atLeast"/>
              <w:contextualSpacing/>
              <w:jc w:val="center"/>
              <w:rPr>
                <w:color w:val="auto"/>
                <w:szCs w:val="21"/>
              </w:rPr>
            </w:pPr>
            <w:r>
              <w:rPr>
                <w:rFonts w:hint="eastAsia"/>
                <w:color w:val="auto"/>
                <w:szCs w:val="21"/>
              </w:rPr>
              <w:t>100</w:t>
            </w:r>
          </w:p>
        </w:tc>
        <w:tc>
          <w:tcPr>
            <w:tcW w:w="1275" w:type="dxa"/>
            <w:vAlign w:val="center"/>
          </w:tcPr>
          <w:p>
            <w:pPr>
              <w:widowControl/>
              <w:spacing w:line="0" w:lineRule="atLeast"/>
              <w:contextualSpacing/>
              <w:jc w:val="center"/>
              <w:textAlignment w:val="center"/>
              <w:rPr>
                <w:color w:val="auto"/>
                <w:kern w:val="0"/>
                <w:szCs w:val="21"/>
              </w:rPr>
            </w:pPr>
            <w:r>
              <w:rPr>
                <w:color w:val="auto"/>
                <w:kern w:val="0"/>
                <w:szCs w:val="21"/>
              </w:rPr>
              <w:t>0</w:t>
            </w:r>
          </w:p>
        </w:tc>
        <w:tc>
          <w:tcPr>
            <w:tcW w:w="1134" w:type="dxa"/>
            <w:vAlign w:val="center"/>
          </w:tcPr>
          <w:p>
            <w:pPr>
              <w:spacing w:line="0" w:lineRule="atLeast"/>
              <w:contextualSpacing/>
              <w:jc w:val="center"/>
              <w:rPr>
                <w:color w:val="auto"/>
                <w:szCs w:val="21"/>
              </w:rPr>
            </w:pPr>
            <w:r>
              <w:rPr>
                <w:rFonts w:hint="eastAsia"/>
                <w:color w:val="auto"/>
                <w:szCs w:val="21"/>
              </w:rPr>
              <w:t>2</w:t>
            </w:r>
            <w:r>
              <w:rPr>
                <w:rFonts w:hint="eastAsia"/>
                <w:color w:val="auto"/>
                <w:szCs w:val="21"/>
                <w:lang w:val="en-US" w:eastAsia="zh-CN"/>
              </w:rPr>
              <w:t>30</w:t>
            </w:r>
          </w:p>
        </w:tc>
        <w:tc>
          <w:tcPr>
            <w:tcW w:w="1418"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1134" w:type="dxa"/>
            <w:vAlign w:val="center"/>
          </w:tcPr>
          <w:p>
            <w:pPr>
              <w:spacing w:line="0" w:lineRule="atLeast"/>
              <w:contextualSpacing/>
              <w:jc w:val="center"/>
              <w:rPr>
                <w:color w:val="auto"/>
                <w:szCs w:val="21"/>
              </w:rPr>
            </w:pPr>
            <w:r>
              <w:rPr>
                <w:rFonts w:hint="eastAsia"/>
                <w:color w:val="auto"/>
                <w:szCs w:val="21"/>
              </w:rPr>
              <w:t>9</w:t>
            </w:r>
            <w:r>
              <w:rPr>
                <w:rFonts w:hint="eastAsia"/>
                <w:color w:val="auto"/>
                <w:szCs w:val="21"/>
                <w:lang w:val="en-US" w:eastAsia="zh-CN"/>
              </w:rPr>
              <w:t>50</w:t>
            </w:r>
          </w:p>
        </w:tc>
        <w:tc>
          <w:tcPr>
            <w:tcW w:w="1228" w:type="dxa"/>
            <w:vAlign w:val="center"/>
          </w:tcPr>
          <w:p>
            <w:pPr>
              <w:widowControl/>
              <w:spacing w:line="0" w:lineRule="atLeast"/>
              <w:contextualSpacing/>
              <w:jc w:val="center"/>
              <w:textAlignment w:val="center"/>
              <w:rPr>
                <w:rFonts w:hint="default" w:eastAsia="宋体"/>
                <w:color w:val="auto"/>
                <w:kern w:val="0"/>
                <w:szCs w:val="21"/>
                <w:lang w:val="en-US" w:eastAsia="zh-CN"/>
              </w:rPr>
            </w:pPr>
            <w:r>
              <w:rPr>
                <w:rFonts w:hint="eastAsia"/>
                <w:color w:val="auto"/>
                <w:kern w:val="0"/>
                <w:szCs w:val="21"/>
                <w:lang w:val="en-US" w:eastAsia="zh-CN"/>
              </w:rPr>
              <w:t>0</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8" w:hRule="atLeast"/>
        </w:trPr>
        <w:tc>
          <w:tcPr>
            <w:tcW w:w="979" w:type="dxa"/>
            <w:vAlign w:val="center"/>
          </w:tcPr>
          <w:p>
            <w:pPr>
              <w:spacing w:line="0" w:lineRule="atLeast"/>
              <w:contextualSpacing/>
              <w:jc w:val="center"/>
              <w:rPr>
                <w:color w:val="auto"/>
                <w:szCs w:val="21"/>
              </w:rPr>
            </w:pPr>
            <w:r>
              <w:rPr>
                <w:rFonts w:hint="eastAsia"/>
                <w:color w:val="auto"/>
                <w:szCs w:val="21"/>
              </w:rPr>
              <w:t>110</w:t>
            </w:r>
          </w:p>
        </w:tc>
        <w:tc>
          <w:tcPr>
            <w:tcW w:w="1332" w:type="dxa"/>
            <w:vAlign w:val="center"/>
          </w:tcPr>
          <w:p>
            <w:pPr>
              <w:widowControl/>
              <w:spacing w:line="0" w:lineRule="atLeast"/>
              <w:contextualSpacing/>
              <w:jc w:val="center"/>
              <w:textAlignment w:val="center"/>
              <w:rPr>
                <w:color w:val="auto"/>
                <w:kern w:val="0"/>
                <w:szCs w:val="21"/>
              </w:rPr>
            </w:pPr>
            <w:r>
              <w:rPr>
                <w:color w:val="auto"/>
                <w:kern w:val="0"/>
                <w:szCs w:val="21"/>
              </w:rPr>
              <w:t>0</w:t>
            </w:r>
          </w:p>
        </w:tc>
        <w:tc>
          <w:tcPr>
            <w:tcW w:w="979" w:type="dxa"/>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240</w:t>
            </w:r>
          </w:p>
        </w:tc>
        <w:tc>
          <w:tcPr>
            <w:tcW w:w="1332" w:type="dxa"/>
            <w:vAlign w:val="center"/>
          </w:tcPr>
          <w:p>
            <w:pPr>
              <w:widowControl/>
              <w:spacing w:line="0" w:lineRule="atLeast"/>
              <w:contextualSpacing/>
              <w:jc w:val="center"/>
              <w:textAlignment w:val="center"/>
              <w:rPr>
                <w:color w:val="auto"/>
                <w:kern w:val="0"/>
                <w:szCs w:val="21"/>
              </w:rPr>
            </w:pPr>
            <w:r>
              <w:rPr>
                <w:color w:val="auto"/>
                <w:kern w:val="0"/>
                <w:szCs w:val="21"/>
              </w:rPr>
              <w:t>0</w:t>
            </w:r>
          </w:p>
        </w:tc>
        <w:tc>
          <w:tcPr>
            <w:tcW w:w="935" w:type="dxa"/>
            <w:vAlign w:val="center"/>
          </w:tcPr>
          <w:p>
            <w:pPr>
              <w:spacing w:line="0" w:lineRule="atLeast"/>
              <w:contextualSpacing/>
              <w:jc w:val="center"/>
              <w:rPr>
                <w:color w:val="auto"/>
                <w:szCs w:val="21"/>
              </w:rPr>
            </w:pPr>
            <w:r>
              <w:rPr>
                <w:rFonts w:hint="eastAsia"/>
                <w:color w:val="auto"/>
                <w:szCs w:val="21"/>
              </w:rPr>
              <w:t>1000</w:t>
            </w:r>
          </w:p>
        </w:tc>
        <w:tc>
          <w:tcPr>
            <w:tcW w:w="1275" w:type="dxa"/>
            <w:vAlign w:val="center"/>
          </w:tcPr>
          <w:p>
            <w:pPr>
              <w:spacing w:line="0" w:lineRule="atLeast"/>
              <w:contextualSpacing/>
              <w:jc w:val="center"/>
              <w:rPr>
                <w:rFonts w:hint="eastAsia" w:eastAsia="宋体"/>
                <w:color w:val="auto"/>
                <w:szCs w:val="21"/>
                <w:lang w:val="en-US" w:eastAsia="zh-CN"/>
              </w:rPr>
            </w:pPr>
            <w:r>
              <w:rPr>
                <w:rFonts w:hint="eastAsia"/>
                <w:color w:val="auto"/>
                <w:szCs w:val="21"/>
                <w:lang w:val="en-US" w:eastAsia="zh-CN"/>
              </w:rPr>
              <w:t>0</w:t>
            </w:r>
          </w:p>
        </w:tc>
        <w:tc>
          <w:tcPr>
            <w:tcW w:w="993" w:type="dxa"/>
            <w:vAlign w:val="center"/>
          </w:tcPr>
          <w:p>
            <w:pPr>
              <w:spacing w:line="0" w:lineRule="atLeast"/>
              <w:contextualSpacing/>
              <w:jc w:val="center"/>
              <w:rPr>
                <w:color w:val="auto"/>
                <w:szCs w:val="21"/>
              </w:rPr>
            </w:pPr>
            <w:r>
              <w:rPr>
                <w:rFonts w:hint="eastAsia"/>
                <w:color w:val="auto"/>
                <w:szCs w:val="21"/>
              </w:rPr>
              <w:t>110</w:t>
            </w:r>
          </w:p>
        </w:tc>
        <w:tc>
          <w:tcPr>
            <w:tcW w:w="1275" w:type="dxa"/>
            <w:vAlign w:val="center"/>
          </w:tcPr>
          <w:p>
            <w:pPr>
              <w:widowControl/>
              <w:spacing w:line="0" w:lineRule="atLeast"/>
              <w:contextualSpacing/>
              <w:jc w:val="center"/>
              <w:textAlignment w:val="center"/>
              <w:rPr>
                <w:color w:val="auto"/>
                <w:kern w:val="0"/>
                <w:szCs w:val="21"/>
              </w:rPr>
            </w:pPr>
            <w:r>
              <w:rPr>
                <w:color w:val="auto"/>
                <w:kern w:val="0"/>
                <w:szCs w:val="21"/>
              </w:rPr>
              <w:t>0</w:t>
            </w:r>
          </w:p>
        </w:tc>
        <w:tc>
          <w:tcPr>
            <w:tcW w:w="1134" w:type="dxa"/>
            <w:vAlign w:val="center"/>
          </w:tcPr>
          <w:p>
            <w:pPr>
              <w:spacing w:line="0" w:lineRule="atLeast"/>
              <w:contextualSpacing/>
              <w:jc w:val="center"/>
              <w:rPr>
                <w:color w:val="auto"/>
                <w:szCs w:val="21"/>
              </w:rPr>
            </w:pPr>
            <w:r>
              <w:rPr>
                <w:rFonts w:hint="eastAsia"/>
                <w:color w:val="auto"/>
                <w:szCs w:val="21"/>
                <w:lang w:val="en-US" w:eastAsia="zh-CN"/>
              </w:rPr>
              <w:t>240</w:t>
            </w:r>
          </w:p>
        </w:tc>
        <w:tc>
          <w:tcPr>
            <w:tcW w:w="1418"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1134" w:type="dxa"/>
            <w:vAlign w:val="center"/>
          </w:tcPr>
          <w:p>
            <w:pPr>
              <w:spacing w:line="0" w:lineRule="atLeast"/>
              <w:contextualSpacing/>
              <w:jc w:val="center"/>
              <w:rPr>
                <w:color w:val="auto"/>
                <w:szCs w:val="21"/>
              </w:rPr>
            </w:pPr>
            <w:r>
              <w:rPr>
                <w:rFonts w:hint="eastAsia"/>
                <w:color w:val="auto"/>
                <w:szCs w:val="21"/>
              </w:rPr>
              <w:t>1000</w:t>
            </w:r>
          </w:p>
        </w:tc>
        <w:tc>
          <w:tcPr>
            <w:tcW w:w="1228"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r>
    </w:tbl>
    <w:p>
      <w:pPr>
        <w:spacing w:line="360" w:lineRule="auto"/>
        <w:ind w:firstLine="426" w:firstLineChars="177"/>
        <w:jc w:val="center"/>
        <w:rPr>
          <w:b/>
          <w:color w:val="FF0000"/>
          <w:kern w:val="0"/>
          <w:sz w:val="24"/>
        </w:rPr>
      </w:pPr>
    </w:p>
    <w:p>
      <w:pPr>
        <w:spacing w:line="360" w:lineRule="auto"/>
        <w:ind w:firstLine="426" w:firstLineChars="177"/>
        <w:jc w:val="center"/>
        <w:rPr>
          <w:b/>
          <w:color w:val="FF0000"/>
          <w:kern w:val="0"/>
          <w:sz w:val="24"/>
        </w:rPr>
      </w:pPr>
    </w:p>
    <w:p>
      <w:pPr>
        <w:spacing w:line="360" w:lineRule="auto"/>
        <w:ind w:firstLine="426" w:firstLineChars="177"/>
        <w:jc w:val="center"/>
        <w:rPr>
          <w:b/>
          <w:color w:val="FF0000"/>
          <w:kern w:val="0"/>
          <w:sz w:val="24"/>
        </w:rPr>
      </w:pPr>
    </w:p>
    <w:p>
      <w:pPr>
        <w:spacing w:line="360" w:lineRule="auto"/>
        <w:ind w:firstLine="426" w:firstLineChars="177"/>
        <w:jc w:val="center"/>
        <w:rPr>
          <w:b/>
          <w:color w:val="FF0000"/>
          <w:kern w:val="0"/>
          <w:sz w:val="24"/>
        </w:rPr>
      </w:pPr>
    </w:p>
    <w:p>
      <w:pPr>
        <w:spacing w:line="360" w:lineRule="auto"/>
        <w:ind w:firstLine="426" w:firstLineChars="177"/>
        <w:jc w:val="center"/>
        <w:rPr>
          <w:b/>
          <w:color w:val="auto"/>
          <w:kern w:val="0"/>
          <w:sz w:val="24"/>
        </w:rPr>
      </w:pPr>
      <w:r>
        <w:rPr>
          <w:b/>
          <w:color w:val="auto"/>
          <w:kern w:val="0"/>
          <w:sz w:val="24"/>
        </w:rPr>
        <w:t>表5-2-</w:t>
      </w:r>
      <w:r>
        <w:rPr>
          <w:rFonts w:hint="eastAsia"/>
          <w:b/>
          <w:color w:val="auto"/>
          <w:kern w:val="0"/>
          <w:sz w:val="24"/>
        </w:rPr>
        <w:t>2</w:t>
      </w:r>
      <w:r>
        <w:rPr>
          <w:rFonts w:hint="eastAsia"/>
          <w:b/>
          <w:color w:val="auto"/>
          <w:kern w:val="0"/>
          <w:sz w:val="24"/>
          <w:lang w:val="en-US" w:eastAsia="zh-CN"/>
        </w:rPr>
        <w:t>1</w:t>
      </w:r>
      <w:r>
        <w:rPr>
          <w:b/>
          <w:color w:val="auto"/>
          <w:kern w:val="0"/>
          <w:sz w:val="24"/>
        </w:rPr>
        <w:t>地下预测结果（</w:t>
      </w:r>
      <w:r>
        <w:rPr>
          <w:rFonts w:hint="eastAsia"/>
          <w:b/>
          <w:color w:val="auto"/>
          <w:kern w:val="0"/>
          <w:sz w:val="24"/>
        </w:rPr>
        <w:t>贮水池</w:t>
      </w:r>
      <w:r>
        <w:rPr>
          <w:b/>
          <w:color w:val="auto"/>
          <w:kern w:val="0"/>
          <w:sz w:val="24"/>
        </w:rPr>
        <w:t>）</w:t>
      </w:r>
    </w:p>
    <w:tbl>
      <w:tblPr>
        <w:tblStyle w:val="46"/>
        <w:tblW w:w="14014" w:type="dxa"/>
        <w:tblInd w:w="0" w:type="dxa"/>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879"/>
        <w:gridCol w:w="1417"/>
        <w:gridCol w:w="851"/>
        <w:gridCol w:w="1417"/>
        <w:gridCol w:w="993"/>
        <w:gridCol w:w="1275"/>
        <w:gridCol w:w="1134"/>
        <w:gridCol w:w="1276"/>
        <w:gridCol w:w="992"/>
        <w:gridCol w:w="1560"/>
        <w:gridCol w:w="992"/>
        <w:gridCol w:w="1228"/>
      </w:tblGrid>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6" w:hRule="atLeast"/>
        </w:trPr>
        <w:tc>
          <w:tcPr>
            <w:tcW w:w="6832" w:type="dxa"/>
            <w:gridSpan w:val="6"/>
            <w:vAlign w:val="center"/>
          </w:tcPr>
          <w:p>
            <w:pPr>
              <w:pStyle w:val="84"/>
              <w:spacing w:line="0" w:lineRule="atLeast"/>
              <w:contextualSpacing/>
              <w:rPr>
                <w:rFonts w:hAnsi="Times New Roman"/>
                <w:color w:val="auto"/>
              </w:rPr>
            </w:pPr>
            <w:r>
              <w:rPr>
                <w:rFonts w:hint="eastAsia" w:hAnsi="Times New Roman"/>
                <w:snapToGrid w:val="0"/>
                <w:color w:val="auto"/>
              </w:rPr>
              <w:t>COD</w:t>
            </w:r>
          </w:p>
        </w:tc>
        <w:tc>
          <w:tcPr>
            <w:tcW w:w="7182" w:type="dxa"/>
            <w:gridSpan w:val="6"/>
            <w:vAlign w:val="center"/>
          </w:tcPr>
          <w:p>
            <w:pPr>
              <w:pStyle w:val="84"/>
              <w:spacing w:line="0" w:lineRule="atLeast"/>
              <w:contextualSpacing/>
              <w:rPr>
                <w:rFonts w:hAnsi="Times New Roman"/>
                <w:color w:val="auto"/>
              </w:rPr>
            </w:pPr>
            <w:r>
              <w:rPr>
                <w:rFonts w:hAnsi="Times New Roman"/>
                <w:color w:val="auto"/>
              </w:rPr>
              <w:t>氨氮</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6" w:hRule="atLeast"/>
        </w:trPr>
        <w:tc>
          <w:tcPr>
            <w:tcW w:w="2296" w:type="dxa"/>
            <w:gridSpan w:val="2"/>
            <w:vAlign w:val="center"/>
          </w:tcPr>
          <w:p>
            <w:pPr>
              <w:spacing w:line="0" w:lineRule="atLeast"/>
              <w:contextualSpacing/>
              <w:jc w:val="center"/>
              <w:rPr>
                <w:color w:val="auto"/>
                <w:szCs w:val="21"/>
              </w:rPr>
            </w:pPr>
            <w:r>
              <w:rPr>
                <w:color w:val="auto"/>
                <w:szCs w:val="21"/>
              </w:rPr>
              <w:t>100天</w:t>
            </w:r>
          </w:p>
        </w:tc>
        <w:tc>
          <w:tcPr>
            <w:tcW w:w="2268" w:type="dxa"/>
            <w:gridSpan w:val="2"/>
            <w:vAlign w:val="center"/>
          </w:tcPr>
          <w:p>
            <w:pPr>
              <w:spacing w:line="0" w:lineRule="atLeast"/>
              <w:contextualSpacing/>
              <w:jc w:val="center"/>
              <w:rPr>
                <w:color w:val="auto"/>
                <w:szCs w:val="21"/>
              </w:rPr>
            </w:pPr>
            <w:r>
              <w:rPr>
                <w:color w:val="auto"/>
                <w:szCs w:val="21"/>
              </w:rPr>
              <w:t>1000天</w:t>
            </w:r>
          </w:p>
        </w:tc>
        <w:tc>
          <w:tcPr>
            <w:tcW w:w="2268" w:type="dxa"/>
            <w:gridSpan w:val="2"/>
            <w:vAlign w:val="center"/>
          </w:tcPr>
          <w:p>
            <w:pPr>
              <w:spacing w:line="0" w:lineRule="atLeast"/>
              <w:contextualSpacing/>
              <w:jc w:val="center"/>
              <w:rPr>
                <w:color w:val="auto"/>
                <w:szCs w:val="21"/>
              </w:rPr>
            </w:pPr>
            <w:r>
              <w:rPr>
                <w:rFonts w:hint="eastAsia"/>
                <w:color w:val="auto"/>
                <w:szCs w:val="21"/>
              </w:rPr>
              <w:t>20年（服务年限）</w:t>
            </w:r>
          </w:p>
        </w:tc>
        <w:tc>
          <w:tcPr>
            <w:tcW w:w="2410" w:type="dxa"/>
            <w:gridSpan w:val="2"/>
            <w:vAlign w:val="center"/>
          </w:tcPr>
          <w:p>
            <w:pPr>
              <w:spacing w:line="0" w:lineRule="atLeast"/>
              <w:contextualSpacing/>
              <w:jc w:val="center"/>
              <w:rPr>
                <w:color w:val="auto"/>
                <w:szCs w:val="21"/>
              </w:rPr>
            </w:pPr>
            <w:r>
              <w:rPr>
                <w:color w:val="auto"/>
                <w:szCs w:val="21"/>
              </w:rPr>
              <w:t>100天</w:t>
            </w:r>
          </w:p>
        </w:tc>
        <w:tc>
          <w:tcPr>
            <w:tcW w:w="2552" w:type="dxa"/>
            <w:gridSpan w:val="2"/>
            <w:vAlign w:val="center"/>
          </w:tcPr>
          <w:p>
            <w:pPr>
              <w:spacing w:line="0" w:lineRule="atLeast"/>
              <w:contextualSpacing/>
              <w:jc w:val="center"/>
              <w:rPr>
                <w:color w:val="auto"/>
                <w:szCs w:val="21"/>
              </w:rPr>
            </w:pPr>
            <w:r>
              <w:rPr>
                <w:color w:val="auto"/>
                <w:szCs w:val="21"/>
              </w:rPr>
              <w:t>1000天</w:t>
            </w:r>
          </w:p>
        </w:tc>
        <w:tc>
          <w:tcPr>
            <w:tcW w:w="2220" w:type="dxa"/>
            <w:gridSpan w:val="2"/>
            <w:vAlign w:val="center"/>
          </w:tcPr>
          <w:p>
            <w:pPr>
              <w:spacing w:line="0" w:lineRule="atLeast"/>
              <w:contextualSpacing/>
              <w:jc w:val="center"/>
              <w:rPr>
                <w:color w:val="auto"/>
                <w:szCs w:val="21"/>
              </w:rPr>
            </w:pPr>
            <w:r>
              <w:rPr>
                <w:rFonts w:hint="eastAsia"/>
                <w:color w:val="auto"/>
                <w:szCs w:val="21"/>
              </w:rPr>
              <w:t>20年（服务年限）</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31" w:hRule="atLeast"/>
        </w:trPr>
        <w:tc>
          <w:tcPr>
            <w:tcW w:w="879" w:type="dxa"/>
            <w:vAlign w:val="center"/>
          </w:tcPr>
          <w:p>
            <w:pPr>
              <w:spacing w:line="0" w:lineRule="atLeast"/>
              <w:contextualSpacing/>
              <w:jc w:val="center"/>
              <w:rPr>
                <w:color w:val="auto"/>
                <w:szCs w:val="21"/>
              </w:rPr>
            </w:pPr>
            <w:r>
              <w:rPr>
                <w:color w:val="auto"/>
                <w:szCs w:val="21"/>
              </w:rPr>
              <w:t>距离（m）</w:t>
            </w:r>
          </w:p>
        </w:tc>
        <w:tc>
          <w:tcPr>
            <w:tcW w:w="1417" w:type="dxa"/>
            <w:vAlign w:val="center"/>
          </w:tcPr>
          <w:p>
            <w:pPr>
              <w:spacing w:line="0" w:lineRule="atLeast"/>
              <w:contextualSpacing/>
              <w:jc w:val="center"/>
              <w:rPr>
                <w:color w:val="auto"/>
                <w:szCs w:val="21"/>
              </w:rPr>
            </w:pPr>
            <w:r>
              <w:rPr>
                <w:color w:val="auto"/>
                <w:szCs w:val="21"/>
              </w:rPr>
              <w:t>浓度（mg/L）</w:t>
            </w:r>
          </w:p>
        </w:tc>
        <w:tc>
          <w:tcPr>
            <w:tcW w:w="851" w:type="dxa"/>
            <w:vAlign w:val="center"/>
          </w:tcPr>
          <w:p>
            <w:pPr>
              <w:spacing w:line="0" w:lineRule="atLeast"/>
              <w:contextualSpacing/>
              <w:jc w:val="center"/>
              <w:rPr>
                <w:color w:val="auto"/>
                <w:szCs w:val="21"/>
              </w:rPr>
            </w:pPr>
            <w:r>
              <w:rPr>
                <w:color w:val="auto"/>
                <w:szCs w:val="21"/>
              </w:rPr>
              <w:t>距离（m）</w:t>
            </w:r>
          </w:p>
        </w:tc>
        <w:tc>
          <w:tcPr>
            <w:tcW w:w="1417" w:type="dxa"/>
            <w:vAlign w:val="center"/>
          </w:tcPr>
          <w:p>
            <w:pPr>
              <w:spacing w:line="0" w:lineRule="atLeast"/>
              <w:contextualSpacing/>
              <w:jc w:val="center"/>
              <w:rPr>
                <w:color w:val="auto"/>
                <w:szCs w:val="21"/>
              </w:rPr>
            </w:pPr>
            <w:r>
              <w:rPr>
                <w:color w:val="auto"/>
                <w:szCs w:val="21"/>
              </w:rPr>
              <w:t>浓度（mg/L）</w:t>
            </w:r>
          </w:p>
        </w:tc>
        <w:tc>
          <w:tcPr>
            <w:tcW w:w="993" w:type="dxa"/>
            <w:vAlign w:val="center"/>
          </w:tcPr>
          <w:p>
            <w:pPr>
              <w:spacing w:line="0" w:lineRule="atLeast"/>
              <w:contextualSpacing/>
              <w:jc w:val="center"/>
              <w:rPr>
                <w:color w:val="auto"/>
                <w:szCs w:val="21"/>
              </w:rPr>
            </w:pPr>
            <w:r>
              <w:rPr>
                <w:color w:val="auto"/>
                <w:szCs w:val="21"/>
              </w:rPr>
              <w:t>距离（m）</w:t>
            </w:r>
          </w:p>
        </w:tc>
        <w:tc>
          <w:tcPr>
            <w:tcW w:w="1275" w:type="dxa"/>
            <w:vAlign w:val="center"/>
          </w:tcPr>
          <w:p>
            <w:pPr>
              <w:spacing w:line="0" w:lineRule="atLeast"/>
              <w:contextualSpacing/>
              <w:jc w:val="center"/>
              <w:rPr>
                <w:color w:val="auto"/>
                <w:szCs w:val="21"/>
              </w:rPr>
            </w:pPr>
            <w:r>
              <w:rPr>
                <w:color w:val="auto"/>
                <w:szCs w:val="21"/>
              </w:rPr>
              <w:t>浓度（mg/L）</w:t>
            </w:r>
          </w:p>
        </w:tc>
        <w:tc>
          <w:tcPr>
            <w:tcW w:w="1134" w:type="dxa"/>
            <w:vAlign w:val="center"/>
          </w:tcPr>
          <w:p>
            <w:pPr>
              <w:spacing w:line="0" w:lineRule="atLeast"/>
              <w:contextualSpacing/>
              <w:jc w:val="center"/>
              <w:rPr>
                <w:color w:val="auto"/>
                <w:szCs w:val="21"/>
              </w:rPr>
            </w:pPr>
            <w:r>
              <w:rPr>
                <w:color w:val="auto"/>
                <w:szCs w:val="21"/>
              </w:rPr>
              <w:t>距离（m）</w:t>
            </w:r>
          </w:p>
        </w:tc>
        <w:tc>
          <w:tcPr>
            <w:tcW w:w="1276" w:type="dxa"/>
            <w:vAlign w:val="center"/>
          </w:tcPr>
          <w:p>
            <w:pPr>
              <w:spacing w:line="0" w:lineRule="atLeast"/>
              <w:contextualSpacing/>
              <w:jc w:val="center"/>
              <w:rPr>
                <w:color w:val="auto"/>
                <w:szCs w:val="21"/>
              </w:rPr>
            </w:pPr>
            <w:r>
              <w:rPr>
                <w:color w:val="auto"/>
                <w:szCs w:val="21"/>
              </w:rPr>
              <w:t>浓度（mg/L）</w:t>
            </w:r>
          </w:p>
        </w:tc>
        <w:tc>
          <w:tcPr>
            <w:tcW w:w="992" w:type="dxa"/>
            <w:vAlign w:val="center"/>
          </w:tcPr>
          <w:p>
            <w:pPr>
              <w:spacing w:line="0" w:lineRule="atLeast"/>
              <w:contextualSpacing/>
              <w:jc w:val="center"/>
              <w:rPr>
                <w:color w:val="auto"/>
                <w:szCs w:val="21"/>
              </w:rPr>
            </w:pPr>
            <w:r>
              <w:rPr>
                <w:color w:val="auto"/>
                <w:szCs w:val="21"/>
              </w:rPr>
              <w:t>距离（m）</w:t>
            </w:r>
          </w:p>
        </w:tc>
        <w:tc>
          <w:tcPr>
            <w:tcW w:w="1560" w:type="dxa"/>
            <w:vAlign w:val="center"/>
          </w:tcPr>
          <w:p>
            <w:pPr>
              <w:spacing w:line="0" w:lineRule="atLeast"/>
              <w:contextualSpacing/>
              <w:jc w:val="center"/>
              <w:rPr>
                <w:color w:val="auto"/>
                <w:szCs w:val="21"/>
              </w:rPr>
            </w:pPr>
            <w:r>
              <w:rPr>
                <w:color w:val="auto"/>
                <w:szCs w:val="21"/>
              </w:rPr>
              <w:t>浓度（mg/L）</w:t>
            </w:r>
          </w:p>
        </w:tc>
        <w:tc>
          <w:tcPr>
            <w:tcW w:w="992" w:type="dxa"/>
            <w:vAlign w:val="center"/>
          </w:tcPr>
          <w:p>
            <w:pPr>
              <w:spacing w:line="0" w:lineRule="atLeast"/>
              <w:contextualSpacing/>
              <w:jc w:val="center"/>
              <w:rPr>
                <w:color w:val="auto"/>
                <w:szCs w:val="21"/>
              </w:rPr>
            </w:pPr>
            <w:r>
              <w:rPr>
                <w:color w:val="auto"/>
                <w:szCs w:val="21"/>
              </w:rPr>
              <w:t>距离（m）</w:t>
            </w:r>
          </w:p>
        </w:tc>
        <w:tc>
          <w:tcPr>
            <w:tcW w:w="1228" w:type="dxa"/>
            <w:vAlign w:val="center"/>
          </w:tcPr>
          <w:p>
            <w:pPr>
              <w:spacing w:line="0" w:lineRule="atLeast"/>
              <w:contextualSpacing/>
              <w:jc w:val="center"/>
              <w:rPr>
                <w:color w:val="auto"/>
                <w:szCs w:val="21"/>
              </w:rPr>
            </w:pPr>
            <w:r>
              <w:rPr>
                <w:color w:val="auto"/>
                <w:szCs w:val="21"/>
              </w:rPr>
              <w:t>浓度（mg/L）</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3" w:hRule="atLeast"/>
        </w:trPr>
        <w:tc>
          <w:tcPr>
            <w:tcW w:w="879" w:type="dxa"/>
            <w:vAlign w:val="center"/>
          </w:tcPr>
          <w:p>
            <w:pPr>
              <w:spacing w:line="0" w:lineRule="atLeast"/>
              <w:contextualSpacing/>
              <w:jc w:val="center"/>
              <w:rPr>
                <w:color w:val="auto"/>
                <w:szCs w:val="21"/>
              </w:rPr>
            </w:pPr>
            <w:r>
              <w:rPr>
                <w:color w:val="auto"/>
                <w:szCs w:val="21"/>
              </w:rPr>
              <w:t>0</w:t>
            </w:r>
          </w:p>
        </w:tc>
        <w:tc>
          <w:tcPr>
            <w:tcW w:w="1417" w:type="dxa"/>
            <w:vAlign w:val="center"/>
          </w:tcPr>
          <w:p>
            <w:pPr>
              <w:widowControl/>
              <w:spacing w:line="0" w:lineRule="atLeast"/>
              <w:contextualSpacing/>
              <w:jc w:val="center"/>
              <w:textAlignment w:val="center"/>
              <w:rPr>
                <w:rFonts w:hint="eastAsia" w:eastAsia="宋体"/>
                <w:color w:val="auto"/>
                <w:kern w:val="0"/>
                <w:szCs w:val="21"/>
                <w:lang w:eastAsia="zh-CN"/>
              </w:rPr>
            </w:pPr>
            <w:r>
              <w:rPr>
                <w:rFonts w:hint="eastAsia" w:eastAsia="宋体"/>
                <w:color w:val="auto"/>
                <w:kern w:val="0"/>
                <w:szCs w:val="21"/>
                <w:lang w:eastAsia="zh-CN"/>
              </w:rPr>
              <w:t>1.89E+02</w:t>
            </w:r>
          </w:p>
        </w:tc>
        <w:tc>
          <w:tcPr>
            <w:tcW w:w="851" w:type="dxa"/>
            <w:vAlign w:val="center"/>
          </w:tcPr>
          <w:p>
            <w:pPr>
              <w:widowControl/>
              <w:spacing w:line="0" w:lineRule="atLeast"/>
              <w:contextualSpacing/>
              <w:jc w:val="center"/>
              <w:textAlignment w:val="center"/>
              <w:rPr>
                <w:color w:val="auto"/>
                <w:kern w:val="0"/>
                <w:szCs w:val="21"/>
              </w:rPr>
            </w:pPr>
            <w:r>
              <w:rPr>
                <w:color w:val="auto"/>
                <w:kern w:val="0"/>
                <w:szCs w:val="21"/>
              </w:rPr>
              <w:t>0</w:t>
            </w:r>
          </w:p>
        </w:tc>
        <w:tc>
          <w:tcPr>
            <w:tcW w:w="1417" w:type="dxa"/>
            <w:vAlign w:val="center"/>
          </w:tcPr>
          <w:p>
            <w:pPr>
              <w:widowControl/>
              <w:spacing w:line="0" w:lineRule="atLeast"/>
              <w:contextualSpacing/>
              <w:jc w:val="center"/>
              <w:textAlignment w:val="center"/>
              <w:rPr>
                <w:rFonts w:hint="eastAsia" w:eastAsia="宋体"/>
                <w:color w:val="auto"/>
                <w:kern w:val="0"/>
                <w:szCs w:val="21"/>
                <w:lang w:eastAsia="zh-CN"/>
              </w:rPr>
            </w:pPr>
            <w:r>
              <w:rPr>
                <w:rFonts w:hint="eastAsia" w:eastAsia="宋体"/>
                <w:color w:val="auto"/>
                <w:kern w:val="0"/>
                <w:szCs w:val="21"/>
                <w:lang w:eastAsia="zh-CN"/>
              </w:rPr>
              <w:t>1.89E+02</w:t>
            </w:r>
          </w:p>
        </w:tc>
        <w:tc>
          <w:tcPr>
            <w:tcW w:w="993"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1275" w:type="dxa"/>
            <w:vAlign w:val="center"/>
          </w:tcPr>
          <w:p>
            <w:pPr>
              <w:widowControl/>
              <w:spacing w:line="0" w:lineRule="atLeast"/>
              <w:contextualSpacing/>
              <w:jc w:val="center"/>
              <w:textAlignment w:val="center"/>
              <w:rPr>
                <w:rFonts w:hint="eastAsia" w:eastAsia="宋体"/>
                <w:color w:val="auto"/>
                <w:kern w:val="0"/>
                <w:szCs w:val="21"/>
                <w:lang w:eastAsia="zh-CN"/>
              </w:rPr>
            </w:pPr>
            <w:r>
              <w:rPr>
                <w:rFonts w:hint="eastAsia" w:eastAsia="宋体"/>
                <w:color w:val="auto"/>
                <w:kern w:val="0"/>
                <w:szCs w:val="21"/>
                <w:lang w:eastAsia="zh-CN"/>
              </w:rPr>
              <w:t>1.89E+02</w:t>
            </w:r>
          </w:p>
        </w:tc>
        <w:tc>
          <w:tcPr>
            <w:tcW w:w="1134" w:type="dxa"/>
            <w:vAlign w:val="center"/>
          </w:tcPr>
          <w:p>
            <w:pPr>
              <w:spacing w:line="0" w:lineRule="atLeast"/>
              <w:contextualSpacing/>
              <w:jc w:val="center"/>
              <w:rPr>
                <w:color w:val="auto"/>
                <w:szCs w:val="21"/>
              </w:rPr>
            </w:pPr>
            <w:r>
              <w:rPr>
                <w:color w:val="auto"/>
                <w:szCs w:val="21"/>
              </w:rPr>
              <w:t>0</w:t>
            </w:r>
          </w:p>
        </w:tc>
        <w:tc>
          <w:tcPr>
            <w:tcW w:w="1276" w:type="dxa"/>
            <w:vAlign w:val="center"/>
          </w:tcPr>
          <w:p>
            <w:pPr>
              <w:widowControl/>
              <w:spacing w:line="0" w:lineRule="atLeast"/>
              <w:contextualSpacing/>
              <w:jc w:val="center"/>
              <w:textAlignment w:val="center"/>
              <w:rPr>
                <w:rFonts w:hint="eastAsia" w:eastAsia="宋体"/>
                <w:color w:val="auto"/>
                <w:kern w:val="0"/>
                <w:szCs w:val="21"/>
                <w:lang w:eastAsia="zh-CN"/>
              </w:rPr>
            </w:pPr>
            <w:r>
              <w:rPr>
                <w:rFonts w:hint="eastAsia" w:eastAsia="宋体"/>
                <w:color w:val="auto"/>
                <w:kern w:val="0"/>
                <w:szCs w:val="21"/>
                <w:lang w:eastAsia="zh-CN"/>
              </w:rPr>
              <w:t>3.13E+01</w:t>
            </w:r>
          </w:p>
        </w:tc>
        <w:tc>
          <w:tcPr>
            <w:tcW w:w="992" w:type="dxa"/>
            <w:vAlign w:val="center"/>
          </w:tcPr>
          <w:p>
            <w:pPr>
              <w:widowControl/>
              <w:spacing w:line="0" w:lineRule="atLeast"/>
              <w:contextualSpacing/>
              <w:jc w:val="center"/>
              <w:textAlignment w:val="center"/>
              <w:rPr>
                <w:color w:val="auto"/>
                <w:kern w:val="0"/>
                <w:szCs w:val="21"/>
              </w:rPr>
            </w:pPr>
            <w:r>
              <w:rPr>
                <w:color w:val="auto"/>
                <w:kern w:val="0"/>
                <w:szCs w:val="21"/>
              </w:rPr>
              <w:t>0</w:t>
            </w:r>
          </w:p>
        </w:tc>
        <w:tc>
          <w:tcPr>
            <w:tcW w:w="1560" w:type="dxa"/>
            <w:vAlign w:val="center"/>
          </w:tcPr>
          <w:p>
            <w:pPr>
              <w:widowControl/>
              <w:spacing w:line="0" w:lineRule="atLeast"/>
              <w:contextualSpacing/>
              <w:jc w:val="center"/>
              <w:textAlignment w:val="center"/>
              <w:rPr>
                <w:rFonts w:hint="eastAsia" w:eastAsia="宋体"/>
                <w:color w:val="auto"/>
                <w:kern w:val="0"/>
                <w:szCs w:val="21"/>
                <w:lang w:eastAsia="zh-CN"/>
              </w:rPr>
            </w:pPr>
            <w:r>
              <w:rPr>
                <w:rFonts w:hint="eastAsia" w:eastAsia="宋体"/>
                <w:color w:val="auto"/>
                <w:kern w:val="0"/>
                <w:szCs w:val="21"/>
                <w:lang w:eastAsia="zh-CN"/>
              </w:rPr>
              <w:t>3.13E+01</w:t>
            </w:r>
          </w:p>
        </w:tc>
        <w:tc>
          <w:tcPr>
            <w:tcW w:w="992"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1228" w:type="dxa"/>
            <w:vAlign w:val="center"/>
          </w:tcPr>
          <w:p>
            <w:pPr>
              <w:widowControl/>
              <w:spacing w:line="0" w:lineRule="atLeast"/>
              <w:contextualSpacing/>
              <w:jc w:val="center"/>
              <w:textAlignment w:val="center"/>
              <w:rPr>
                <w:rFonts w:hint="eastAsia" w:eastAsia="宋体"/>
                <w:color w:val="auto"/>
                <w:kern w:val="0"/>
                <w:szCs w:val="21"/>
                <w:lang w:eastAsia="zh-CN"/>
              </w:rPr>
            </w:pPr>
            <w:r>
              <w:rPr>
                <w:rFonts w:hint="eastAsia" w:eastAsia="宋体"/>
                <w:color w:val="auto"/>
                <w:kern w:val="0"/>
                <w:szCs w:val="21"/>
                <w:lang w:eastAsia="zh-CN"/>
              </w:rPr>
              <w:t>3.13E+01</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3" w:hRule="atLeast"/>
        </w:trPr>
        <w:tc>
          <w:tcPr>
            <w:tcW w:w="879" w:type="dxa"/>
            <w:vAlign w:val="center"/>
          </w:tcPr>
          <w:p>
            <w:pPr>
              <w:spacing w:line="0" w:lineRule="atLeast"/>
              <w:contextualSpacing/>
              <w:jc w:val="center"/>
              <w:rPr>
                <w:color w:val="auto"/>
                <w:szCs w:val="21"/>
              </w:rPr>
            </w:pPr>
            <w:r>
              <w:rPr>
                <w:rFonts w:hint="eastAsia"/>
                <w:color w:val="auto"/>
                <w:szCs w:val="21"/>
              </w:rPr>
              <w:t>10</w:t>
            </w:r>
          </w:p>
        </w:tc>
        <w:tc>
          <w:tcPr>
            <w:tcW w:w="1417" w:type="dxa"/>
            <w:vAlign w:val="center"/>
          </w:tcPr>
          <w:p>
            <w:pPr>
              <w:widowControl/>
              <w:spacing w:line="0" w:lineRule="atLeast"/>
              <w:contextualSpacing/>
              <w:jc w:val="center"/>
              <w:textAlignment w:val="center"/>
              <w:rPr>
                <w:color w:val="auto"/>
                <w:szCs w:val="21"/>
              </w:rPr>
            </w:pPr>
            <w:r>
              <w:rPr>
                <w:rFonts w:hint="eastAsia"/>
                <w:color w:val="auto"/>
                <w:szCs w:val="21"/>
              </w:rPr>
              <w:t>2.74E+01</w:t>
            </w:r>
          </w:p>
        </w:tc>
        <w:tc>
          <w:tcPr>
            <w:tcW w:w="851" w:type="dxa"/>
            <w:vAlign w:val="center"/>
          </w:tcPr>
          <w:p>
            <w:pPr>
              <w:spacing w:line="0" w:lineRule="atLeast"/>
              <w:contextualSpacing/>
              <w:jc w:val="center"/>
              <w:rPr>
                <w:color w:val="auto"/>
                <w:szCs w:val="21"/>
              </w:rPr>
            </w:pPr>
            <w:r>
              <w:rPr>
                <w:color w:val="auto"/>
                <w:szCs w:val="21"/>
              </w:rPr>
              <w:t>10</w:t>
            </w:r>
          </w:p>
        </w:tc>
        <w:tc>
          <w:tcPr>
            <w:tcW w:w="1417" w:type="dxa"/>
            <w:vAlign w:val="center"/>
          </w:tcPr>
          <w:p>
            <w:pPr>
              <w:widowControl/>
              <w:spacing w:line="0" w:lineRule="atLeast"/>
              <w:contextualSpacing/>
              <w:jc w:val="center"/>
              <w:textAlignment w:val="center"/>
              <w:rPr>
                <w:color w:val="auto"/>
                <w:szCs w:val="21"/>
              </w:rPr>
            </w:pPr>
            <w:r>
              <w:rPr>
                <w:rFonts w:hint="eastAsia"/>
                <w:color w:val="auto"/>
                <w:szCs w:val="21"/>
              </w:rPr>
              <w:t>1.44E+02</w:t>
            </w:r>
          </w:p>
        </w:tc>
        <w:tc>
          <w:tcPr>
            <w:tcW w:w="993" w:type="dxa"/>
            <w:vAlign w:val="center"/>
          </w:tcPr>
          <w:p>
            <w:pPr>
              <w:spacing w:line="0" w:lineRule="atLeast"/>
              <w:contextualSpacing/>
              <w:jc w:val="center"/>
              <w:rPr>
                <w:color w:val="auto"/>
                <w:szCs w:val="21"/>
              </w:rPr>
            </w:pPr>
            <w:r>
              <w:rPr>
                <w:rFonts w:hint="eastAsia"/>
                <w:color w:val="auto"/>
                <w:szCs w:val="21"/>
              </w:rPr>
              <w:t>10</w:t>
            </w:r>
          </w:p>
        </w:tc>
        <w:tc>
          <w:tcPr>
            <w:tcW w:w="1275" w:type="dxa"/>
            <w:vAlign w:val="center"/>
          </w:tcPr>
          <w:p>
            <w:pPr>
              <w:spacing w:line="0" w:lineRule="atLeast"/>
              <w:contextualSpacing/>
              <w:jc w:val="center"/>
              <w:rPr>
                <w:rFonts w:hint="eastAsia" w:eastAsia="宋体"/>
                <w:color w:val="auto"/>
                <w:szCs w:val="21"/>
                <w:lang w:eastAsia="zh-CN"/>
              </w:rPr>
            </w:pPr>
            <w:r>
              <w:rPr>
                <w:rFonts w:hint="eastAsia" w:eastAsia="宋体"/>
                <w:color w:val="auto"/>
                <w:szCs w:val="21"/>
                <w:lang w:eastAsia="zh-CN"/>
              </w:rPr>
              <w:t>1.85E+02</w:t>
            </w:r>
          </w:p>
        </w:tc>
        <w:tc>
          <w:tcPr>
            <w:tcW w:w="1134" w:type="dxa"/>
            <w:vAlign w:val="center"/>
          </w:tcPr>
          <w:p>
            <w:pPr>
              <w:spacing w:line="0" w:lineRule="atLeast"/>
              <w:contextualSpacing/>
              <w:jc w:val="center"/>
              <w:rPr>
                <w:color w:val="auto"/>
                <w:szCs w:val="21"/>
              </w:rPr>
            </w:pPr>
            <w:r>
              <w:rPr>
                <w:rFonts w:hint="eastAsia"/>
                <w:color w:val="auto"/>
                <w:szCs w:val="21"/>
              </w:rPr>
              <w:t>10</w:t>
            </w:r>
          </w:p>
        </w:tc>
        <w:tc>
          <w:tcPr>
            <w:tcW w:w="1276"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4.53E+00</w:t>
            </w:r>
          </w:p>
        </w:tc>
        <w:tc>
          <w:tcPr>
            <w:tcW w:w="992" w:type="dxa"/>
            <w:vAlign w:val="center"/>
          </w:tcPr>
          <w:p>
            <w:pPr>
              <w:spacing w:line="0" w:lineRule="atLeast"/>
              <w:contextualSpacing/>
              <w:jc w:val="center"/>
              <w:rPr>
                <w:color w:val="auto"/>
                <w:szCs w:val="21"/>
              </w:rPr>
            </w:pPr>
            <w:r>
              <w:rPr>
                <w:color w:val="auto"/>
                <w:szCs w:val="21"/>
              </w:rPr>
              <w:t>10</w:t>
            </w:r>
          </w:p>
        </w:tc>
        <w:tc>
          <w:tcPr>
            <w:tcW w:w="1560"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2.38E+01</w:t>
            </w:r>
          </w:p>
        </w:tc>
        <w:tc>
          <w:tcPr>
            <w:tcW w:w="992" w:type="dxa"/>
            <w:vAlign w:val="center"/>
          </w:tcPr>
          <w:p>
            <w:pPr>
              <w:spacing w:line="0" w:lineRule="atLeast"/>
              <w:contextualSpacing/>
              <w:jc w:val="center"/>
              <w:rPr>
                <w:color w:val="auto"/>
                <w:szCs w:val="21"/>
              </w:rPr>
            </w:pPr>
            <w:r>
              <w:rPr>
                <w:rFonts w:hint="eastAsia"/>
                <w:color w:val="auto"/>
                <w:szCs w:val="21"/>
              </w:rPr>
              <w:t>10</w:t>
            </w:r>
          </w:p>
        </w:tc>
        <w:tc>
          <w:tcPr>
            <w:tcW w:w="1228" w:type="dxa"/>
            <w:vAlign w:val="center"/>
          </w:tcPr>
          <w:p>
            <w:pPr>
              <w:widowControl/>
              <w:spacing w:line="0" w:lineRule="atLeast"/>
              <w:contextualSpacing/>
              <w:jc w:val="center"/>
              <w:textAlignment w:val="center"/>
              <w:rPr>
                <w:rFonts w:hint="eastAsia" w:eastAsia="宋体"/>
                <w:color w:val="auto"/>
                <w:kern w:val="0"/>
                <w:szCs w:val="21"/>
                <w:lang w:eastAsia="zh-CN"/>
              </w:rPr>
            </w:pPr>
            <w:r>
              <w:rPr>
                <w:rFonts w:hint="eastAsia" w:eastAsia="宋体"/>
                <w:color w:val="auto"/>
                <w:kern w:val="0"/>
                <w:szCs w:val="21"/>
                <w:lang w:eastAsia="zh-CN"/>
              </w:rPr>
              <w:t>3.07E+01</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3" w:hRule="atLeast"/>
        </w:trPr>
        <w:tc>
          <w:tcPr>
            <w:tcW w:w="879" w:type="dxa"/>
            <w:vAlign w:val="center"/>
          </w:tcPr>
          <w:p>
            <w:pPr>
              <w:spacing w:line="0" w:lineRule="atLeast"/>
              <w:contextualSpacing/>
              <w:jc w:val="center"/>
              <w:rPr>
                <w:color w:val="auto"/>
                <w:szCs w:val="21"/>
              </w:rPr>
            </w:pPr>
            <w:r>
              <w:rPr>
                <w:rFonts w:hint="eastAsia"/>
                <w:color w:val="auto"/>
                <w:szCs w:val="21"/>
              </w:rPr>
              <w:t>20</w:t>
            </w:r>
          </w:p>
        </w:tc>
        <w:tc>
          <w:tcPr>
            <w:tcW w:w="1417" w:type="dxa"/>
            <w:vAlign w:val="center"/>
          </w:tcPr>
          <w:p>
            <w:pPr>
              <w:widowControl/>
              <w:spacing w:line="0" w:lineRule="atLeast"/>
              <w:contextualSpacing/>
              <w:jc w:val="center"/>
              <w:textAlignment w:val="center"/>
              <w:rPr>
                <w:color w:val="auto"/>
                <w:szCs w:val="21"/>
              </w:rPr>
            </w:pPr>
            <w:r>
              <w:rPr>
                <w:rFonts w:hint="eastAsia"/>
                <w:color w:val="auto"/>
                <w:szCs w:val="21"/>
              </w:rPr>
              <w:t>4.83E-01</w:t>
            </w:r>
          </w:p>
        </w:tc>
        <w:tc>
          <w:tcPr>
            <w:tcW w:w="851" w:type="dxa"/>
            <w:vAlign w:val="center"/>
          </w:tcPr>
          <w:p>
            <w:pPr>
              <w:spacing w:line="0" w:lineRule="atLeast"/>
              <w:contextualSpacing/>
              <w:jc w:val="center"/>
              <w:rPr>
                <w:color w:val="auto"/>
                <w:szCs w:val="21"/>
              </w:rPr>
            </w:pPr>
            <w:r>
              <w:rPr>
                <w:color w:val="auto"/>
                <w:szCs w:val="21"/>
              </w:rPr>
              <w:t>20</w:t>
            </w:r>
          </w:p>
        </w:tc>
        <w:tc>
          <w:tcPr>
            <w:tcW w:w="1417" w:type="dxa"/>
            <w:vAlign w:val="center"/>
          </w:tcPr>
          <w:p>
            <w:pPr>
              <w:widowControl/>
              <w:spacing w:line="0" w:lineRule="atLeast"/>
              <w:contextualSpacing/>
              <w:jc w:val="center"/>
              <w:textAlignment w:val="center"/>
              <w:rPr>
                <w:color w:val="auto"/>
                <w:szCs w:val="21"/>
              </w:rPr>
            </w:pPr>
            <w:r>
              <w:rPr>
                <w:rFonts w:hint="eastAsia"/>
              </w:rPr>
              <w:t>9.27E+01</w:t>
            </w:r>
          </w:p>
        </w:tc>
        <w:tc>
          <w:tcPr>
            <w:tcW w:w="993" w:type="dxa"/>
            <w:vAlign w:val="center"/>
          </w:tcPr>
          <w:p>
            <w:pPr>
              <w:spacing w:line="0" w:lineRule="atLeast"/>
              <w:contextualSpacing/>
              <w:jc w:val="center"/>
              <w:rPr>
                <w:color w:val="auto"/>
                <w:szCs w:val="21"/>
              </w:rPr>
            </w:pPr>
            <w:r>
              <w:rPr>
                <w:rFonts w:hint="eastAsia"/>
                <w:color w:val="auto"/>
                <w:szCs w:val="21"/>
              </w:rPr>
              <w:t>50</w:t>
            </w:r>
          </w:p>
        </w:tc>
        <w:tc>
          <w:tcPr>
            <w:tcW w:w="1275" w:type="dxa"/>
            <w:vAlign w:val="center"/>
          </w:tcPr>
          <w:p>
            <w:pPr>
              <w:spacing w:line="0" w:lineRule="atLeast"/>
              <w:contextualSpacing/>
              <w:jc w:val="center"/>
              <w:rPr>
                <w:rFonts w:hint="eastAsia" w:eastAsia="宋体"/>
                <w:color w:val="auto"/>
                <w:szCs w:val="21"/>
                <w:lang w:eastAsia="zh-CN"/>
              </w:rPr>
            </w:pPr>
            <w:r>
              <w:rPr>
                <w:rFonts w:hint="eastAsia" w:eastAsia="宋体"/>
                <w:color w:val="auto"/>
                <w:szCs w:val="21"/>
                <w:lang w:eastAsia="zh-CN"/>
              </w:rPr>
              <w:t>1.52E+02</w:t>
            </w:r>
          </w:p>
        </w:tc>
        <w:tc>
          <w:tcPr>
            <w:tcW w:w="1134" w:type="dxa"/>
            <w:vAlign w:val="center"/>
          </w:tcPr>
          <w:p>
            <w:pPr>
              <w:spacing w:line="0" w:lineRule="atLeast"/>
              <w:contextualSpacing/>
              <w:jc w:val="center"/>
              <w:rPr>
                <w:color w:val="auto"/>
                <w:szCs w:val="21"/>
              </w:rPr>
            </w:pPr>
            <w:r>
              <w:rPr>
                <w:rFonts w:hint="eastAsia"/>
                <w:color w:val="auto"/>
                <w:szCs w:val="21"/>
              </w:rPr>
              <w:t>20</w:t>
            </w:r>
          </w:p>
        </w:tc>
        <w:tc>
          <w:tcPr>
            <w:tcW w:w="1276"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7.98E-02</w:t>
            </w:r>
          </w:p>
        </w:tc>
        <w:tc>
          <w:tcPr>
            <w:tcW w:w="992" w:type="dxa"/>
            <w:vAlign w:val="center"/>
          </w:tcPr>
          <w:p>
            <w:pPr>
              <w:spacing w:line="0" w:lineRule="atLeast"/>
              <w:contextualSpacing/>
              <w:jc w:val="center"/>
              <w:rPr>
                <w:color w:val="auto"/>
                <w:szCs w:val="21"/>
              </w:rPr>
            </w:pPr>
            <w:r>
              <w:rPr>
                <w:color w:val="auto"/>
                <w:szCs w:val="21"/>
              </w:rPr>
              <w:t>20</w:t>
            </w:r>
          </w:p>
        </w:tc>
        <w:tc>
          <w:tcPr>
            <w:tcW w:w="1560"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1.53E+01</w:t>
            </w:r>
          </w:p>
        </w:tc>
        <w:tc>
          <w:tcPr>
            <w:tcW w:w="992" w:type="dxa"/>
            <w:vAlign w:val="center"/>
          </w:tcPr>
          <w:p>
            <w:pPr>
              <w:spacing w:line="0" w:lineRule="atLeast"/>
              <w:contextualSpacing/>
              <w:jc w:val="center"/>
              <w:rPr>
                <w:color w:val="auto"/>
                <w:szCs w:val="21"/>
              </w:rPr>
            </w:pPr>
            <w:r>
              <w:rPr>
                <w:rFonts w:hint="eastAsia"/>
                <w:color w:val="auto"/>
                <w:szCs w:val="21"/>
              </w:rPr>
              <w:t>50</w:t>
            </w:r>
          </w:p>
        </w:tc>
        <w:tc>
          <w:tcPr>
            <w:tcW w:w="1228"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2.51E+01</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3" w:hRule="atLeast"/>
        </w:trPr>
        <w:tc>
          <w:tcPr>
            <w:tcW w:w="879" w:type="dxa"/>
            <w:vAlign w:val="center"/>
          </w:tcPr>
          <w:p>
            <w:pPr>
              <w:spacing w:line="0" w:lineRule="atLeast"/>
              <w:contextualSpacing/>
              <w:jc w:val="center"/>
              <w:rPr>
                <w:color w:val="auto"/>
                <w:szCs w:val="21"/>
              </w:rPr>
            </w:pPr>
            <w:r>
              <w:rPr>
                <w:rFonts w:hint="eastAsia"/>
                <w:color w:val="auto"/>
                <w:szCs w:val="21"/>
              </w:rPr>
              <w:t>30</w:t>
            </w:r>
          </w:p>
        </w:tc>
        <w:tc>
          <w:tcPr>
            <w:tcW w:w="1417" w:type="dxa"/>
            <w:vAlign w:val="center"/>
          </w:tcPr>
          <w:p>
            <w:pPr>
              <w:widowControl/>
              <w:spacing w:line="0" w:lineRule="atLeast"/>
              <w:contextualSpacing/>
              <w:jc w:val="center"/>
              <w:textAlignment w:val="center"/>
              <w:rPr>
                <w:color w:val="auto"/>
                <w:szCs w:val="21"/>
              </w:rPr>
            </w:pPr>
            <w:r>
              <w:rPr>
                <w:rFonts w:hint="eastAsia"/>
                <w:color w:val="auto"/>
                <w:szCs w:val="21"/>
              </w:rPr>
              <w:t>8.33E-04</w:t>
            </w:r>
          </w:p>
        </w:tc>
        <w:tc>
          <w:tcPr>
            <w:tcW w:w="851" w:type="dxa"/>
            <w:vAlign w:val="center"/>
          </w:tcPr>
          <w:p>
            <w:pPr>
              <w:spacing w:line="0" w:lineRule="atLeast"/>
              <w:contextualSpacing/>
              <w:jc w:val="center"/>
              <w:rPr>
                <w:color w:val="auto"/>
                <w:szCs w:val="21"/>
              </w:rPr>
            </w:pPr>
            <w:r>
              <w:rPr>
                <w:rFonts w:hint="eastAsia"/>
                <w:color w:val="auto"/>
                <w:szCs w:val="21"/>
              </w:rPr>
              <w:t>30</w:t>
            </w:r>
          </w:p>
        </w:tc>
        <w:tc>
          <w:tcPr>
            <w:tcW w:w="1417" w:type="dxa"/>
            <w:vAlign w:val="center"/>
          </w:tcPr>
          <w:p>
            <w:pPr>
              <w:widowControl/>
              <w:spacing w:line="0" w:lineRule="atLeast"/>
              <w:contextualSpacing/>
              <w:jc w:val="center"/>
              <w:textAlignment w:val="center"/>
              <w:rPr>
                <w:color w:val="auto"/>
                <w:szCs w:val="21"/>
              </w:rPr>
            </w:pPr>
            <w:r>
              <w:rPr>
                <w:rFonts w:hint="eastAsia"/>
                <w:color w:val="auto"/>
                <w:szCs w:val="21"/>
              </w:rPr>
              <w:t>4.93E+01</w:t>
            </w:r>
          </w:p>
        </w:tc>
        <w:tc>
          <w:tcPr>
            <w:tcW w:w="993" w:type="dxa"/>
            <w:vAlign w:val="center"/>
          </w:tcPr>
          <w:p>
            <w:pPr>
              <w:spacing w:line="0" w:lineRule="atLeast"/>
              <w:contextualSpacing/>
              <w:jc w:val="center"/>
              <w:rPr>
                <w:color w:val="auto"/>
                <w:szCs w:val="21"/>
              </w:rPr>
            </w:pPr>
            <w:r>
              <w:rPr>
                <w:rFonts w:hint="eastAsia"/>
                <w:color w:val="auto"/>
                <w:szCs w:val="21"/>
              </w:rPr>
              <w:t>100</w:t>
            </w:r>
          </w:p>
        </w:tc>
        <w:tc>
          <w:tcPr>
            <w:tcW w:w="1275" w:type="dxa"/>
            <w:vAlign w:val="center"/>
          </w:tcPr>
          <w:p>
            <w:pPr>
              <w:spacing w:line="0" w:lineRule="atLeast"/>
              <w:contextualSpacing/>
              <w:jc w:val="center"/>
              <w:rPr>
                <w:color w:val="auto"/>
                <w:szCs w:val="21"/>
              </w:rPr>
            </w:pPr>
            <w:r>
              <w:rPr>
                <w:rFonts w:hint="eastAsia"/>
                <w:color w:val="auto"/>
                <w:szCs w:val="21"/>
              </w:rPr>
              <w:t>7.76E+01</w:t>
            </w:r>
          </w:p>
        </w:tc>
        <w:tc>
          <w:tcPr>
            <w:tcW w:w="1134" w:type="dxa"/>
            <w:vAlign w:val="center"/>
          </w:tcPr>
          <w:p>
            <w:pPr>
              <w:spacing w:line="0" w:lineRule="atLeast"/>
              <w:contextualSpacing/>
              <w:jc w:val="center"/>
              <w:rPr>
                <w:color w:val="auto"/>
                <w:szCs w:val="21"/>
              </w:rPr>
            </w:pPr>
            <w:r>
              <w:rPr>
                <w:rFonts w:hint="eastAsia"/>
                <w:color w:val="auto"/>
                <w:szCs w:val="21"/>
              </w:rPr>
              <w:t>30</w:t>
            </w:r>
          </w:p>
        </w:tc>
        <w:tc>
          <w:tcPr>
            <w:tcW w:w="1276"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1.38E-04</w:t>
            </w:r>
          </w:p>
        </w:tc>
        <w:tc>
          <w:tcPr>
            <w:tcW w:w="992" w:type="dxa"/>
            <w:vAlign w:val="center"/>
          </w:tcPr>
          <w:p>
            <w:pPr>
              <w:spacing w:line="0" w:lineRule="atLeast"/>
              <w:contextualSpacing/>
              <w:jc w:val="center"/>
              <w:rPr>
                <w:color w:val="auto"/>
                <w:szCs w:val="21"/>
              </w:rPr>
            </w:pPr>
            <w:r>
              <w:rPr>
                <w:rFonts w:hint="eastAsia"/>
                <w:color w:val="auto"/>
                <w:szCs w:val="21"/>
              </w:rPr>
              <w:t>30</w:t>
            </w:r>
          </w:p>
        </w:tc>
        <w:tc>
          <w:tcPr>
            <w:tcW w:w="1560"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8.15E+00</w:t>
            </w:r>
          </w:p>
        </w:tc>
        <w:tc>
          <w:tcPr>
            <w:tcW w:w="992" w:type="dxa"/>
            <w:vAlign w:val="center"/>
          </w:tcPr>
          <w:p>
            <w:pPr>
              <w:spacing w:line="0" w:lineRule="atLeast"/>
              <w:contextualSpacing/>
              <w:jc w:val="center"/>
              <w:rPr>
                <w:color w:val="auto"/>
                <w:szCs w:val="21"/>
              </w:rPr>
            </w:pPr>
            <w:r>
              <w:rPr>
                <w:rFonts w:hint="eastAsia"/>
                <w:color w:val="auto"/>
                <w:szCs w:val="21"/>
              </w:rPr>
              <w:t>100</w:t>
            </w:r>
          </w:p>
        </w:tc>
        <w:tc>
          <w:tcPr>
            <w:tcW w:w="1228"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1.28E+01</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3" w:hRule="atLeast"/>
        </w:trPr>
        <w:tc>
          <w:tcPr>
            <w:tcW w:w="879" w:type="dxa"/>
            <w:vAlign w:val="center"/>
          </w:tcPr>
          <w:p>
            <w:pPr>
              <w:spacing w:line="0" w:lineRule="atLeast"/>
              <w:contextualSpacing/>
              <w:jc w:val="center"/>
              <w:rPr>
                <w:color w:val="auto"/>
                <w:szCs w:val="21"/>
              </w:rPr>
            </w:pPr>
            <w:r>
              <w:rPr>
                <w:rFonts w:hint="eastAsia"/>
                <w:color w:val="auto"/>
                <w:szCs w:val="21"/>
              </w:rPr>
              <w:t>40</w:t>
            </w:r>
          </w:p>
        </w:tc>
        <w:tc>
          <w:tcPr>
            <w:tcW w:w="1417" w:type="dxa"/>
            <w:vAlign w:val="center"/>
          </w:tcPr>
          <w:p>
            <w:pPr>
              <w:widowControl/>
              <w:spacing w:line="0" w:lineRule="atLeast"/>
              <w:contextualSpacing/>
              <w:jc w:val="center"/>
              <w:textAlignment w:val="center"/>
              <w:rPr>
                <w:color w:val="auto"/>
                <w:szCs w:val="21"/>
              </w:rPr>
            </w:pPr>
            <w:r>
              <w:rPr>
                <w:rFonts w:hint="eastAsia"/>
                <w:color w:val="auto"/>
                <w:szCs w:val="21"/>
              </w:rPr>
              <w:t>1.30E-07</w:t>
            </w:r>
          </w:p>
        </w:tc>
        <w:tc>
          <w:tcPr>
            <w:tcW w:w="851" w:type="dxa"/>
            <w:vAlign w:val="center"/>
          </w:tcPr>
          <w:p>
            <w:pPr>
              <w:spacing w:line="0" w:lineRule="atLeast"/>
              <w:contextualSpacing/>
              <w:jc w:val="center"/>
              <w:rPr>
                <w:color w:val="auto"/>
                <w:szCs w:val="21"/>
              </w:rPr>
            </w:pPr>
            <w:r>
              <w:rPr>
                <w:rFonts w:hint="eastAsia"/>
                <w:color w:val="auto"/>
                <w:szCs w:val="21"/>
              </w:rPr>
              <w:t>40</w:t>
            </w:r>
          </w:p>
        </w:tc>
        <w:tc>
          <w:tcPr>
            <w:tcW w:w="1417" w:type="dxa"/>
            <w:vAlign w:val="center"/>
          </w:tcPr>
          <w:p>
            <w:pPr>
              <w:widowControl/>
              <w:spacing w:line="0" w:lineRule="atLeast"/>
              <w:contextualSpacing/>
              <w:jc w:val="center"/>
              <w:textAlignment w:val="center"/>
              <w:rPr>
                <w:color w:val="auto"/>
                <w:szCs w:val="21"/>
              </w:rPr>
            </w:pPr>
            <w:r>
              <w:rPr>
                <w:rFonts w:hint="eastAsia"/>
                <w:color w:val="auto"/>
                <w:szCs w:val="21"/>
              </w:rPr>
              <w:t>2.13E+01</w:t>
            </w:r>
          </w:p>
        </w:tc>
        <w:tc>
          <w:tcPr>
            <w:tcW w:w="993" w:type="dxa"/>
            <w:vAlign w:val="center"/>
          </w:tcPr>
          <w:p>
            <w:pPr>
              <w:spacing w:line="0" w:lineRule="atLeast"/>
              <w:contextualSpacing/>
              <w:jc w:val="center"/>
              <w:rPr>
                <w:color w:val="auto"/>
                <w:szCs w:val="21"/>
              </w:rPr>
            </w:pPr>
            <w:r>
              <w:rPr>
                <w:rFonts w:hint="eastAsia"/>
                <w:color w:val="auto"/>
                <w:szCs w:val="21"/>
              </w:rPr>
              <w:t>200</w:t>
            </w:r>
          </w:p>
        </w:tc>
        <w:tc>
          <w:tcPr>
            <w:tcW w:w="1275" w:type="dxa"/>
            <w:vAlign w:val="center"/>
          </w:tcPr>
          <w:p>
            <w:pPr>
              <w:spacing w:line="0" w:lineRule="atLeast"/>
              <w:contextualSpacing/>
              <w:jc w:val="center"/>
              <w:rPr>
                <w:color w:val="auto"/>
                <w:szCs w:val="21"/>
              </w:rPr>
            </w:pPr>
            <w:r>
              <w:rPr>
                <w:rFonts w:hint="eastAsia"/>
                <w:color w:val="auto"/>
                <w:szCs w:val="21"/>
              </w:rPr>
              <w:t>2.69E+00</w:t>
            </w:r>
          </w:p>
        </w:tc>
        <w:tc>
          <w:tcPr>
            <w:tcW w:w="1134" w:type="dxa"/>
            <w:vAlign w:val="center"/>
          </w:tcPr>
          <w:p>
            <w:pPr>
              <w:spacing w:line="0" w:lineRule="atLeast"/>
              <w:contextualSpacing/>
              <w:jc w:val="center"/>
              <w:rPr>
                <w:color w:val="auto"/>
                <w:szCs w:val="21"/>
              </w:rPr>
            </w:pPr>
            <w:r>
              <w:rPr>
                <w:rFonts w:hint="eastAsia"/>
                <w:color w:val="auto"/>
                <w:szCs w:val="21"/>
              </w:rPr>
              <w:t>40</w:t>
            </w:r>
          </w:p>
        </w:tc>
        <w:tc>
          <w:tcPr>
            <w:tcW w:w="1276"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2.14E-08</w:t>
            </w:r>
          </w:p>
        </w:tc>
        <w:tc>
          <w:tcPr>
            <w:tcW w:w="992" w:type="dxa"/>
            <w:vAlign w:val="center"/>
          </w:tcPr>
          <w:p>
            <w:pPr>
              <w:spacing w:line="0" w:lineRule="atLeast"/>
              <w:contextualSpacing/>
              <w:jc w:val="center"/>
              <w:rPr>
                <w:color w:val="auto"/>
                <w:szCs w:val="21"/>
              </w:rPr>
            </w:pPr>
            <w:r>
              <w:rPr>
                <w:rFonts w:hint="eastAsia"/>
                <w:color w:val="auto"/>
                <w:szCs w:val="21"/>
              </w:rPr>
              <w:t>40</w:t>
            </w:r>
          </w:p>
        </w:tc>
        <w:tc>
          <w:tcPr>
            <w:tcW w:w="1560" w:type="dxa"/>
            <w:vAlign w:val="center"/>
          </w:tcPr>
          <w:p>
            <w:pPr>
              <w:widowControl/>
              <w:spacing w:line="0" w:lineRule="atLeast"/>
              <w:contextualSpacing/>
              <w:jc w:val="center"/>
              <w:textAlignment w:val="center"/>
              <w:rPr>
                <w:bCs/>
                <w:color w:val="auto"/>
                <w:kern w:val="0"/>
                <w:szCs w:val="21"/>
              </w:rPr>
            </w:pPr>
            <w:r>
              <w:rPr>
                <w:rFonts w:hint="eastAsia"/>
                <w:bCs/>
                <w:color w:val="auto"/>
                <w:kern w:val="0"/>
                <w:szCs w:val="21"/>
              </w:rPr>
              <w:t>3.52E+00</w:t>
            </w:r>
          </w:p>
        </w:tc>
        <w:tc>
          <w:tcPr>
            <w:tcW w:w="992" w:type="dxa"/>
            <w:vAlign w:val="center"/>
          </w:tcPr>
          <w:p>
            <w:pPr>
              <w:spacing w:line="0" w:lineRule="atLeast"/>
              <w:contextualSpacing/>
              <w:jc w:val="center"/>
              <w:rPr>
                <w:color w:val="auto"/>
                <w:szCs w:val="21"/>
              </w:rPr>
            </w:pPr>
            <w:r>
              <w:rPr>
                <w:rFonts w:hint="eastAsia"/>
                <w:color w:val="auto"/>
                <w:szCs w:val="21"/>
              </w:rPr>
              <w:t>200</w:t>
            </w:r>
          </w:p>
        </w:tc>
        <w:tc>
          <w:tcPr>
            <w:tcW w:w="1228" w:type="dxa"/>
            <w:vAlign w:val="center"/>
          </w:tcPr>
          <w:p>
            <w:pPr>
              <w:widowControl/>
              <w:spacing w:line="0" w:lineRule="atLeast"/>
              <w:contextualSpacing/>
              <w:jc w:val="center"/>
              <w:textAlignment w:val="center"/>
              <w:rPr>
                <w:bCs/>
                <w:color w:val="auto"/>
                <w:kern w:val="0"/>
                <w:szCs w:val="21"/>
              </w:rPr>
            </w:pPr>
            <w:r>
              <w:rPr>
                <w:rFonts w:hint="eastAsia"/>
                <w:bCs/>
                <w:color w:val="auto"/>
                <w:kern w:val="0"/>
                <w:szCs w:val="21"/>
              </w:rPr>
              <w:t>4.44E-01</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3" w:hRule="atLeast"/>
        </w:trPr>
        <w:tc>
          <w:tcPr>
            <w:tcW w:w="879" w:type="dxa"/>
            <w:vAlign w:val="center"/>
          </w:tcPr>
          <w:p>
            <w:pPr>
              <w:spacing w:line="0" w:lineRule="atLeast"/>
              <w:contextualSpacing/>
              <w:jc w:val="center"/>
              <w:rPr>
                <w:color w:val="auto"/>
                <w:szCs w:val="21"/>
              </w:rPr>
            </w:pPr>
            <w:r>
              <w:rPr>
                <w:rFonts w:hint="eastAsia"/>
                <w:color w:val="auto"/>
                <w:szCs w:val="21"/>
              </w:rPr>
              <w:t>50</w:t>
            </w:r>
          </w:p>
        </w:tc>
        <w:tc>
          <w:tcPr>
            <w:tcW w:w="1417"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1.84E-12</w:t>
            </w:r>
          </w:p>
        </w:tc>
        <w:tc>
          <w:tcPr>
            <w:tcW w:w="851" w:type="dxa"/>
            <w:vAlign w:val="center"/>
          </w:tcPr>
          <w:p>
            <w:pPr>
              <w:spacing w:line="0" w:lineRule="atLeast"/>
              <w:contextualSpacing/>
              <w:jc w:val="center"/>
              <w:rPr>
                <w:bCs/>
                <w:color w:val="auto"/>
                <w:szCs w:val="21"/>
              </w:rPr>
            </w:pPr>
            <w:r>
              <w:rPr>
                <w:color w:val="auto"/>
                <w:szCs w:val="21"/>
              </w:rPr>
              <w:t>50</w:t>
            </w:r>
          </w:p>
        </w:tc>
        <w:tc>
          <w:tcPr>
            <w:tcW w:w="1417" w:type="dxa"/>
            <w:vAlign w:val="center"/>
          </w:tcPr>
          <w:p>
            <w:pPr>
              <w:widowControl/>
              <w:spacing w:line="0" w:lineRule="atLeast"/>
              <w:contextualSpacing/>
              <w:jc w:val="center"/>
              <w:textAlignment w:val="center"/>
              <w:rPr>
                <w:bCs/>
                <w:color w:val="auto"/>
                <w:kern w:val="0"/>
                <w:szCs w:val="21"/>
              </w:rPr>
            </w:pPr>
            <w:r>
              <w:rPr>
                <w:rFonts w:hint="eastAsia"/>
                <w:bCs/>
                <w:color w:val="auto"/>
                <w:kern w:val="0"/>
                <w:szCs w:val="21"/>
              </w:rPr>
              <w:t>7.41E+00</w:t>
            </w:r>
          </w:p>
        </w:tc>
        <w:tc>
          <w:tcPr>
            <w:tcW w:w="993" w:type="dxa"/>
            <w:vAlign w:val="center"/>
          </w:tcPr>
          <w:p>
            <w:pPr>
              <w:spacing w:line="0" w:lineRule="atLeast"/>
              <w:contextualSpacing/>
              <w:jc w:val="center"/>
              <w:rPr>
                <w:color w:val="auto"/>
                <w:szCs w:val="21"/>
              </w:rPr>
            </w:pPr>
            <w:r>
              <w:rPr>
                <w:rFonts w:hint="eastAsia"/>
                <w:color w:val="auto"/>
                <w:szCs w:val="21"/>
              </w:rPr>
              <w:t>300</w:t>
            </w:r>
          </w:p>
        </w:tc>
        <w:tc>
          <w:tcPr>
            <w:tcW w:w="1275" w:type="dxa"/>
            <w:vAlign w:val="center"/>
          </w:tcPr>
          <w:p>
            <w:pPr>
              <w:spacing w:line="0" w:lineRule="atLeast"/>
              <w:contextualSpacing/>
              <w:jc w:val="center"/>
              <w:rPr>
                <w:color w:val="auto"/>
                <w:szCs w:val="21"/>
              </w:rPr>
            </w:pPr>
            <w:r>
              <w:rPr>
                <w:rFonts w:hint="eastAsia"/>
                <w:color w:val="auto"/>
                <w:szCs w:val="21"/>
              </w:rPr>
              <w:t>4.10E-03</w:t>
            </w:r>
          </w:p>
        </w:tc>
        <w:tc>
          <w:tcPr>
            <w:tcW w:w="1134" w:type="dxa"/>
            <w:vAlign w:val="center"/>
          </w:tcPr>
          <w:p>
            <w:pPr>
              <w:spacing w:line="0" w:lineRule="atLeast"/>
              <w:contextualSpacing/>
              <w:jc w:val="center"/>
              <w:rPr>
                <w:color w:val="auto"/>
                <w:szCs w:val="21"/>
              </w:rPr>
            </w:pPr>
            <w:r>
              <w:rPr>
                <w:rFonts w:hint="eastAsia"/>
                <w:color w:val="auto"/>
                <w:szCs w:val="21"/>
              </w:rPr>
              <w:t>50</w:t>
            </w:r>
          </w:p>
        </w:tc>
        <w:tc>
          <w:tcPr>
            <w:tcW w:w="1276" w:type="dxa"/>
            <w:vAlign w:val="center"/>
          </w:tcPr>
          <w:p>
            <w:pPr>
              <w:widowControl/>
              <w:spacing w:line="0" w:lineRule="atLeast"/>
              <w:contextualSpacing/>
              <w:jc w:val="center"/>
              <w:textAlignment w:val="center"/>
              <w:rPr>
                <w:bCs/>
                <w:color w:val="auto"/>
                <w:szCs w:val="21"/>
              </w:rPr>
            </w:pPr>
            <w:r>
              <w:rPr>
                <w:rFonts w:hint="eastAsia"/>
                <w:bCs/>
                <w:color w:val="auto"/>
                <w:szCs w:val="21"/>
              </w:rPr>
              <w:t>3.04E-13</w:t>
            </w:r>
          </w:p>
        </w:tc>
        <w:tc>
          <w:tcPr>
            <w:tcW w:w="992" w:type="dxa"/>
            <w:vAlign w:val="center"/>
          </w:tcPr>
          <w:p>
            <w:pPr>
              <w:spacing w:line="0" w:lineRule="atLeast"/>
              <w:contextualSpacing/>
              <w:jc w:val="center"/>
              <w:rPr>
                <w:bCs/>
                <w:color w:val="auto"/>
                <w:szCs w:val="21"/>
              </w:rPr>
            </w:pPr>
            <w:r>
              <w:rPr>
                <w:color w:val="auto"/>
                <w:szCs w:val="21"/>
              </w:rPr>
              <w:t>50</w:t>
            </w:r>
          </w:p>
        </w:tc>
        <w:tc>
          <w:tcPr>
            <w:tcW w:w="1560" w:type="dxa"/>
            <w:vAlign w:val="center"/>
          </w:tcPr>
          <w:p>
            <w:pPr>
              <w:widowControl/>
              <w:spacing w:line="0" w:lineRule="atLeast"/>
              <w:contextualSpacing/>
              <w:jc w:val="center"/>
              <w:textAlignment w:val="center"/>
              <w:rPr>
                <w:bCs/>
                <w:color w:val="auto"/>
                <w:szCs w:val="21"/>
              </w:rPr>
            </w:pPr>
            <w:r>
              <w:rPr>
                <w:rFonts w:hint="eastAsia"/>
                <w:bCs/>
                <w:color w:val="auto"/>
                <w:szCs w:val="21"/>
              </w:rPr>
              <w:t>1.23E+00</w:t>
            </w:r>
          </w:p>
        </w:tc>
        <w:tc>
          <w:tcPr>
            <w:tcW w:w="992" w:type="dxa"/>
            <w:vAlign w:val="center"/>
          </w:tcPr>
          <w:p>
            <w:pPr>
              <w:spacing w:line="0" w:lineRule="atLeast"/>
              <w:contextualSpacing/>
              <w:jc w:val="center"/>
              <w:rPr>
                <w:color w:val="auto"/>
                <w:szCs w:val="21"/>
              </w:rPr>
            </w:pPr>
            <w:r>
              <w:rPr>
                <w:rFonts w:hint="eastAsia"/>
                <w:color w:val="auto"/>
                <w:szCs w:val="21"/>
              </w:rPr>
              <w:t>300</w:t>
            </w:r>
          </w:p>
        </w:tc>
        <w:tc>
          <w:tcPr>
            <w:tcW w:w="1228" w:type="dxa"/>
            <w:vAlign w:val="center"/>
          </w:tcPr>
          <w:p>
            <w:pPr>
              <w:widowControl/>
              <w:spacing w:line="0" w:lineRule="atLeast"/>
              <w:contextualSpacing/>
              <w:jc w:val="center"/>
              <w:textAlignment w:val="center"/>
              <w:rPr>
                <w:bCs/>
                <w:color w:val="auto"/>
                <w:szCs w:val="21"/>
              </w:rPr>
            </w:pPr>
            <w:r>
              <w:rPr>
                <w:rFonts w:hint="eastAsia"/>
                <w:bCs/>
                <w:color w:val="auto"/>
                <w:szCs w:val="21"/>
              </w:rPr>
              <w:t>6.79E-04</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31" w:hRule="atLeast"/>
        </w:trPr>
        <w:tc>
          <w:tcPr>
            <w:tcW w:w="879" w:type="dxa"/>
            <w:vAlign w:val="center"/>
          </w:tcPr>
          <w:p>
            <w:pPr>
              <w:spacing w:line="0" w:lineRule="atLeast"/>
              <w:contextualSpacing/>
              <w:jc w:val="center"/>
              <w:rPr>
                <w:color w:val="auto"/>
                <w:szCs w:val="21"/>
              </w:rPr>
            </w:pPr>
            <w:r>
              <w:rPr>
                <w:rFonts w:hint="eastAsia"/>
                <w:color w:val="auto"/>
                <w:szCs w:val="21"/>
                <w:lang w:val="en-US" w:eastAsia="zh-CN"/>
              </w:rPr>
              <w:t>55</w:t>
            </w:r>
          </w:p>
        </w:tc>
        <w:tc>
          <w:tcPr>
            <w:tcW w:w="1417"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c>
          <w:tcPr>
            <w:tcW w:w="851" w:type="dxa"/>
            <w:vAlign w:val="center"/>
          </w:tcPr>
          <w:p>
            <w:pPr>
              <w:spacing w:line="0" w:lineRule="atLeast"/>
              <w:contextualSpacing/>
              <w:jc w:val="center"/>
              <w:rPr>
                <w:color w:val="auto"/>
                <w:szCs w:val="21"/>
              </w:rPr>
            </w:pPr>
            <w:r>
              <w:rPr>
                <w:rFonts w:hint="eastAsia"/>
                <w:color w:val="auto"/>
                <w:szCs w:val="21"/>
              </w:rPr>
              <w:t>90</w:t>
            </w:r>
          </w:p>
        </w:tc>
        <w:tc>
          <w:tcPr>
            <w:tcW w:w="1417" w:type="dxa"/>
            <w:vAlign w:val="center"/>
          </w:tcPr>
          <w:p>
            <w:pPr>
              <w:widowControl/>
              <w:spacing w:line="0" w:lineRule="atLeast"/>
              <w:contextualSpacing/>
              <w:jc w:val="center"/>
              <w:textAlignment w:val="center"/>
              <w:rPr>
                <w:color w:val="auto"/>
                <w:szCs w:val="21"/>
              </w:rPr>
            </w:pPr>
            <w:r>
              <w:rPr>
                <w:rFonts w:hint="eastAsia"/>
                <w:color w:val="auto"/>
                <w:szCs w:val="21"/>
              </w:rPr>
              <w:t>1.09E-02</w:t>
            </w:r>
          </w:p>
        </w:tc>
        <w:tc>
          <w:tcPr>
            <w:tcW w:w="993" w:type="dxa"/>
            <w:vAlign w:val="center"/>
          </w:tcPr>
          <w:p>
            <w:pPr>
              <w:spacing w:line="0" w:lineRule="atLeast"/>
              <w:contextualSpacing/>
              <w:jc w:val="center"/>
              <w:rPr>
                <w:color w:val="auto"/>
                <w:szCs w:val="21"/>
              </w:rPr>
            </w:pPr>
            <w:r>
              <w:rPr>
                <w:rFonts w:hint="eastAsia"/>
                <w:color w:val="auto"/>
                <w:szCs w:val="21"/>
              </w:rPr>
              <w:t>400</w:t>
            </w:r>
          </w:p>
        </w:tc>
        <w:tc>
          <w:tcPr>
            <w:tcW w:w="1275" w:type="dxa"/>
            <w:vAlign w:val="center"/>
          </w:tcPr>
          <w:p>
            <w:pPr>
              <w:spacing w:line="0" w:lineRule="atLeast"/>
              <w:contextualSpacing/>
              <w:jc w:val="center"/>
              <w:rPr>
                <w:color w:val="auto"/>
                <w:szCs w:val="21"/>
              </w:rPr>
            </w:pPr>
            <w:r>
              <w:rPr>
                <w:rFonts w:hint="eastAsia"/>
              </w:rPr>
              <w:t>1.36E-07</w:t>
            </w:r>
          </w:p>
        </w:tc>
        <w:tc>
          <w:tcPr>
            <w:tcW w:w="1134" w:type="dxa"/>
            <w:vAlign w:val="center"/>
          </w:tcPr>
          <w:p>
            <w:pPr>
              <w:spacing w:line="0" w:lineRule="atLeast"/>
              <w:contextualSpacing/>
              <w:jc w:val="center"/>
              <w:rPr>
                <w:color w:val="auto"/>
                <w:szCs w:val="21"/>
              </w:rPr>
            </w:pPr>
            <w:r>
              <w:rPr>
                <w:rFonts w:hint="eastAsia"/>
                <w:color w:val="auto"/>
                <w:szCs w:val="21"/>
                <w:lang w:val="en-US" w:eastAsia="zh-CN"/>
              </w:rPr>
              <w:t>55</w:t>
            </w:r>
          </w:p>
        </w:tc>
        <w:tc>
          <w:tcPr>
            <w:tcW w:w="1276"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c>
          <w:tcPr>
            <w:tcW w:w="992" w:type="dxa"/>
            <w:vAlign w:val="center"/>
          </w:tcPr>
          <w:p>
            <w:pPr>
              <w:spacing w:line="0" w:lineRule="atLeast"/>
              <w:contextualSpacing/>
              <w:jc w:val="center"/>
              <w:rPr>
                <w:color w:val="auto"/>
                <w:szCs w:val="21"/>
              </w:rPr>
            </w:pPr>
            <w:r>
              <w:rPr>
                <w:rFonts w:hint="eastAsia"/>
                <w:color w:val="auto"/>
                <w:szCs w:val="21"/>
              </w:rPr>
              <w:t>90</w:t>
            </w:r>
          </w:p>
        </w:tc>
        <w:tc>
          <w:tcPr>
            <w:tcW w:w="1560"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1.80E-03</w:t>
            </w:r>
          </w:p>
        </w:tc>
        <w:tc>
          <w:tcPr>
            <w:tcW w:w="992" w:type="dxa"/>
            <w:vAlign w:val="center"/>
          </w:tcPr>
          <w:p>
            <w:pPr>
              <w:spacing w:line="0" w:lineRule="atLeast"/>
              <w:contextualSpacing/>
              <w:jc w:val="center"/>
              <w:rPr>
                <w:color w:val="auto"/>
                <w:szCs w:val="21"/>
              </w:rPr>
            </w:pPr>
            <w:r>
              <w:rPr>
                <w:rFonts w:hint="eastAsia"/>
                <w:color w:val="auto"/>
                <w:szCs w:val="21"/>
              </w:rPr>
              <w:t>400</w:t>
            </w:r>
          </w:p>
        </w:tc>
        <w:tc>
          <w:tcPr>
            <w:tcW w:w="1228"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2.25E-08</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31" w:hRule="atLeast"/>
        </w:trPr>
        <w:tc>
          <w:tcPr>
            <w:tcW w:w="879" w:type="dxa"/>
            <w:vAlign w:val="center"/>
          </w:tcPr>
          <w:p>
            <w:pPr>
              <w:spacing w:line="0" w:lineRule="atLeast"/>
              <w:contextualSpacing/>
              <w:jc w:val="center"/>
              <w:rPr>
                <w:color w:val="auto"/>
                <w:szCs w:val="21"/>
              </w:rPr>
            </w:pPr>
            <w:r>
              <w:rPr>
                <w:rFonts w:hint="eastAsia"/>
                <w:color w:val="auto"/>
                <w:szCs w:val="21"/>
                <w:lang w:val="en-US" w:eastAsia="zh-CN"/>
              </w:rPr>
              <w:t>60</w:t>
            </w:r>
          </w:p>
        </w:tc>
        <w:tc>
          <w:tcPr>
            <w:tcW w:w="1417"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c>
          <w:tcPr>
            <w:tcW w:w="851" w:type="dxa"/>
            <w:vAlign w:val="center"/>
          </w:tcPr>
          <w:p>
            <w:pPr>
              <w:spacing w:line="0" w:lineRule="atLeast"/>
              <w:contextualSpacing/>
              <w:jc w:val="center"/>
              <w:rPr>
                <w:color w:val="auto"/>
                <w:szCs w:val="21"/>
              </w:rPr>
            </w:pPr>
            <w:r>
              <w:rPr>
                <w:rFonts w:hint="eastAsia"/>
                <w:color w:val="auto"/>
                <w:szCs w:val="21"/>
              </w:rPr>
              <w:t>100</w:t>
            </w:r>
          </w:p>
        </w:tc>
        <w:tc>
          <w:tcPr>
            <w:tcW w:w="1417"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1.18E-03</w:t>
            </w:r>
          </w:p>
        </w:tc>
        <w:tc>
          <w:tcPr>
            <w:tcW w:w="993" w:type="dxa"/>
            <w:vAlign w:val="center"/>
          </w:tcPr>
          <w:p>
            <w:pPr>
              <w:spacing w:line="0" w:lineRule="atLeast"/>
              <w:contextualSpacing/>
              <w:jc w:val="center"/>
              <w:rPr>
                <w:color w:val="auto"/>
                <w:szCs w:val="21"/>
              </w:rPr>
            </w:pPr>
            <w:r>
              <w:rPr>
                <w:rFonts w:hint="eastAsia"/>
                <w:color w:val="auto"/>
                <w:szCs w:val="21"/>
              </w:rPr>
              <w:t>500</w:t>
            </w:r>
          </w:p>
        </w:tc>
        <w:tc>
          <w:tcPr>
            <w:tcW w:w="1275" w:type="dxa"/>
            <w:vAlign w:val="center"/>
          </w:tcPr>
          <w:p>
            <w:pPr>
              <w:spacing w:line="0" w:lineRule="atLeast"/>
              <w:contextualSpacing/>
              <w:jc w:val="center"/>
              <w:rPr>
                <w:color w:val="auto"/>
                <w:szCs w:val="21"/>
              </w:rPr>
            </w:pPr>
            <w:r>
              <w:rPr>
                <w:rFonts w:hint="eastAsia"/>
                <w:color w:val="auto"/>
                <w:szCs w:val="21"/>
              </w:rPr>
              <w:t>2.73E-13</w:t>
            </w:r>
          </w:p>
        </w:tc>
        <w:tc>
          <w:tcPr>
            <w:tcW w:w="1134" w:type="dxa"/>
            <w:vAlign w:val="center"/>
          </w:tcPr>
          <w:p>
            <w:pPr>
              <w:spacing w:line="0" w:lineRule="atLeast"/>
              <w:contextualSpacing/>
              <w:jc w:val="center"/>
              <w:rPr>
                <w:color w:val="auto"/>
                <w:szCs w:val="21"/>
              </w:rPr>
            </w:pPr>
            <w:r>
              <w:rPr>
                <w:rFonts w:hint="eastAsia"/>
                <w:color w:val="auto"/>
                <w:szCs w:val="21"/>
                <w:lang w:val="en-US" w:eastAsia="zh-CN"/>
              </w:rPr>
              <w:t>60</w:t>
            </w:r>
          </w:p>
        </w:tc>
        <w:tc>
          <w:tcPr>
            <w:tcW w:w="1276"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c>
          <w:tcPr>
            <w:tcW w:w="992" w:type="dxa"/>
            <w:vAlign w:val="center"/>
          </w:tcPr>
          <w:p>
            <w:pPr>
              <w:spacing w:line="0" w:lineRule="atLeast"/>
              <w:contextualSpacing/>
              <w:jc w:val="center"/>
              <w:rPr>
                <w:color w:val="auto"/>
                <w:szCs w:val="21"/>
              </w:rPr>
            </w:pPr>
            <w:r>
              <w:rPr>
                <w:rFonts w:hint="eastAsia"/>
                <w:color w:val="auto"/>
                <w:szCs w:val="21"/>
              </w:rPr>
              <w:t>100</w:t>
            </w:r>
          </w:p>
        </w:tc>
        <w:tc>
          <w:tcPr>
            <w:tcW w:w="1560"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1.95E-04</w:t>
            </w:r>
          </w:p>
        </w:tc>
        <w:tc>
          <w:tcPr>
            <w:tcW w:w="992" w:type="dxa"/>
            <w:vAlign w:val="center"/>
          </w:tcPr>
          <w:p>
            <w:pPr>
              <w:spacing w:line="0" w:lineRule="atLeast"/>
              <w:contextualSpacing/>
              <w:jc w:val="center"/>
              <w:rPr>
                <w:color w:val="auto"/>
                <w:szCs w:val="21"/>
              </w:rPr>
            </w:pPr>
            <w:r>
              <w:rPr>
                <w:rFonts w:hint="eastAsia"/>
                <w:color w:val="auto"/>
                <w:szCs w:val="21"/>
              </w:rPr>
              <w:t>500</w:t>
            </w:r>
          </w:p>
        </w:tc>
        <w:tc>
          <w:tcPr>
            <w:tcW w:w="1228"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4.51E-14</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31" w:hRule="atLeast"/>
        </w:trPr>
        <w:tc>
          <w:tcPr>
            <w:tcW w:w="879" w:type="dxa"/>
            <w:vAlign w:val="center"/>
          </w:tcPr>
          <w:p>
            <w:pPr>
              <w:spacing w:line="0" w:lineRule="atLeast"/>
              <w:contextualSpacing/>
              <w:jc w:val="center"/>
              <w:rPr>
                <w:color w:val="auto"/>
                <w:szCs w:val="21"/>
              </w:rPr>
            </w:pPr>
            <w:r>
              <w:rPr>
                <w:rFonts w:hint="eastAsia"/>
                <w:color w:val="auto"/>
                <w:szCs w:val="21"/>
                <w:lang w:val="en-US" w:eastAsia="zh-CN"/>
              </w:rPr>
              <w:t>65</w:t>
            </w:r>
          </w:p>
        </w:tc>
        <w:tc>
          <w:tcPr>
            <w:tcW w:w="1417"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851" w:type="dxa"/>
            <w:vAlign w:val="center"/>
          </w:tcPr>
          <w:p>
            <w:pPr>
              <w:spacing w:line="0" w:lineRule="atLeast"/>
              <w:contextualSpacing/>
              <w:jc w:val="center"/>
              <w:rPr>
                <w:color w:val="auto"/>
                <w:szCs w:val="21"/>
              </w:rPr>
            </w:pPr>
            <w:r>
              <w:rPr>
                <w:rFonts w:hint="eastAsia"/>
                <w:color w:val="auto"/>
                <w:szCs w:val="21"/>
              </w:rPr>
              <w:t>120</w:t>
            </w:r>
          </w:p>
        </w:tc>
        <w:tc>
          <w:tcPr>
            <w:tcW w:w="1417"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6.68E-06</w:t>
            </w:r>
          </w:p>
        </w:tc>
        <w:tc>
          <w:tcPr>
            <w:tcW w:w="993" w:type="dxa"/>
            <w:vAlign w:val="center"/>
          </w:tcPr>
          <w:p>
            <w:pPr>
              <w:spacing w:line="0" w:lineRule="atLeast"/>
              <w:contextualSpacing/>
              <w:jc w:val="center"/>
              <w:rPr>
                <w:color w:val="auto"/>
                <w:szCs w:val="21"/>
              </w:rPr>
            </w:pPr>
            <w:r>
              <w:rPr>
                <w:rFonts w:hint="eastAsia"/>
                <w:color w:val="auto"/>
                <w:szCs w:val="21"/>
              </w:rPr>
              <w:t>600</w:t>
            </w:r>
          </w:p>
        </w:tc>
        <w:tc>
          <w:tcPr>
            <w:tcW w:w="1275" w:type="dxa"/>
            <w:vAlign w:val="center"/>
          </w:tcPr>
          <w:p>
            <w:pPr>
              <w:spacing w:line="0" w:lineRule="atLeast"/>
              <w:contextualSpacing/>
              <w:jc w:val="center"/>
              <w:rPr>
                <w:rFonts w:hint="eastAsia" w:eastAsia="宋体"/>
                <w:color w:val="auto"/>
                <w:szCs w:val="21"/>
                <w:lang w:val="en-US" w:eastAsia="zh-CN"/>
              </w:rPr>
            </w:pPr>
            <w:r>
              <w:rPr>
                <w:rFonts w:hint="eastAsia"/>
                <w:color w:val="auto"/>
                <w:szCs w:val="21"/>
                <w:lang w:val="en-US" w:eastAsia="zh-CN"/>
              </w:rPr>
              <w:t>0</w:t>
            </w:r>
          </w:p>
        </w:tc>
        <w:tc>
          <w:tcPr>
            <w:tcW w:w="1134" w:type="dxa"/>
            <w:vAlign w:val="center"/>
          </w:tcPr>
          <w:p>
            <w:pPr>
              <w:spacing w:line="0" w:lineRule="atLeast"/>
              <w:contextualSpacing/>
              <w:jc w:val="center"/>
              <w:rPr>
                <w:color w:val="auto"/>
                <w:szCs w:val="21"/>
              </w:rPr>
            </w:pPr>
            <w:r>
              <w:rPr>
                <w:rFonts w:hint="eastAsia"/>
                <w:color w:val="auto"/>
                <w:szCs w:val="21"/>
                <w:lang w:val="en-US" w:eastAsia="zh-CN"/>
              </w:rPr>
              <w:t>65</w:t>
            </w:r>
          </w:p>
        </w:tc>
        <w:tc>
          <w:tcPr>
            <w:tcW w:w="1276"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c>
          <w:tcPr>
            <w:tcW w:w="992" w:type="dxa"/>
            <w:vAlign w:val="center"/>
          </w:tcPr>
          <w:p>
            <w:pPr>
              <w:spacing w:line="0" w:lineRule="atLeast"/>
              <w:contextualSpacing/>
              <w:jc w:val="center"/>
              <w:rPr>
                <w:color w:val="auto"/>
                <w:szCs w:val="21"/>
              </w:rPr>
            </w:pPr>
            <w:r>
              <w:rPr>
                <w:rFonts w:hint="eastAsia"/>
                <w:color w:val="auto"/>
                <w:szCs w:val="21"/>
              </w:rPr>
              <w:t>120</w:t>
            </w:r>
          </w:p>
        </w:tc>
        <w:tc>
          <w:tcPr>
            <w:tcW w:w="1560"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1.10E-06</w:t>
            </w:r>
          </w:p>
        </w:tc>
        <w:tc>
          <w:tcPr>
            <w:tcW w:w="992" w:type="dxa"/>
            <w:vAlign w:val="center"/>
          </w:tcPr>
          <w:p>
            <w:pPr>
              <w:spacing w:line="0" w:lineRule="atLeast"/>
              <w:contextualSpacing/>
              <w:jc w:val="center"/>
              <w:rPr>
                <w:color w:val="auto"/>
                <w:szCs w:val="21"/>
              </w:rPr>
            </w:pPr>
            <w:r>
              <w:rPr>
                <w:rFonts w:hint="eastAsia"/>
                <w:color w:val="auto"/>
                <w:szCs w:val="21"/>
              </w:rPr>
              <w:t>600</w:t>
            </w:r>
          </w:p>
        </w:tc>
        <w:tc>
          <w:tcPr>
            <w:tcW w:w="1228"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31" w:hRule="atLeast"/>
        </w:trPr>
        <w:tc>
          <w:tcPr>
            <w:tcW w:w="879" w:type="dxa"/>
            <w:vAlign w:val="center"/>
          </w:tcPr>
          <w:p>
            <w:pPr>
              <w:spacing w:line="0" w:lineRule="atLeast"/>
              <w:contextualSpacing/>
              <w:jc w:val="center"/>
              <w:rPr>
                <w:color w:val="auto"/>
                <w:szCs w:val="21"/>
              </w:rPr>
            </w:pPr>
            <w:r>
              <w:rPr>
                <w:rFonts w:hint="eastAsia"/>
                <w:color w:val="auto"/>
                <w:szCs w:val="21"/>
                <w:lang w:val="en-US" w:eastAsia="zh-CN"/>
              </w:rPr>
              <w:t>70</w:t>
            </w:r>
          </w:p>
        </w:tc>
        <w:tc>
          <w:tcPr>
            <w:tcW w:w="1417"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851" w:type="dxa"/>
            <w:vAlign w:val="center"/>
          </w:tcPr>
          <w:p>
            <w:pPr>
              <w:spacing w:line="0" w:lineRule="atLeast"/>
              <w:contextualSpacing/>
              <w:jc w:val="center"/>
              <w:rPr>
                <w:color w:val="auto"/>
                <w:szCs w:val="21"/>
              </w:rPr>
            </w:pPr>
            <w:r>
              <w:rPr>
                <w:rFonts w:hint="eastAsia"/>
                <w:color w:val="auto"/>
                <w:szCs w:val="21"/>
              </w:rPr>
              <w:t>150</w:t>
            </w:r>
          </w:p>
        </w:tc>
        <w:tc>
          <w:tcPr>
            <w:tcW w:w="1417"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4.71E-10</w:t>
            </w:r>
          </w:p>
        </w:tc>
        <w:tc>
          <w:tcPr>
            <w:tcW w:w="993" w:type="dxa"/>
            <w:vAlign w:val="center"/>
          </w:tcPr>
          <w:p>
            <w:pPr>
              <w:spacing w:line="0" w:lineRule="atLeast"/>
              <w:contextualSpacing/>
              <w:jc w:val="center"/>
              <w:rPr>
                <w:color w:val="auto"/>
                <w:szCs w:val="21"/>
              </w:rPr>
            </w:pPr>
            <w:r>
              <w:rPr>
                <w:rFonts w:hint="eastAsia"/>
                <w:color w:val="auto"/>
                <w:szCs w:val="21"/>
              </w:rPr>
              <w:t>700</w:t>
            </w:r>
          </w:p>
        </w:tc>
        <w:tc>
          <w:tcPr>
            <w:tcW w:w="1275" w:type="dxa"/>
            <w:vAlign w:val="center"/>
          </w:tcPr>
          <w:p>
            <w:pPr>
              <w:spacing w:line="0" w:lineRule="atLeast"/>
              <w:contextualSpacing/>
              <w:jc w:val="center"/>
              <w:rPr>
                <w:rFonts w:hint="eastAsia" w:eastAsia="宋体"/>
                <w:color w:val="auto"/>
                <w:szCs w:val="21"/>
                <w:lang w:val="en-US" w:eastAsia="zh-CN"/>
              </w:rPr>
            </w:pPr>
            <w:r>
              <w:rPr>
                <w:rFonts w:hint="eastAsia"/>
                <w:color w:val="auto"/>
                <w:szCs w:val="21"/>
                <w:lang w:val="en-US" w:eastAsia="zh-CN"/>
              </w:rPr>
              <w:t>0</w:t>
            </w:r>
          </w:p>
        </w:tc>
        <w:tc>
          <w:tcPr>
            <w:tcW w:w="1134" w:type="dxa"/>
            <w:vAlign w:val="center"/>
          </w:tcPr>
          <w:p>
            <w:pPr>
              <w:spacing w:line="0" w:lineRule="atLeast"/>
              <w:contextualSpacing/>
              <w:jc w:val="center"/>
              <w:rPr>
                <w:color w:val="auto"/>
                <w:szCs w:val="21"/>
              </w:rPr>
            </w:pPr>
            <w:r>
              <w:rPr>
                <w:rFonts w:hint="eastAsia"/>
                <w:color w:val="auto"/>
                <w:szCs w:val="21"/>
                <w:lang w:val="en-US" w:eastAsia="zh-CN"/>
              </w:rPr>
              <w:t>70</w:t>
            </w:r>
          </w:p>
        </w:tc>
        <w:tc>
          <w:tcPr>
            <w:tcW w:w="1276"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992" w:type="dxa"/>
            <w:vAlign w:val="center"/>
          </w:tcPr>
          <w:p>
            <w:pPr>
              <w:spacing w:line="0" w:lineRule="atLeast"/>
              <w:contextualSpacing/>
              <w:jc w:val="center"/>
              <w:rPr>
                <w:color w:val="auto"/>
                <w:szCs w:val="21"/>
              </w:rPr>
            </w:pPr>
            <w:r>
              <w:rPr>
                <w:rFonts w:hint="eastAsia"/>
                <w:color w:val="auto"/>
                <w:szCs w:val="21"/>
              </w:rPr>
              <w:t>150</w:t>
            </w:r>
          </w:p>
        </w:tc>
        <w:tc>
          <w:tcPr>
            <w:tcW w:w="1560"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7.79E-11</w:t>
            </w:r>
          </w:p>
        </w:tc>
        <w:tc>
          <w:tcPr>
            <w:tcW w:w="992" w:type="dxa"/>
            <w:vAlign w:val="center"/>
          </w:tcPr>
          <w:p>
            <w:pPr>
              <w:spacing w:line="0" w:lineRule="atLeast"/>
              <w:contextualSpacing/>
              <w:jc w:val="center"/>
              <w:rPr>
                <w:color w:val="auto"/>
                <w:szCs w:val="21"/>
              </w:rPr>
            </w:pPr>
            <w:r>
              <w:rPr>
                <w:rFonts w:hint="eastAsia"/>
                <w:color w:val="auto"/>
                <w:szCs w:val="21"/>
              </w:rPr>
              <w:t>700</w:t>
            </w:r>
          </w:p>
        </w:tc>
        <w:tc>
          <w:tcPr>
            <w:tcW w:w="1228"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879" w:type="dxa"/>
            <w:vAlign w:val="center"/>
          </w:tcPr>
          <w:p>
            <w:pPr>
              <w:spacing w:line="0" w:lineRule="atLeast"/>
              <w:contextualSpacing/>
              <w:jc w:val="center"/>
              <w:rPr>
                <w:color w:val="auto"/>
                <w:szCs w:val="21"/>
              </w:rPr>
            </w:pPr>
            <w:r>
              <w:rPr>
                <w:rFonts w:hint="eastAsia"/>
                <w:color w:val="auto"/>
                <w:szCs w:val="21"/>
                <w:lang w:val="en-US" w:eastAsia="zh-CN"/>
              </w:rPr>
              <w:t>75</w:t>
            </w:r>
          </w:p>
        </w:tc>
        <w:tc>
          <w:tcPr>
            <w:tcW w:w="1417"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851" w:type="dxa"/>
            <w:vAlign w:val="center"/>
          </w:tcPr>
          <w:p>
            <w:pPr>
              <w:spacing w:line="0" w:lineRule="atLeast"/>
              <w:contextualSpacing/>
              <w:jc w:val="center"/>
              <w:rPr>
                <w:color w:val="auto"/>
                <w:szCs w:val="21"/>
              </w:rPr>
            </w:pPr>
            <w:r>
              <w:rPr>
                <w:rFonts w:hint="eastAsia"/>
                <w:color w:val="auto"/>
                <w:szCs w:val="21"/>
              </w:rPr>
              <w:t>200</w:t>
            </w:r>
          </w:p>
        </w:tc>
        <w:tc>
          <w:tcPr>
            <w:tcW w:w="1417"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c>
          <w:tcPr>
            <w:tcW w:w="993" w:type="dxa"/>
            <w:vAlign w:val="center"/>
          </w:tcPr>
          <w:p>
            <w:pPr>
              <w:spacing w:line="0" w:lineRule="atLeast"/>
              <w:contextualSpacing/>
              <w:jc w:val="center"/>
              <w:rPr>
                <w:color w:val="auto"/>
                <w:szCs w:val="21"/>
              </w:rPr>
            </w:pPr>
            <w:r>
              <w:rPr>
                <w:rFonts w:hint="eastAsia"/>
                <w:color w:val="auto"/>
                <w:szCs w:val="21"/>
              </w:rPr>
              <w:t>800</w:t>
            </w:r>
          </w:p>
        </w:tc>
        <w:tc>
          <w:tcPr>
            <w:tcW w:w="1275" w:type="dxa"/>
            <w:vAlign w:val="center"/>
          </w:tcPr>
          <w:p>
            <w:pPr>
              <w:spacing w:line="0" w:lineRule="atLeast"/>
              <w:contextualSpacing/>
              <w:jc w:val="center"/>
              <w:rPr>
                <w:rFonts w:hint="eastAsia" w:eastAsia="宋体"/>
                <w:color w:val="auto"/>
                <w:szCs w:val="21"/>
                <w:lang w:val="en-US" w:eastAsia="zh-CN"/>
              </w:rPr>
            </w:pPr>
            <w:r>
              <w:rPr>
                <w:rFonts w:hint="eastAsia"/>
                <w:color w:val="auto"/>
                <w:szCs w:val="21"/>
                <w:lang w:val="en-US" w:eastAsia="zh-CN"/>
              </w:rPr>
              <w:t>0</w:t>
            </w:r>
          </w:p>
        </w:tc>
        <w:tc>
          <w:tcPr>
            <w:tcW w:w="1134" w:type="dxa"/>
            <w:vAlign w:val="center"/>
          </w:tcPr>
          <w:p>
            <w:pPr>
              <w:spacing w:line="0" w:lineRule="atLeast"/>
              <w:contextualSpacing/>
              <w:jc w:val="center"/>
              <w:rPr>
                <w:color w:val="auto"/>
                <w:szCs w:val="21"/>
              </w:rPr>
            </w:pPr>
            <w:r>
              <w:rPr>
                <w:rFonts w:hint="eastAsia"/>
                <w:color w:val="auto"/>
                <w:szCs w:val="21"/>
                <w:lang w:val="en-US" w:eastAsia="zh-CN"/>
              </w:rPr>
              <w:t>75</w:t>
            </w:r>
          </w:p>
        </w:tc>
        <w:tc>
          <w:tcPr>
            <w:tcW w:w="1276"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992" w:type="dxa"/>
            <w:vAlign w:val="center"/>
          </w:tcPr>
          <w:p>
            <w:pPr>
              <w:spacing w:line="0" w:lineRule="atLeast"/>
              <w:contextualSpacing/>
              <w:jc w:val="center"/>
              <w:rPr>
                <w:color w:val="auto"/>
                <w:szCs w:val="21"/>
              </w:rPr>
            </w:pPr>
            <w:r>
              <w:rPr>
                <w:rFonts w:hint="eastAsia"/>
                <w:color w:val="auto"/>
                <w:szCs w:val="21"/>
              </w:rPr>
              <w:t>200</w:t>
            </w:r>
          </w:p>
        </w:tc>
        <w:tc>
          <w:tcPr>
            <w:tcW w:w="1560"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c>
          <w:tcPr>
            <w:tcW w:w="992" w:type="dxa"/>
            <w:vAlign w:val="center"/>
          </w:tcPr>
          <w:p>
            <w:pPr>
              <w:spacing w:line="0" w:lineRule="atLeast"/>
              <w:contextualSpacing/>
              <w:jc w:val="center"/>
              <w:rPr>
                <w:color w:val="auto"/>
                <w:szCs w:val="21"/>
              </w:rPr>
            </w:pPr>
            <w:r>
              <w:rPr>
                <w:rFonts w:hint="eastAsia"/>
                <w:color w:val="auto"/>
                <w:szCs w:val="21"/>
              </w:rPr>
              <w:t>800</w:t>
            </w:r>
          </w:p>
        </w:tc>
        <w:tc>
          <w:tcPr>
            <w:tcW w:w="1228"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879" w:type="dxa"/>
            <w:vAlign w:val="center"/>
          </w:tcPr>
          <w:p>
            <w:pPr>
              <w:spacing w:line="0" w:lineRule="atLeast"/>
              <w:contextualSpacing/>
              <w:jc w:val="center"/>
              <w:rPr>
                <w:color w:val="auto"/>
                <w:szCs w:val="21"/>
              </w:rPr>
            </w:pPr>
            <w:r>
              <w:rPr>
                <w:rFonts w:hint="eastAsia"/>
                <w:color w:val="auto"/>
                <w:szCs w:val="21"/>
              </w:rPr>
              <w:t>80</w:t>
            </w:r>
          </w:p>
        </w:tc>
        <w:tc>
          <w:tcPr>
            <w:tcW w:w="1417"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851" w:type="dxa"/>
            <w:vAlign w:val="center"/>
          </w:tcPr>
          <w:p>
            <w:pPr>
              <w:spacing w:line="0" w:lineRule="atLeast"/>
              <w:contextualSpacing/>
              <w:jc w:val="center"/>
              <w:rPr>
                <w:color w:val="auto"/>
                <w:szCs w:val="21"/>
              </w:rPr>
            </w:pPr>
            <w:r>
              <w:rPr>
                <w:rFonts w:hint="eastAsia"/>
                <w:color w:val="auto"/>
                <w:szCs w:val="21"/>
                <w:lang w:val="en-US" w:eastAsia="zh-CN"/>
              </w:rPr>
              <w:t>210</w:t>
            </w:r>
          </w:p>
        </w:tc>
        <w:tc>
          <w:tcPr>
            <w:tcW w:w="1417"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c>
          <w:tcPr>
            <w:tcW w:w="993" w:type="dxa"/>
            <w:vAlign w:val="center"/>
          </w:tcPr>
          <w:p>
            <w:pPr>
              <w:spacing w:line="0" w:lineRule="atLeast"/>
              <w:contextualSpacing/>
              <w:jc w:val="center"/>
              <w:rPr>
                <w:color w:val="auto"/>
                <w:szCs w:val="21"/>
              </w:rPr>
            </w:pPr>
            <w:r>
              <w:rPr>
                <w:rFonts w:hint="eastAsia"/>
                <w:color w:val="auto"/>
                <w:szCs w:val="21"/>
                <w:lang w:val="en-US" w:eastAsia="zh-CN"/>
              </w:rPr>
              <w:t>850</w:t>
            </w:r>
          </w:p>
        </w:tc>
        <w:tc>
          <w:tcPr>
            <w:tcW w:w="1275" w:type="dxa"/>
            <w:vAlign w:val="center"/>
          </w:tcPr>
          <w:p>
            <w:pPr>
              <w:spacing w:line="0" w:lineRule="atLeast"/>
              <w:contextualSpacing/>
              <w:jc w:val="center"/>
              <w:rPr>
                <w:rFonts w:hint="eastAsia" w:eastAsia="宋体"/>
                <w:color w:val="auto"/>
                <w:szCs w:val="21"/>
                <w:lang w:val="en-US" w:eastAsia="zh-CN"/>
              </w:rPr>
            </w:pPr>
            <w:r>
              <w:rPr>
                <w:rFonts w:hint="eastAsia"/>
                <w:color w:val="auto"/>
                <w:szCs w:val="21"/>
                <w:lang w:val="en-US" w:eastAsia="zh-CN"/>
              </w:rPr>
              <w:t>0</w:t>
            </w:r>
          </w:p>
        </w:tc>
        <w:tc>
          <w:tcPr>
            <w:tcW w:w="1134" w:type="dxa"/>
            <w:vAlign w:val="center"/>
          </w:tcPr>
          <w:p>
            <w:pPr>
              <w:spacing w:line="0" w:lineRule="atLeast"/>
              <w:contextualSpacing/>
              <w:jc w:val="center"/>
              <w:rPr>
                <w:color w:val="auto"/>
                <w:szCs w:val="21"/>
              </w:rPr>
            </w:pPr>
            <w:r>
              <w:rPr>
                <w:rFonts w:hint="eastAsia"/>
                <w:color w:val="auto"/>
                <w:szCs w:val="21"/>
              </w:rPr>
              <w:t>80</w:t>
            </w:r>
          </w:p>
        </w:tc>
        <w:tc>
          <w:tcPr>
            <w:tcW w:w="1276"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992" w:type="dxa"/>
            <w:vAlign w:val="center"/>
          </w:tcPr>
          <w:p>
            <w:pPr>
              <w:spacing w:line="0" w:lineRule="atLeast"/>
              <w:contextualSpacing/>
              <w:jc w:val="center"/>
              <w:rPr>
                <w:color w:val="auto"/>
                <w:szCs w:val="21"/>
              </w:rPr>
            </w:pPr>
            <w:r>
              <w:rPr>
                <w:rFonts w:hint="eastAsia"/>
                <w:color w:val="auto"/>
                <w:szCs w:val="21"/>
                <w:lang w:val="en-US" w:eastAsia="zh-CN"/>
              </w:rPr>
              <w:t>210</w:t>
            </w:r>
          </w:p>
        </w:tc>
        <w:tc>
          <w:tcPr>
            <w:tcW w:w="1560"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c>
          <w:tcPr>
            <w:tcW w:w="992" w:type="dxa"/>
            <w:vAlign w:val="center"/>
          </w:tcPr>
          <w:p>
            <w:pPr>
              <w:spacing w:line="0" w:lineRule="atLeast"/>
              <w:contextualSpacing/>
              <w:jc w:val="center"/>
              <w:rPr>
                <w:color w:val="auto"/>
                <w:szCs w:val="21"/>
              </w:rPr>
            </w:pPr>
            <w:r>
              <w:rPr>
                <w:rFonts w:hint="eastAsia"/>
                <w:color w:val="auto"/>
                <w:szCs w:val="21"/>
                <w:lang w:val="en-US" w:eastAsia="zh-CN"/>
              </w:rPr>
              <w:t>850</w:t>
            </w:r>
          </w:p>
        </w:tc>
        <w:tc>
          <w:tcPr>
            <w:tcW w:w="1228"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lang w:val="en-US" w:eastAsia="zh-CN"/>
              </w:rPr>
              <w:t>0</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879" w:type="dxa"/>
            <w:vAlign w:val="center"/>
          </w:tcPr>
          <w:p>
            <w:pPr>
              <w:spacing w:line="0" w:lineRule="atLeast"/>
              <w:contextualSpacing/>
              <w:jc w:val="center"/>
              <w:rPr>
                <w:color w:val="auto"/>
                <w:szCs w:val="21"/>
              </w:rPr>
            </w:pPr>
            <w:r>
              <w:rPr>
                <w:rFonts w:hint="eastAsia"/>
                <w:color w:val="auto"/>
                <w:szCs w:val="21"/>
              </w:rPr>
              <w:t>90</w:t>
            </w:r>
          </w:p>
        </w:tc>
        <w:tc>
          <w:tcPr>
            <w:tcW w:w="1417" w:type="dxa"/>
            <w:vAlign w:val="center"/>
          </w:tcPr>
          <w:p>
            <w:pPr>
              <w:widowControl/>
              <w:spacing w:line="0" w:lineRule="atLeast"/>
              <w:contextualSpacing/>
              <w:jc w:val="center"/>
              <w:textAlignment w:val="center"/>
              <w:rPr>
                <w:color w:val="auto"/>
                <w:kern w:val="0"/>
                <w:szCs w:val="21"/>
              </w:rPr>
            </w:pPr>
            <w:r>
              <w:rPr>
                <w:color w:val="auto"/>
                <w:kern w:val="0"/>
                <w:szCs w:val="21"/>
              </w:rPr>
              <w:t>0</w:t>
            </w:r>
          </w:p>
        </w:tc>
        <w:tc>
          <w:tcPr>
            <w:tcW w:w="851" w:type="dxa"/>
            <w:vAlign w:val="center"/>
          </w:tcPr>
          <w:p>
            <w:pPr>
              <w:spacing w:line="0" w:lineRule="atLeast"/>
              <w:contextualSpacing/>
              <w:jc w:val="center"/>
              <w:rPr>
                <w:color w:val="auto"/>
                <w:szCs w:val="21"/>
              </w:rPr>
            </w:pPr>
            <w:r>
              <w:rPr>
                <w:rFonts w:hint="eastAsia"/>
                <w:color w:val="auto"/>
                <w:szCs w:val="21"/>
                <w:lang w:val="en-US" w:eastAsia="zh-CN"/>
              </w:rPr>
              <w:t>220</w:t>
            </w:r>
          </w:p>
        </w:tc>
        <w:tc>
          <w:tcPr>
            <w:tcW w:w="1417"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993" w:type="dxa"/>
            <w:vAlign w:val="center"/>
          </w:tcPr>
          <w:p>
            <w:pPr>
              <w:spacing w:line="0" w:lineRule="atLeast"/>
              <w:contextualSpacing/>
              <w:jc w:val="center"/>
              <w:rPr>
                <w:color w:val="auto"/>
                <w:szCs w:val="21"/>
              </w:rPr>
            </w:pPr>
            <w:r>
              <w:rPr>
                <w:rFonts w:hint="eastAsia"/>
                <w:color w:val="auto"/>
                <w:szCs w:val="21"/>
                <w:lang w:val="en-US" w:eastAsia="zh-CN"/>
              </w:rPr>
              <w:t>900</w:t>
            </w:r>
          </w:p>
        </w:tc>
        <w:tc>
          <w:tcPr>
            <w:tcW w:w="1275" w:type="dxa"/>
            <w:vAlign w:val="center"/>
          </w:tcPr>
          <w:p>
            <w:pPr>
              <w:spacing w:line="0" w:lineRule="atLeast"/>
              <w:contextualSpacing/>
              <w:jc w:val="center"/>
              <w:rPr>
                <w:color w:val="auto"/>
                <w:szCs w:val="21"/>
              </w:rPr>
            </w:pPr>
            <w:r>
              <w:rPr>
                <w:rFonts w:hint="eastAsia"/>
                <w:color w:val="auto"/>
                <w:szCs w:val="21"/>
              </w:rPr>
              <w:t>0</w:t>
            </w:r>
          </w:p>
        </w:tc>
        <w:tc>
          <w:tcPr>
            <w:tcW w:w="1134" w:type="dxa"/>
            <w:vAlign w:val="center"/>
          </w:tcPr>
          <w:p>
            <w:pPr>
              <w:spacing w:line="0" w:lineRule="atLeast"/>
              <w:contextualSpacing/>
              <w:jc w:val="center"/>
              <w:rPr>
                <w:color w:val="auto"/>
                <w:szCs w:val="21"/>
              </w:rPr>
            </w:pPr>
            <w:r>
              <w:rPr>
                <w:rFonts w:hint="eastAsia"/>
                <w:color w:val="auto"/>
                <w:szCs w:val="21"/>
              </w:rPr>
              <w:t>90</w:t>
            </w:r>
          </w:p>
        </w:tc>
        <w:tc>
          <w:tcPr>
            <w:tcW w:w="1276"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992" w:type="dxa"/>
            <w:vAlign w:val="center"/>
          </w:tcPr>
          <w:p>
            <w:pPr>
              <w:spacing w:line="0" w:lineRule="atLeast"/>
              <w:contextualSpacing/>
              <w:jc w:val="center"/>
              <w:rPr>
                <w:color w:val="auto"/>
                <w:szCs w:val="21"/>
              </w:rPr>
            </w:pPr>
            <w:r>
              <w:rPr>
                <w:rFonts w:hint="eastAsia"/>
                <w:color w:val="auto"/>
                <w:szCs w:val="21"/>
                <w:lang w:val="en-US" w:eastAsia="zh-CN"/>
              </w:rPr>
              <w:t>220</w:t>
            </w:r>
          </w:p>
        </w:tc>
        <w:tc>
          <w:tcPr>
            <w:tcW w:w="1560" w:type="dxa"/>
            <w:vAlign w:val="center"/>
          </w:tcPr>
          <w:p>
            <w:pPr>
              <w:widowControl/>
              <w:spacing w:line="0" w:lineRule="atLeast"/>
              <w:contextualSpacing/>
              <w:jc w:val="center"/>
              <w:textAlignment w:val="center"/>
              <w:rPr>
                <w:rFonts w:hint="eastAsia" w:eastAsia="宋体"/>
                <w:color w:val="auto"/>
                <w:kern w:val="0"/>
                <w:szCs w:val="21"/>
                <w:lang w:val="en-US" w:eastAsia="zh-CN"/>
              </w:rPr>
            </w:pPr>
            <w:r>
              <w:rPr>
                <w:rFonts w:hint="eastAsia"/>
                <w:color w:val="auto"/>
                <w:kern w:val="0"/>
                <w:szCs w:val="21"/>
              </w:rPr>
              <w:t>0</w:t>
            </w:r>
          </w:p>
        </w:tc>
        <w:tc>
          <w:tcPr>
            <w:tcW w:w="992" w:type="dxa"/>
            <w:vAlign w:val="center"/>
          </w:tcPr>
          <w:p>
            <w:pPr>
              <w:spacing w:line="0" w:lineRule="atLeast"/>
              <w:contextualSpacing/>
              <w:jc w:val="center"/>
              <w:rPr>
                <w:color w:val="auto"/>
                <w:szCs w:val="21"/>
              </w:rPr>
            </w:pPr>
            <w:r>
              <w:rPr>
                <w:rFonts w:hint="eastAsia"/>
                <w:color w:val="auto"/>
                <w:szCs w:val="21"/>
                <w:lang w:val="en-US" w:eastAsia="zh-CN"/>
              </w:rPr>
              <w:t>900</w:t>
            </w:r>
          </w:p>
        </w:tc>
        <w:tc>
          <w:tcPr>
            <w:tcW w:w="1228"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879" w:type="dxa"/>
            <w:vAlign w:val="center"/>
          </w:tcPr>
          <w:p>
            <w:pPr>
              <w:spacing w:line="0" w:lineRule="atLeast"/>
              <w:contextualSpacing/>
              <w:jc w:val="center"/>
              <w:rPr>
                <w:color w:val="auto"/>
                <w:szCs w:val="21"/>
              </w:rPr>
            </w:pPr>
            <w:r>
              <w:rPr>
                <w:rFonts w:hint="eastAsia"/>
                <w:color w:val="auto"/>
                <w:szCs w:val="21"/>
              </w:rPr>
              <w:t>100</w:t>
            </w:r>
          </w:p>
        </w:tc>
        <w:tc>
          <w:tcPr>
            <w:tcW w:w="1417" w:type="dxa"/>
            <w:vAlign w:val="center"/>
          </w:tcPr>
          <w:p>
            <w:pPr>
              <w:widowControl/>
              <w:spacing w:line="0" w:lineRule="atLeast"/>
              <w:contextualSpacing/>
              <w:jc w:val="center"/>
              <w:textAlignment w:val="center"/>
              <w:rPr>
                <w:color w:val="auto"/>
                <w:kern w:val="0"/>
                <w:szCs w:val="21"/>
              </w:rPr>
            </w:pPr>
            <w:r>
              <w:rPr>
                <w:color w:val="auto"/>
                <w:kern w:val="0"/>
                <w:szCs w:val="21"/>
              </w:rPr>
              <w:t>0</w:t>
            </w:r>
          </w:p>
        </w:tc>
        <w:tc>
          <w:tcPr>
            <w:tcW w:w="851" w:type="dxa"/>
            <w:vAlign w:val="center"/>
          </w:tcPr>
          <w:p>
            <w:pPr>
              <w:spacing w:line="0" w:lineRule="atLeast"/>
              <w:contextualSpacing/>
              <w:jc w:val="center"/>
              <w:rPr>
                <w:color w:val="auto"/>
                <w:szCs w:val="21"/>
              </w:rPr>
            </w:pPr>
            <w:r>
              <w:rPr>
                <w:rFonts w:hint="eastAsia"/>
                <w:color w:val="auto"/>
                <w:szCs w:val="21"/>
              </w:rPr>
              <w:t>2</w:t>
            </w:r>
            <w:r>
              <w:rPr>
                <w:rFonts w:hint="eastAsia"/>
                <w:color w:val="auto"/>
                <w:szCs w:val="21"/>
                <w:lang w:val="en-US" w:eastAsia="zh-CN"/>
              </w:rPr>
              <w:t>30</w:t>
            </w:r>
          </w:p>
        </w:tc>
        <w:tc>
          <w:tcPr>
            <w:tcW w:w="1417"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993" w:type="dxa"/>
            <w:vAlign w:val="center"/>
          </w:tcPr>
          <w:p>
            <w:pPr>
              <w:spacing w:line="0" w:lineRule="atLeast"/>
              <w:contextualSpacing/>
              <w:jc w:val="center"/>
              <w:rPr>
                <w:color w:val="auto"/>
                <w:szCs w:val="21"/>
              </w:rPr>
            </w:pPr>
            <w:r>
              <w:rPr>
                <w:rFonts w:hint="eastAsia"/>
                <w:color w:val="auto"/>
                <w:szCs w:val="21"/>
              </w:rPr>
              <w:t>9</w:t>
            </w:r>
            <w:r>
              <w:rPr>
                <w:rFonts w:hint="eastAsia"/>
                <w:color w:val="auto"/>
                <w:szCs w:val="21"/>
                <w:lang w:val="en-US" w:eastAsia="zh-CN"/>
              </w:rPr>
              <w:t>50</w:t>
            </w:r>
          </w:p>
        </w:tc>
        <w:tc>
          <w:tcPr>
            <w:tcW w:w="1275" w:type="dxa"/>
            <w:vAlign w:val="center"/>
          </w:tcPr>
          <w:p>
            <w:pPr>
              <w:spacing w:line="0" w:lineRule="atLeast"/>
              <w:contextualSpacing/>
              <w:jc w:val="center"/>
              <w:rPr>
                <w:color w:val="auto"/>
                <w:szCs w:val="21"/>
              </w:rPr>
            </w:pPr>
            <w:r>
              <w:rPr>
                <w:rFonts w:hint="eastAsia"/>
                <w:color w:val="auto"/>
                <w:szCs w:val="21"/>
              </w:rPr>
              <w:t>0</w:t>
            </w:r>
          </w:p>
        </w:tc>
        <w:tc>
          <w:tcPr>
            <w:tcW w:w="1134" w:type="dxa"/>
            <w:vAlign w:val="center"/>
          </w:tcPr>
          <w:p>
            <w:pPr>
              <w:spacing w:line="0" w:lineRule="atLeast"/>
              <w:contextualSpacing/>
              <w:jc w:val="center"/>
              <w:rPr>
                <w:color w:val="auto"/>
                <w:szCs w:val="21"/>
              </w:rPr>
            </w:pPr>
            <w:r>
              <w:rPr>
                <w:rFonts w:hint="eastAsia"/>
                <w:color w:val="auto"/>
                <w:szCs w:val="21"/>
              </w:rPr>
              <w:t>100</w:t>
            </w:r>
          </w:p>
        </w:tc>
        <w:tc>
          <w:tcPr>
            <w:tcW w:w="1276" w:type="dxa"/>
            <w:vAlign w:val="center"/>
          </w:tcPr>
          <w:p>
            <w:pPr>
              <w:widowControl/>
              <w:spacing w:line="0" w:lineRule="atLeast"/>
              <w:contextualSpacing/>
              <w:jc w:val="center"/>
              <w:textAlignment w:val="center"/>
              <w:rPr>
                <w:color w:val="auto"/>
                <w:kern w:val="0"/>
                <w:szCs w:val="21"/>
              </w:rPr>
            </w:pPr>
            <w:r>
              <w:rPr>
                <w:color w:val="auto"/>
                <w:kern w:val="0"/>
                <w:szCs w:val="21"/>
              </w:rPr>
              <w:t>0</w:t>
            </w:r>
          </w:p>
        </w:tc>
        <w:tc>
          <w:tcPr>
            <w:tcW w:w="992" w:type="dxa"/>
            <w:vAlign w:val="center"/>
          </w:tcPr>
          <w:p>
            <w:pPr>
              <w:spacing w:line="0" w:lineRule="atLeast"/>
              <w:contextualSpacing/>
              <w:jc w:val="center"/>
              <w:rPr>
                <w:color w:val="auto"/>
                <w:szCs w:val="21"/>
              </w:rPr>
            </w:pPr>
            <w:r>
              <w:rPr>
                <w:rFonts w:hint="eastAsia"/>
                <w:color w:val="auto"/>
                <w:szCs w:val="21"/>
              </w:rPr>
              <w:t>2</w:t>
            </w:r>
            <w:r>
              <w:rPr>
                <w:rFonts w:hint="eastAsia"/>
                <w:color w:val="auto"/>
                <w:szCs w:val="21"/>
                <w:lang w:val="en-US" w:eastAsia="zh-CN"/>
              </w:rPr>
              <w:t>30</w:t>
            </w:r>
          </w:p>
        </w:tc>
        <w:tc>
          <w:tcPr>
            <w:tcW w:w="1560"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992" w:type="dxa"/>
            <w:vAlign w:val="center"/>
          </w:tcPr>
          <w:p>
            <w:pPr>
              <w:spacing w:line="0" w:lineRule="atLeast"/>
              <w:contextualSpacing/>
              <w:jc w:val="center"/>
              <w:rPr>
                <w:color w:val="auto"/>
                <w:szCs w:val="21"/>
              </w:rPr>
            </w:pPr>
            <w:r>
              <w:rPr>
                <w:rFonts w:hint="eastAsia"/>
                <w:color w:val="auto"/>
                <w:szCs w:val="21"/>
              </w:rPr>
              <w:t>9</w:t>
            </w:r>
            <w:r>
              <w:rPr>
                <w:rFonts w:hint="eastAsia"/>
                <w:color w:val="auto"/>
                <w:szCs w:val="21"/>
                <w:lang w:val="en-US" w:eastAsia="zh-CN"/>
              </w:rPr>
              <w:t>50</w:t>
            </w:r>
          </w:p>
        </w:tc>
        <w:tc>
          <w:tcPr>
            <w:tcW w:w="1228"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879" w:type="dxa"/>
            <w:vAlign w:val="center"/>
          </w:tcPr>
          <w:p>
            <w:pPr>
              <w:spacing w:line="0" w:lineRule="atLeast"/>
              <w:contextualSpacing/>
              <w:jc w:val="center"/>
              <w:rPr>
                <w:color w:val="auto"/>
                <w:szCs w:val="21"/>
              </w:rPr>
            </w:pPr>
            <w:r>
              <w:rPr>
                <w:rFonts w:hint="eastAsia"/>
                <w:color w:val="auto"/>
                <w:szCs w:val="21"/>
              </w:rPr>
              <w:t>110</w:t>
            </w:r>
          </w:p>
        </w:tc>
        <w:tc>
          <w:tcPr>
            <w:tcW w:w="1417" w:type="dxa"/>
            <w:vAlign w:val="center"/>
          </w:tcPr>
          <w:p>
            <w:pPr>
              <w:widowControl/>
              <w:spacing w:line="0" w:lineRule="atLeast"/>
              <w:contextualSpacing/>
              <w:jc w:val="center"/>
              <w:textAlignment w:val="center"/>
              <w:rPr>
                <w:color w:val="auto"/>
                <w:kern w:val="0"/>
                <w:szCs w:val="21"/>
              </w:rPr>
            </w:pPr>
            <w:r>
              <w:rPr>
                <w:color w:val="auto"/>
                <w:kern w:val="0"/>
                <w:szCs w:val="21"/>
              </w:rPr>
              <w:t>0</w:t>
            </w:r>
          </w:p>
        </w:tc>
        <w:tc>
          <w:tcPr>
            <w:tcW w:w="851" w:type="dxa"/>
            <w:vAlign w:val="center"/>
          </w:tcPr>
          <w:p>
            <w:pPr>
              <w:spacing w:line="0" w:lineRule="atLeast"/>
              <w:contextualSpacing/>
              <w:jc w:val="center"/>
              <w:rPr>
                <w:color w:val="auto"/>
                <w:szCs w:val="21"/>
              </w:rPr>
            </w:pPr>
            <w:r>
              <w:rPr>
                <w:rFonts w:hint="eastAsia"/>
                <w:color w:val="auto"/>
                <w:szCs w:val="21"/>
                <w:lang w:val="en-US" w:eastAsia="zh-CN"/>
              </w:rPr>
              <w:t>240</w:t>
            </w:r>
          </w:p>
        </w:tc>
        <w:tc>
          <w:tcPr>
            <w:tcW w:w="1417" w:type="dxa"/>
            <w:vAlign w:val="center"/>
          </w:tcPr>
          <w:p>
            <w:pPr>
              <w:widowControl/>
              <w:spacing w:line="0" w:lineRule="atLeast"/>
              <w:contextualSpacing/>
              <w:jc w:val="center"/>
              <w:textAlignment w:val="center"/>
              <w:rPr>
                <w:color w:val="auto"/>
                <w:kern w:val="0"/>
                <w:szCs w:val="21"/>
              </w:rPr>
            </w:pPr>
            <w:r>
              <w:rPr>
                <w:color w:val="auto"/>
                <w:kern w:val="0"/>
                <w:szCs w:val="21"/>
              </w:rPr>
              <w:t>0</w:t>
            </w:r>
          </w:p>
        </w:tc>
        <w:tc>
          <w:tcPr>
            <w:tcW w:w="993" w:type="dxa"/>
            <w:vAlign w:val="center"/>
          </w:tcPr>
          <w:p>
            <w:pPr>
              <w:spacing w:line="0" w:lineRule="atLeast"/>
              <w:contextualSpacing/>
              <w:jc w:val="center"/>
              <w:rPr>
                <w:color w:val="auto"/>
                <w:szCs w:val="21"/>
              </w:rPr>
            </w:pPr>
            <w:r>
              <w:rPr>
                <w:rFonts w:hint="eastAsia"/>
                <w:color w:val="auto"/>
                <w:szCs w:val="21"/>
              </w:rPr>
              <w:t>1000</w:t>
            </w:r>
          </w:p>
        </w:tc>
        <w:tc>
          <w:tcPr>
            <w:tcW w:w="1275" w:type="dxa"/>
            <w:vAlign w:val="center"/>
          </w:tcPr>
          <w:p>
            <w:pPr>
              <w:spacing w:line="0" w:lineRule="atLeast"/>
              <w:contextualSpacing/>
              <w:jc w:val="center"/>
              <w:rPr>
                <w:color w:val="auto"/>
                <w:szCs w:val="21"/>
              </w:rPr>
            </w:pPr>
            <w:r>
              <w:rPr>
                <w:rFonts w:hint="eastAsia"/>
                <w:color w:val="auto"/>
                <w:szCs w:val="21"/>
              </w:rPr>
              <w:t>0</w:t>
            </w:r>
          </w:p>
        </w:tc>
        <w:tc>
          <w:tcPr>
            <w:tcW w:w="1134" w:type="dxa"/>
            <w:vAlign w:val="center"/>
          </w:tcPr>
          <w:p>
            <w:pPr>
              <w:spacing w:line="0" w:lineRule="atLeast"/>
              <w:contextualSpacing/>
              <w:jc w:val="center"/>
              <w:rPr>
                <w:color w:val="auto"/>
                <w:szCs w:val="21"/>
              </w:rPr>
            </w:pPr>
            <w:r>
              <w:rPr>
                <w:rFonts w:hint="eastAsia"/>
                <w:color w:val="auto"/>
                <w:szCs w:val="21"/>
              </w:rPr>
              <w:t>110</w:t>
            </w:r>
          </w:p>
        </w:tc>
        <w:tc>
          <w:tcPr>
            <w:tcW w:w="1276" w:type="dxa"/>
            <w:vAlign w:val="center"/>
          </w:tcPr>
          <w:p>
            <w:pPr>
              <w:widowControl/>
              <w:spacing w:line="0" w:lineRule="atLeast"/>
              <w:contextualSpacing/>
              <w:jc w:val="center"/>
              <w:textAlignment w:val="center"/>
              <w:rPr>
                <w:color w:val="auto"/>
                <w:kern w:val="0"/>
                <w:szCs w:val="21"/>
              </w:rPr>
            </w:pPr>
            <w:r>
              <w:rPr>
                <w:color w:val="auto"/>
                <w:kern w:val="0"/>
                <w:szCs w:val="21"/>
              </w:rPr>
              <w:t>0</w:t>
            </w:r>
          </w:p>
        </w:tc>
        <w:tc>
          <w:tcPr>
            <w:tcW w:w="992" w:type="dxa"/>
            <w:vAlign w:val="center"/>
          </w:tcPr>
          <w:p>
            <w:pPr>
              <w:spacing w:line="0" w:lineRule="atLeast"/>
              <w:contextualSpacing/>
              <w:jc w:val="center"/>
              <w:rPr>
                <w:color w:val="auto"/>
                <w:szCs w:val="21"/>
              </w:rPr>
            </w:pPr>
            <w:r>
              <w:rPr>
                <w:rFonts w:hint="eastAsia"/>
                <w:color w:val="auto"/>
                <w:szCs w:val="21"/>
                <w:lang w:val="en-US" w:eastAsia="zh-CN"/>
              </w:rPr>
              <w:t>240</w:t>
            </w:r>
          </w:p>
        </w:tc>
        <w:tc>
          <w:tcPr>
            <w:tcW w:w="1560"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c>
          <w:tcPr>
            <w:tcW w:w="992" w:type="dxa"/>
            <w:vAlign w:val="center"/>
          </w:tcPr>
          <w:p>
            <w:pPr>
              <w:spacing w:line="0" w:lineRule="atLeast"/>
              <w:contextualSpacing/>
              <w:jc w:val="center"/>
              <w:rPr>
                <w:color w:val="auto"/>
                <w:szCs w:val="21"/>
              </w:rPr>
            </w:pPr>
            <w:r>
              <w:rPr>
                <w:rFonts w:hint="eastAsia"/>
                <w:color w:val="auto"/>
                <w:szCs w:val="21"/>
              </w:rPr>
              <w:t>1000</w:t>
            </w:r>
          </w:p>
        </w:tc>
        <w:tc>
          <w:tcPr>
            <w:tcW w:w="1228" w:type="dxa"/>
            <w:vAlign w:val="center"/>
          </w:tcPr>
          <w:p>
            <w:pPr>
              <w:widowControl/>
              <w:spacing w:line="0" w:lineRule="atLeast"/>
              <w:contextualSpacing/>
              <w:jc w:val="center"/>
              <w:textAlignment w:val="center"/>
              <w:rPr>
                <w:color w:val="auto"/>
                <w:kern w:val="0"/>
                <w:szCs w:val="21"/>
              </w:rPr>
            </w:pPr>
            <w:r>
              <w:rPr>
                <w:rFonts w:hint="eastAsia"/>
                <w:color w:val="auto"/>
                <w:kern w:val="0"/>
                <w:szCs w:val="21"/>
              </w:rPr>
              <w:t>0</w:t>
            </w:r>
          </w:p>
        </w:tc>
      </w:tr>
    </w:tbl>
    <w:p>
      <w:pPr>
        <w:spacing w:line="360" w:lineRule="auto"/>
        <w:ind w:firstLine="480" w:firstLineChars="200"/>
        <w:rPr>
          <w:color w:val="FF0000"/>
          <w:kern w:val="0"/>
          <w:sz w:val="24"/>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pacing w:line="360" w:lineRule="auto"/>
        <w:ind w:firstLine="480" w:firstLineChars="200"/>
        <w:rPr>
          <w:color w:val="auto"/>
          <w:kern w:val="0"/>
          <w:sz w:val="24"/>
        </w:rPr>
      </w:pPr>
      <w:r>
        <w:rPr>
          <w:color w:val="auto"/>
          <w:kern w:val="0"/>
          <w:sz w:val="24"/>
        </w:rPr>
        <w:t>根据表5-2-</w:t>
      </w:r>
      <w:r>
        <w:rPr>
          <w:rFonts w:hint="eastAsia"/>
          <w:color w:val="auto"/>
          <w:kern w:val="0"/>
          <w:sz w:val="24"/>
          <w:lang w:val="en-US" w:eastAsia="zh-CN"/>
        </w:rPr>
        <w:t>20</w:t>
      </w:r>
      <w:r>
        <w:rPr>
          <w:color w:val="auto"/>
          <w:kern w:val="0"/>
          <w:sz w:val="24"/>
        </w:rPr>
        <w:t>可知，本项目污水处理站隔油池发生泄漏情况下，</w:t>
      </w:r>
      <w:r>
        <w:rPr>
          <w:rFonts w:hint="eastAsia"/>
          <w:color w:val="auto"/>
          <w:kern w:val="0"/>
          <w:sz w:val="24"/>
        </w:rPr>
        <w:t>COD</w:t>
      </w:r>
      <w:r>
        <w:rPr>
          <w:color w:val="auto"/>
          <w:kern w:val="0"/>
          <w:sz w:val="24"/>
        </w:rPr>
        <w:t>：100d，在下游</w:t>
      </w:r>
      <w:r>
        <w:rPr>
          <w:rFonts w:hint="eastAsia"/>
          <w:color w:val="auto"/>
          <w:kern w:val="0"/>
          <w:sz w:val="24"/>
          <w:lang w:val="en-US" w:eastAsia="zh-CN"/>
        </w:rPr>
        <w:t>17</w:t>
      </w:r>
      <w:r>
        <w:rPr>
          <w:color w:val="auto"/>
          <w:kern w:val="0"/>
          <w:sz w:val="24"/>
        </w:rPr>
        <w:t>m处达到标准值，影响范围为</w:t>
      </w:r>
      <w:r>
        <w:rPr>
          <w:rFonts w:hint="eastAsia"/>
          <w:color w:val="auto"/>
          <w:kern w:val="0"/>
          <w:sz w:val="24"/>
          <w:lang w:val="en-US" w:eastAsia="zh-CN"/>
        </w:rPr>
        <w:t>18</w:t>
      </w:r>
      <w:r>
        <w:rPr>
          <w:color w:val="auto"/>
          <w:kern w:val="0"/>
          <w:sz w:val="24"/>
        </w:rPr>
        <w:t>m；1000d，在下游</w:t>
      </w:r>
      <w:r>
        <w:rPr>
          <w:rFonts w:hint="eastAsia"/>
          <w:color w:val="auto"/>
          <w:kern w:val="0"/>
          <w:sz w:val="24"/>
          <w:lang w:val="en-US" w:eastAsia="zh-CN"/>
        </w:rPr>
        <w:t>62</w:t>
      </w:r>
      <w:r>
        <w:rPr>
          <w:color w:val="auto"/>
          <w:kern w:val="0"/>
          <w:sz w:val="24"/>
        </w:rPr>
        <w:t>m处达到标准值，影响范围为</w:t>
      </w:r>
      <w:r>
        <w:rPr>
          <w:rFonts w:hint="eastAsia"/>
          <w:color w:val="auto"/>
          <w:kern w:val="0"/>
          <w:sz w:val="24"/>
          <w:lang w:val="en-US" w:eastAsia="zh-CN"/>
        </w:rPr>
        <w:t>64</w:t>
      </w:r>
      <w:r>
        <w:rPr>
          <w:color w:val="auto"/>
          <w:kern w:val="0"/>
          <w:sz w:val="24"/>
        </w:rPr>
        <w:t>m；</w:t>
      </w:r>
      <w:r>
        <w:rPr>
          <w:rFonts w:hint="eastAsia"/>
          <w:color w:val="auto"/>
          <w:kern w:val="0"/>
          <w:sz w:val="24"/>
          <w:highlight w:val="none"/>
        </w:rPr>
        <w:t>20年（服务年限），</w:t>
      </w:r>
      <w:r>
        <w:rPr>
          <w:color w:val="auto"/>
          <w:kern w:val="0"/>
          <w:sz w:val="24"/>
          <w:highlight w:val="none"/>
        </w:rPr>
        <w:t>在下游</w:t>
      </w:r>
      <w:r>
        <w:rPr>
          <w:rFonts w:hint="eastAsia"/>
          <w:color w:val="auto"/>
          <w:kern w:val="0"/>
          <w:sz w:val="24"/>
          <w:highlight w:val="none"/>
          <w:lang w:val="en-US" w:eastAsia="zh-CN"/>
        </w:rPr>
        <w:t>211</w:t>
      </w:r>
      <w:r>
        <w:rPr>
          <w:color w:val="auto"/>
          <w:kern w:val="0"/>
          <w:sz w:val="24"/>
          <w:highlight w:val="none"/>
        </w:rPr>
        <w:t>m处达到标准值，影响范围为</w:t>
      </w:r>
      <w:r>
        <w:rPr>
          <w:rFonts w:hint="eastAsia"/>
          <w:color w:val="auto"/>
          <w:kern w:val="0"/>
          <w:sz w:val="24"/>
          <w:highlight w:val="none"/>
          <w:lang w:val="en-US" w:eastAsia="zh-CN"/>
        </w:rPr>
        <w:t>219</w:t>
      </w:r>
      <w:r>
        <w:rPr>
          <w:color w:val="auto"/>
          <w:kern w:val="0"/>
          <w:sz w:val="24"/>
          <w:highlight w:val="none"/>
        </w:rPr>
        <w:t>m。氨氮：</w:t>
      </w:r>
      <w:r>
        <w:rPr>
          <w:color w:val="auto"/>
          <w:kern w:val="0"/>
          <w:sz w:val="24"/>
        </w:rPr>
        <w:t>100d，在下游</w:t>
      </w:r>
      <w:r>
        <w:rPr>
          <w:rFonts w:hint="eastAsia"/>
          <w:color w:val="auto"/>
          <w:kern w:val="0"/>
          <w:sz w:val="24"/>
          <w:lang w:val="en-US" w:eastAsia="zh-CN"/>
        </w:rPr>
        <w:t>19</w:t>
      </w:r>
      <w:r>
        <w:rPr>
          <w:color w:val="auto"/>
          <w:kern w:val="0"/>
          <w:sz w:val="24"/>
        </w:rPr>
        <w:t>m处达到标准值，影响范围为</w:t>
      </w:r>
      <w:r>
        <w:rPr>
          <w:rFonts w:hint="eastAsia"/>
          <w:color w:val="auto"/>
          <w:kern w:val="0"/>
          <w:sz w:val="24"/>
          <w:lang w:val="en-US" w:eastAsia="zh-CN"/>
        </w:rPr>
        <w:t>26</w:t>
      </w:r>
      <w:r>
        <w:rPr>
          <w:color w:val="auto"/>
          <w:kern w:val="0"/>
          <w:sz w:val="24"/>
        </w:rPr>
        <w:t>m；1000d，在下游</w:t>
      </w:r>
      <w:r>
        <w:rPr>
          <w:rFonts w:hint="eastAsia"/>
          <w:color w:val="auto"/>
          <w:kern w:val="0"/>
          <w:sz w:val="24"/>
          <w:lang w:val="en-US" w:eastAsia="zh-CN"/>
        </w:rPr>
        <w:t>67</w:t>
      </w:r>
      <w:r>
        <w:rPr>
          <w:color w:val="auto"/>
          <w:kern w:val="0"/>
          <w:sz w:val="24"/>
        </w:rPr>
        <w:t>m处达到标准值，影响范围为</w:t>
      </w:r>
      <w:r>
        <w:rPr>
          <w:rFonts w:hint="eastAsia"/>
          <w:color w:val="auto"/>
          <w:kern w:val="0"/>
          <w:sz w:val="24"/>
          <w:lang w:val="en-US" w:eastAsia="zh-CN"/>
        </w:rPr>
        <w:t>89</w:t>
      </w:r>
      <w:r>
        <w:rPr>
          <w:color w:val="auto"/>
          <w:kern w:val="0"/>
          <w:sz w:val="24"/>
        </w:rPr>
        <w:t>m；</w:t>
      </w:r>
      <w:r>
        <w:rPr>
          <w:rFonts w:hint="eastAsia"/>
          <w:color w:val="auto"/>
          <w:kern w:val="0"/>
          <w:sz w:val="24"/>
        </w:rPr>
        <w:t>20年（服务年限），</w:t>
      </w:r>
      <w:r>
        <w:rPr>
          <w:color w:val="auto"/>
          <w:kern w:val="0"/>
          <w:sz w:val="24"/>
        </w:rPr>
        <w:t>在下游</w:t>
      </w:r>
      <w:r>
        <w:rPr>
          <w:rFonts w:hint="eastAsia"/>
          <w:color w:val="auto"/>
          <w:kern w:val="0"/>
          <w:sz w:val="24"/>
          <w:lang w:val="en-US" w:eastAsia="zh-CN"/>
        </w:rPr>
        <w:t>226</w:t>
      </w:r>
      <w:r>
        <w:rPr>
          <w:color w:val="auto"/>
          <w:kern w:val="0"/>
          <w:sz w:val="24"/>
        </w:rPr>
        <w:t>m处达到标准值，影响范围为</w:t>
      </w:r>
      <w:r>
        <w:rPr>
          <w:rFonts w:hint="eastAsia"/>
          <w:color w:val="auto"/>
          <w:kern w:val="0"/>
          <w:sz w:val="24"/>
          <w:lang w:val="en-US" w:eastAsia="zh-CN"/>
        </w:rPr>
        <w:t>285</w:t>
      </w:r>
      <w:r>
        <w:rPr>
          <w:color w:val="auto"/>
          <w:kern w:val="0"/>
          <w:sz w:val="24"/>
        </w:rPr>
        <w:t>m。</w:t>
      </w:r>
    </w:p>
    <w:p>
      <w:pPr>
        <w:spacing w:line="360" w:lineRule="auto"/>
        <w:ind w:firstLine="480" w:firstLineChars="200"/>
        <w:rPr>
          <w:color w:val="FF0000"/>
          <w:kern w:val="0"/>
          <w:sz w:val="24"/>
        </w:rPr>
      </w:pPr>
      <w:r>
        <w:rPr>
          <w:color w:val="auto"/>
          <w:kern w:val="0"/>
          <w:sz w:val="24"/>
        </w:rPr>
        <w:t>根据表5-2-</w:t>
      </w:r>
      <w:r>
        <w:rPr>
          <w:rFonts w:hint="eastAsia"/>
          <w:color w:val="auto"/>
          <w:kern w:val="0"/>
          <w:sz w:val="24"/>
          <w:lang w:val="en-US" w:eastAsia="zh-CN"/>
        </w:rPr>
        <w:t>21</w:t>
      </w:r>
      <w:r>
        <w:rPr>
          <w:color w:val="auto"/>
          <w:kern w:val="0"/>
          <w:sz w:val="24"/>
        </w:rPr>
        <w:t>可知，本项目</w:t>
      </w:r>
      <w:r>
        <w:rPr>
          <w:rFonts w:hint="eastAsia"/>
          <w:color w:val="auto"/>
          <w:kern w:val="0"/>
          <w:sz w:val="24"/>
        </w:rPr>
        <w:t>贮水池</w:t>
      </w:r>
      <w:r>
        <w:rPr>
          <w:color w:val="auto"/>
          <w:kern w:val="0"/>
          <w:sz w:val="24"/>
        </w:rPr>
        <w:t>发生泄漏情况下，</w:t>
      </w:r>
      <w:r>
        <w:rPr>
          <w:rFonts w:hint="eastAsia"/>
          <w:color w:val="auto"/>
          <w:kern w:val="0"/>
          <w:sz w:val="24"/>
        </w:rPr>
        <w:t>COD</w:t>
      </w:r>
      <w:r>
        <w:rPr>
          <w:color w:val="auto"/>
          <w:kern w:val="0"/>
          <w:sz w:val="24"/>
        </w:rPr>
        <w:t>：100d，在下游</w:t>
      </w:r>
      <w:r>
        <w:rPr>
          <w:rFonts w:hint="eastAsia"/>
          <w:color w:val="auto"/>
          <w:kern w:val="0"/>
          <w:sz w:val="24"/>
          <w:lang w:val="en-US" w:eastAsia="zh-CN"/>
        </w:rPr>
        <w:t>11</w:t>
      </w:r>
      <w:r>
        <w:rPr>
          <w:color w:val="auto"/>
          <w:kern w:val="0"/>
          <w:sz w:val="24"/>
        </w:rPr>
        <w:t>m处达到标准值，影响范围为</w:t>
      </w:r>
      <w:r>
        <w:rPr>
          <w:rFonts w:hint="eastAsia"/>
          <w:color w:val="auto"/>
          <w:kern w:val="0"/>
          <w:sz w:val="24"/>
          <w:lang w:val="en-US" w:eastAsia="zh-CN"/>
        </w:rPr>
        <w:t>13</w:t>
      </w:r>
      <w:r>
        <w:rPr>
          <w:color w:val="auto"/>
          <w:kern w:val="0"/>
          <w:sz w:val="24"/>
        </w:rPr>
        <w:t>m；1000d，在下游</w:t>
      </w:r>
      <w:r>
        <w:rPr>
          <w:rFonts w:hint="eastAsia"/>
          <w:color w:val="auto"/>
          <w:kern w:val="0"/>
          <w:sz w:val="24"/>
          <w:lang w:val="en-US" w:eastAsia="zh-CN"/>
        </w:rPr>
        <w:t>43</w:t>
      </w:r>
      <w:r>
        <w:rPr>
          <w:color w:val="auto"/>
          <w:kern w:val="0"/>
          <w:sz w:val="24"/>
        </w:rPr>
        <w:t>m处达到标准值，影响范围为</w:t>
      </w:r>
      <w:r>
        <w:rPr>
          <w:rFonts w:hint="eastAsia"/>
          <w:color w:val="auto"/>
          <w:kern w:val="0"/>
          <w:sz w:val="24"/>
          <w:lang w:val="en-US" w:eastAsia="zh-CN"/>
        </w:rPr>
        <w:t>47</w:t>
      </w:r>
      <w:r>
        <w:rPr>
          <w:color w:val="auto"/>
          <w:kern w:val="0"/>
          <w:sz w:val="24"/>
        </w:rPr>
        <w:t>m；</w:t>
      </w:r>
      <w:r>
        <w:rPr>
          <w:rFonts w:hint="eastAsia"/>
          <w:color w:val="auto"/>
          <w:kern w:val="0"/>
          <w:sz w:val="24"/>
        </w:rPr>
        <w:t>20年（服务年限），</w:t>
      </w:r>
      <w:r>
        <w:rPr>
          <w:color w:val="auto"/>
          <w:kern w:val="0"/>
          <w:sz w:val="24"/>
        </w:rPr>
        <w:t>在下游</w:t>
      </w:r>
      <w:r>
        <w:rPr>
          <w:rFonts w:hint="eastAsia"/>
          <w:color w:val="auto"/>
          <w:kern w:val="0"/>
          <w:sz w:val="24"/>
          <w:lang w:val="en-US" w:eastAsia="zh-CN"/>
        </w:rPr>
        <w:t>159</w:t>
      </w:r>
      <w:r>
        <w:rPr>
          <w:color w:val="auto"/>
          <w:kern w:val="0"/>
          <w:sz w:val="24"/>
        </w:rPr>
        <w:t>m处达到标准值，影响范围为</w:t>
      </w:r>
      <w:r>
        <w:rPr>
          <w:rFonts w:hint="eastAsia"/>
          <w:color w:val="auto"/>
          <w:kern w:val="0"/>
          <w:sz w:val="24"/>
          <w:lang w:val="en-US" w:eastAsia="zh-CN"/>
        </w:rPr>
        <w:t>170</w:t>
      </w:r>
      <w:r>
        <w:rPr>
          <w:color w:val="auto"/>
          <w:kern w:val="0"/>
          <w:sz w:val="24"/>
        </w:rPr>
        <w:t>m。氨氮：100d，在下游</w:t>
      </w:r>
      <w:r>
        <w:rPr>
          <w:rFonts w:hint="eastAsia"/>
          <w:color w:val="auto"/>
          <w:kern w:val="0"/>
          <w:sz w:val="24"/>
          <w:lang w:val="en-US" w:eastAsia="zh-CN"/>
        </w:rPr>
        <w:t>16</w:t>
      </w:r>
      <w:r>
        <w:rPr>
          <w:color w:val="auto"/>
          <w:kern w:val="0"/>
          <w:sz w:val="24"/>
        </w:rPr>
        <w:t>m处达到标准值，影响范围为</w:t>
      </w:r>
      <w:r>
        <w:rPr>
          <w:rFonts w:hint="eastAsia"/>
          <w:color w:val="auto"/>
          <w:kern w:val="0"/>
          <w:sz w:val="24"/>
          <w:lang w:val="en-US" w:eastAsia="zh-CN"/>
        </w:rPr>
        <w:t>23</w:t>
      </w:r>
      <w:r>
        <w:rPr>
          <w:color w:val="auto"/>
          <w:kern w:val="0"/>
          <w:sz w:val="24"/>
        </w:rPr>
        <w:t>m；1000d，在下游</w:t>
      </w:r>
      <w:r>
        <w:rPr>
          <w:rFonts w:hint="eastAsia"/>
          <w:color w:val="auto"/>
          <w:kern w:val="0"/>
          <w:sz w:val="24"/>
          <w:lang w:val="en-US" w:eastAsia="zh-CN"/>
        </w:rPr>
        <w:t>57</w:t>
      </w:r>
      <w:r>
        <w:rPr>
          <w:color w:val="auto"/>
          <w:kern w:val="0"/>
          <w:sz w:val="24"/>
        </w:rPr>
        <w:t>m处达到标准值，影响范围为</w:t>
      </w:r>
      <w:r>
        <w:rPr>
          <w:rFonts w:hint="eastAsia"/>
          <w:color w:val="auto"/>
          <w:kern w:val="0"/>
          <w:sz w:val="24"/>
          <w:lang w:val="en-US" w:eastAsia="zh-CN"/>
        </w:rPr>
        <w:t>81</w:t>
      </w:r>
      <w:r>
        <w:rPr>
          <w:color w:val="auto"/>
          <w:kern w:val="0"/>
          <w:sz w:val="24"/>
        </w:rPr>
        <w:t>m；</w:t>
      </w:r>
      <w:r>
        <w:rPr>
          <w:rFonts w:hint="eastAsia"/>
          <w:color w:val="auto"/>
          <w:kern w:val="0"/>
          <w:sz w:val="24"/>
        </w:rPr>
        <w:t>20年（服务年限），</w:t>
      </w:r>
      <w:r>
        <w:rPr>
          <w:color w:val="auto"/>
          <w:kern w:val="0"/>
          <w:sz w:val="24"/>
        </w:rPr>
        <w:t>在下游</w:t>
      </w:r>
      <w:r>
        <w:rPr>
          <w:rFonts w:hint="eastAsia"/>
          <w:color w:val="auto"/>
          <w:kern w:val="0"/>
          <w:sz w:val="24"/>
          <w:lang w:val="en-US" w:eastAsia="zh-CN"/>
        </w:rPr>
        <w:t>197</w:t>
      </w:r>
      <w:r>
        <w:rPr>
          <w:color w:val="auto"/>
          <w:kern w:val="0"/>
          <w:sz w:val="24"/>
        </w:rPr>
        <w:t>m处达到标准值，影响范围为</w:t>
      </w:r>
      <w:r>
        <w:rPr>
          <w:rFonts w:hint="eastAsia"/>
          <w:color w:val="auto"/>
          <w:kern w:val="0"/>
          <w:sz w:val="24"/>
          <w:lang w:val="en-US" w:eastAsia="zh-CN"/>
        </w:rPr>
        <w:t>264</w:t>
      </w:r>
      <w:r>
        <w:rPr>
          <w:color w:val="auto"/>
          <w:kern w:val="0"/>
          <w:sz w:val="24"/>
        </w:rPr>
        <w:t>m。</w:t>
      </w:r>
    </w:p>
    <w:p>
      <w:pPr>
        <w:spacing w:line="360" w:lineRule="auto"/>
        <w:ind w:firstLine="480" w:firstLineChars="200"/>
        <w:rPr>
          <w:color w:val="auto"/>
          <w:kern w:val="0"/>
          <w:sz w:val="24"/>
        </w:rPr>
      </w:pPr>
      <w:r>
        <w:rPr>
          <w:snapToGrid w:val="0"/>
          <w:color w:val="auto"/>
          <w:kern w:val="0"/>
          <w:sz w:val="24"/>
        </w:rPr>
        <w:t>地下水污染预测结果表明，</w:t>
      </w:r>
      <w:r>
        <w:rPr>
          <w:rFonts w:hint="eastAsia"/>
          <w:snapToGrid w:val="0"/>
          <w:color w:val="auto"/>
          <w:kern w:val="0"/>
          <w:sz w:val="24"/>
        </w:rPr>
        <w:t>非正常工况下，预测100d</w:t>
      </w:r>
      <w:r>
        <w:rPr>
          <w:rFonts w:hint="eastAsia"/>
          <w:snapToGrid w:val="0"/>
          <w:color w:val="auto"/>
          <w:kern w:val="0"/>
          <w:sz w:val="24"/>
          <w:lang w:eastAsia="zh-CN"/>
        </w:rPr>
        <w:t>、</w:t>
      </w:r>
      <w:r>
        <w:rPr>
          <w:rFonts w:hint="eastAsia"/>
          <w:snapToGrid w:val="0"/>
          <w:color w:val="auto"/>
          <w:kern w:val="0"/>
          <w:sz w:val="24"/>
        </w:rPr>
        <w:t>1000d</w:t>
      </w:r>
      <w:r>
        <w:rPr>
          <w:rFonts w:hint="eastAsia"/>
          <w:snapToGrid w:val="0"/>
          <w:color w:val="auto"/>
          <w:kern w:val="0"/>
          <w:sz w:val="24"/>
          <w:lang w:val="en-US" w:eastAsia="zh-CN"/>
        </w:rPr>
        <w:t>及</w:t>
      </w:r>
      <w:r>
        <w:rPr>
          <w:rFonts w:hint="eastAsia"/>
          <w:color w:val="auto"/>
          <w:kern w:val="0"/>
          <w:sz w:val="24"/>
        </w:rPr>
        <w:t>20年（服务年限）</w:t>
      </w:r>
      <w:r>
        <w:rPr>
          <w:rFonts w:hint="eastAsia"/>
          <w:snapToGrid w:val="0"/>
          <w:color w:val="auto"/>
          <w:kern w:val="0"/>
          <w:sz w:val="24"/>
        </w:rPr>
        <w:t>污水泄漏影响范围内无地下水环境敏感目标</w:t>
      </w:r>
      <w:r>
        <w:rPr>
          <w:snapToGrid w:val="0"/>
          <w:color w:val="auto"/>
          <w:kern w:val="0"/>
          <w:sz w:val="24"/>
        </w:rPr>
        <w:t>，不会对地下水流向下游居民点地下饮用水造成影响。</w:t>
      </w:r>
    </w:p>
    <w:p>
      <w:pPr>
        <w:spacing w:line="360" w:lineRule="auto"/>
        <w:ind w:firstLine="480" w:firstLineChars="200"/>
        <w:rPr>
          <w:color w:val="auto"/>
          <w:kern w:val="0"/>
          <w:sz w:val="24"/>
        </w:rPr>
      </w:pPr>
      <w:r>
        <w:rPr>
          <w:color w:val="auto"/>
          <w:kern w:val="0"/>
          <w:sz w:val="24"/>
        </w:rPr>
        <w:t>本项目污水处理站各池体及贮水池均采取防渗措施，并在厂区地下水下游</w:t>
      </w:r>
      <w:r>
        <w:rPr>
          <w:color w:val="auto"/>
          <w:kern w:val="0"/>
          <w:sz w:val="24"/>
          <w:lang w:val="en-GB"/>
        </w:rPr>
        <w:t>设置一个跟踪监测井，每</w:t>
      </w:r>
      <w:r>
        <w:rPr>
          <w:rFonts w:hint="eastAsia"/>
          <w:color w:val="auto"/>
          <w:kern w:val="0"/>
          <w:sz w:val="24"/>
          <w:lang w:val="en-GB"/>
        </w:rPr>
        <w:t>1年监测一次，可及时发现污水泄漏情况，并及时检修，因此不会</w:t>
      </w:r>
      <w:r>
        <w:rPr>
          <w:snapToGrid w:val="0"/>
          <w:color w:val="auto"/>
          <w:kern w:val="0"/>
          <w:sz w:val="24"/>
        </w:rPr>
        <w:t>对地下水流向下游居民点地下饮用水造成影响</w:t>
      </w:r>
      <w:r>
        <w:rPr>
          <w:rFonts w:hint="eastAsia"/>
          <w:color w:val="auto"/>
          <w:kern w:val="0"/>
          <w:sz w:val="24"/>
        </w:rPr>
        <w:t>。</w:t>
      </w:r>
      <w:r>
        <w:rPr>
          <w:rFonts w:hint="eastAsia"/>
          <w:snapToGrid w:val="0"/>
          <w:color w:val="auto"/>
          <w:kern w:val="0"/>
          <w:sz w:val="24"/>
        </w:rPr>
        <w:t>综上</w:t>
      </w:r>
      <w:r>
        <w:rPr>
          <w:snapToGrid w:val="0"/>
          <w:color w:val="auto"/>
          <w:kern w:val="0"/>
          <w:sz w:val="24"/>
        </w:rPr>
        <w:t>项目建设对区域地下水环境影响较小。</w:t>
      </w:r>
    </w:p>
    <w:p>
      <w:pPr>
        <w:spacing w:line="360" w:lineRule="auto"/>
        <w:jc w:val="center"/>
        <w:rPr>
          <w:snapToGrid w:val="0"/>
          <w:color w:val="FF0000"/>
          <w:kern w:val="0"/>
          <w:sz w:val="24"/>
        </w:rPr>
      </w:pPr>
      <w:r>
        <w:drawing>
          <wp:inline distT="0" distB="0" distL="114300" distR="114300">
            <wp:extent cx="4826000" cy="2743200"/>
            <wp:effectExtent l="4445" t="4445" r="8255" b="14605"/>
            <wp:docPr id="8"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pPr>
        <w:pStyle w:val="76"/>
        <w:spacing w:line="240" w:lineRule="auto"/>
        <w:ind w:firstLine="426"/>
        <w:rPr>
          <w:rFonts w:ascii="Times New Roman" w:hAnsi="Times New Roman" w:cs="Times New Roman"/>
          <w:color w:val="auto"/>
          <w:sz w:val="24"/>
          <w:szCs w:val="24"/>
        </w:rPr>
      </w:pPr>
      <w:r>
        <w:rPr>
          <w:rFonts w:ascii="Times New Roman" w:hAnsi="Times New Roman" w:cs="Times New Roman"/>
          <w:color w:val="auto"/>
          <w:sz w:val="24"/>
          <w:szCs w:val="24"/>
        </w:rPr>
        <w:t>图5-2-</w:t>
      </w:r>
      <w:r>
        <w:rPr>
          <w:rFonts w:hint="eastAsia" w:ascii="Times New Roman" w:hAnsi="Times New Roman" w:cs="Times New Roman"/>
          <w:color w:val="auto"/>
          <w:sz w:val="24"/>
          <w:szCs w:val="24"/>
          <w:lang w:val="en-US" w:eastAsia="zh-CN"/>
        </w:rPr>
        <w:t>2</w:t>
      </w:r>
      <w:r>
        <w:rPr>
          <w:rFonts w:ascii="Times New Roman" w:hAnsi="Times New Roman" w:cs="Times New Roman"/>
          <w:color w:val="auto"/>
          <w:sz w:val="24"/>
          <w:szCs w:val="24"/>
        </w:rPr>
        <w:t xml:space="preserve">  100天</w:t>
      </w:r>
      <w:r>
        <w:rPr>
          <w:rFonts w:hint="eastAsia" w:ascii="Times New Roman" w:hAnsi="Times New Roman" w:cs="Times New Roman"/>
          <w:color w:val="auto"/>
          <w:sz w:val="24"/>
          <w:szCs w:val="24"/>
        </w:rPr>
        <w:t>COD</w:t>
      </w:r>
      <w:r>
        <w:rPr>
          <w:rFonts w:ascii="Times New Roman" w:hAnsi="Times New Roman" w:cs="Times New Roman"/>
          <w:color w:val="auto"/>
          <w:sz w:val="24"/>
          <w:szCs w:val="24"/>
        </w:rPr>
        <w:t>预测参数及过程截图（污水处理站隔油池）</w:t>
      </w:r>
    </w:p>
    <w:p>
      <w:pPr>
        <w:spacing w:line="360" w:lineRule="auto"/>
        <w:jc w:val="center"/>
        <w:rPr>
          <w:snapToGrid w:val="0"/>
          <w:color w:val="FF0000"/>
          <w:kern w:val="0"/>
          <w:sz w:val="24"/>
        </w:rPr>
      </w:pPr>
      <w:r>
        <w:drawing>
          <wp:inline distT="0" distB="0" distL="114300" distR="114300">
            <wp:extent cx="4826000" cy="2743200"/>
            <wp:effectExtent l="4445" t="4445" r="8255" b="14605"/>
            <wp:docPr id="10" name="图表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pPr>
        <w:pStyle w:val="76"/>
        <w:spacing w:line="240" w:lineRule="auto"/>
        <w:ind w:firstLine="426"/>
        <w:rPr>
          <w:rFonts w:ascii="Times New Roman" w:hAnsi="Times New Roman" w:cs="Times New Roman"/>
          <w:color w:val="auto"/>
          <w:sz w:val="24"/>
          <w:szCs w:val="24"/>
        </w:rPr>
      </w:pPr>
      <w:r>
        <w:rPr>
          <w:rFonts w:ascii="Times New Roman" w:hAnsi="Times New Roman" w:cs="Times New Roman"/>
          <w:color w:val="auto"/>
          <w:sz w:val="24"/>
          <w:szCs w:val="24"/>
        </w:rPr>
        <w:t>图5-2-</w:t>
      </w:r>
      <w:r>
        <w:rPr>
          <w:rFonts w:hint="eastAsia" w:ascii="Times New Roman" w:hAnsi="Times New Roman" w:cs="Times New Roman"/>
          <w:color w:val="auto"/>
          <w:sz w:val="24"/>
          <w:szCs w:val="24"/>
          <w:lang w:val="en-US" w:eastAsia="zh-CN"/>
        </w:rPr>
        <w:t>3</w:t>
      </w:r>
      <w:r>
        <w:rPr>
          <w:rFonts w:ascii="Times New Roman" w:hAnsi="Times New Roman" w:cs="Times New Roman"/>
          <w:color w:val="auto"/>
          <w:sz w:val="24"/>
          <w:szCs w:val="24"/>
        </w:rPr>
        <w:t xml:space="preserve">  1000天</w:t>
      </w:r>
      <w:r>
        <w:rPr>
          <w:rFonts w:hint="eastAsia" w:ascii="Times New Roman" w:hAnsi="Times New Roman" w:cs="Times New Roman"/>
          <w:color w:val="auto"/>
          <w:sz w:val="24"/>
          <w:szCs w:val="24"/>
        </w:rPr>
        <w:t>COD</w:t>
      </w:r>
      <w:r>
        <w:rPr>
          <w:rFonts w:ascii="Times New Roman" w:hAnsi="Times New Roman" w:cs="Times New Roman"/>
          <w:color w:val="auto"/>
          <w:sz w:val="24"/>
          <w:szCs w:val="24"/>
        </w:rPr>
        <w:t>预测参数及过程截图（污水处理站）</w:t>
      </w:r>
    </w:p>
    <w:p>
      <w:pPr>
        <w:spacing w:line="360" w:lineRule="auto"/>
        <w:jc w:val="center"/>
        <w:rPr>
          <w:snapToGrid w:val="0"/>
          <w:color w:val="auto"/>
          <w:kern w:val="0"/>
          <w:sz w:val="24"/>
        </w:rPr>
      </w:pPr>
      <w:r>
        <w:rPr>
          <w:color w:val="auto"/>
        </w:rPr>
        <w:drawing>
          <wp:inline distT="0" distB="0" distL="114300" distR="114300">
            <wp:extent cx="4826000" cy="2743200"/>
            <wp:effectExtent l="4445" t="4445" r="8255" b="14605"/>
            <wp:docPr id="17"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pPr>
        <w:pStyle w:val="76"/>
        <w:spacing w:line="240" w:lineRule="auto"/>
        <w:ind w:firstLine="426"/>
        <w:rPr>
          <w:rFonts w:ascii="Times New Roman" w:hAnsi="Times New Roman" w:cs="Times New Roman"/>
          <w:color w:val="auto"/>
          <w:sz w:val="24"/>
          <w:szCs w:val="24"/>
        </w:rPr>
      </w:pPr>
      <w:r>
        <w:rPr>
          <w:rFonts w:ascii="Times New Roman" w:hAnsi="Times New Roman" w:cs="Times New Roman"/>
          <w:color w:val="auto"/>
          <w:sz w:val="24"/>
          <w:szCs w:val="24"/>
        </w:rPr>
        <w:t>图5-2-</w:t>
      </w:r>
      <w:r>
        <w:rPr>
          <w:rFonts w:hint="eastAsia" w:ascii="Times New Roman" w:hAnsi="Times New Roman" w:cs="Times New Roman"/>
          <w:color w:val="auto"/>
          <w:sz w:val="24"/>
          <w:szCs w:val="24"/>
          <w:lang w:val="en-US" w:eastAsia="zh-CN"/>
        </w:rPr>
        <w:t>4</w:t>
      </w:r>
      <w:r>
        <w:rPr>
          <w:rFonts w:ascii="Times New Roman" w:hAnsi="Times New Roman" w:cs="Times New Roman"/>
          <w:color w:val="auto"/>
          <w:sz w:val="24"/>
          <w:szCs w:val="24"/>
        </w:rPr>
        <w:t xml:space="preserve">  </w:t>
      </w:r>
      <w:r>
        <w:rPr>
          <w:rFonts w:hint="eastAsia" w:ascii="Times New Roman" w:hAnsi="Times New Roman" w:cs="Times New Roman"/>
          <w:color w:val="auto"/>
          <w:sz w:val="24"/>
          <w:szCs w:val="24"/>
        </w:rPr>
        <w:t>20年（服务年限）COD</w:t>
      </w:r>
      <w:r>
        <w:rPr>
          <w:rFonts w:ascii="Times New Roman" w:hAnsi="Times New Roman" w:cs="Times New Roman"/>
          <w:color w:val="auto"/>
          <w:sz w:val="24"/>
          <w:szCs w:val="24"/>
        </w:rPr>
        <w:t>预测参数及过程截图（污水处理站）</w:t>
      </w:r>
    </w:p>
    <w:p>
      <w:pPr>
        <w:pStyle w:val="76"/>
        <w:spacing w:line="240" w:lineRule="auto"/>
        <w:ind w:firstLine="0" w:firstLineChars="0"/>
        <w:rPr>
          <w:rFonts w:ascii="Times New Roman" w:hAnsi="Times New Roman" w:cs="Times New Roman"/>
          <w:color w:val="auto"/>
        </w:rPr>
      </w:pPr>
      <w:r>
        <w:drawing>
          <wp:inline distT="0" distB="0" distL="114300" distR="114300">
            <wp:extent cx="4826000" cy="2457450"/>
            <wp:effectExtent l="4445" t="4445" r="8255" b="14605"/>
            <wp:docPr id="19" name="图表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pPr>
        <w:pStyle w:val="76"/>
        <w:spacing w:line="240" w:lineRule="auto"/>
        <w:ind w:firstLine="426"/>
        <w:rPr>
          <w:rFonts w:ascii="Times New Roman" w:hAnsi="Times New Roman" w:cs="Times New Roman"/>
          <w:color w:val="auto"/>
          <w:sz w:val="24"/>
          <w:szCs w:val="24"/>
        </w:rPr>
      </w:pPr>
      <w:r>
        <w:rPr>
          <w:rFonts w:ascii="Times New Roman" w:hAnsi="Times New Roman" w:cs="Times New Roman"/>
          <w:color w:val="auto"/>
          <w:sz w:val="24"/>
          <w:szCs w:val="24"/>
        </w:rPr>
        <w:t>图5-2-</w:t>
      </w:r>
      <w:r>
        <w:rPr>
          <w:rFonts w:hint="eastAsia" w:ascii="Times New Roman" w:hAnsi="Times New Roman" w:cs="Times New Roman"/>
          <w:color w:val="auto"/>
          <w:sz w:val="24"/>
          <w:szCs w:val="24"/>
          <w:lang w:val="en-US" w:eastAsia="zh-CN"/>
        </w:rPr>
        <w:t>5</w:t>
      </w:r>
      <w:r>
        <w:rPr>
          <w:rFonts w:ascii="Times New Roman" w:hAnsi="Times New Roman" w:cs="Times New Roman"/>
          <w:color w:val="auto"/>
          <w:sz w:val="24"/>
          <w:szCs w:val="24"/>
        </w:rPr>
        <w:t xml:space="preserve">  100天氨氮预测参数及过程截图（污水处理站）</w:t>
      </w:r>
    </w:p>
    <w:p>
      <w:pPr>
        <w:widowControl/>
        <w:spacing w:line="360" w:lineRule="auto"/>
        <w:jc w:val="center"/>
        <w:rPr>
          <w:color w:val="auto"/>
          <w:kern w:val="0"/>
        </w:rPr>
      </w:pPr>
      <w:r>
        <w:rPr>
          <w:color w:val="auto"/>
        </w:rPr>
        <w:drawing>
          <wp:inline distT="0" distB="0" distL="114300" distR="114300">
            <wp:extent cx="4826000" cy="2609850"/>
            <wp:effectExtent l="4445" t="4445" r="8255" b="14605"/>
            <wp:docPr id="20" name="图表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pPr>
        <w:pStyle w:val="76"/>
        <w:spacing w:line="240" w:lineRule="auto"/>
        <w:ind w:firstLine="426"/>
        <w:rPr>
          <w:rFonts w:ascii="Times New Roman" w:hAnsi="Times New Roman" w:cs="Times New Roman"/>
          <w:color w:val="auto"/>
          <w:sz w:val="24"/>
          <w:szCs w:val="24"/>
        </w:rPr>
      </w:pPr>
      <w:r>
        <w:rPr>
          <w:rFonts w:ascii="Times New Roman" w:hAnsi="Times New Roman" w:cs="Times New Roman"/>
          <w:color w:val="auto"/>
          <w:sz w:val="24"/>
          <w:szCs w:val="24"/>
        </w:rPr>
        <w:t>图5-2-</w:t>
      </w:r>
      <w:r>
        <w:rPr>
          <w:rFonts w:hint="eastAsia" w:ascii="Times New Roman" w:hAnsi="Times New Roman" w:cs="Times New Roman"/>
          <w:color w:val="auto"/>
          <w:sz w:val="24"/>
          <w:szCs w:val="24"/>
          <w:lang w:val="en-US" w:eastAsia="zh-CN"/>
        </w:rPr>
        <w:t>6</w:t>
      </w:r>
      <w:r>
        <w:rPr>
          <w:rFonts w:ascii="Times New Roman" w:hAnsi="Times New Roman" w:cs="Times New Roman"/>
          <w:color w:val="auto"/>
          <w:sz w:val="24"/>
          <w:szCs w:val="24"/>
        </w:rPr>
        <w:t xml:space="preserve">  1000天氨氮预测参数及过程截图（污水处理站）</w:t>
      </w:r>
    </w:p>
    <w:p>
      <w:pPr>
        <w:widowControl/>
        <w:spacing w:line="360" w:lineRule="auto"/>
        <w:jc w:val="center"/>
        <w:rPr>
          <w:color w:val="auto"/>
          <w:kern w:val="0"/>
        </w:rPr>
      </w:pPr>
      <w:r>
        <w:rPr>
          <w:color w:val="auto"/>
        </w:rPr>
        <w:drawing>
          <wp:inline distT="0" distB="0" distL="114300" distR="114300">
            <wp:extent cx="4826000" cy="2571750"/>
            <wp:effectExtent l="4445" t="4445" r="8255" b="14605"/>
            <wp:docPr id="22" name="图表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pPr>
        <w:pStyle w:val="76"/>
        <w:spacing w:line="240" w:lineRule="auto"/>
        <w:ind w:firstLine="426"/>
        <w:rPr>
          <w:rFonts w:ascii="Times New Roman" w:hAnsi="Times New Roman" w:cs="Times New Roman"/>
          <w:color w:val="auto"/>
          <w:sz w:val="24"/>
          <w:szCs w:val="24"/>
        </w:rPr>
      </w:pPr>
      <w:r>
        <w:rPr>
          <w:rFonts w:ascii="Times New Roman" w:hAnsi="Times New Roman" w:cs="Times New Roman"/>
          <w:color w:val="auto"/>
          <w:sz w:val="24"/>
          <w:szCs w:val="24"/>
        </w:rPr>
        <w:t>图5-2-</w:t>
      </w:r>
      <w:r>
        <w:rPr>
          <w:rFonts w:hint="eastAsia" w:ascii="Times New Roman" w:hAnsi="Times New Roman" w:cs="Times New Roman"/>
          <w:color w:val="auto"/>
          <w:sz w:val="24"/>
          <w:szCs w:val="24"/>
          <w:lang w:val="en-US" w:eastAsia="zh-CN"/>
        </w:rPr>
        <w:t>7</w:t>
      </w:r>
      <w:r>
        <w:rPr>
          <w:rFonts w:ascii="Times New Roman" w:hAnsi="Times New Roman" w:cs="Times New Roman"/>
          <w:color w:val="auto"/>
          <w:sz w:val="24"/>
          <w:szCs w:val="24"/>
        </w:rPr>
        <w:t xml:space="preserve">  </w:t>
      </w:r>
      <w:r>
        <w:rPr>
          <w:rFonts w:hint="eastAsia" w:ascii="Times New Roman" w:hAnsi="Times New Roman" w:cs="Times New Roman"/>
          <w:color w:val="auto"/>
          <w:sz w:val="24"/>
          <w:szCs w:val="24"/>
        </w:rPr>
        <w:t>20年（服务年限）</w:t>
      </w:r>
      <w:r>
        <w:rPr>
          <w:rFonts w:ascii="Times New Roman" w:hAnsi="Times New Roman" w:cs="Times New Roman"/>
          <w:color w:val="auto"/>
          <w:sz w:val="24"/>
          <w:szCs w:val="24"/>
        </w:rPr>
        <w:t>氨氮预测参数及过程截图（污水处理站）</w:t>
      </w:r>
    </w:p>
    <w:p>
      <w:pPr>
        <w:spacing w:line="360" w:lineRule="auto"/>
        <w:jc w:val="center"/>
        <w:rPr>
          <w:snapToGrid w:val="0"/>
          <w:color w:val="FF0000"/>
          <w:kern w:val="0"/>
          <w:sz w:val="24"/>
        </w:rPr>
      </w:pPr>
      <w:r>
        <w:drawing>
          <wp:inline distT="0" distB="0" distL="114300" distR="114300">
            <wp:extent cx="4826000" cy="2515235"/>
            <wp:effectExtent l="4445" t="4445" r="8255" b="13970"/>
            <wp:docPr id="24" name="图表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pPr>
        <w:pStyle w:val="76"/>
        <w:spacing w:line="240" w:lineRule="auto"/>
        <w:ind w:firstLine="426"/>
        <w:rPr>
          <w:rFonts w:ascii="Times New Roman" w:hAnsi="Times New Roman" w:cs="Times New Roman"/>
          <w:color w:val="auto"/>
          <w:sz w:val="24"/>
          <w:szCs w:val="24"/>
        </w:rPr>
      </w:pPr>
      <w:r>
        <w:rPr>
          <w:rFonts w:ascii="Times New Roman" w:hAnsi="Times New Roman" w:cs="Times New Roman"/>
          <w:color w:val="auto"/>
          <w:sz w:val="24"/>
          <w:szCs w:val="24"/>
        </w:rPr>
        <w:t>图5-2-</w:t>
      </w:r>
      <w:r>
        <w:rPr>
          <w:rFonts w:hint="eastAsia" w:ascii="Times New Roman" w:hAnsi="Times New Roman" w:cs="Times New Roman"/>
          <w:color w:val="auto"/>
          <w:sz w:val="24"/>
          <w:szCs w:val="24"/>
          <w:lang w:val="en-US" w:eastAsia="zh-CN"/>
        </w:rPr>
        <w:t>8</w:t>
      </w:r>
      <w:r>
        <w:rPr>
          <w:rFonts w:ascii="Times New Roman" w:hAnsi="Times New Roman" w:cs="Times New Roman"/>
          <w:color w:val="auto"/>
          <w:sz w:val="24"/>
          <w:szCs w:val="24"/>
        </w:rPr>
        <w:t xml:space="preserve">  100天</w:t>
      </w:r>
      <w:r>
        <w:rPr>
          <w:rFonts w:hint="eastAsia" w:ascii="Times New Roman" w:hAnsi="Times New Roman" w:cs="Times New Roman"/>
          <w:color w:val="auto"/>
          <w:sz w:val="24"/>
          <w:szCs w:val="24"/>
        </w:rPr>
        <w:t>COD</w:t>
      </w:r>
      <w:r>
        <w:rPr>
          <w:rFonts w:ascii="Times New Roman" w:hAnsi="Times New Roman" w:cs="Times New Roman"/>
          <w:color w:val="auto"/>
          <w:sz w:val="24"/>
          <w:szCs w:val="24"/>
        </w:rPr>
        <w:t>预测参数及过程截图（</w:t>
      </w:r>
      <w:r>
        <w:rPr>
          <w:rFonts w:hint="eastAsia" w:ascii="Times New Roman" w:hAnsi="Times New Roman" w:cs="Times New Roman"/>
          <w:color w:val="auto"/>
          <w:sz w:val="24"/>
          <w:szCs w:val="24"/>
        </w:rPr>
        <w:t>贮水池</w:t>
      </w:r>
      <w:r>
        <w:rPr>
          <w:rFonts w:ascii="Times New Roman" w:hAnsi="Times New Roman" w:cs="Times New Roman"/>
          <w:color w:val="auto"/>
          <w:sz w:val="24"/>
          <w:szCs w:val="24"/>
        </w:rPr>
        <w:t>）</w:t>
      </w:r>
    </w:p>
    <w:p>
      <w:pPr>
        <w:spacing w:line="360" w:lineRule="auto"/>
        <w:jc w:val="center"/>
        <w:rPr>
          <w:snapToGrid w:val="0"/>
          <w:color w:val="FF0000"/>
          <w:kern w:val="0"/>
          <w:sz w:val="24"/>
        </w:rPr>
      </w:pPr>
      <w:r>
        <w:drawing>
          <wp:inline distT="0" distB="0" distL="114300" distR="114300">
            <wp:extent cx="4826000" cy="2743200"/>
            <wp:effectExtent l="4445" t="4445" r="8255" b="14605"/>
            <wp:docPr id="25" name="图表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pPr>
        <w:pStyle w:val="76"/>
        <w:spacing w:line="240" w:lineRule="auto"/>
        <w:ind w:firstLine="426"/>
        <w:rPr>
          <w:rFonts w:ascii="Times New Roman" w:hAnsi="Times New Roman" w:cs="Times New Roman"/>
          <w:color w:val="auto"/>
          <w:sz w:val="24"/>
          <w:szCs w:val="24"/>
        </w:rPr>
      </w:pPr>
      <w:r>
        <w:rPr>
          <w:rFonts w:ascii="Times New Roman" w:hAnsi="Times New Roman" w:cs="Times New Roman"/>
          <w:color w:val="auto"/>
          <w:sz w:val="24"/>
          <w:szCs w:val="24"/>
        </w:rPr>
        <w:t>图5-2-</w:t>
      </w:r>
      <w:r>
        <w:rPr>
          <w:rFonts w:hint="eastAsia" w:ascii="Times New Roman" w:hAnsi="Times New Roman" w:cs="Times New Roman"/>
          <w:color w:val="auto"/>
          <w:sz w:val="24"/>
          <w:szCs w:val="24"/>
          <w:lang w:val="en-US" w:eastAsia="zh-CN"/>
        </w:rPr>
        <w:t>9</w:t>
      </w:r>
      <w:r>
        <w:rPr>
          <w:rFonts w:ascii="Times New Roman" w:hAnsi="Times New Roman" w:cs="Times New Roman"/>
          <w:color w:val="auto"/>
          <w:sz w:val="24"/>
          <w:szCs w:val="24"/>
        </w:rPr>
        <w:t xml:space="preserve">  1000天</w:t>
      </w:r>
      <w:r>
        <w:rPr>
          <w:rFonts w:hint="eastAsia" w:ascii="Times New Roman" w:hAnsi="Times New Roman" w:cs="Times New Roman"/>
          <w:color w:val="auto"/>
          <w:sz w:val="24"/>
          <w:szCs w:val="24"/>
        </w:rPr>
        <w:t>COD</w:t>
      </w:r>
      <w:r>
        <w:rPr>
          <w:rFonts w:ascii="Times New Roman" w:hAnsi="Times New Roman" w:cs="Times New Roman"/>
          <w:color w:val="auto"/>
          <w:sz w:val="24"/>
          <w:szCs w:val="24"/>
        </w:rPr>
        <w:t>预测参数及过程截图（</w:t>
      </w:r>
      <w:r>
        <w:rPr>
          <w:rFonts w:hint="eastAsia" w:ascii="Times New Roman" w:hAnsi="Times New Roman" w:cs="Times New Roman"/>
          <w:color w:val="auto"/>
          <w:sz w:val="24"/>
          <w:szCs w:val="24"/>
        </w:rPr>
        <w:t>贮水池</w:t>
      </w:r>
      <w:r>
        <w:rPr>
          <w:rFonts w:ascii="Times New Roman" w:hAnsi="Times New Roman" w:cs="Times New Roman"/>
          <w:color w:val="auto"/>
          <w:sz w:val="24"/>
          <w:szCs w:val="24"/>
        </w:rPr>
        <w:t>）</w:t>
      </w:r>
    </w:p>
    <w:p>
      <w:pPr>
        <w:spacing w:line="360" w:lineRule="auto"/>
        <w:jc w:val="center"/>
        <w:rPr>
          <w:snapToGrid w:val="0"/>
          <w:color w:val="FF0000"/>
          <w:kern w:val="0"/>
          <w:sz w:val="24"/>
        </w:rPr>
      </w:pPr>
      <w:r>
        <w:drawing>
          <wp:inline distT="0" distB="0" distL="114300" distR="114300">
            <wp:extent cx="4826000" cy="2743200"/>
            <wp:effectExtent l="4445" t="4445" r="8255" b="14605"/>
            <wp:docPr id="29" name="图表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pPr>
        <w:pStyle w:val="76"/>
        <w:spacing w:line="240" w:lineRule="auto"/>
        <w:ind w:firstLine="426"/>
        <w:rPr>
          <w:rFonts w:ascii="Times New Roman" w:hAnsi="Times New Roman" w:cs="Times New Roman"/>
          <w:color w:val="auto"/>
          <w:sz w:val="24"/>
          <w:szCs w:val="24"/>
        </w:rPr>
      </w:pPr>
      <w:r>
        <w:rPr>
          <w:rFonts w:ascii="Times New Roman" w:hAnsi="Times New Roman" w:cs="Times New Roman"/>
          <w:color w:val="auto"/>
          <w:sz w:val="24"/>
          <w:szCs w:val="24"/>
        </w:rPr>
        <w:t>图5-2-</w:t>
      </w:r>
      <w:r>
        <w:rPr>
          <w:rFonts w:hint="eastAsia" w:ascii="Times New Roman" w:hAnsi="Times New Roman" w:cs="Times New Roman"/>
          <w:color w:val="auto"/>
          <w:sz w:val="24"/>
          <w:szCs w:val="24"/>
          <w:lang w:val="en-US" w:eastAsia="zh-CN"/>
        </w:rPr>
        <w:t>10</w:t>
      </w:r>
      <w:r>
        <w:rPr>
          <w:rFonts w:ascii="Times New Roman" w:hAnsi="Times New Roman" w:cs="Times New Roman"/>
          <w:color w:val="auto"/>
          <w:sz w:val="24"/>
          <w:szCs w:val="24"/>
        </w:rPr>
        <w:t xml:space="preserve">  </w:t>
      </w:r>
      <w:r>
        <w:rPr>
          <w:rFonts w:hint="eastAsia" w:ascii="Times New Roman" w:hAnsi="Times New Roman" w:cs="Times New Roman"/>
          <w:color w:val="auto"/>
          <w:sz w:val="24"/>
          <w:szCs w:val="24"/>
        </w:rPr>
        <w:t>20年（服务年限）COD</w:t>
      </w:r>
      <w:r>
        <w:rPr>
          <w:rFonts w:ascii="Times New Roman" w:hAnsi="Times New Roman" w:cs="Times New Roman"/>
          <w:color w:val="auto"/>
          <w:sz w:val="24"/>
          <w:szCs w:val="24"/>
        </w:rPr>
        <w:t>预测参数及过程截图（</w:t>
      </w:r>
      <w:r>
        <w:rPr>
          <w:rFonts w:hint="eastAsia" w:ascii="Times New Roman" w:hAnsi="Times New Roman" w:cs="Times New Roman"/>
          <w:color w:val="auto"/>
          <w:sz w:val="24"/>
          <w:szCs w:val="24"/>
        </w:rPr>
        <w:t>贮水池</w:t>
      </w:r>
      <w:r>
        <w:rPr>
          <w:rFonts w:ascii="Times New Roman" w:hAnsi="Times New Roman" w:cs="Times New Roman"/>
          <w:color w:val="auto"/>
          <w:sz w:val="24"/>
          <w:szCs w:val="24"/>
        </w:rPr>
        <w:t>）</w:t>
      </w:r>
    </w:p>
    <w:p>
      <w:pPr>
        <w:pStyle w:val="76"/>
        <w:spacing w:line="240" w:lineRule="auto"/>
        <w:ind w:firstLine="0" w:firstLineChars="0"/>
        <w:rPr>
          <w:rFonts w:ascii="Times New Roman" w:hAnsi="Times New Roman" w:cs="Times New Roman"/>
          <w:color w:val="auto"/>
        </w:rPr>
      </w:pPr>
      <w:r>
        <w:rPr>
          <w:color w:val="auto"/>
        </w:rPr>
        <w:drawing>
          <wp:inline distT="0" distB="0" distL="114300" distR="114300">
            <wp:extent cx="4617085" cy="2534285"/>
            <wp:effectExtent l="4445" t="4445" r="7620" b="13970"/>
            <wp:docPr id="31" name="图表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pPr>
        <w:pStyle w:val="76"/>
        <w:spacing w:line="240" w:lineRule="auto"/>
        <w:ind w:firstLine="426"/>
        <w:rPr>
          <w:rFonts w:ascii="Times New Roman" w:hAnsi="Times New Roman" w:cs="Times New Roman"/>
          <w:color w:val="auto"/>
          <w:sz w:val="24"/>
          <w:szCs w:val="24"/>
        </w:rPr>
      </w:pPr>
      <w:r>
        <w:rPr>
          <w:rFonts w:ascii="Times New Roman" w:hAnsi="Times New Roman" w:cs="Times New Roman"/>
          <w:color w:val="auto"/>
          <w:sz w:val="24"/>
          <w:szCs w:val="24"/>
        </w:rPr>
        <w:t>图5-2-</w:t>
      </w:r>
      <w:r>
        <w:rPr>
          <w:rFonts w:hint="eastAsia" w:ascii="Times New Roman" w:hAnsi="Times New Roman" w:cs="Times New Roman"/>
          <w:color w:val="auto"/>
          <w:sz w:val="24"/>
          <w:szCs w:val="24"/>
        </w:rPr>
        <w:t>1</w:t>
      </w:r>
      <w:r>
        <w:rPr>
          <w:rFonts w:hint="eastAsia" w:ascii="Times New Roman" w:hAnsi="Times New Roman" w:cs="Times New Roman"/>
          <w:color w:val="auto"/>
          <w:sz w:val="24"/>
          <w:szCs w:val="24"/>
          <w:lang w:val="en-US" w:eastAsia="zh-CN"/>
        </w:rPr>
        <w:t>1</w:t>
      </w:r>
      <w:r>
        <w:rPr>
          <w:rFonts w:ascii="Times New Roman" w:hAnsi="Times New Roman" w:cs="Times New Roman"/>
          <w:color w:val="auto"/>
          <w:sz w:val="24"/>
          <w:szCs w:val="24"/>
        </w:rPr>
        <w:t xml:space="preserve">  100天氨氮预测参数及过程截图（</w:t>
      </w:r>
      <w:r>
        <w:rPr>
          <w:rFonts w:hint="eastAsia" w:ascii="Times New Roman" w:hAnsi="Times New Roman" w:cs="Times New Roman"/>
          <w:color w:val="auto"/>
          <w:sz w:val="24"/>
          <w:szCs w:val="24"/>
        </w:rPr>
        <w:t>贮水池</w:t>
      </w:r>
      <w:r>
        <w:rPr>
          <w:rFonts w:ascii="Times New Roman" w:hAnsi="Times New Roman" w:cs="Times New Roman"/>
          <w:color w:val="auto"/>
          <w:sz w:val="24"/>
          <w:szCs w:val="24"/>
        </w:rPr>
        <w:t>）</w:t>
      </w:r>
    </w:p>
    <w:p>
      <w:pPr>
        <w:widowControl/>
        <w:spacing w:line="360" w:lineRule="auto"/>
        <w:jc w:val="center"/>
        <w:rPr>
          <w:color w:val="FF0000"/>
          <w:kern w:val="0"/>
        </w:rPr>
      </w:pPr>
      <w:r>
        <w:drawing>
          <wp:inline distT="0" distB="0" distL="114300" distR="114300">
            <wp:extent cx="4826000" cy="2743200"/>
            <wp:effectExtent l="4445" t="4445" r="8255" b="14605"/>
            <wp:docPr id="34" name="图表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pPr>
        <w:pStyle w:val="76"/>
        <w:spacing w:line="240" w:lineRule="auto"/>
        <w:ind w:firstLine="426"/>
        <w:rPr>
          <w:rFonts w:ascii="Times New Roman" w:hAnsi="Times New Roman" w:cs="Times New Roman"/>
          <w:color w:val="auto"/>
          <w:sz w:val="24"/>
          <w:szCs w:val="24"/>
        </w:rPr>
      </w:pPr>
      <w:r>
        <w:rPr>
          <w:rFonts w:ascii="Times New Roman" w:hAnsi="Times New Roman" w:cs="Times New Roman"/>
          <w:color w:val="auto"/>
          <w:sz w:val="24"/>
          <w:szCs w:val="24"/>
        </w:rPr>
        <w:t>图5-2-</w:t>
      </w:r>
      <w:r>
        <w:rPr>
          <w:rFonts w:hint="eastAsia" w:ascii="Times New Roman" w:hAnsi="Times New Roman" w:cs="Times New Roman"/>
          <w:color w:val="auto"/>
          <w:sz w:val="24"/>
          <w:szCs w:val="24"/>
        </w:rPr>
        <w:t>1</w:t>
      </w:r>
      <w:r>
        <w:rPr>
          <w:rFonts w:hint="eastAsia" w:ascii="Times New Roman" w:hAnsi="Times New Roman" w:cs="Times New Roman"/>
          <w:color w:val="auto"/>
          <w:sz w:val="24"/>
          <w:szCs w:val="24"/>
          <w:lang w:val="en-US" w:eastAsia="zh-CN"/>
        </w:rPr>
        <w:t>2</w:t>
      </w:r>
      <w:r>
        <w:rPr>
          <w:rFonts w:ascii="Times New Roman" w:hAnsi="Times New Roman" w:cs="Times New Roman"/>
          <w:color w:val="auto"/>
          <w:sz w:val="24"/>
          <w:szCs w:val="24"/>
        </w:rPr>
        <w:t xml:space="preserve">  1000天氨氮预测参数及过程截图（</w:t>
      </w:r>
      <w:r>
        <w:rPr>
          <w:rFonts w:hint="eastAsia" w:ascii="Times New Roman" w:hAnsi="Times New Roman" w:cs="Times New Roman"/>
          <w:color w:val="auto"/>
          <w:sz w:val="24"/>
          <w:szCs w:val="24"/>
        </w:rPr>
        <w:t>贮水池</w:t>
      </w:r>
      <w:r>
        <w:rPr>
          <w:rFonts w:ascii="Times New Roman" w:hAnsi="Times New Roman" w:cs="Times New Roman"/>
          <w:color w:val="auto"/>
          <w:sz w:val="24"/>
          <w:szCs w:val="24"/>
        </w:rPr>
        <w:t>）</w:t>
      </w:r>
    </w:p>
    <w:p>
      <w:pPr>
        <w:widowControl/>
        <w:spacing w:line="360" w:lineRule="auto"/>
        <w:jc w:val="center"/>
        <w:rPr>
          <w:color w:val="auto"/>
          <w:kern w:val="0"/>
        </w:rPr>
      </w:pPr>
      <w:r>
        <w:rPr>
          <w:color w:val="auto"/>
        </w:rPr>
        <w:drawing>
          <wp:inline distT="0" distB="0" distL="114300" distR="114300">
            <wp:extent cx="4826000" cy="2743200"/>
            <wp:effectExtent l="4445" t="4445" r="8255" b="14605"/>
            <wp:docPr id="36" name="图表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pPr>
        <w:pStyle w:val="76"/>
        <w:spacing w:line="240" w:lineRule="auto"/>
        <w:ind w:firstLine="426"/>
        <w:rPr>
          <w:rFonts w:ascii="Times New Roman" w:hAnsi="Times New Roman" w:cs="Times New Roman"/>
          <w:color w:val="auto"/>
          <w:sz w:val="24"/>
          <w:szCs w:val="24"/>
        </w:rPr>
      </w:pPr>
      <w:r>
        <w:rPr>
          <w:rFonts w:ascii="Times New Roman" w:hAnsi="Times New Roman" w:cs="Times New Roman"/>
          <w:color w:val="auto"/>
          <w:sz w:val="24"/>
          <w:szCs w:val="24"/>
        </w:rPr>
        <w:t>图5-2-</w:t>
      </w:r>
      <w:r>
        <w:rPr>
          <w:rFonts w:hint="eastAsia" w:ascii="Times New Roman" w:hAnsi="Times New Roman" w:cs="Times New Roman"/>
          <w:color w:val="auto"/>
          <w:sz w:val="24"/>
          <w:szCs w:val="24"/>
        </w:rPr>
        <w:t>1</w:t>
      </w:r>
      <w:r>
        <w:rPr>
          <w:rFonts w:hint="eastAsia" w:ascii="Times New Roman" w:hAnsi="Times New Roman" w:cs="Times New Roman"/>
          <w:color w:val="auto"/>
          <w:sz w:val="24"/>
          <w:szCs w:val="24"/>
          <w:lang w:val="en-US" w:eastAsia="zh-CN"/>
        </w:rPr>
        <w:t>3</w:t>
      </w:r>
      <w:r>
        <w:rPr>
          <w:rFonts w:ascii="Times New Roman" w:hAnsi="Times New Roman" w:cs="Times New Roman"/>
          <w:color w:val="auto"/>
          <w:sz w:val="24"/>
          <w:szCs w:val="24"/>
        </w:rPr>
        <w:t xml:space="preserve">  </w:t>
      </w:r>
      <w:r>
        <w:rPr>
          <w:rFonts w:hint="eastAsia" w:ascii="Times New Roman" w:hAnsi="Times New Roman" w:cs="Times New Roman"/>
          <w:color w:val="auto"/>
          <w:sz w:val="24"/>
          <w:szCs w:val="24"/>
        </w:rPr>
        <w:t>20年（服务年限）</w:t>
      </w:r>
      <w:r>
        <w:rPr>
          <w:rFonts w:ascii="Times New Roman" w:hAnsi="Times New Roman" w:cs="Times New Roman"/>
          <w:color w:val="auto"/>
          <w:sz w:val="24"/>
          <w:szCs w:val="24"/>
        </w:rPr>
        <w:t>氨氮预测参数及过程截图（</w:t>
      </w:r>
      <w:r>
        <w:rPr>
          <w:rFonts w:hint="eastAsia" w:ascii="Times New Roman" w:hAnsi="Times New Roman" w:cs="Times New Roman"/>
          <w:color w:val="auto"/>
          <w:sz w:val="24"/>
          <w:szCs w:val="24"/>
        </w:rPr>
        <w:t>贮水池</w:t>
      </w:r>
      <w:r>
        <w:rPr>
          <w:rFonts w:ascii="Times New Roman" w:hAnsi="Times New Roman" w:cs="Times New Roman"/>
          <w:color w:val="auto"/>
          <w:sz w:val="24"/>
          <w:szCs w:val="24"/>
        </w:rPr>
        <w:t>）</w:t>
      </w:r>
    </w:p>
    <w:p>
      <w:pPr>
        <w:spacing w:line="360" w:lineRule="auto"/>
        <w:outlineLvl w:val="2"/>
        <w:rPr>
          <w:b/>
          <w:color w:val="auto"/>
          <w:kern w:val="0"/>
          <w:sz w:val="28"/>
          <w:szCs w:val="28"/>
        </w:rPr>
      </w:pPr>
      <w:r>
        <w:rPr>
          <w:b/>
          <w:color w:val="auto"/>
          <w:sz w:val="28"/>
          <w:szCs w:val="28"/>
        </w:rPr>
        <w:t>5.2.4声环境影响预测与分析</w:t>
      </w:r>
    </w:p>
    <w:p>
      <w:pPr>
        <w:spacing w:line="360" w:lineRule="auto"/>
        <w:outlineLvl w:val="3"/>
        <w:rPr>
          <w:b/>
          <w:snapToGrid w:val="0"/>
          <w:color w:val="auto"/>
          <w:sz w:val="24"/>
        </w:rPr>
      </w:pPr>
      <w:r>
        <w:rPr>
          <w:b/>
          <w:snapToGrid w:val="0"/>
          <w:color w:val="auto"/>
          <w:sz w:val="24"/>
        </w:rPr>
        <w:t>5.2.4.1预测模式</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预测模式选用《环境影响评价技术导则 声环境》（HJ2.4-2021）推荐的模式，噪声预测计算的基本公式如下：</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①室内声源等效室外声源的计算方法：</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某一室内声源靠近围护结构处产生的倍频带声压级：</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Times New Roman" w:cs="Times New Roman"/>
          <w:color w:val="auto"/>
          <w:highlight w:val="none"/>
        </w:rPr>
      </w:pPr>
      <w:r>
        <w:rPr>
          <w:color w:val="auto"/>
          <w:position w:val="-28"/>
          <w:sz w:val="24"/>
          <w:szCs w:val="24"/>
          <w:highlight w:val="none"/>
        </w:rPr>
        <w:object>
          <v:shape id="_x0000_i1035" o:spt="75" type="#_x0000_t75" style="height:46.65pt;width:151.55pt;" o:ole="t" filled="f" o:preferrelative="t" stroked="f" coordsize="21600,21600">
            <v:path/>
            <v:fill on="f" focussize="0,0"/>
            <v:stroke on="f"/>
            <v:imagedata r:id="rId73" o:title=""/>
            <o:lock v:ext="edit" aspectratio="t"/>
            <w10:wrap type="none"/>
            <w10:anchorlock/>
          </v:shape>
          <o:OLEObject Type="Embed" ProgID="Equation.3" ShapeID="_x0000_i1035" DrawAspect="Content" ObjectID="_1468075735" r:id="rId72">
            <o:LockedField>false</o:LockedField>
          </o:OLEObject>
        </w:objec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式中：L</w:t>
      </w:r>
      <w:r>
        <w:rPr>
          <w:rFonts w:hint="default" w:ascii="Times New Roman" w:hAnsi="Times New Roman" w:eastAsia="宋体" w:cs="Times New Roman"/>
          <w:color w:val="auto"/>
          <w:sz w:val="24"/>
          <w:highlight w:val="none"/>
          <w:vertAlign w:val="subscript"/>
          <w:lang w:val="en-US" w:eastAsia="zh-CN" w:bidi="ar-SA"/>
        </w:rPr>
        <w:t>p</w:t>
      </w:r>
      <w:bookmarkStart w:id="195" w:name="_Hlk109558394"/>
      <w:r>
        <w:rPr>
          <w:rFonts w:hint="default" w:ascii="Times New Roman" w:hAnsi="Times New Roman" w:eastAsia="宋体" w:cs="Times New Roman"/>
          <w:color w:val="auto"/>
          <w:sz w:val="24"/>
          <w:highlight w:val="none"/>
          <w:vertAlign w:val="subscript"/>
          <w:lang w:val="en-US" w:eastAsia="zh-CN" w:bidi="ar-SA"/>
        </w:rPr>
        <w:t>1</w:t>
      </w:r>
      <w:r>
        <w:rPr>
          <w:rFonts w:hint="default" w:ascii="Times New Roman" w:hAnsi="Times New Roman" w:eastAsia="宋体" w:cs="Times New Roman"/>
          <w:color w:val="auto"/>
          <w:sz w:val="24"/>
          <w:highlight w:val="none"/>
          <w:lang w:val="en-US" w:eastAsia="zh-CN" w:bidi="ar-SA"/>
        </w:rPr>
        <w:t>—</w:t>
      </w:r>
      <w:bookmarkEnd w:id="195"/>
      <w:r>
        <w:rPr>
          <w:rFonts w:hint="default" w:ascii="Times New Roman" w:hAnsi="Times New Roman" w:eastAsia="宋体" w:cs="Times New Roman"/>
          <w:color w:val="auto"/>
          <w:sz w:val="24"/>
          <w:highlight w:val="none"/>
          <w:lang w:val="en-US" w:eastAsia="zh-CN" w:bidi="ar-SA"/>
        </w:rPr>
        <w:t>室内某倍频带的声压级或A声级，dB；</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L</w:t>
      </w:r>
      <w:r>
        <w:rPr>
          <w:rFonts w:hint="default" w:ascii="Times New Roman" w:hAnsi="Times New Roman" w:eastAsia="宋体" w:cs="Times New Roman"/>
          <w:color w:val="auto"/>
          <w:sz w:val="24"/>
          <w:highlight w:val="none"/>
          <w:vertAlign w:val="subscript"/>
          <w:lang w:val="en-US" w:eastAsia="zh-CN" w:bidi="ar-SA"/>
        </w:rPr>
        <w:t>w</w:t>
      </w:r>
      <w:r>
        <w:rPr>
          <w:rFonts w:hint="default" w:ascii="Times New Roman" w:hAnsi="Times New Roman" w:eastAsia="宋体" w:cs="Times New Roman"/>
          <w:color w:val="auto"/>
          <w:sz w:val="24"/>
          <w:highlight w:val="none"/>
          <w:lang w:val="en-US" w:eastAsia="zh-CN" w:bidi="ar-SA"/>
        </w:rPr>
        <w:t>—点声源声功率级（A计权或倍频带），dB；</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r—声源到靠近围护结构某点处的距离，m；</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Q—指向性因数，通常对无指向性声源，当声源放在房间中心时，Q=1，当放在一面墙的中心时，Q=2；当放在两面墙夹角处时，Q=4，当放在三面墙夹角处时，Q=8；</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R</w:t>
      </w:r>
      <w:bookmarkStart w:id="196" w:name="_Hlk109558467"/>
      <w:r>
        <w:rPr>
          <w:rFonts w:hint="default" w:ascii="Times New Roman" w:hAnsi="Times New Roman" w:eastAsia="宋体" w:cs="Times New Roman"/>
          <w:color w:val="auto"/>
          <w:sz w:val="24"/>
          <w:highlight w:val="none"/>
          <w:lang w:val="en-US" w:eastAsia="zh-CN" w:bidi="ar-SA"/>
        </w:rPr>
        <w:t>—</w:t>
      </w:r>
      <w:bookmarkEnd w:id="196"/>
      <w:r>
        <w:rPr>
          <w:rFonts w:hint="default" w:ascii="Times New Roman" w:hAnsi="Times New Roman" w:eastAsia="宋体" w:cs="Times New Roman"/>
          <w:color w:val="auto"/>
          <w:sz w:val="24"/>
          <w:highlight w:val="none"/>
          <w:lang w:val="en-US" w:eastAsia="zh-CN" w:bidi="ar-SA"/>
        </w:rPr>
        <w:t>房间常数，R=Sα/(1−α)，S为房间内表面面积，m</w:t>
      </w:r>
      <w:r>
        <w:rPr>
          <w:rFonts w:hint="default" w:ascii="Times New Roman" w:hAnsi="Times New Roman" w:eastAsia="宋体" w:cs="Times New Roman"/>
          <w:color w:val="auto"/>
          <w:sz w:val="24"/>
          <w:highlight w:val="none"/>
          <w:vertAlign w:val="superscript"/>
          <w:lang w:val="en-US" w:eastAsia="zh-CN" w:bidi="ar-SA"/>
        </w:rPr>
        <w:t>2</w:t>
      </w:r>
      <w:r>
        <w:rPr>
          <w:rFonts w:hint="default" w:ascii="Times New Roman" w:hAnsi="Times New Roman" w:eastAsia="宋体" w:cs="Times New Roman"/>
          <w:color w:val="auto"/>
          <w:sz w:val="24"/>
          <w:highlight w:val="none"/>
          <w:lang w:val="en-US" w:eastAsia="zh-CN" w:bidi="ar-SA"/>
        </w:rPr>
        <w:t>，α为平均吸声系数，取0.1；</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②室内所有声源在靠近围护结构处的合成声压级</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center"/>
        <w:textAlignment w:val="auto"/>
        <w:rPr>
          <w:rFonts w:hint="default" w:ascii="Times New Roman" w:hAnsi="Times New Roman" w:eastAsia="Times New Roman" w:cs="Times New Roman"/>
          <w:color w:val="auto"/>
          <w:sz w:val="24"/>
          <w:szCs w:val="24"/>
          <w:highlight w:val="none"/>
        </w:rPr>
      </w:pPr>
      <m:oMathPara>
        <m:oMath>
          <m:sSub>
            <m:sSubPr>
              <m:ctrlPr>
                <w:rPr>
                  <w:rFonts w:hint="default" w:ascii="Cambria Math" w:hAnsi="Cambria Math"/>
                  <w:i/>
                  <w:sz w:val="24"/>
                  <w:szCs w:val="24"/>
                </w:rPr>
              </m:ctrlPr>
            </m:sSubPr>
            <m:e>
              <m:r>
                <m:rPr/>
                <w:rPr>
                  <w:rFonts w:hint="default" w:ascii="Cambria Math"/>
                  <w:sz w:val="24"/>
                  <w:szCs w:val="24"/>
                </w:rPr>
                <m:t>L</m:t>
              </m:r>
              <m:ctrlPr>
                <w:rPr>
                  <w:rFonts w:hint="default" w:ascii="Cambria Math" w:hAnsi="Cambria Math"/>
                  <w:i/>
                  <w:sz w:val="24"/>
                  <w:szCs w:val="24"/>
                </w:rPr>
              </m:ctrlPr>
            </m:e>
            <m:sub>
              <m:r>
                <m:rPr/>
                <w:rPr>
                  <w:rFonts w:hint="eastAsia" w:ascii="Cambria Math"/>
                  <w:sz w:val="24"/>
                  <w:szCs w:val="24"/>
                </w:rPr>
                <m:t>p</m:t>
              </m:r>
              <m:r>
                <m:rPr/>
                <w:rPr>
                  <w:rFonts w:hint="default" w:ascii="Cambria Math"/>
                  <w:sz w:val="24"/>
                  <w:szCs w:val="24"/>
                </w:rPr>
                <m:t>1i</m:t>
              </m:r>
              <m:ctrlPr>
                <w:rPr>
                  <w:rFonts w:hint="default" w:ascii="Cambria Math" w:hAnsi="Cambria Math"/>
                  <w:i/>
                  <w:sz w:val="24"/>
                  <w:szCs w:val="24"/>
                </w:rPr>
              </m:ctrlPr>
            </m:sub>
          </m:sSub>
          <m:r>
            <m:rPr/>
            <w:rPr>
              <w:rFonts w:hint="default" w:ascii="Cambria Math"/>
              <w:sz w:val="24"/>
              <w:szCs w:val="24"/>
            </w:rPr>
            <m:t>=10</m:t>
          </m:r>
          <m:func>
            <m:funcPr>
              <m:ctrlPr>
                <w:rPr>
                  <w:rFonts w:hint="default" w:ascii="Cambria Math" w:hAnsi="Cambria Math"/>
                  <w:i/>
                  <w:sz w:val="24"/>
                  <w:szCs w:val="24"/>
                </w:rPr>
              </m:ctrlPr>
            </m:funcPr>
            <m:fName>
              <m:r>
                <m:rPr/>
                <w:rPr>
                  <w:rFonts w:hint="default" w:ascii="Cambria Math"/>
                  <w:sz w:val="24"/>
                  <w:szCs w:val="24"/>
                </w:rPr>
                <m:t>lg</m:t>
              </m:r>
              <m:ctrlPr>
                <w:rPr>
                  <w:rFonts w:hint="default" w:ascii="Cambria Math" w:hAnsi="Cambria Math"/>
                  <w:i/>
                  <w:sz w:val="24"/>
                  <w:szCs w:val="24"/>
                </w:rPr>
              </m:ctrlPr>
            </m:fName>
            <m:e>
              <m:d>
                <m:dPr>
                  <m:ctrlPr>
                    <w:rPr>
                      <w:rFonts w:hint="default" w:ascii="Cambria Math" w:hAnsi="Cambria Math"/>
                      <w:i/>
                      <w:sz w:val="24"/>
                      <w:szCs w:val="24"/>
                    </w:rPr>
                  </m:ctrlPr>
                </m:dPr>
                <m:e>
                  <m:sSup>
                    <m:sSupPr>
                      <m:ctrlPr>
                        <w:rPr>
                          <w:rFonts w:hint="default" w:ascii="Cambria Math" w:hAnsi="Cambria Math"/>
                          <w:i/>
                          <w:sz w:val="24"/>
                          <w:szCs w:val="24"/>
                        </w:rPr>
                      </m:ctrlPr>
                    </m:sSupPr>
                    <m:e>
                      <m:nary>
                        <m:naryPr>
                          <m:chr m:val="∑"/>
                          <m:ctrlPr>
                            <w:rPr>
                              <w:rFonts w:hint="default" w:ascii="Cambria Math" w:hAnsi="Cambria Math"/>
                              <w:i/>
                              <w:sz w:val="24"/>
                              <w:szCs w:val="24"/>
                            </w:rPr>
                          </m:ctrlPr>
                        </m:naryPr>
                        <m:sub>
                          <m:r>
                            <m:rPr/>
                            <w:rPr>
                              <w:rFonts w:hint="default" w:ascii="Cambria Math"/>
                              <w:sz w:val="24"/>
                              <w:szCs w:val="24"/>
                            </w:rPr>
                            <m:t>j=1</m:t>
                          </m:r>
                          <m:ctrlPr>
                            <w:rPr>
                              <w:rFonts w:hint="default" w:ascii="Cambria Math" w:hAnsi="Cambria Math"/>
                              <w:i/>
                              <w:sz w:val="24"/>
                              <w:szCs w:val="24"/>
                            </w:rPr>
                          </m:ctrlPr>
                        </m:sub>
                        <m:sup>
                          <m:r>
                            <m:rPr/>
                            <w:rPr>
                              <w:rFonts w:hint="default" w:ascii="Cambria Math"/>
                              <w:sz w:val="24"/>
                              <w:szCs w:val="24"/>
                            </w:rPr>
                            <m:t>N</m:t>
                          </m:r>
                          <m:ctrlPr>
                            <w:rPr>
                              <w:rFonts w:hint="default" w:ascii="Cambria Math" w:hAnsi="Cambria Math"/>
                              <w:i/>
                              <w:sz w:val="24"/>
                              <w:szCs w:val="24"/>
                            </w:rPr>
                          </m:ctrlPr>
                        </m:sup>
                        <m:e>
                          <m:r>
                            <m:rPr/>
                            <w:rPr>
                              <w:rFonts w:hint="default" w:ascii="Cambria Math"/>
                              <w:sz w:val="24"/>
                              <w:szCs w:val="24"/>
                            </w:rPr>
                            <m:t>10</m:t>
                          </m:r>
                          <m:ctrlPr>
                            <w:rPr>
                              <w:rFonts w:hint="default" w:ascii="Cambria Math" w:hAnsi="Cambria Math"/>
                              <w:i/>
                              <w:sz w:val="24"/>
                              <w:szCs w:val="24"/>
                            </w:rPr>
                          </m:ctrlPr>
                        </m:e>
                      </m:nary>
                      <m:ctrlPr>
                        <w:rPr>
                          <w:rFonts w:hint="default" w:ascii="Cambria Math" w:hAnsi="Cambria Math"/>
                          <w:i/>
                          <w:sz w:val="24"/>
                          <w:szCs w:val="24"/>
                        </w:rPr>
                      </m:ctrlPr>
                    </m:e>
                    <m:sup>
                      <m:r>
                        <m:rPr/>
                        <w:rPr>
                          <w:rFonts w:hint="default" w:ascii="Cambria Math"/>
                          <w:sz w:val="24"/>
                          <w:szCs w:val="24"/>
                        </w:rPr>
                        <m:t>0.1</m:t>
                      </m:r>
                      <m:sSub>
                        <m:sSubPr>
                          <m:ctrlPr>
                            <w:rPr>
                              <w:rFonts w:hint="default" w:ascii="Cambria Math" w:hAnsi="Cambria Math"/>
                              <w:i/>
                              <w:sz w:val="24"/>
                              <w:szCs w:val="24"/>
                            </w:rPr>
                          </m:ctrlPr>
                        </m:sSubPr>
                        <m:e>
                          <m:r>
                            <m:rPr/>
                            <w:rPr>
                              <w:rFonts w:hint="default" w:ascii="Cambria Math"/>
                              <w:sz w:val="24"/>
                              <w:szCs w:val="24"/>
                            </w:rPr>
                            <m:t>L</m:t>
                          </m:r>
                          <m:ctrlPr>
                            <w:rPr>
                              <w:rFonts w:hint="default" w:ascii="Cambria Math" w:hAnsi="Cambria Math"/>
                              <w:i/>
                              <w:sz w:val="24"/>
                              <w:szCs w:val="24"/>
                            </w:rPr>
                          </m:ctrlPr>
                        </m:e>
                        <m:sub>
                          <m:r>
                            <m:rPr/>
                            <w:rPr>
                              <w:rFonts w:hint="default" w:ascii="Cambria Math"/>
                              <w:sz w:val="24"/>
                              <w:szCs w:val="24"/>
                            </w:rPr>
                            <m:t>p1ij</m:t>
                          </m:r>
                          <m:ctrlPr>
                            <w:rPr>
                              <w:rFonts w:hint="default" w:ascii="Cambria Math" w:hAnsi="Cambria Math"/>
                              <w:i/>
                              <w:sz w:val="24"/>
                              <w:szCs w:val="24"/>
                            </w:rPr>
                          </m:ctrlPr>
                        </m:sub>
                      </m:sSub>
                      <m:ctrlPr>
                        <w:rPr>
                          <w:rFonts w:hint="default" w:ascii="Cambria Math" w:hAnsi="Cambria Math"/>
                          <w:i/>
                          <w:sz w:val="24"/>
                          <w:szCs w:val="24"/>
                        </w:rPr>
                      </m:ctrlPr>
                    </m:sup>
                  </m:sSup>
                  <m:ctrlPr>
                    <w:rPr>
                      <w:rFonts w:hint="default" w:ascii="Cambria Math" w:hAnsi="Cambria Math"/>
                      <w:i/>
                      <w:sz w:val="24"/>
                      <w:szCs w:val="24"/>
                    </w:rPr>
                  </m:ctrlPr>
                </m:e>
              </m:d>
              <m:ctrlPr>
                <w:rPr>
                  <w:rFonts w:hint="default" w:ascii="Cambria Math" w:hAnsi="Cambria Math"/>
                  <w:i/>
                  <w:sz w:val="24"/>
                  <w:szCs w:val="24"/>
                </w:rPr>
              </m:ctrlPr>
            </m:e>
          </m:func>
        </m:oMath>
      </m:oMathPara>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式中：N—室内声源总数。</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③外靠近围护结构处的声压级（L2）</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center"/>
        <w:textAlignment w:val="auto"/>
        <w:rPr>
          <w:rFonts w:hint="default" w:ascii="Times New Roman" w:hAnsi="Times New Roman" w:eastAsia="Times New Roman" w:cs="Times New Roman"/>
          <w:color w:val="auto"/>
          <w:sz w:val="24"/>
          <w:szCs w:val="24"/>
          <w:highlight w:val="none"/>
        </w:rPr>
      </w:pPr>
      <w:r>
        <w:rPr>
          <w:rFonts w:hint="default" w:ascii="Times New Roman" w:hAnsi="Times New Roman" w:eastAsia="Times New Roman" w:cs="Times New Roman"/>
          <w:color w:val="auto"/>
          <w:sz w:val="24"/>
          <w:szCs w:val="24"/>
          <w:highlight w:val="none"/>
        </w:rPr>
        <w:t>L</w:t>
      </w:r>
      <w:r>
        <w:rPr>
          <w:rFonts w:hint="default" w:ascii="Times New Roman" w:hAnsi="Times New Roman" w:eastAsia="Times New Roman" w:cs="Times New Roman"/>
          <w:color w:val="auto"/>
          <w:sz w:val="24"/>
          <w:szCs w:val="24"/>
          <w:highlight w:val="none"/>
          <w:vertAlign w:val="subscript"/>
        </w:rPr>
        <w:t>p2</w:t>
      </w:r>
      <w:r>
        <w:rPr>
          <w:rFonts w:hint="default" w:ascii="Times New Roman" w:hAnsi="Times New Roman" w:eastAsia="Times New Roman" w:cs="Times New Roman"/>
          <w:color w:val="auto"/>
          <w:sz w:val="24"/>
          <w:szCs w:val="24"/>
          <w:highlight w:val="none"/>
        </w:rPr>
        <w:t>=L</w:t>
      </w:r>
      <w:r>
        <w:rPr>
          <w:rFonts w:hint="default" w:ascii="Times New Roman" w:hAnsi="Times New Roman" w:eastAsia="Times New Roman" w:cs="Times New Roman"/>
          <w:color w:val="auto"/>
          <w:sz w:val="24"/>
          <w:szCs w:val="24"/>
          <w:highlight w:val="none"/>
          <w:vertAlign w:val="subscript"/>
        </w:rPr>
        <w:t>p1</w:t>
      </w:r>
      <w:r>
        <w:rPr>
          <w:rFonts w:hint="default" w:ascii="Times New Roman" w:hAnsi="Times New Roman" w:eastAsia="Times New Roman" w:cs="Times New Roman"/>
          <w:color w:val="auto"/>
          <w:sz w:val="24"/>
          <w:szCs w:val="24"/>
          <w:highlight w:val="none"/>
        </w:rPr>
        <w:t>-(TL+6)</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式中：TL—隔墙倍频带或A声级的隔声量。</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④将室外声级和透过面积换算成等效的室外声源，计算出中心位置位于透声面积（S）处的等效声源的倍频带声功率级，公式如下：</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center"/>
        <w:textAlignment w:val="auto"/>
        <w:rPr>
          <w:rFonts w:hint="default" w:ascii="Times New Roman" w:hAnsi="Times New Roman" w:eastAsia="Times New Roman" w:cs="Times New Roman"/>
          <w:color w:val="auto"/>
          <w:sz w:val="24"/>
          <w:szCs w:val="24"/>
          <w:highlight w:val="none"/>
        </w:rPr>
      </w:pPr>
      <w:r>
        <w:rPr>
          <w:rFonts w:hint="default" w:ascii="Times New Roman" w:hAnsi="Times New Roman" w:eastAsia="Times New Roman" w:cs="Times New Roman"/>
          <w:color w:val="auto"/>
          <w:sz w:val="24"/>
          <w:szCs w:val="24"/>
          <w:highlight w:val="none"/>
        </w:rPr>
        <w:t>L</w:t>
      </w:r>
      <w:r>
        <w:rPr>
          <w:rFonts w:hint="default" w:ascii="Times New Roman" w:hAnsi="Times New Roman" w:eastAsia="Times New Roman" w:cs="Times New Roman"/>
          <w:color w:val="auto"/>
          <w:sz w:val="24"/>
          <w:szCs w:val="24"/>
          <w:highlight w:val="none"/>
          <w:vertAlign w:val="subscript"/>
        </w:rPr>
        <w:t>w</w:t>
      </w:r>
      <w:r>
        <w:rPr>
          <w:rFonts w:hint="default" w:ascii="Times New Roman" w:hAnsi="Times New Roman" w:eastAsia="Times New Roman" w:cs="Times New Roman"/>
          <w:color w:val="auto"/>
          <w:sz w:val="24"/>
          <w:szCs w:val="24"/>
          <w:highlight w:val="none"/>
        </w:rPr>
        <w:t>=L</w:t>
      </w:r>
      <w:r>
        <w:rPr>
          <w:rFonts w:hint="default" w:ascii="Times New Roman" w:hAnsi="Times New Roman" w:eastAsia="Times New Roman" w:cs="Times New Roman"/>
          <w:color w:val="auto"/>
          <w:sz w:val="24"/>
          <w:szCs w:val="24"/>
          <w:highlight w:val="none"/>
          <w:vertAlign w:val="subscript"/>
        </w:rPr>
        <w:t>p2</w:t>
      </w:r>
      <w:r>
        <w:rPr>
          <w:rFonts w:hint="default" w:ascii="Times New Roman" w:hAnsi="Times New Roman" w:eastAsia="Times New Roman" w:cs="Times New Roman"/>
          <w:color w:val="auto"/>
          <w:sz w:val="24"/>
          <w:szCs w:val="24"/>
          <w:highlight w:val="none"/>
        </w:rPr>
        <w:t>（T）+10lgS</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⑤计算等效室外声源传播到预测点的声压级（Li）</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center"/>
        <w:textAlignment w:val="auto"/>
        <w:rPr>
          <w:rFonts w:hint="default" w:ascii="Times New Roman" w:hAnsi="Times New Roman" w:eastAsia="Times New Roman" w:cs="Times New Roman"/>
          <w:color w:val="auto"/>
          <w:sz w:val="24"/>
          <w:szCs w:val="24"/>
          <w:highlight w:val="none"/>
        </w:rPr>
      </w:pPr>
      <w:r>
        <w:rPr>
          <w:rFonts w:hint="default" w:ascii="Times New Roman" w:hAnsi="Times New Roman" w:eastAsia="Times New Roman" w:cs="Times New Roman"/>
          <w:color w:val="auto"/>
          <w:sz w:val="24"/>
          <w:szCs w:val="24"/>
          <w:highlight w:val="none"/>
        </w:rPr>
        <w:t>Lp（r）=L</w:t>
      </w:r>
      <w:r>
        <w:rPr>
          <w:rFonts w:hint="default" w:ascii="Times New Roman" w:hAnsi="Times New Roman" w:eastAsia="Times New Roman" w:cs="Times New Roman"/>
          <w:color w:val="auto"/>
          <w:sz w:val="24"/>
          <w:szCs w:val="24"/>
          <w:highlight w:val="none"/>
          <w:vertAlign w:val="subscript"/>
        </w:rPr>
        <w:t>W</w:t>
      </w:r>
      <w:r>
        <w:rPr>
          <w:rFonts w:hint="default" w:ascii="Times New Roman" w:hAnsi="Times New Roman" w:eastAsia="Times New Roman" w:cs="Times New Roman"/>
          <w:color w:val="auto"/>
          <w:sz w:val="24"/>
          <w:szCs w:val="24"/>
          <w:highlight w:val="none"/>
        </w:rPr>
        <w:t>+D</w:t>
      </w:r>
      <w:r>
        <w:rPr>
          <w:rFonts w:hint="default" w:ascii="Times New Roman" w:hAnsi="Times New Roman" w:eastAsia="Times New Roman" w:cs="Times New Roman"/>
          <w:color w:val="auto"/>
          <w:sz w:val="24"/>
          <w:szCs w:val="24"/>
          <w:highlight w:val="none"/>
          <w:vertAlign w:val="subscript"/>
        </w:rPr>
        <w:t>C</w:t>
      </w:r>
      <w:r>
        <w:rPr>
          <w:rFonts w:hint="default" w:ascii="Times New Roman" w:hAnsi="Times New Roman" w:eastAsia="Times New Roman" w:cs="Times New Roman"/>
          <w:color w:val="auto"/>
          <w:sz w:val="24"/>
          <w:szCs w:val="24"/>
          <w:highlight w:val="none"/>
        </w:rPr>
        <w:t>-（A</w:t>
      </w:r>
      <w:r>
        <w:rPr>
          <w:rFonts w:hint="default" w:ascii="Times New Roman" w:hAnsi="Times New Roman" w:eastAsia="Times New Roman" w:cs="Times New Roman"/>
          <w:color w:val="auto"/>
          <w:sz w:val="24"/>
          <w:szCs w:val="24"/>
          <w:highlight w:val="none"/>
          <w:vertAlign w:val="subscript"/>
        </w:rPr>
        <w:t>div</w:t>
      </w:r>
      <w:r>
        <w:rPr>
          <w:rFonts w:hint="default" w:ascii="Times New Roman" w:hAnsi="Times New Roman" w:eastAsia="Times New Roman" w:cs="Times New Roman"/>
          <w:color w:val="auto"/>
          <w:sz w:val="24"/>
          <w:szCs w:val="24"/>
          <w:highlight w:val="none"/>
        </w:rPr>
        <w:t>+A</w:t>
      </w:r>
      <w:r>
        <w:rPr>
          <w:rFonts w:hint="default" w:ascii="Times New Roman" w:hAnsi="Times New Roman" w:eastAsia="Times New Roman" w:cs="Times New Roman"/>
          <w:color w:val="auto"/>
          <w:sz w:val="24"/>
          <w:szCs w:val="24"/>
          <w:highlight w:val="none"/>
          <w:vertAlign w:val="subscript"/>
        </w:rPr>
        <w:t>bar</w:t>
      </w:r>
      <w:r>
        <w:rPr>
          <w:rFonts w:hint="default" w:ascii="Times New Roman" w:hAnsi="Times New Roman" w:eastAsia="Times New Roman" w:cs="Times New Roman"/>
          <w:color w:val="auto"/>
          <w:sz w:val="24"/>
          <w:szCs w:val="24"/>
          <w:highlight w:val="none"/>
        </w:rPr>
        <w:t>+A</w:t>
      </w:r>
      <w:r>
        <w:rPr>
          <w:rFonts w:hint="default" w:ascii="Times New Roman" w:hAnsi="Times New Roman" w:eastAsia="Times New Roman" w:cs="Times New Roman"/>
          <w:color w:val="auto"/>
          <w:sz w:val="24"/>
          <w:szCs w:val="24"/>
          <w:highlight w:val="none"/>
          <w:vertAlign w:val="subscript"/>
        </w:rPr>
        <w:t>atm</w:t>
      </w:r>
      <w:r>
        <w:rPr>
          <w:rFonts w:hint="default" w:ascii="Times New Roman" w:hAnsi="Times New Roman" w:eastAsia="Times New Roman" w:cs="Times New Roman"/>
          <w:color w:val="auto"/>
          <w:sz w:val="24"/>
          <w:szCs w:val="24"/>
          <w:highlight w:val="none"/>
        </w:rPr>
        <w:t>+A</w:t>
      </w:r>
      <w:r>
        <w:rPr>
          <w:rFonts w:hint="default" w:ascii="Times New Roman" w:hAnsi="Times New Roman" w:eastAsia="Times New Roman" w:cs="Times New Roman"/>
          <w:color w:val="auto"/>
          <w:sz w:val="24"/>
          <w:szCs w:val="24"/>
          <w:highlight w:val="none"/>
          <w:vertAlign w:val="subscript"/>
        </w:rPr>
        <w:t>gr</w:t>
      </w:r>
      <w:r>
        <w:rPr>
          <w:rFonts w:hint="default" w:ascii="Times New Roman" w:hAnsi="Times New Roman" w:eastAsia="Times New Roman" w:cs="Times New Roman"/>
          <w:color w:val="auto"/>
          <w:sz w:val="24"/>
          <w:szCs w:val="24"/>
          <w:highlight w:val="none"/>
        </w:rPr>
        <w:t>+A</w:t>
      </w:r>
      <w:r>
        <w:rPr>
          <w:rFonts w:hint="default" w:ascii="Times New Roman" w:hAnsi="Times New Roman" w:eastAsia="Times New Roman" w:cs="Times New Roman"/>
          <w:color w:val="auto"/>
          <w:sz w:val="24"/>
          <w:szCs w:val="24"/>
          <w:highlight w:val="none"/>
          <w:vertAlign w:val="subscript"/>
        </w:rPr>
        <w:t>misc</w:t>
      </w:r>
      <w:r>
        <w:rPr>
          <w:rFonts w:hint="default" w:ascii="Times New Roman" w:hAnsi="Times New Roman" w:eastAsia="Times New Roman"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center"/>
        <w:textAlignment w:val="auto"/>
        <w:rPr>
          <w:rFonts w:hint="default" w:ascii="Times New Roman" w:hAnsi="Times New Roman" w:eastAsia="Times New Roman" w:cs="Times New Roman"/>
          <w:color w:val="auto"/>
          <w:sz w:val="24"/>
          <w:szCs w:val="24"/>
          <w:highlight w:val="none"/>
        </w:rPr>
      </w:pPr>
      <w:r>
        <w:rPr>
          <w:rFonts w:hint="default" w:ascii="Times New Roman" w:hAnsi="Times New Roman" w:eastAsia="Times New Roman" w:cs="Times New Roman"/>
          <w:color w:val="auto"/>
          <w:sz w:val="24"/>
          <w:szCs w:val="24"/>
          <w:highlight w:val="none"/>
        </w:rPr>
        <w:t>A</w:t>
      </w:r>
      <w:r>
        <w:rPr>
          <w:rFonts w:hint="default" w:ascii="Times New Roman" w:hAnsi="Times New Roman" w:eastAsia="Times New Roman" w:cs="Times New Roman"/>
          <w:color w:val="auto"/>
          <w:sz w:val="24"/>
          <w:szCs w:val="24"/>
          <w:highlight w:val="none"/>
          <w:vertAlign w:val="subscript"/>
        </w:rPr>
        <w:t>div</w:t>
      </w:r>
      <w:r>
        <w:rPr>
          <w:rFonts w:hint="default" w:ascii="Times New Roman" w:hAnsi="Times New Roman" w:eastAsia="Times New Roman" w:cs="Times New Roman"/>
          <w:color w:val="auto"/>
          <w:sz w:val="24"/>
          <w:szCs w:val="24"/>
          <w:highlight w:val="none"/>
        </w:rPr>
        <w:t>=20lg（r/r</w:t>
      </w:r>
      <w:r>
        <w:rPr>
          <w:rFonts w:hint="default" w:ascii="Times New Roman" w:hAnsi="Times New Roman" w:eastAsia="Times New Roman" w:cs="Times New Roman"/>
          <w:color w:val="auto"/>
          <w:sz w:val="24"/>
          <w:szCs w:val="24"/>
          <w:highlight w:val="none"/>
          <w:vertAlign w:val="subscript"/>
        </w:rPr>
        <w:t>0</w:t>
      </w:r>
      <w:r>
        <w:rPr>
          <w:rFonts w:hint="default" w:ascii="Times New Roman" w:hAnsi="Times New Roman" w:eastAsia="Times New Roman"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bidi="ar-SA"/>
        </w:rPr>
        <w:t>式中：Lp（r）—预测点处声压级，dB；</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L</w:t>
      </w:r>
      <w:r>
        <w:rPr>
          <w:rFonts w:hint="default" w:ascii="Times New Roman" w:hAnsi="Times New Roman" w:eastAsia="宋体" w:cs="Times New Roman"/>
          <w:color w:val="auto"/>
          <w:sz w:val="24"/>
          <w:highlight w:val="none"/>
          <w:vertAlign w:val="subscript"/>
          <w:lang w:val="en-US" w:eastAsia="zh-CN" w:bidi="ar-SA"/>
        </w:rPr>
        <w:t>W</w:t>
      </w:r>
      <w:r>
        <w:rPr>
          <w:rFonts w:hint="default" w:ascii="Times New Roman" w:hAnsi="Times New Roman" w:eastAsia="宋体" w:cs="Times New Roman"/>
          <w:color w:val="auto"/>
          <w:sz w:val="24"/>
          <w:highlight w:val="none"/>
          <w:lang w:val="en-US" w:eastAsia="zh-CN" w:bidi="ar-SA"/>
        </w:rPr>
        <w:t>—由点声源产生的声功率级（A计权或倍频带），dB；</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D</w:t>
      </w:r>
      <w:r>
        <w:rPr>
          <w:rFonts w:hint="default" w:ascii="Times New Roman" w:hAnsi="Times New Roman" w:eastAsia="宋体" w:cs="Times New Roman"/>
          <w:color w:val="auto"/>
          <w:sz w:val="24"/>
          <w:highlight w:val="none"/>
          <w:vertAlign w:val="subscript"/>
          <w:lang w:val="en-US" w:eastAsia="zh-CN" w:bidi="ar-SA"/>
        </w:rPr>
        <w:t>C</w:t>
      </w:r>
      <w:r>
        <w:rPr>
          <w:rFonts w:hint="default" w:ascii="Times New Roman" w:hAnsi="Times New Roman" w:eastAsia="宋体" w:cs="Times New Roman"/>
          <w:color w:val="auto"/>
          <w:sz w:val="24"/>
          <w:highlight w:val="none"/>
          <w:lang w:val="en-US" w:eastAsia="zh-CN" w:bidi="ar-SA"/>
        </w:rPr>
        <w:t>—指向性校正，它描述点声源的等效连续声压级与产生声功率级LW的全向点声源在规定方向的声级的偏差程度，dB；</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A</w:t>
      </w:r>
      <w:r>
        <w:rPr>
          <w:rFonts w:hint="default" w:ascii="Times New Roman" w:hAnsi="Times New Roman" w:eastAsia="宋体" w:cs="Times New Roman"/>
          <w:color w:val="auto"/>
          <w:sz w:val="24"/>
          <w:highlight w:val="none"/>
          <w:vertAlign w:val="subscript"/>
          <w:lang w:val="en-US" w:eastAsia="zh-CN" w:bidi="ar-SA"/>
        </w:rPr>
        <w:t>div</w:t>
      </w:r>
      <w:r>
        <w:rPr>
          <w:rFonts w:hint="default" w:ascii="Times New Roman" w:hAnsi="Times New Roman" w:eastAsia="宋体" w:cs="Times New Roman"/>
          <w:color w:val="auto"/>
          <w:sz w:val="24"/>
          <w:highlight w:val="none"/>
          <w:lang w:val="en-US" w:eastAsia="zh-CN" w:bidi="ar-SA"/>
        </w:rPr>
        <w:t>—几何发散引起的衰减，dB；</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A</w:t>
      </w:r>
      <w:r>
        <w:rPr>
          <w:rFonts w:hint="default" w:ascii="Times New Roman" w:hAnsi="Times New Roman" w:eastAsia="宋体" w:cs="Times New Roman"/>
          <w:color w:val="auto"/>
          <w:sz w:val="24"/>
          <w:highlight w:val="none"/>
          <w:vertAlign w:val="subscript"/>
          <w:lang w:val="en-US" w:eastAsia="zh-CN" w:bidi="ar-SA"/>
        </w:rPr>
        <w:t>bar</w:t>
      </w:r>
      <w:r>
        <w:rPr>
          <w:rFonts w:hint="default" w:ascii="Times New Roman" w:hAnsi="Times New Roman" w:eastAsia="宋体" w:cs="Times New Roman"/>
          <w:color w:val="auto"/>
          <w:sz w:val="24"/>
          <w:highlight w:val="none"/>
          <w:lang w:val="en-US" w:eastAsia="zh-CN" w:bidi="ar-SA"/>
        </w:rPr>
        <w:t>—障碍物屏障引起的衰减，dB，本项目墙、门窗等维护结构按薄屏障考虑，衰减取20dB；</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A</w:t>
      </w:r>
      <w:r>
        <w:rPr>
          <w:rFonts w:hint="default" w:ascii="Times New Roman" w:hAnsi="Times New Roman" w:eastAsia="宋体" w:cs="Times New Roman"/>
          <w:color w:val="auto"/>
          <w:sz w:val="24"/>
          <w:highlight w:val="none"/>
          <w:vertAlign w:val="subscript"/>
          <w:lang w:val="en-US" w:eastAsia="zh-CN" w:bidi="ar-SA"/>
        </w:rPr>
        <w:t>atm</w:t>
      </w:r>
      <w:r>
        <w:rPr>
          <w:rFonts w:hint="default" w:ascii="Times New Roman" w:hAnsi="Times New Roman" w:eastAsia="宋体" w:cs="Times New Roman"/>
          <w:color w:val="auto"/>
          <w:sz w:val="24"/>
          <w:highlight w:val="none"/>
          <w:lang w:val="en-US" w:eastAsia="zh-CN" w:bidi="ar-SA"/>
        </w:rPr>
        <w:t>—大气吸收引起的衰减，dB；</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A</w:t>
      </w:r>
      <w:r>
        <w:rPr>
          <w:rFonts w:hint="default" w:ascii="Times New Roman" w:hAnsi="Times New Roman" w:eastAsia="宋体" w:cs="Times New Roman"/>
          <w:color w:val="auto"/>
          <w:sz w:val="24"/>
          <w:highlight w:val="none"/>
          <w:vertAlign w:val="subscript"/>
          <w:lang w:val="en-US" w:eastAsia="zh-CN" w:bidi="ar-SA"/>
        </w:rPr>
        <w:t>gr</w:t>
      </w:r>
      <w:r>
        <w:rPr>
          <w:rFonts w:hint="default" w:ascii="Times New Roman" w:hAnsi="Times New Roman" w:eastAsia="宋体" w:cs="Times New Roman"/>
          <w:color w:val="auto"/>
          <w:sz w:val="24"/>
          <w:highlight w:val="none"/>
          <w:lang w:val="en-US" w:eastAsia="zh-CN" w:bidi="ar-SA"/>
        </w:rPr>
        <w:t>—地面效应引起的衰减，dB；</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A</w:t>
      </w:r>
      <w:r>
        <w:rPr>
          <w:rFonts w:hint="default" w:ascii="Times New Roman" w:hAnsi="Times New Roman" w:eastAsia="宋体" w:cs="Times New Roman"/>
          <w:color w:val="auto"/>
          <w:sz w:val="24"/>
          <w:highlight w:val="none"/>
          <w:vertAlign w:val="subscript"/>
          <w:lang w:val="en-US" w:eastAsia="zh-CN" w:bidi="ar-SA"/>
        </w:rPr>
        <w:t>exc</w:t>
      </w:r>
      <w:r>
        <w:rPr>
          <w:rFonts w:hint="default" w:ascii="Times New Roman" w:hAnsi="Times New Roman" w:eastAsia="宋体" w:cs="Times New Roman"/>
          <w:color w:val="auto"/>
          <w:sz w:val="24"/>
          <w:highlight w:val="none"/>
          <w:lang w:val="en-US" w:eastAsia="zh-CN" w:bidi="ar-SA"/>
        </w:rPr>
        <w:t>—其他多方面效应引起的衰减，dB；</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r—预测点距声源的距离；</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r</w:t>
      </w:r>
      <w:r>
        <w:rPr>
          <w:rFonts w:hint="default" w:ascii="Times New Roman" w:hAnsi="Times New Roman" w:eastAsia="宋体" w:cs="Times New Roman"/>
          <w:color w:val="auto"/>
          <w:sz w:val="24"/>
          <w:highlight w:val="none"/>
          <w:vertAlign w:val="subscript"/>
          <w:lang w:val="en-US" w:eastAsia="zh-CN" w:bidi="ar-SA"/>
        </w:rPr>
        <w:t>0</w:t>
      </w:r>
      <w:r>
        <w:rPr>
          <w:rFonts w:hint="default" w:ascii="Times New Roman" w:hAnsi="Times New Roman" w:eastAsia="宋体" w:cs="Times New Roman"/>
          <w:color w:val="auto"/>
          <w:sz w:val="24"/>
          <w:highlight w:val="none"/>
          <w:lang w:val="en-US" w:eastAsia="zh-CN" w:bidi="ar-SA"/>
        </w:rPr>
        <w:t>—参考位置距声源的距离。</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根据本评价的实际情况，仅考虑几何发散和屏障。</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⑥计算等效室外声源在预测点产生的等效声级贡献值(Leqg)计算公式：</w:t>
      </w:r>
    </w:p>
    <w:p>
      <w:pPr>
        <w:snapToGrid w:val="0"/>
        <w:spacing w:line="360" w:lineRule="auto"/>
        <w:ind w:firstLine="1155" w:firstLineChars="550"/>
        <w:jc w:val="center"/>
        <w:rPr>
          <w:rFonts w:hint="default" w:ascii="Times New Roman" w:hAnsi="Times New Roman" w:cs="Times New Roman"/>
          <w:color w:val="auto"/>
          <w:highlight w:val="none"/>
        </w:rPr>
      </w:pPr>
      <w:r>
        <w:rPr>
          <w:rFonts w:hint="default" w:ascii="Times New Roman" w:hAnsi="Times New Roman" w:cs="Times New Roman"/>
          <w:color w:val="auto"/>
          <w:position w:val="-34"/>
          <w:highlight w:val="none"/>
        </w:rPr>
        <w:object>
          <v:shape id="_x0000_i1036" o:spt="75" type="#_x0000_t75" style="height:41.35pt;width:204.75pt;" o:ole="t" filled="f" o:preferrelative="t" stroked="f" coordsize="21600,21600">
            <v:path/>
            <v:fill on="f" focussize="0,0"/>
            <v:stroke on="f" joinstyle="miter"/>
            <v:imagedata r:id="rId75" o:title=""/>
            <o:lock v:ext="edit" aspectratio="t"/>
            <w10:wrap type="none"/>
            <w10:anchorlock/>
          </v:shape>
          <o:OLEObject Type="Embed" ProgID="Equation.3" ShapeID="_x0000_i1036" DrawAspect="Content" ObjectID="_1468075736" r:id="rId74">
            <o:LockedField>false</o:LockedField>
          </o:OLEObject>
        </w:objec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式中：L</w:t>
      </w:r>
      <w:r>
        <w:rPr>
          <w:rFonts w:hint="default" w:ascii="Times New Roman" w:hAnsi="Times New Roman" w:eastAsia="宋体" w:cs="Times New Roman"/>
          <w:color w:val="auto"/>
          <w:sz w:val="24"/>
          <w:highlight w:val="none"/>
          <w:vertAlign w:val="subscript"/>
          <w:lang w:val="en-US" w:eastAsia="zh-CN" w:bidi="ar-SA"/>
        </w:rPr>
        <w:t>eqg</w:t>
      </w:r>
      <w:r>
        <w:rPr>
          <w:rFonts w:hint="default" w:ascii="Times New Roman" w:hAnsi="Times New Roman" w:eastAsia="宋体" w:cs="Times New Roman"/>
          <w:color w:val="auto"/>
          <w:sz w:val="24"/>
          <w:highlight w:val="none"/>
          <w:lang w:val="en-US" w:eastAsia="zh-CN" w:bidi="ar-SA"/>
        </w:rPr>
        <w:t>—建设项目声源在预测点产生的噪声贡献值，dB(A)；</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T—用于计算等效声级的时间，s；</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t</w:t>
      </w:r>
      <w:r>
        <w:rPr>
          <w:rFonts w:hint="default" w:ascii="Times New Roman" w:hAnsi="Times New Roman" w:eastAsia="宋体" w:cs="Times New Roman"/>
          <w:color w:val="auto"/>
          <w:sz w:val="24"/>
          <w:highlight w:val="none"/>
          <w:vertAlign w:val="subscript"/>
          <w:lang w:val="en-US" w:eastAsia="zh-CN" w:bidi="ar-SA"/>
        </w:rPr>
        <w:t>i</w:t>
      </w:r>
      <w:r>
        <w:rPr>
          <w:rFonts w:hint="default" w:ascii="Times New Roman" w:hAnsi="Times New Roman" w:eastAsia="宋体" w:cs="Times New Roman"/>
          <w:color w:val="auto"/>
          <w:sz w:val="24"/>
          <w:highlight w:val="none"/>
          <w:lang w:val="en-US" w:eastAsia="zh-CN" w:bidi="ar-SA"/>
        </w:rPr>
        <w:t>—在T时间内i声源工作时间，s；</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t</w:t>
      </w:r>
      <w:r>
        <w:rPr>
          <w:rFonts w:hint="default" w:ascii="Times New Roman" w:hAnsi="Times New Roman" w:eastAsia="宋体" w:cs="Times New Roman"/>
          <w:color w:val="auto"/>
          <w:sz w:val="24"/>
          <w:highlight w:val="none"/>
          <w:vertAlign w:val="subscript"/>
          <w:lang w:val="en-US" w:eastAsia="zh-CN" w:bidi="ar-SA"/>
        </w:rPr>
        <w:t>j</w:t>
      </w:r>
      <w:r>
        <w:rPr>
          <w:rFonts w:hint="default" w:ascii="Times New Roman" w:hAnsi="Times New Roman" w:eastAsia="宋体" w:cs="Times New Roman"/>
          <w:color w:val="auto"/>
          <w:sz w:val="24"/>
          <w:highlight w:val="none"/>
          <w:lang w:val="en-US" w:eastAsia="zh-CN" w:bidi="ar-SA"/>
        </w:rPr>
        <w:t>—在T时间内j声源工作时间，s；</w:t>
      </w:r>
    </w:p>
    <w:p>
      <w:pPr>
        <w:pStyle w:val="143"/>
        <w:rPr>
          <w:color w:val="FF0000"/>
        </w:rPr>
      </w:pPr>
      <w:r>
        <w:rPr>
          <w:rFonts w:hint="default" w:ascii="Times New Roman" w:hAnsi="Times New Roman" w:eastAsia="宋体" w:cs="Times New Roman"/>
          <w:color w:val="auto"/>
          <w:sz w:val="24"/>
          <w:highlight w:val="none"/>
          <w:lang w:val="en-US" w:eastAsia="zh-CN" w:bidi="ar-SA"/>
        </w:rPr>
        <w:t>M—等效室外声源个数。</w:t>
      </w:r>
    </w:p>
    <w:p>
      <w:pPr>
        <w:spacing w:line="360" w:lineRule="auto"/>
        <w:outlineLvl w:val="3"/>
        <w:rPr>
          <w:b/>
          <w:snapToGrid w:val="0"/>
          <w:color w:val="auto"/>
          <w:sz w:val="24"/>
        </w:rPr>
      </w:pPr>
      <w:r>
        <w:rPr>
          <w:b/>
          <w:snapToGrid w:val="0"/>
          <w:color w:val="auto"/>
          <w:sz w:val="24"/>
        </w:rPr>
        <w:t>5.2.4.2预测结果</w:t>
      </w:r>
    </w:p>
    <w:p>
      <w:pPr>
        <w:pStyle w:val="74"/>
        <w:adjustRightInd/>
        <w:snapToGrid/>
        <w:rPr>
          <w:rFonts w:ascii="Times New Roman" w:hAnsi="Times New Roman" w:eastAsia="宋体" w:cs="Times New Roman"/>
          <w:iCs/>
          <w:snapToGrid w:val="0"/>
          <w:color w:val="auto"/>
        </w:rPr>
      </w:pPr>
      <w:r>
        <w:rPr>
          <w:rFonts w:ascii="Times New Roman" w:hAnsi="Times New Roman" w:eastAsia="宋体" w:cs="Times New Roman"/>
          <w:color w:val="auto"/>
        </w:rPr>
        <w:t>厂界</w:t>
      </w:r>
      <w:r>
        <w:rPr>
          <w:rFonts w:ascii="Times New Roman" w:hAnsi="Times New Roman" w:eastAsia="宋体" w:cs="Times New Roman"/>
          <w:snapToGrid w:val="0"/>
          <w:color w:val="auto"/>
        </w:rPr>
        <w:t>噪声</w:t>
      </w:r>
      <w:r>
        <w:rPr>
          <w:rFonts w:ascii="Times New Roman" w:hAnsi="Times New Roman" w:eastAsia="宋体" w:cs="Times New Roman"/>
          <w:iCs/>
          <w:snapToGrid w:val="0"/>
          <w:color w:val="auto"/>
        </w:rPr>
        <w:t>预测结果见表</w:t>
      </w:r>
      <w:r>
        <w:rPr>
          <w:rFonts w:ascii="Times New Roman" w:hAnsi="Times New Roman" w:eastAsia="宋体" w:cs="Times New Roman"/>
          <w:snapToGrid w:val="0"/>
          <w:color w:val="auto"/>
        </w:rPr>
        <w:t>5-2-</w:t>
      </w:r>
      <w:r>
        <w:rPr>
          <w:rFonts w:hint="eastAsia" w:ascii="Times New Roman" w:hAnsi="Times New Roman" w:eastAsia="宋体" w:cs="Times New Roman"/>
          <w:snapToGrid w:val="0"/>
          <w:color w:val="auto"/>
        </w:rPr>
        <w:t>2</w:t>
      </w:r>
      <w:r>
        <w:rPr>
          <w:rFonts w:hint="eastAsia" w:ascii="Times New Roman" w:hAnsi="Times New Roman" w:eastAsia="宋体" w:cs="Times New Roman"/>
          <w:snapToGrid w:val="0"/>
          <w:color w:val="auto"/>
          <w:lang w:val="en-US" w:eastAsia="zh-CN"/>
        </w:rPr>
        <w:t>2</w:t>
      </w:r>
      <w:r>
        <w:rPr>
          <w:rFonts w:ascii="Times New Roman" w:hAnsi="Times New Roman" w:eastAsia="宋体" w:cs="Times New Roman"/>
          <w:iCs/>
          <w:snapToGrid w:val="0"/>
          <w:color w:val="auto"/>
        </w:rPr>
        <w:t>。</w:t>
      </w:r>
      <w:r>
        <w:rPr>
          <w:rFonts w:ascii="Times New Roman" w:hAnsi="Times New Roman" w:eastAsia="宋体" w:cs="Times New Roman"/>
          <w:snapToGrid w:val="0"/>
          <w:color w:val="auto"/>
        </w:rPr>
        <w:t>本项目预测时仅考虑点声源对周边环境的影响。</w:t>
      </w:r>
    </w:p>
    <w:p>
      <w:pPr>
        <w:pStyle w:val="7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ascii="Times New Roman" w:hAnsi="Times New Roman" w:cs="Times New Roman"/>
          <w:snapToGrid w:val="0"/>
          <w:color w:val="auto"/>
          <w:sz w:val="24"/>
          <w:szCs w:val="24"/>
        </w:rPr>
      </w:pPr>
      <w:r>
        <w:rPr>
          <w:rFonts w:ascii="Times New Roman" w:hAnsi="Times New Roman" w:cs="Times New Roman"/>
          <w:snapToGrid w:val="0"/>
          <w:color w:val="auto"/>
          <w:sz w:val="24"/>
          <w:szCs w:val="24"/>
        </w:rPr>
        <w:t>表5-2-</w:t>
      </w:r>
      <w:r>
        <w:rPr>
          <w:rFonts w:hint="eastAsia" w:ascii="Times New Roman" w:hAnsi="Times New Roman" w:cs="Times New Roman"/>
          <w:snapToGrid w:val="0"/>
          <w:color w:val="auto"/>
          <w:sz w:val="24"/>
          <w:szCs w:val="24"/>
        </w:rPr>
        <w:t>2</w:t>
      </w:r>
      <w:r>
        <w:rPr>
          <w:rFonts w:hint="eastAsia" w:ascii="Times New Roman" w:hAnsi="Times New Roman" w:cs="Times New Roman"/>
          <w:snapToGrid w:val="0"/>
          <w:color w:val="auto"/>
          <w:sz w:val="24"/>
          <w:szCs w:val="24"/>
          <w:lang w:val="en-US" w:eastAsia="zh-CN"/>
        </w:rPr>
        <w:t xml:space="preserve">2 </w:t>
      </w:r>
      <w:r>
        <w:rPr>
          <w:rFonts w:ascii="Times New Roman" w:hAnsi="Times New Roman" w:cs="Times New Roman"/>
          <w:snapToGrid w:val="0"/>
          <w:color w:val="auto"/>
          <w:sz w:val="24"/>
          <w:szCs w:val="24"/>
        </w:rPr>
        <w:t>厂界噪声预测结果单位：dB(A)</w:t>
      </w:r>
    </w:p>
    <w:tbl>
      <w:tblPr>
        <w:tblStyle w:val="46"/>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985"/>
        <w:gridCol w:w="1034"/>
        <w:gridCol w:w="1041"/>
        <w:gridCol w:w="956"/>
        <w:gridCol w:w="961"/>
        <w:gridCol w:w="1270"/>
        <w:gridCol w:w="127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6" w:hRule="atLeast"/>
          <w:jc w:val="center"/>
        </w:trPr>
        <w:tc>
          <w:tcPr>
            <w:tcW w:w="1165" w:type="pct"/>
            <w:vMerge w:val="restart"/>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w:t>
            </w:r>
          </w:p>
        </w:tc>
        <w:tc>
          <w:tcPr>
            <w:tcW w:w="1218"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贡献值</w:t>
            </w:r>
          </w:p>
        </w:tc>
        <w:tc>
          <w:tcPr>
            <w:tcW w:w="1125" w:type="pct"/>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标准值</w:t>
            </w:r>
          </w:p>
        </w:tc>
        <w:tc>
          <w:tcPr>
            <w:tcW w:w="1491"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r>
              <w:rPr>
                <w:rFonts w:ascii="宋体" w:hAnsi="宋体" w:eastAsia="宋体" w:cs="宋体"/>
                <w:color w:val="auto"/>
                <w:sz w:val="21"/>
                <w:szCs w:val="21"/>
                <w:highlight w:val="none"/>
              </w:rPr>
              <w:t>超标和达标情况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3" w:hRule="atLeast"/>
          <w:jc w:val="center"/>
        </w:trPr>
        <w:tc>
          <w:tcPr>
            <w:tcW w:w="1165" w:type="pct"/>
            <w:vMerge w:val="continue"/>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p>
        </w:tc>
        <w:tc>
          <w:tcPr>
            <w:tcW w:w="60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auto"/>
                <w:sz w:val="21"/>
                <w:szCs w:val="21"/>
                <w:highlight w:val="none"/>
                <w:lang w:eastAsia="zh-CN"/>
              </w:rPr>
            </w:pPr>
            <w:r>
              <w:rPr>
                <w:rFonts w:hint="eastAsia" w:ascii="Times New Roman" w:hAnsi="Times New Roman" w:cs="Times New Roman"/>
                <w:bCs/>
                <w:color w:val="auto"/>
                <w:sz w:val="21"/>
                <w:szCs w:val="21"/>
                <w:highlight w:val="none"/>
                <w:lang w:eastAsia="zh-CN"/>
              </w:rPr>
              <w:t>昼间</w:t>
            </w:r>
          </w:p>
        </w:tc>
        <w:tc>
          <w:tcPr>
            <w:tcW w:w="610"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auto"/>
                <w:sz w:val="21"/>
                <w:szCs w:val="21"/>
                <w:highlight w:val="none"/>
                <w:lang w:eastAsia="zh-CN"/>
              </w:rPr>
            </w:pPr>
            <w:r>
              <w:rPr>
                <w:rFonts w:hint="eastAsia" w:ascii="Times New Roman" w:hAnsi="Times New Roman" w:cs="Times New Roman"/>
                <w:bCs/>
                <w:color w:val="auto"/>
                <w:sz w:val="21"/>
                <w:szCs w:val="21"/>
                <w:highlight w:val="none"/>
                <w:lang w:eastAsia="zh-CN"/>
              </w:rPr>
              <w:t>夜间</w:t>
            </w:r>
          </w:p>
        </w:tc>
        <w:tc>
          <w:tcPr>
            <w:tcW w:w="561"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cs="Times New Roman"/>
                <w:bCs/>
                <w:color w:val="auto"/>
                <w:sz w:val="21"/>
                <w:szCs w:val="21"/>
                <w:highlight w:val="none"/>
                <w:lang w:eastAsia="zh-CN"/>
              </w:rPr>
              <w:t>昼间</w:t>
            </w:r>
          </w:p>
        </w:tc>
        <w:tc>
          <w:tcPr>
            <w:tcW w:w="563"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cs="Times New Roman"/>
                <w:bCs/>
                <w:color w:val="auto"/>
                <w:sz w:val="21"/>
                <w:szCs w:val="21"/>
                <w:highlight w:val="none"/>
                <w:lang w:eastAsia="zh-CN"/>
              </w:rPr>
              <w:t>夜间</w:t>
            </w:r>
          </w:p>
        </w:tc>
        <w:tc>
          <w:tcPr>
            <w:tcW w:w="7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bCs/>
                <w:color w:val="auto"/>
                <w:sz w:val="21"/>
                <w:szCs w:val="21"/>
                <w:highlight w:val="none"/>
                <w:lang w:eastAsia="zh-CN"/>
              </w:rPr>
            </w:pPr>
            <w:r>
              <w:rPr>
                <w:rFonts w:ascii="宋体" w:hAnsi="宋体" w:eastAsia="宋体" w:cs="宋体"/>
                <w:color w:val="auto"/>
                <w:sz w:val="21"/>
                <w:szCs w:val="21"/>
                <w:highlight w:val="none"/>
              </w:rPr>
              <w:t>昼间</w:t>
            </w:r>
          </w:p>
        </w:tc>
        <w:tc>
          <w:tcPr>
            <w:tcW w:w="7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bCs/>
                <w:color w:val="auto"/>
                <w:sz w:val="21"/>
                <w:szCs w:val="21"/>
                <w:highlight w:val="none"/>
                <w:lang w:eastAsia="zh-CN"/>
              </w:rPr>
            </w:pPr>
            <w:r>
              <w:rPr>
                <w:rFonts w:ascii="宋体" w:hAnsi="宋体" w:eastAsia="宋体" w:cs="宋体"/>
                <w:color w:val="auto"/>
                <w:sz w:val="21"/>
                <w:szCs w:val="21"/>
                <w:highlight w:val="none"/>
              </w:rPr>
              <w:t>夜间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3" w:hRule="atLeast"/>
          <w:jc w:val="center"/>
        </w:trPr>
        <w:tc>
          <w:tcPr>
            <w:tcW w:w="11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Times New Roman" w:cs="Times New Roman"/>
                <w:color w:val="auto"/>
                <w:sz w:val="21"/>
                <w:szCs w:val="21"/>
                <w:highlight w:val="none"/>
                <w:lang w:val="en-US" w:eastAsia="zh-CN" w:bidi="ar-SA"/>
              </w:rPr>
            </w:pPr>
            <w:r>
              <w:rPr>
                <w:rFonts w:ascii="Times New Roman" w:hAnsi="Times New Roman"/>
                <w:color w:val="auto"/>
                <w:szCs w:val="21"/>
              </w:rPr>
              <w:t>厂界东</w:t>
            </w:r>
            <w:r>
              <w:rPr>
                <w:rFonts w:hint="eastAsia" w:ascii="Times New Roman" w:hAnsi="Times New Roman"/>
                <w:color w:val="auto"/>
                <w:szCs w:val="21"/>
                <w:lang w:val="en-US" w:eastAsia="zh-CN"/>
              </w:rPr>
              <w:t>北</w:t>
            </w:r>
            <w:r>
              <w:rPr>
                <w:rFonts w:ascii="Times New Roman" w:hAnsi="Times New Roman"/>
                <w:color w:val="auto"/>
                <w:szCs w:val="21"/>
              </w:rPr>
              <w:t>侧</w:t>
            </w:r>
            <w:r>
              <w:rPr>
                <w:rFonts w:hint="default" w:ascii="Times New Roman" w:hAnsi="Times New Roman" w:eastAsia="Times New Roman" w:cs="Times New Roman"/>
                <w:color w:val="auto"/>
                <w:sz w:val="21"/>
                <w:szCs w:val="21"/>
                <w:highlight w:val="none"/>
              </w:rPr>
              <w:t>1#</w:t>
            </w:r>
          </w:p>
        </w:tc>
        <w:tc>
          <w:tcPr>
            <w:tcW w:w="6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auto"/>
                <w:sz w:val="21"/>
                <w:szCs w:val="21"/>
                <w:highlight w:val="none"/>
                <w:lang w:val="en-US" w:eastAsia="zh-CN" w:bidi="ar-SA"/>
              </w:rPr>
            </w:pPr>
            <w:r>
              <w:rPr>
                <w:rFonts w:hint="eastAsia" w:cs="Times New Roman"/>
                <w:color w:val="auto"/>
                <w:sz w:val="21"/>
                <w:szCs w:val="21"/>
                <w:highlight w:val="none"/>
                <w:lang w:val="en-US" w:eastAsia="zh-CN" w:bidi="ar-SA"/>
              </w:rPr>
              <w:t>32.48</w:t>
            </w:r>
          </w:p>
        </w:tc>
        <w:tc>
          <w:tcPr>
            <w:tcW w:w="61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Times New Roman" w:cs="Times New Roman"/>
                <w:color w:val="auto"/>
                <w:sz w:val="21"/>
                <w:szCs w:val="21"/>
                <w:highlight w:val="none"/>
                <w:lang w:val="en-US" w:eastAsia="zh-CN" w:bidi="ar-SA"/>
              </w:rPr>
            </w:pPr>
            <w:r>
              <w:rPr>
                <w:rFonts w:hint="eastAsia" w:eastAsia="Times New Roman" w:cs="Times New Roman"/>
                <w:color w:val="auto"/>
                <w:sz w:val="21"/>
                <w:szCs w:val="21"/>
                <w:highlight w:val="none"/>
                <w:lang w:val="en-US" w:eastAsia="zh-CN" w:bidi="ar-SA"/>
              </w:rPr>
              <w:t>32.15</w:t>
            </w:r>
          </w:p>
        </w:tc>
        <w:tc>
          <w:tcPr>
            <w:tcW w:w="56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c>
          <w:tcPr>
            <w:tcW w:w="56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w:t>
            </w:r>
          </w:p>
        </w:tc>
        <w:tc>
          <w:tcPr>
            <w:tcW w:w="7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达标</w:t>
            </w:r>
          </w:p>
        </w:tc>
        <w:tc>
          <w:tcPr>
            <w:tcW w:w="7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8" w:hRule="atLeast"/>
          <w:jc w:val="center"/>
        </w:trPr>
        <w:tc>
          <w:tcPr>
            <w:tcW w:w="11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Times New Roman" w:cs="Times New Roman"/>
                <w:color w:val="auto"/>
                <w:sz w:val="21"/>
                <w:szCs w:val="21"/>
                <w:highlight w:val="none"/>
                <w:lang w:val="en-US" w:eastAsia="zh-CN" w:bidi="ar-SA"/>
              </w:rPr>
            </w:pPr>
            <w:r>
              <w:rPr>
                <w:rFonts w:ascii="Times New Roman" w:hAnsi="Times New Roman"/>
                <w:color w:val="auto"/>
                <w:szCs w:val="21"/>
              </w:rPr>
              <w:t>厂界</w:t>
            </w:r>
            <w:r>
              <w:rPr>
                <w:rFonts w:hint="eastAsia" w:ascii="Times New Roman" w:hAnsi="Times New Roman"/>
                <w:color w:val="auto"/>
                <w:szCs w:val="21"/>
                <w:lang w:val="en-US" w:eastAsia="zh-CN"/>
              </w:rPr>
              <w:t>东</w:t>
            </w:r>
            <w:r>
              <w:rPr>
                <w:rFonts w:hint="eastAsia" w:ascii="Times New Roman" w:hAnsi="Times New Roman"/>
                <w:color w:val="auto"/>
                <w:szCs w:val="21"/>
              </w:rPr>
              <w:t>南</w:t>
            </w:r>
            <w:r>
              <w:rPr>
                <w:rFonts w:ascii="Times New Roman" w:hAnsi="Times New Roman"/>
                <w:color w:val="auto"/>
                <w:szCs w:val="21"/>
              </w:rPr>
              <w:t>侧</w:t>
            </w:r>
            <w:r>
              <w:rPr>
                <w:rFonts w:hint="default" w:ascii="Times New Roman" w:hAnsi="Times New Roman" w:eastAsia="Times New Roman" w:cs="Times New Roman"/>
                <w:color w:val="auto"/>
                <w:sz w:val="21"/>
                <w:szCs w:val="21"/>
                <w:highlight w:val="none"/>
              </w:rPr>
              <w:t>2#</w:t>
            </w:r>
          </w:p>
        </w:tc>
        <w:tc>
          <w:tcPr>
            <w:tcW w:w="6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auto"/>
                <w:sz w:val="21"/>
                <w:szCs w:val="21"/>
                <w:highlight w:val="none"/>
                <w:lang w:val="en-US" w:eastAsia="zh-CN" w:bidi="ar-SA"/>
              </w:rPr>
            </w:pPr>
            <w:r>
              <w:rPr>
                <w:rFonts w:hint="eastAsia" w:cs="Times New Roman"/>
                <w:color w:val="auto"/>
                <w:sz w:val="21"/>
                <w:szCs w:val="21"/>
                <w:highlight w:val="none"/>
                <w:lang w:val="en-US" w:eastAsia="zh-CN" w:bidi="ar-SA"/>
              </w:rPr>
              <w:t>20.02</w:t>
            </w:r>
          </w:p>
        </w:tc>
        <w:tc>
          <w:tcPr>
            <w:tcW w:w="61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Times New Roman" w:cs="Times New Roman"/>
                <w:color w:val="auto"/>
                <w:sz w:val="21"/>
                <w:szCs w:val="21"/>
                <w:highlight w:val="none"/>
                <w:lang w:val="en-US" w:eastAsia="zh-CN" w:bidi="ar-SA"/>
              </w:rPr>
            </w:pPr>
            <w:r>
              <w:rPr>
                <w:rFonts w:hint="eastAsia" w:eastAsia="Times New Roman" w:cs="Times New Roman"/>
                <w:color w:val="auto"/>
                <w:sz w:val="21"/>
                <w:szCs w:val="21"/>
                <w:highlight w:val="none"/>
                <w:lang w:val="en-US" w:eastAsia="zh-CN" w:bidi="ar-SA"/>
              </w:rPr>
              <w:t>19.94</w:t>
            </w:r>
          </w:p>
        </w:tc>
        <w:tc>
          <w:tcPr>
            <w:tcW w:w="56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c>
          <w:tcPr>
            <w:tcW w:w="56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w:t>
            </w:r>
          </w:p>
        </w:tc>
        <w:tc>
          <w:tcPr>
            <w:tcW w:w="7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color w:val="auto"/>
                <w:sz w:val="21"/>
                <w:szCs w:val="21"/>
                <w:highlight w:val="none"/>
                <w:lang w:val="en-US" w:eastAsia="zh-CN"/>
              </w:rPr>
            </w:pPr>
            <w:r>
              <w:rPr>
                <w:rFonts w:hint="eastAsia"/>
                <w:color w:val="auto"/>
                <w:sz w:val="21"/>
                <w:szCs w:val="21"/>
                <w:highlight w:val="none"/>
                <w:lang w:val="en-US" w:eastAsia="zh-CN"/>
              </w:rPr>
              <w:t>达标</w:t>
            </w:r>
          </w:p>
        </w:tc>
        <w:tc>
          <w:tcPr>
            <w:tcW w:w="7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color w:val="auto"/>
                <w:sz w:val="21"/>
                <w:szCs w:val="21"/>
                <w:highlight w:val="none"/>
                <w:lang w:val="en-US" w:eastAsia="zh-CN"/>
              </w:rPr>
            </w:pPr>
            <w:r>
              <w:rPr>
                <w:rFonts w:hint="eastAsia"/>
                <w:color w:val="auto"/>
                <w:sz w:val="21"/>
                <w:szCs w:val="21"/>
                <w:highlight w:val="none"/>
                <w:lang w:val="en-US" w:eastAsia="zh-CN"/>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3" w:hRule="atLeast"/>
          <w:jc w:val="center"/>
        </w:trPr>
        <w:tc>
          <w:tcPr>
            <w:tcW w:w="11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Times New Roman" w:cs="Times New Roman"/>
                <w:color w:val="auto"/>
                <w:sz w:val="21"/>
                <w:szCs w:val="21"/>
                <w:highlight w:val="none"/>
                <w:lang w:val="en-US" w:eastAsia="zh-CN" w:bidi="ar-SA"/>
              </w:rPr>
            </w:pPr>
            <w:r>
              <w:rPr>
                <w:rFonts w:ascii="Times New Roman" w:hAnsi="Times New Roman"/>
                <w:color w:val="auto"/>
                <w:szCs w:val="21"/>
              </w:rPr>
              <w:t>厂界</w:t>
            </w:r>
            <w:r>
              <w:rPr>
                <w:rFonts w:hint="eastAsia" w:ascii="Times New Roman" w:hAnsi="Times New Roman"/>
                <w:color w:val="auto"/>
                <w:szCs w:val="21"/>
              </w:rPr>
              <w:t>西</w:t>
            </w:r>
            <w:r>
              <w:rPr>
                <w:rFonts w:hint="eastAsia" w:ascii="Times New Roman" w:hAnsi="Times New Roman"/>
                <w:color w:val="auto"/>
                <w:szCs w:val="21"/>
                <w:lang w:val="en-US" w:eastAsia="zh-CN"/>
              </w:rPr>
              <w:t>南</w:t>
            </w:r>
            <w:r>
              <w:rPr>
                <w:rFonts w:ascii="Times New Roman" w:hAnsi="Times New Roman"/>
                <w:color w:val="auto"/>
                <w:szCs w:val="21"/>
              </w:rPr>
              <w:t>侧</w:t>
            </w:r>
            <w:r>
              <w:rPr>
                <w:rFonts w:hint="default" w:ascii="Times New Roman" w:hAnsi="Times New Roman" w:eastAsia="Times New Roman" w:cs="Times New Roman"/>
                <w:color w:val="auto"/>
                <w:sz w:val="21"/>
                <w:szCs w:val="21"/>
                <w:highlight w:val="none"/>
              </w:rPr>
              <w:t>3#</w:t>
            </w:r>
          </w:p>
        </w:tc>
        <w:tc>
          <w:tcPr>
            <w:tcW w:w="6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auto"/>
                <w:sz w:val="21"/>
                <w:szCs w:val="21"/>
                <w:highlight w:val="none"/>
                <w:lang w:val="en-US" w:eastAsia="zh-CN" w:bidi="ar-SA"/>
              </w:rPr>
            </w:pPr>
            <w:r>
              <w:rPr>
                <w:rFonts w:hint="eastAsia" w:cs="Times New Roman"/>
                <w:color w:val="auto"/>
                <w:sz w:val="21"/>
                <w:szCs w:val="21"/>
                <w:highlight w:val="none"/>
                <w:lang w:val="en-US" w:eastAsia="zh-CN" w:bidi="ar-SA"/>
              </w:rPr>
              <w:t>30.93</w:t>
            </w:r>
          </w:p>
        </w:tc>
        <w:tc>
          <w:tcPr>
            <w:tcW w:w="61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Times New Roman" w:cs="Times New Roman"/>
                <w:color w:val="auto"/>
                <w:sz w:val="21"/>
                <w:szCs w:val="21"/>
                <w:highlight w:val="none"/>
                <w:lang w:val="en-US" w:eastAsia="zh-CN" w:bidi="ar-SA"/>
              </w:rPr>
            </w:pPr>
            <w:r>
              <w:rPr>
                <w:rFonts w:hint="eastAsia" w:eastAsia="Times New Roman" w:cs="Times New Roman"/>
                <w:color w:val="auto"/>
                <w:sz w:val="21"/>
                <w:szCs w:val="21"/>
                <w:highlight w:val="none"/>
                <w:lang w:val="en-US" w:eastAsia="zh-CN" w:bidi="ar-SA"/>
              </w:rPr>
              <w:t>30.64</w:t>
            </w:r>
          </w:p>
        </w:tc>
        <w:tc>
          <w:tcPr>
            <w:tcW w:w="56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60</w:t>
            </w:r>
          </w:p>
        </w:tc>
        <w:tc>
          <w:tcPr>
            <w:tcW w:w="56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50</w:t>
            </w:r>
          </w:p>
        </w:tc>
        <w:tc>
          <w:tcPr>
            <w:tcW w:w="7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达标</w:t>
            </w:r>
          </w:p>
        </w:tc>
        <w:tc>
          <w:tcPr>
            <w:tcW w:w="7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5" w:hRule="atLeast"/>
          <w:jc w:val="center"/>
        </w:trPr>
        <w:tc>
          <w:tcPr>
            <w:tcW w:w="11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Times New Roman" w:cs="Times New Roman"/>
                <w:color w:val="auto"/>
                <w:sz w:val="21"/>
                <w:szCs w:val="21"/>
                <w:highlight w:val="none"/>
                <w:lang w:val="en-US" w:eastAsia="zh-CN" w:bidi="ar-SA"/>
              </w:rPr>
            </w:pPr>
            <w:r>
              <w:rPr>
                <w:rFonts w:ascii="Times New Roman" w:hAnsi="Times New Roman"/>
                <w:color w:val="auto"/>
                <w:szCs w:val="21"/>
              </w:rPr>
              <w:t>厂界</w:t>
            </w:r>
            <w:r>
              <w:rPr>
                <w:rFonts w:hint="eastAsia" w:ascii="Times New Roman" w:hAnsi="Times New Roman"/>
                <w:color w:val="auto"/>
                <w:szCs w:val="21"/>
                <w:lang w:val="en-US" w:eastAsia="zh-CN"/>
              </w:rPr>
              <w:t>西</w:t>
            </w:r>
            <w:r>
              <w:rPr>
                <w:rFonts w:hint="eastAsia" w:ascii="Times New Roman" w:hAnsi="Times New Roman"/>
                <w:color w:val="auto"/>
                <w:szCs w:val="21"/>
              </w:rPr>
              <w:t>北</w:t>
            </w:r>
            <w:r>
              <w:rPr>
                <w:rFonts w:ascii="Times New Roman" w:hAnsi="Times New Roman"/>
                <w:color w:val="auto"/>
                <w:szCs w:val="21"/>
              </w:rPr>
              <w:t>侧</w:t>
            </w:r>
            <w:r>
              <w:rPr>
                <w:rFonts w:hint="default" w:ascii="Times New Roman" w:hAnsi="Times New Roman" w:eastAsia="Times New Roman" w:cs="Times New Roman"/>
                <w:color w:val="auto"/>
                <w:sz w:val="21"/>
                <w:szCs w:val="21"/>
                <w:highlight w:val="none"/>
              </w:rPr>
              <w:t>4#</w:t>
            </w:r>
          </w:p>
        </w:tc>
        <w:tc>
          <w:tcPr>
            <w:tcW w:w="6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auto"/>
                <w:sz w:val="21"/>
                <w:szCs w:val="21"/>
                <w:highlight w:val="none"/>
                <w:lang w:val="en-US" w:eastAsia="zh-CN" w:bidi="ar-SA"/>
              </w:rPr>
            </w:pPr>
            <w:r>
              <w:rPr>
                <w:rFonts w:hint="eastAsia" w:cs="Times New Roman"/>
                <w:color w:val="auto"/>
                <w:sz w:val="21"/>
                <w:szCs w:val="21"/>
                <w:highlight w:val="none"/>
                <w:lang w:val="en-US" w:eastAsia="zh-CN" w:bidi="ar-SA"/>
              </w:rPr>
              <w:t>32.71</w:t>
            </w:r>
          </w:p>
        </w:tc>
        <w:tc>
          <w:tcPr>
            <w:tcW w:w="61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Times New Roman" w:cs="Times New Roman"/>
                <w:color w:val="auto"/>
                <w:sz w:val="21"/>
                <w:szCs w:val="21"/>
                <w:highlight w:val="none"/>
                <w:lang w:val="en-US" w:eastAsia="zh-CN" w:bidi="ar-SA"/>
              </w:rPr>
            </w:pPr>
            <w:r>
              <w:rPr>
                <w:rFonts w:hint="eastAsia" w:eastAsia="Times New Roman" w:cs="Times New Roman"/>
                <w:color w:val="auto"/>
                <w:sz w:val="21"/>
                <w:szCs w:val="21"/>
                <w:highlight w:val="none"/>
                <w:lang w:val="en-US" w:eastAsia="zh-CN" w:bidi="ar-SA"/>
              </w:rPr>
              <w:t>32.52</w:t>
            </w:r>
          </w:p>
        </w:tc>
        <w:tc>
          <w:tcPr>
            <w:tcW w:w="56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60</w:t>
            </w:r>
          </w:p>
        </w:tc>
        <w:tc>
          <w:tcPr>
            <w:tcW w:w="56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50</w:t>
            </w:r>
          </w:p>
        </w:tc>
        <w:tc>
          <w:tcPr>
            <w:tcW w:w="7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达标</w:t>
            </w:r>
          </w:p>
        </w:tc>
        <w:tc>
          <w:tcPr>
            <w:tcW w:w="7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达标</w:t>
            </w:r>
          </w:p>
        </w:tc>
      </w:tr>
    </w:tbl>
    <w:p>
      <w:pPr>
        <w:jc w:val="center"/>
        <w:rPr>
          <w:rFonts w:hint="eastAsia" w:eastAsia="宋体"/>
          <w:b/>
          <w:color w:val="FF0000"/>
          <w:kern w:val="0"/>
          <w:szCs w:val="21"/>
          <w:lang w:eastAsia="zh-CN"/>
        </w:rPr>
      </w:pPr>
      <w:r>
        <w:rPr>
          <w:b/>
          <w:color w:val="FF0000"/>
          <w:kern w:val="0"/>
          <w:szCs w:val="21"/>
        </w:rPr>
        <w:drawing>
          <wp:anchor distT="0" distB="0" distL="114300" distR="114300" simplePos="0" relativeHeight="251674624" behindDoc="0" locked="0" layoutInCell="1" allowOverlap="1">
            <wp:simplePos x="0" y="0"/>
            <wp:positionH relativeFrom="column">
              <wp:posOffset>4724400</wp:posOffset>
            </wp:positionH>
            <wp:positionV relativeFrom="paragraph">
              <wp:posOffset>632460</wp:posOffset>
            </wp:positionV>
            <wp:extent cx="298450" cy="1457325"/>
            <wp:effectExtent l="19050" t="0" r="6350" b="0"/>
            <wp:wrapNone/>
            <wp:docPr id="47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17"/>
                    <pic:cNvPicPr>
                      <a:picLocks noChangeAspect="1" noChangeArrowheads="1"/>
                    </pic:cNvPicPr>
                  </pic:nvPicPr>
                  <pic:blipFill>
                    <a:blip r:embed="rId76"/>
                    <a:srcRect/>
                    <a:stretch>
                      <a:fillRect/>
                    </a:stretch>
                  </pic:blipFill>
                  <pic:spPr>
                    <a:xfrm>
                      <a:off x="0" y="0"/>
                      <a:ext cx="298450" cy="1457325"/>
                    </a:xfrm>
                    <a:prstGeom prst="rect">
                      <a:avLst/>
                    </a:prstGeom>
                    <a:noFill/>
                    <a:ln w="9525">
                      <a:noFill/>
                      <a:miter lim="800000"/>
                      <a:headEnd/>
                      <a:tailEnd/>
                    </a:ln>
                  </pic:spPr>
                </pic:pic>
              </a:graphicData>
            </a:graphic>
          </wp:anchor>
        </w:drawing>
      </w:r>
      <w:r>
        <w:rPr>
          <w:rFonts w:hint="eastAsia" w:eastAsia="宋体"/>
          <w:b/>
          <w:color w:val="FF0000"/>
          <w:kern w:val="0"/>
          <w:szCs w:val="21"/>
          <w:lang w:eastAsia="zh-CN"/>
        </w:rPr>
        <w:drawing>
          <wp:inline distT="0" distB="0" distL="114300" distR="114300">
            <wp:extent cx="5267325" cy="3907790"/>
            <wp:effectExtent l="0" t="0" r="9525" b="16510"/>
            <wp:docPr id="44" name="图片 44" descr="fad433f124379e83ba0bccb7c348e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fad433f124379e83ba0bccb7c348e7f"/>
                    <pic:cNvPicPr>
                      <a:picLocks noChangeAspect="1"/>
                    </pic:cNvPicPr>
                  </pic:nvPicPr>
                  <pic:blipFill>
                    <a:blip r:embed="rId77"/>
                    <a:stretch>
                      <a:fillRect/>
                    </a:stretch>
                  </pic:blipFill>
                  <pic:spPr>
                    <a:xfrm>
                      <a:off x="0" y="0"/>
                      <a:ext cx="5267325" cy="3907790"/>
                    </a:xfrm>
                    <a:prstGeom prst="rect">
                      <a:avLst/>
                    </a:prstGeom>
                  </pic:spPr>
                </pic:pic>
              </a:graphicData>
            </a:graphic>
          </wp:inline>
        </w:drawing>
      </w:r>
    </w:p>
    <w:p>
      <w:pPr>
        <w:ind w:firstLine="426" w:firstLineChars="177"/>
        <w:jc w:val="center"/>
        <w:rPr>
          <w:b/>
          <w:color w:val="auto"/>
          <w:kern w:val="0"/>
          <w:sz w:val="24"/>
        </w:rPr>
      </w:pPr>
      <w:r>
        <w:rPr>
          <w:b/>
          <w:color w:val="auto"/>
          <w:kern w:val="0"/>
          <w:sz w:val="24"/>
        </w:rPr>
        <w:t>图5-2-</w:t>
      </w:r>
      <w:r>
        <w:rPr>
          <w:rFonts w:hint="eastAsia"/>
          <w:b/>
          <w:color w:val="auto"/>
          <w:kern w:val="0"/>
          <w:sz w:val="24"/>
        </w:rPr>
        <w:t>1</w:t>
      </w:r>
      <w:r>
        <w:rPr>
          <w:rFonts w:hint="eastAsia"/>
          <w:b/>
          <w:color w:val="auto"/>
          <w:kern w:val="0"/>
          <w:sz w:val="24"/>
          <w:lang w:val="en-US" w:eastAsia="zh-CN"/>
        </w:rPr>
        <w:t xml:space="preserve">4 </w:t>
      </w:r>
      <w:r>
        <w:rPr>
          <w:b/>
          <w:color w:val="auto"/>
          <w:kern w:val="0"/>
          <w:sz w:val="24"/>
        </w:rPr>
        <w:t>声环境预测结果等值线图</w:t>
      </w:r>
    </w:p>
    <w:p>
      <w:pPr>
        <w:spacing w:line="360" w:lineRule="auto"/>
        <w:ind w:firstLine="480" w:firstLineChars="200"/>
        <w:rPr>
          <w:color w:val="auto"/>
          <w:sz w:val="24"/>
        </w:rPr>
      </w:pPr>
      <w:r>
        <w:rPr>
          <w:color w:val="auto"/>
          <w:sz w:val="24"/>
        </w:rPr>
        <w:t>采取本环评提出的降噪措施后，东</w:t>
      </w:r>
      <w:r>
        <w:rPr>
          <w:rFonts w:hint="eastAsia"/>
          <w:color w:val="auto"/>
          <w:sz w:val="24"/>
          <w:lang w:val="en-US" w:eastAsia="zh-CN"/>
        </w:rPr>
        <w:t>北</w:t>
      </w:r>
      <w:r>
        <w:rPr>
          <w:color w:val="auto"/>
          <w:sz w:val="24"/>
        </w:rPr>
        <w:t>侧</w:t>
      </w:r>
      <w:r>
        <w:rPr>
          <w:rFonts w:hint="eastAsia"/>
          <w:color w:val="auto"/>
          <w:sz w:val="24"/>
        </w:rPr>
        <w:t>、</w:t>
      </w:r>
      <w:r>
        <w:rPr>
          <w:rFonts w:hint="eastAsia"/>
          <w:color w:val="auto"/>
          <w:sz w:val="24"/>
          <w:lang w:val="en-US" w:eastAsia="zh-CN"/>
        </w:rPr>
        <w:t>东</w:t>
      </w:r>
      <w:r>
        <w:rPr>
          <w:rFonts w:hint="eastAsia"/>
          <w:color w:val="auto"/>
          <w:sz w:val="24"/>
        </w:rPr>
        <w:t>南侧、西</w:t>
      </w:r>
      <w:r>
        <w:rPr>
          <w:rFonts w:hint="eastAsia"/>
          <w:color w:val="auto"/>
          <w:sz w:val="24"/>
          <w:lang w:val="en-US" w:eastAsia="zh-CN"/>
        </w:rPr>
        <w:t>南</w:t>
      </w:r>
      <w:r>
        <w:rPr>
          <w:rFonts w:hint="eastAsia"/>
          <w:color w:val="auto"/>
          <w:sz w:val="24"/>
        </w:rPr>
        <w:t>侧、</w:t>
      </w:r>
      <w:r>
        <w:rPr>
          <w:rFonts w:hint="eastAsia"/>
          <w:color w:val="auto"/>
          <w:sz w:val="24"/>
          <w:lang w:val="en-US" w:eastAsia="zh-CN"/>
        </w:rPr>
        <w:t>西</w:t>
      </w:r>
      <w:r>
        <w:rPr>
          <w:rFonts w:hint="eastAsia"/>
          <w:color w:val="auto"/>
          <w:sz w:val="24"/>
        </w:rPr>
        <w:t>北侧厂界噪声贡献值均满足《工业企业厂界环境噪声排放标准》（</w:t>
      </w:r>
      <w:r>
        <w:rPr>
          <w:color w:val="auto"/>
          <w:sz w:val="24"/>
        </w:rPr>
        <w:t>GB12348-2008</w:t>
      </w:r>
      <w:r>
        <w:rPr>
          <w:rFonts w:hint="eastAsia"/>
          <w:color w:val="auto"/>
          <w:sz w:val="24"/>
        </w:rPr>
        <w:t>）中的</w:t>
      </w:r>
      <w:r>
        <w:rPr>
          <w:color w:val="auto"/>
          <w:sz w:val="24"/>
        </w:rPr>
        <w:t>2</w:t>
      </w:r>
      <w:r>
        <w:rPr>
          <w:rFonts w:hint="eastAsia"/>
          <w:color w:val="auto"/>
          <w:sz w:val="24"/>
        </w:rPr>
        <w:t>类噪声排放限值，即昼间</w:t>
      </w:r>
      <w:r>
        <w:rPr>
          <w:color w:val="auto"/>
          <w:sz w:val="24"/>
        </w:rPr>
        <w:t>60dB(A)</w:t>
      </w:r>
      <w:r>
        <w:rPr>
          <w:rFonts w:hint="eastAsia"/>
          <w:color w:val="auto"/>
          <w:sz w:val="24"/>
        </w:rPr>
        <w:t>，夜间</w:t>
      </w:r>
      <w:r>
        <w:rPr>
          <w:color w:val="auto"/>
          <w:sz w:val="24"/>
        </w:rPr>
        <w:t>50dB(A)</w:t>
      </w:r>
      <w:r>
        <w:rPr>
          <w:rFonts w:hint="eastAsia"/>
          <w:color w:val="auto"/>
          <w:sz w:val="24"/>
        </w:rPr>
        <w:t>。</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5.2.5固体废物环境影响分析</w:t>
      </w:r>
    </w:p>
    <w:p>
      <w:pPr>
        <w:tabs>
          <w:tab w:val="left" w:pos="900"/>
        </w:tabs>
        <w:spacing w:line="360" w:lineRule="auto"/>
        <w:ind w:firstLine="480" w:firstLineChars="200"/>
        <w:rPr>
          <w:color w:val="auto"/>
          <w:sz w:val="24"/>
        </w:rPr>
      </w:pPr>
      <w:r>
        <w:rPr>
          <w:color w:val="auto"/>
          <w:sz w:val="24"/>
        </w:rPr>
        <w:t>运行期固体废弃物主要为生活垃圾、</w:t>
      </w:r>
      <w:r>
        <w:rPr>
          <w:rFonts w:hint="eastAsia"/>
          <w:color w:val="auto"/>
          <w:sz w:val="24"/>
        </w:rPr>
        <w:t>粪便</w:t>
      </w:r>
      <w:r>
        <w:rPr>
          <w:color w:val="auto"/>
          <w:sz w:val="24"/>
        </w:rPr>
        <w:t>、检疫</w:t>
      </w:r>
      <w:r>
        <w:rPr>
          <w:rFonts w:hint="eastAsia"/>
          <w:color w:val="auto"/>
          <w:sz w:val="24"/>
        </w:rPr>
        <w:t>不合格肉牛及病死牛</w:t>
      </w:r>
      <w:r>
        <w:rPr>
          <w:color w:val="auto"/>
          <w:sz w:val="24"/>
        </w:rPr>
        <w:t>、</w:t>
      </w:r>
      <w:r>
        <w:rPr>
          <w:rFonts w:hint="eastAsia"/>
          <w:color w:val="auto"/>
          <w:sz w:val="24"/>
        </w:rPr>
        <w:t>污水处理站栅渣及污泥</w:t>
      </w:r>
      <w:r>
        <w:rPr>
          <w:color w:val="auto"/>
          <w:sz w:val="24"/>
        </w:rPr>
        <w:t>、</w:t>
      </w:r>
      <w:r>
        <w:rPr>
          <w:rFonts w:hint="eastAsia"/>
          <w:color w:val="auto"/>
          <w:sz w:val="24"/>
        </w:rPr>
        <w:t>食堂</w:t>
      </w:r>
      <w:r>
        <w:rPr>
          <w:color w:val="auto"/>
          <w:sz w:val="24"/>
        </w:rPr>
        <w:t>餐馀垃圾及废油脂（含污水处理站废油脂）、肠胃内容物、废弃包装物、</w:t>
      </w:r>
      <w:r>
        <w:rPr>
          <w:rFonts w:hint="eastAsia"/>
          <w:bCs/>
          <w:color w:val="auto"/>
          <w:sz w:val="24"/>
        </w:rPr>
        <w:t>不可食用内脏、</w:t>
      </w:r>
      <w:r>
        <w:rPr>
          <w:rFonts w:hint="eastAsia"/>
          <w:color w:val="auto"/>
          <w:sz w:val="24"/>
        </w:rPr>
        <w:t>废</w:t>
      </w:r>
      <w:r>
        <w:rPr>
          <w:color w:val="auto"/>
          <w:sz w:val="24"/>
        </w:rPr>
        <w:t>活性炭、</w:t>
      </w:r>
      <w:r>
        <w:rPr>
          <w:rFonts w:hint="eastAsia"/>
          <w:color w:val="auto"/>
          <w:sz w:val="24"/>
        </w:rPr>
        <w:t>检疫废物（HW01）</w:t>
      </w:r>
      <w:r>
        <w:rPr>
          <w:rFonts w:hint="eastAsia"/>
          <w:color w:val="auto"/>
          <w:sz w:val="24"/>
          <w:lang w:eastAsia="zh-CN"/>
        </w:rPr>
        <w:t>、</w:t>
      </w:r>
      <w:r>
        <w:rPr>
          <w:rFonts w:hint="eastAsia"/>
          <w:color w:val="auto"/>
          <w:sz w:val="24"/>
          <w:lang w:val="en-US" w:eastAsia="zh-CN"/>
        </w:rPr>
        <w:t>废离子交换树脂、</w:t>
      </w:r>
      <w:r>
        <w:rPr>
          <w:color w:val="auto"/>
          <w:sz w:val="24"/>
          <w:szCs w:val="24"/>
          <w:highlight w:val="none"/>
        </w:rPr>
        <w:t>锅炉布袋除尘器收尘和锅炉灰渣</w:t>
      </w:r>
      <w:r>
        <w:rPr>
          <w:rFonts w:hint="eastAsia"/>
          <w:color w:val="auto"/>
          <w:sz w:val="24"/>
          <w:szCs w:val="24"/>
          <w:highlight w:val="none"/>
          <w:lang w:eastAsia="zh-CN"/>
        </w:rPr>
        <w:t>、</w:t>
      </w:r>
      <w:r>
        <w:rPr>
          <w:rFonts w:hint="eastAsia" w:ascii="Times New Roman" w:hAnsi="Times New Roman" w:eastAsia="宋体" w:cs="Times New Roman"/>
          <w:color w:val="auto"/>
          <w:kern w:val="2"/>
          <w:sz w:val="24"/>
          <w:szCs w:val="24"/>
          <w:lang w:val="en-US" w:eastAsia="zh-CN" w:bidi="ar-SA"/>
        </w:rPr>
        <w:t>废布袋</w:t>
      </w:r>
      <w:r>
        <w:rPr>
          <w:color w:val="auto"/>
          <w:sz w:val="24"/>
        </w:rPr>
        <w:t>。</w:t>
      </w:r>
    </w:p>
    <w:p>
      <w:pPr>
        <w:spacing w:line="360" w:lineRule="auto"/>
        <w:outlineLvl w:val="3"/>
        <w:rPr>
          <w:b/>
          <w:color w:val="auto"/>
          <w:sz w:val="24"/>
        </w:rPr>
      </w:pPr>
      <w:r>
        <w:rPr>
          <w:rFonts w:hint="eastAsia"/>
          <w:b/>
          <w:color w:val="auto"/>
          <w:sz w:val="24"/>
        </w:rPr>
        <w:t>5.2.5.1</w:t>
      </w:r>
      <w:r>
        <w:rPr>
          <w:b/>
          <w:color w:val="auto"/>
          <w:sz w:val="24"/>
        </w:rPr>
        <w:t>一般工业固体废物影响分析</w:t>
      </w:r>
    </w:p>
    <w:p>
      <w:pPr>
        <w:pStyle w:val="74"/>
        <w:adjustRightInd/>
        <w:snapToGrid/>
        <w:contextualSpacing/>
        <w:jc w:val="both"/>
        <w:rPr>
          <w:rFonts w:ascii="Times New Roman" w:hAnsi="Calibri" w:eastAsia="宋体" w:cs="Times New Roman"/>
          <w:bCs/>
          <w:color w:val="FF0000"/>
          <w:highlight w:val="none"/>
        </w:rPr>
      </w:pPr>
      <w:r>
        <w:rPr>
          <w:rFonts w:hint="eastAsia" w:ascii="Times New Roman" w:hAnsi="Times New Roman" w:eastAsia="宋体" w:cs="Times New Roman"/>
          <w:color w:val="auto"/>
        </w:rPr>
        <w:t>本项目采用干清粪工艺，暂存于待宰间内储粪池内，日产日清，使用密闭运输车运走作为有机肥原料外卖</w:t>
      </w:r>
      <w:r>
        <w:rPr>
          <w:rFonts w:ascii="Times New Roman" w:hAnsi="Times New Roman" w:eastAsia="宋体" w:cs="Times New Roman"/>
          <w:color w:val="auto"/>
        </w:rPr>
        <w:t>。</w:t>
      </w:r>
      <w:r>
        <w:rPr>
          <w:rFonts w:hint="eastAsia" w:ascii="Times New Roman" w:hAnsi="Times New Roman" w:eastAsia="宋体" w:cs="Times New Roman"/>
          <w:color w:val="auto"/>
        </w:rPr>
        <w:t>根据</w:t>
      </w:r>
      <w:r>
        <w:rPr>
          <w:rFonts w:ascii="Times New Roman" w:hAnsi="Times New Roman" w:eastAsia="宋体" w:cs="Times New Roman"/>
          <w:color w:val="auto"/>
        </w:rPr>
        <w:t>《</w:t>
      </w:r>
      <w:r>
        <w:rPr>
          <w:rFonts w:hint="eastAsia" w:ascii="Times New Roman" w:hAnsi="Times New Roman" w:eastAsia="宋体" w:cs="Times New Roman"/>
          <w:color w:val="auto"/>
        </w:rPr>
        <w:t>病死及病害动物无</w:t>
      </w:r>
      <w:r>
        <w:rPr>
          <w:rFonts w:hint="eastAsia" w:ascii="Times New Roman" w:hAnsi="Times New Roman" w:eastAsia="宋体" w:cs="Times New Roman"/>
          <w:color w:val="auto"/>
          <w:highlight w:val="none"/>
        </w:rPr>
        <w:t>害化处理技术规范</w:t>
      </w: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农医发〔2017〕25号</w:t>
      </w:r>
      <w:r>
        <w:rPr>
          <w:rFonts w:hint="eastAsia" w:ascii="Times New Roman" w:hAnsi="Times New Roman" w:eastAsia="宋体" w:cs="Times New Roman"/>
          <w:color w:val="auto"/>
          <w:highlight w:val="none"/>
        </w:rPr>
        <w:t>）2017.07.03，本项目检疫不合格肉牛及病死牛委托</w:t>
      </w:r>
      <w:r>
        <w:rPr>
          <w:rFonts w:hint="eastAsia" w:ascii="Times New Roman" w:hAnsi="Times New Roman" w:eastAsia="宋体" w:cs="Times New Roman"/>
          <w:color w:val="auto"/>
          <w:highlight w:val="none"/>
          <w:lang w:eastAsia="zh-CN"/>
        </w:rPr>
        <w:t>无害化处理有限公司</w:t>
      </w:r>
      <w:r>
        <w:rPr>
          <w:rFonts w:hint="eastAsia" w:ascii="Times New Roman" w:hAnsi="Times New Roman" w:eastAsia="宋体" w:cs="Times New Roman"/>
          <w:color w:val="auto"/>
          <w:highlight w:val="none"/>
        </w:rPr>
        <w:t>处理。本项目污水处理站栅渣及污泥送生活垃圾填埋场处理。</w:t>
      </w:r>
      <w:r>
        <w:rPr>
          <w:rFonts w:ascii="Times New Roman" w:hAnsi="Times New Roman" w:eastAsia="宋体" w:cs="Times New Roman"/>
          <w:bCs/>
          <w:color w:val="auto"/>
          <w:highlight w:val="none"/>
        </w:rPr>
        <w:t>本项目</w:t>
      </w:r>
      <w:r>
        <w:rPr>
          <w:rFonts w:hint="eastAsia"/>
          <w:bCs/>
          <w:color w:val="auto"/>
          <w:sz w:val="24"/>
          <w:highlight w:val="none"/>
        </w:rPr>
        <w:t>废活性炭</w:t>
      </w:r>
      <w:r>
        <w:rPr>
          <w:rFonts w:hint="eastAsia"/>
          <w:bCs/>
          <w:color w:val="auto"/>
          <w:sz w:val="24"/>
          <w:highlight w:val="none"/>
          <w:lang w:val="en-US" w:eastAsia="zh-CN"/>
        </w:rPr>
        <w:t>交由厂家再生利用</w:t>
      </w:r>
      <w:r>
        <w:rPr>
          <w:rFonts w:ascii="Times New Roman" w:hAnsi="Calibri" w:eastAsia="宋体" w:cs="Times New Roman"/>
          <w:bCs/>
          <w:color w:val="auto"/>
          <w:highlight w:val="none"/>
        </w:rPr>
        <w:t>。本项目废弃包装物集中收集，外售综合利用。本项目肠胃内容物</w:t>
      </w:r>
      <w:r>
        <w:rPr>
          <w:rFonts w:hint="eastAsia" w:ascii="Times New Roman" w:hAnsi="Calibri" w:eastAsia="宋体" w:cs="Times New Roman"/>
          <w:bCs/>
          <w:color w:val="auto"/>
          <w:highlight w:val="none"/>
        </w:rPr>
        <w:t>同粪便暂存于待宰间内储粪池内，日产日清，使用密闭运输车运走作为有机肥原料外卖。本项目不可食用内脏采用专用存储桶暂存屠宰车间内，日产日清，</w:t>
      </w:r>
      <w:r>
        <w:rPr>
          <w:rFonts w:ascii="Times New Roman" w:hAnsi="Calibri" w:eastAsia="宋体" w:cs="Times New Roman"/>
          <w:bCs/>
          <w:color w:val="auto"/>
          <w:highlight w:val="none"/>
        </w:rPr>
        <w:t>集中收集交由</w:t>
      </w:r>
      <w:r>
        <w:rPr>
          <w:rFonts w:hint="eastAsia" w:ascii="Times New Roman" w:hAnsi="Calibri" w:eastAsia="宋体" w:cs="Times New Roman"/>
          <w:bCs/>
          <w:color w:val="auto"/>
          <w:highlight w:val="none"/>
          <w:lang w:eastAsia="zh-CN"/>
        </w:rPr>
        <w:t>无害化处理有限公司</w:t>
      </w:r>
      <w:r>
        <w:rPr>
          <w:rFonts w:hint="eastAsia" w:ascii="Times New Roman" w:hAnsi="Calibri" w:eastAsia="宋体" w:cs="Times New Roman"/>
          <w:bCs/>
          <w:color w:val="auto"/>
          <w:highlight w:val="none"/>
        </w:rPr>
        <w:t>处理</w:t>
      </w:r>
      <w:r>
        <w:rPr>
          <w:rFonts w:ascii="Times New Roman" w:hAnsi="Calibri" w:eastAsia="宋体" w:cs="Times New Roman"/>
          <w:bCs/>
          <w:color w:val="auto"/>
          <w:highlight w:val="none"/>
        </w:rPr>
        <w:t>。</w:t>
      </w:r>
      <w:r>
        <w:rPr>
          <w:rFonts w:hint="eastAsia"/>
          <w:bCs/>
          <w:color w:val="auto"/>
          <w:sz w:val="24"/>
          <w:highlight w:val="none"/>
          <w:lang w:val="en-US" w:eastAsia="zh-CN"/>
        </w:rPr>
        <w:t>锅炉房软化水设备产生的废离子交换树脂由厂家回收；废布袋由除尘器厂家回收利用；锅炉产生灰渣暂存于锅炉房内灰渣间，收集后袋装密封暂存，外售用于生产有机肥。</w:t>
      </w:r>
    </w:p>
    <w:p>
      <w:pPr>
        <w:spacing w:line="360" w:lineRule="auto"/>
        <w:outlineLvl w:val="3"/>
        <w:rPr>
          <w:b/>
          <w:color w:val="auto"/>
          <w:sz w:val="24"/>
          <w:highlight w:val="none"/>
        </w:rPr>
      </w:pPr>
      <w:r>
        <w:rPr>
          <w:rFonts w:hint="eastAsia"/>
          <w:b/>
          <w:color w:val="auto"/>
          <w:sz w:val="24"/>
          <w:highlight w:val="none"/>
        </w:rPr>
        <w:t>5.2.5.2</w:t>
      </w:r>
      <w:r>
        <w:rPr>
          <w:b/>
          <w:color w:val="auto"/>
          <w:sz w:val="24"/>
          <w:highlight w:val="none"/>
        </w:rPr>
        <w:t>危险废物影响分析</w:t>
      </w:r>
    </w:p>
    <w:p>
      <w:pPr>
        <w:pStyle w:val="74"/>
        <w:adjustRightInd/>
        <w:snapToGrid/>
        <w:jc w:val="both"/>
        <w:rPr>
          <w:rFonts w:ascii="Times New Roman" w:hAnsi="Times New Roman" w:eastAsia="宋体" w:cs="Times New Roman"/>
          <w:snapToGrid w:val="0"/>
          <w:color w:val="auto"/>
          <w:kern w:val="0"/>
          <w:highlight w:val="none"/>
        </w:rPr>
      </w:pPr>
      <w:r>
        <w:rPr>
          <w:rFonts w:hint="eastAsia" w:ascii="Times New Roman" w:hAnsi="Times New Roman" w:eastAsia="宋体" w:cs="Times New Roman"/>
          <w:snapToGrid w:val="0"/>
          <w:color w:val="auto"/>
          <w:kern w:val="0"/>
          <w:highlight w:val="none"/>
        </w:rPr>
        <w:t>（1）危险废物产生及收集环境影响分析</w:t>
      </w:r>
    </w:p>
    <w:p>
      <w:pPr>
        <w:pStyle w:val="74"/>
        <w:adjustRightInd/>
        <w:snapToGrid/>
        <w:jc w:val="both"/>
        <w:rPr>
          <w:rFonts w:ascii="Times New Roman" w:hAnsi="Times New Roman" w:eastAsia="宋体" w:cs="Times New Roman"/>
          <w:snapToGrid w:val="0"/>
          <w:color w:val="auto"/>
          <w:kern w:val="0"/>
          <w:highlight w:val="none"/>
        </w:rPr>
      </w:pPr>
      <w:r>
        <w:rPr>
          <w:rFonts w:hint="eastAsia" w:ascii="Times New Roman" w:hAnsi="Times New Roman" w:eastAsia="宋体" w:cs="Times New Roman"/>
          <w:snapToGrid w:val="0"/>
          <w:color w:val="auto"/>
          <w:kern w:val="0"/>
          <w:highlight w:val="none"/>
        </w:rPr>
        <w:t>本项目危险废物来自于检疫过程中产生的检疫废物类别为HW01医疗废物，代码为841-005-01，</w:t>
      </w:r>
      <w:r>
        <w:rPr>
          <w:rFonts w:ascii="Times New Roman" w:hAnsi="Times New Roman" w:eastAsia="宋体" w:cs="Times New Roman"/>
          <w:snapToGrid w:val="0"/>
          <w:color w:val="auto"/>
          <w:kern w:val="0"/>
          <w:highlight w:val="none"/>
        </w:rPr>
        <w:t>产生量</w:t>
      </w:r>
      <w:r>
        <w:rPr>
          <w:rFonts w:hint="eastAsia" w:ascii="Times New Roman" w:hAnsi="Times New Roman" w:eastAsia="宋体" w:cs="Times New Roman"/>
          <w:snapToGrid w:val="0"/>
          <w:color w:val="auto"/>
          <w:kern w:val="0"/>
          <w:highlight w:val="none"/>
        </w:rPr>
        <w:t>约为</w:t>
      </w:r>
      <w:r>
        <w:rPr>
          <w:rFonts w:ascii="Times New Roman" w:hAnsi="Times New Roman" w:eastAsia="宋体" w:cs="Times New Roman"/>
          <w:snapToGrid w:val="0"/>
          <w:color w:val="auto"/>
          <w:kern w:val="0"/>
          <w:highlight w:val="none"/>
        </w:rPr>
        <w:t>0.</w:t>
      </w:r>
      <w:r>
        <w:rPr>
          <w:rFonts w:hint="eastAsia" w:ascii="Times New Roman" w:hAnsi="Times New Roman" w:eastAsia="宋体" w:cs="Times New Roman"/>
          <w:snapToGrid w:val="0"/>
          <w:color w:val="auto"/>
          <w:kern w:val="0"/>
          <w:highlight w:val="none"/>
        </w:rPr>
        <w:t>3</w:t>
      </w:r>
      <w:r>
        <w:rPr>
          <w:rFonts w:ascii="Times New Roman" w:hAnsi="Times New Roman" w:eastAsia="宋体" w:cs="Times New Roman"/>
          <w:snapToGrid w:val="0"/>
          <w:color w:val="auto"/>
          <w:kern w:val="0"/>
          <w:highlight w:val="none"/>
        </w:rPr>
        <w:t>t/a。危险废物产生后采用防漏胶袋盛装就地收集包装，然后采用专用转运车转移至厂区内</w:t>
      </w:r>
      <w:r>
        <w:rPr>
          <w:rFonts w:hint="eastAsia" w:ascii="Times New Roman" w:hAnsi="Times New Roman" w:eastAsia="宋体" w:cs="Times New Roman"/>
          <w:snapToGrid w:val="0"/>
          <w:color w:val="auto"/>
          <w:kern w:val="0"/>
          <w:highlight w:val="none"/>
          <w:lang w:eastAsia="zh-CN"/>
        </w:rPr>
        <w:t>危险废物贮存点</w:t>
      </w:r>
      <w:r>
        <w:rPr>
          <w:rFonts w:ascii="Times New Roman" w:hAnsi="Times New Roman" w:eastAsia="宋体" w:cs="Times New Roman"/>
          <w:snapToGrid w:val="0"/>
          <w:color w:val="auto"/>
          <w:kern w:val="0"/>
          <w:highlight w:val="none"/>
        </w:rPr>
        <w:t>贮存。不会对周围环境造成影响。</w:t>
      </w:r>
    </w:p>
    <w:p>
      <w:pPr>
        <w:pStyle w:val="74"/>
        <w:adjustRightInd/>
        <w:snapToGrid/>
        <w:jc w:val="both"/>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w:t>
      </w:r>
      <w:r>
        <w:rPr>
          <w:rFonts w:hint="eastAsia" w:ascii="Times New Roman" w:hAnsi="Times New Roman" w:eastAsia="宋体" w:cs="Times New Roman"/>
          <w:snapToGrid w:val="0"/>
          <w:color w:val="auto"/>
          <w:kern w:val="0"/>
          <w:highlight w:val="none"/>
        </w:rPr>
        <w:t>2</w:t>
      </w:r>
      <w:r>
        <w:rPr>
          <w:rFonts w:ascii="Times New Roman" w:hAnsi="Times New Roman" w:eastAsia="宋体" w:cs="Times New Roman"/>
          <w:snapToGrid w:val="0"/>
          <w:color w:val="auto"/>
          <w:kern w:val="0"/>
          <w:highlight w:val="none"/>
        </w:rPr>
        <w:t>）危险废物贮存场所（设施）环境影响分析</w:t>
      </w:r>
    </w:p>
    <w:p>
      <w:pPr>
        <w:pStyle w:val="74"/>
        <w:adjustRightInd/>
        <w:snapToGrid/>
        <w:jc w:val="both"/>
        <w:rPr>
          <w:rFonts w:ascii="Times New Roman" w:hAnsi="Times New Roman" w:eastAsia="宋体" w:cs="Times New Roman"/>
          <w:snapToGrid w:val="0"/>
          <w:color w:val="auto"/>
          <w:kern w:val="0"/>
        </w:rPr>
      </w:pPr>
      <w:r>
        <w:rPr>
          <w:rFonts w:hint="eastAsia" w:ascii="Times New Roman" w:hAnsi="Times New Roman" w:eastAsia="宋体" w:cs="Times New Roman"/>
          <w:snapToGrid w:val="0"/>
          <w:color w:val="auto"/>
          <w:kern w:val="0"/>
          <w:highlight w:val="none"/>
        </w:rPr>
        <w:t>①</w:t>
      </w:r>
      <w:r>
        <w:rPr>
          <w:rFonts w:ascii="Times New Roman" w:hAnsi="Times New Roman" w:eastAsia="宋体" w:cs="Times New Roman"/>
          <w:snapToGrid w:val="0"/>
          <w:color w:val="auto"/>
          <w:kern w:val="0"/>
          <w:highlight w:val="none"/>
        </w:rPr>
        <w:t>本项目</w:t>
      </w:r>
      <w:r>
        <w:rPr>
          <w:rFonts w:hint="eastAsia" w:ascii="Times New Roman" w:hAnsi="Times New Roman" w:eastAsia="宋体" w:cs="Times New Roman"/>
          <w:snapToGrid w:val="0"/>
          <w:color w:val="auto"/>
          <w:kern w:val="0"/>
          <w:highlight w:val="none"/>
          <w:lang w:eastAsia="zh-CN"/>
        </w:rPr>
        <w:t>危险废物贮存点</w:t>
      </w:r>
      <w:r>
        <w:rPr>
          <w:rFonts w:ascii="Times New Roman" w:hAnsi="Times New Roman" w:eastAsia="宋体" w:cs="Times New Roman"/>
          <w:snapToGrid w:val="0"/>
          <w:color w:val="auto"/>
          <w:kern w:val="0"/>
          <w:highlight w:val="none"/>
        </w:rPr>
        <w:t>位于</w:t>
      </w:r>
      <w:r>
        <w:rPr>
          <w:rFonts w:hint="eastAsia" w:ascii="Times New Roman" w:hAnsi="Times New Roman" w:eastAsia="宋体" w:cs="Times New Roman"/>
          <w:snapToGrid w:val="0"/>
          <w:color w:val="auto"/>
          <w:kern w:val="0"/>
          <w:highlight w:val="none"/>
          <w:lang w:val="en-US" w:eastAsia="zh-CN"/>
        </w:rPr>
        <w:t>屠宰车间</w:t>
      </w:r>
      <w:r>
        <w:rPr>
          <w:rFonts w:ascii="Times New Roman" w:hAnsi="Times New Roman" w:eastAsia="宋体" w:cs="Times New Roman"/>
          <w:snapToGrid w:val="0"/>
          <w:color w:val="auto"/>
          <w:kern w:val="0"/>
          <w:highlight w:val="none"/>
        </w:rPr>
        <w:t>内，选址满足生态环境保护法律法规、规划和“三线一单”生态环境分区管控的要求，选址不在</w:t>
      </w:r>
      <w:r>
        <w:rPr>
          <w:rFonts w:hint="eastAsia" w:ascii="Times New Roman" w:hAnsi="Times New Roman" w:eastAsia="宋体" w:cs="Times New Roman"/>
          <w:snapToGrid w:val="0"/>
          <w:color w:val="auto"/>
          <w:kern w:val="0"/>
          <w:highlight w:val="none"/>
        </w:rPr>
        <w:t>生态保</w:t>
      </w:r>
      <w:r>
        <w:rPr>
          <w:rFonts w:hint="eastAsia" w:ascii="Times New Roman" w:hAnsi="Times New Roman" w:eastAsia="宋体" w:cs="Times New Roman"/>
          <w:snapToGrid w:val="0"/>
          <w:color w:val="auto"/>
          <w:kern w:val="0"/>
        </w:rPr>
        <w:t>护红线区域、永久基本农田和其他需要特别保护的区域内，不在溶洞区或易遭受洪水、滑坡、泥石流、潮汐等严重自然灾害影响的地区，不在江河、湖泊、运河、渠道、水库及其最高水位线以下的滩地和岸坡，以及法律法规规定禁止贮存危险废物的其他地点。</w:t>
      </w:r>
      <w:r>
        <w:rPr>
          <w:rFonts w:hint="eastAsia" w:ascii="Times New Roman" w:hAnsi="Times New Roman" w:eastAsia="宋体" w:cs="Times New Roman"/>
          <w:snapToGrid w:val="0"/>
          <w:color w:val="auto"/>
          <w:kern w:val="0"/>
          <w:lang w:eastAsia="zh-CN"/>
        </w:rPr>
        <w:t>危险废物贮存点</w:t>
      </w:r>
      <w:r>
        <w:rPr>
          <w:rFonts w:hint="eastAsia" w:ascii="Times New Roman" w:hAnsi="Times New Roman" w:eastAsia="宋体" w:cs="Times New Roman"/>
          <w:snapToGrid w:val="0"/>
          <w:color w:val="auto"/>
          <w:kern w:val="0"/>
        </w:rPr>
        <w:t>选址结构稳定且设施底部高于地下水最高水位，周围无易燃、易爆等危险品仓库、高压输电线路防护区域，</w:t>
      </w:r>
      <w:r>
        <w:rPr>
          <w:rFonts w:hint="eastAsia" w:ascii="Times New Roman" w:hAnsi="Times New Roman" w:eastAsia="宋体" w:cs="Times New Roman"/>
          <w:snapToGrid w:val="0"/>
          <w:color w:val="auto"/>
          <w:kern w:val="0"/>
          <w:lang w:eastAsia="zh-CN"/>
        </w:rPr>
        <w:t>危险废物贮存点</w:t>
      </w:r>
      <w:r>
        <w:rPr>
          <w:rFonts w:hint="eastAsia" w:ascii="Times New Roman" w:hAnsi="Times New Roman" w:eastAsia="宋体" w:cs="Times New Roman"/>
          <w:snapToGrid w:val="0"/>
          <w:color w:val="auto"/>
          <w:kern w:val="0"/>
        </w:rPr>
        <w:t>采取</w:t>
      </w:r>
      <w:r>
        <w:rPr>
          <w:rFonts w:ascii="Times New Roman" w:hAnsi="Times New Roman" w:eastAsia="宋体" w:cs="Times New Roman"/>
          <w:snapToGrid w:val="0"/>
          <w:color w:val="auto"/>
          <w:kern w:val="0"/>
        </w:rPr>
        <w:t>基础防渗层为至少1m厚粘土层（渗透系数K≤10</w:t>
      </w:r>
      <w:r>
        <w:rPr>
          <w:rFonts w:ascii="Times New Roman" w:hAnsi="Times New Roman" w:eastAsia="宋体" w:cs="Times New Roman"/>
          <w:snapToGrid w:val="0"/>
          <w:color w:val="auto"/>
          <w:kern w:val="0"/>
          <w:vertAlign w:val="superscript"/>
        </w:rPr>
        <w:t>-7</w:t>
      </w:r>
      <w:r>
        <w:rPr>
          <w:rFonts w:ascii="Times New Roman" w:hAnsi="Times New Roman" w:eastAsia="宋体" w:cs="Times New Roman"/>
          <w:snapToGrid w:val="0"/>
          <w:color w:val="auto"/>
          <w:kern w:val="0"/>
        </w:rPr>
        <w:t>cm/s）或2mm厚高密度聚乙烯或至少2mm厚的其他人工材料（渗透系数K≤10</w:t>
      </w:r>
      <w:r>
        <w:rPr>
          <w:rFonts w:ascii="Times New Roman" w:hAnsi="Times New Roman" w:eastAsia="宋体" w:cs="Times New Roman"/>
          <w:snapToGrid w:val="0"/>
          <w:color w:val="auto"/>
          <w:kern w:val="0"/>
          <w:vertAlign w:val="superscript"/>
        </w:rPr>
        <w:t>-10</w:t>
      </w:r>
      <w:r>
        <w:rPr>
          <w:rFonts w:ascii="Times New Roman" w:hAnsi="Times New Roman" w:eastAsia="宋体" w:cs="Times New Roman"/>
          <w:snapToGrid w:val="0"/>
          <w:color w:val="auto"/>
          <w:kern w:val="0"/>
        </w:rPr>
        <w:t>cm/s），满足</w:t>
      </w:r>
      <w:r>
        <w:rPr>
          <w:rFonts w:ascii="Times New Roman" w:hAnsi="宋体" w:eastAsia="宋体" w:cs="Times New Roman"/>
          <w:color w:val="auto"/>
        </w:rPr>
        <w:t>《危险废物贮存污染控制标准》（GB 18597-2023）</w:t>
      </w:r>
      <w:r>
        <w:rPr>
          <w:rFonts w:ascii="Times New Roman" w:hAnsi="Times New Roman" w:eastAsia="宋体" w:cs="Times New Roman"/>
          <w:snapToGrid w:val="0"/>
          <w:color w:val="auto"/>
          <w:kern w:val="0"/>
        </w:rPr>
        <w:t>贮存设施的选址</w:t>
      </w:r>
      <w:r>
        <w:rPr>
          <w:rFonts w:hint="eastAsia" w:ascii="Times New Roman" w:hAnsi="Times New Roman" w:eastAsia="宋体" w:cs="Times New Roman"/>
          <w:snapToGrid w:val="0"/>
          <w:color w:val="auto"/>
          <w:kern w:val="0"/>
        </w:rPr>
        <w:t>要求</w:t>
      </w:r>
      <w:r>
        <w:rPr>
          <w:rFonts w:ascii="Times New Roman" w:hAnsi="Times New Roman" w:eastAsia="宋体" w:cs="Times New Roman"/>
          <w:snapToGrid w:val="0"/>
          <w:color w:val="auto"/>
          <w:kern w:val="0"/>
        </w:rPr>
        <w:t>；</w:t>
      </w:r>
    </w:p>
    <w:p>
      <w:pPr>
        <w:pStyle w:val="74"/>
        <w:adjustRightInd/>
        <w:snapToGrid/>
        <w:rPr>
          <w:rFonts w:ascii="Times New Roman" w:hAnsi="Times New Roman" w:eastAsia="宋体" w:cs="Times New Roman"/>
          <w:snapToGrid w:val="0"/>
          <w:color w:val="auto"/>
          <w:kern w:val="0"/>
        </w:rPr>
      </w:pPr>
      <w:r>
        <w:rPr>
          <w:rFonts w:hint="eastAsia" w:ascii="宋体" w:hAnsi="宋体" w:eastAsia="宋体" w:cs="宋体"/>
          <w:snapToGrid w:val="0"/>
          <w:color w:val="auto"/>
          <w:kern w:val="0"/>
        </w:rPr>
        <w:t>②</w:t>
      </w:r>
      <w:r>
        <w:rPr>
          <w:rFonts w:hint="eastAsia" w:ascii="Times New Roman" w:hAnsi="Times New Roman" w:eastAsia="宋体" w:cs="Times New Roman"/>
          <w:snapToGrid w:val="0"/>
          <w:color w:val="auto"/>
          <w:kern w:val="0"/>
          <w:lang w:eastAsia="zh-CN"/>
        </w:rPr>
        <w:t>危险废物贮存点</w:t>
      </w:r>
      <w:r>
        <w:rPr>
          <w:rFonts w:ascii="Times New Roman" w:hAnsi="Times New Roman" w:eastAsia="宋体" w:cs="Times New Roman"/>
          <w:snapToGrid w:val="0"/>
          <w:color w:val="auto"/>
          <w:kern w:val="0"/>
        </w:rPr>
        <w:t>设计贮存</w:t>
      </w:r>
      <w:r>
        <w:rPr>
          <w:rFonts w:hint="eastAsia" w:ascii="Times New Roman" w:hAnsi="Times New Roman" w:eastAsia="宋体" w:cs="Times New Roman"/>
          <w:snapToGrid w:val="0"/>
          <w:color w:val="auto"/>
          <w:kern w:val="0"/>
        </w:rPr>
        <w:t>能力</w:t>
      </w:r>
      <w:r>
        <w:rPr>
          <w:rFonts w:ascii="Times New Roman" w:hAnsi="Times New Roman" w:eastAsia="宋体" w:cs="Times New Roman"/>
          <w:snapToGrid w:val="0"/>
          <w:color w:val="auto"/>
          <w:kern w:val="0"/>
        </w:rPr>
        <w:t>为1t，贮存周期为7天，</w:t>
      </w:r>
      <w:r>
        <w:rPr>
          <w:rFonts w:hint="eastAsia" w:ascii="Times New Roman" w:hAnsi="Times New Roman" w:eastAsia="宋体" w:cs="Times New Roman"/>
          <w:snapToGrid w:val="0"/>
          <w:color w:val="auto"/>
          <w:kern w:val="0"/>
        </w:rPr>
        <w:t>本项目产生量为0.3t/a，</w:t>
      </w:r>
      <w:r>
        <w:rPr>
          <w:rFonts w:ascii="Times New Roman" w:hAnsi="Times New Roman" w:eastAsia="宋体" w:cs="Times New Roman"/>
          <w:snapToGrid w:val="0"/>
          <w:color w:val="auto"/>
          <w:kern w:val="0"/>
        </w:rPr>
        <w:t>能够满足本项目危险废物转运处置需求；</w:t>
      </w:r>
    </w:p>
    <w:p>
      <w:pPr>
        <w:pStyle w:val="74"/>
        <w:adjustRightInd/>
        <w:snapToGrid/>
        <w:jc w:val="both"/>
        <w:rPr>
          <w:rFonts w:ascii="Times New Roman" w:hAnsi="Times New Roman" w:eastAsia="宋体" w:cs="Times New Roman"/>
          <w:snapToGrid w:val="0"/>
          <w:color w:val="auto"/>
          <w:kern w:val="0"/>
        </w:rPr>
      </w:pPr>
      <w:r>
        <w:rPr>
          <w:rFonts w:hint="eastAsia" w:ascii="宋体" w:hAnsi="宋体" w:eastAsia="宋体" w:cs="宋体"/>
          <w:snapToGrid w:val="0"/>
          <w:color w:val="auto"/>
          <w:kern w:val="0"/>
        </w:rPr>
        <w:t>③</w:t>
      </w:r>
      <w:r>
        <w:rPr>
          <w:rFonts w:ascii="Times New Roman" w:hAnsi="Times New Roman" w:eastAsia="宋体" w:cs="Times New Roman"/>
          <w:snapToGrid w:val="0"/>
          <w:color w:val="auto"/>
          <w:kern w:val="0"/>
        </w:rPr>
        <w:t>本项目</w:t>
      </w:r>
      <w:r>
        <w:rPr>
          <w:rFonts w:hint="eastAsia" w:ascii="Times New Roman" w:hAnsi="Times New Roman" w:eastAsia="宋体" w:cs="Times New Roman"/>
          <w:snapToGrid w:val="0"/>
          <w:color w:val="auto"/>
          <w:kern w:val="0"/>
        </w:rPr>
        <w:t>检疫</w:t>
      </w:r>
      <w:r>
        <w:rPr>
          <w:rFonts w:ascii="Times New Roman" w:hAnsi="Times New Roman" w:eastAsia="宋体" w:cs="Times New Roman"/>
          <w:snapToGrid w:val="0"/>
          <w:color w:val="auto"/>
          <w:kern w:val="0"/>
        </w:rPr>
        <w:t>废物</w:t>
      </w:r>
      <w:r>
        <w:rPr>
          <w:rFonts w:hint="eastAsia" w:ascii="Times New Roman" w:hAnsi="Times New Roman" w:eastAsia="宋体" w:cs="Times New Roman"/>
          <w:bCs/>
          <w:snapToGrid w:val="0"/>
          <w:color w:val="auto"/>
          <w:kern w:val="0"/>
        </w:rPr>
        <w:t>（HW01）</w:t>
      </w:r>
      <w:r>
        <w:rPr>
          <w:rFonts w:ascii="Times New Roman" w:hAnsi="Times New Roman" w:eastAsia="宋体" w:cs="Times New Roman"/>
          <w:snapToGrid w:val="0"/>
          <w:color w:val="auto"/>
          <w:kern w:val="0"/>
        </w:rPr>
        <w:t>采用防漏胶袋盛装，贮存过程中密闭，无废气产生，地面及墙裙均按照《危险废物贮存污染控制标准》（GB 18597-2023）进行防渗，因此正常情况下对环境空气、地表水、地下水、土壤和居民区、饮用水井、农田等保护目标无影响。</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color w:val="auto"/>
          <w:sz w:val="24"/>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color w:val="auto"/>
          <w:sz w:val="24"/>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color w:val="auto"/>
          <w:sz w:val="24"/>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color w:val="auto"/>
          <w:sz w:val="24"/>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color w:val="auto"/>
          <w:sz w:val="24"/>
        </w:rPr>
      </w:pPr>
      <w:r>
        <w:rPr>
          <w:b/>
          <w:bCs/>
          <w:color w:val="auto"/>
          <w:sz w:val="24"/>
        </w:rPr>
        <w:t>表5-2-2</w:t>
      </w:r>
      <w:r>
        <w:rPr>
          <w:rFonts w:hint="eastAsia"/>
          <w:b/>
          <w:bCs/>
          <w:color w:val="auto"/>
          <w:sz w:val="24"/>
          <w:lang w:val="en-US" w:eastAsia="zh-CN"/>
        </w:rPr>
        <w:t>3</w:t>
      </w:r>
      <w:r>
        <w:rPr>
          <w:b/>
          <w:bCs/>
          <w:color w:val="auto"/>
          <w:sz w:val="24"/>
        </w:rPr>
        <w:t xml:space="preserve"> 建设项目危险废物贮存场所（设施）基本情况表</w:t>
      </w:r>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6"/>
        <w:gridCol w:w="666"/>
        <w:gridCol w:w="1196"/>
        <w:gridCol w:w="776"/>
        <w:gridCol w:w="1196"/>
        <w:gridCol w:w="666"/>
        <w:gridCol w:w="673"/>
        <w:gridCol w:w="666"/>
        <w:gridCol w:w="666"/>
        <w:gridCol w:w="684"/>
        <w:gridCol w:w="6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6" w:type="dxa"/>
            <w:tcBorders>
              <w:top w:val="single" w:color="auto" w:sz="12" w:space="0"/>
              <w:left w:val="nil"/>
              <w:bottom w:val="single" w:color="auto" w:sz="6" w:space="0"/>
              <w:right w:val="single" w:color="auto" w:sz="6" w:space="0"/>
            </w:tcBorders>
            <w:vAlign w:val="center"/>
          </w:tcPr>
          <w:p>
            <w:pPr>
              <w:keepNext/>
              <w:keepLines/>
              <w:tabs>
                <w:tab w:val="left" w:pos="720"/>
              </w:tabs>
              <w:jc w:val="center"/>
              <w:outlineLvl w:val="2"/>
              <w:rPr>
                <w:color w:val="auto"/>
                <w:kern w:val="0"/>
                <w:sz w:val="21"/>
                <w:szCs w:val="21"/>
              </w:rPr>
            </w:pPr>
            <w:r>
              <w:rPr>
                <w:color w:val="auto"/>
                <w:kern w:val="0"/>
                <w:sz w:val="21"/>
                <w:szCs w:val="21"/>
              </w:rPr>
              <w:t>序号</w:t>
            </w:r>
          </w:p>
        </w:tc>
        <w:tc>
          <w:tcPr>
            <w:tcW w:w="666" w:type="dxa"/>
            <w:tcBorders>
              <w:top w:val="single" w:color="auto" w:sz="12" w:space="0"/>
              <w:left w:val="single" w:color="auto" w:sz="6" w:space="0"/>
              <w:bottom w:val="single" w:color="auto" w:sz="6" w:space="0"/>
              <w:right w:val="single" w:color="auto" w:sz="6" w:space="0"/>
            </w:tcBorders>
            <w:vAlign w:val="center"/>
          </w:tcPr>
          <w:p>
            <w:pPr>
              <w:keepNext/>
              <w:keepLines/>
              <w:tabs>
                <w:tab w:val="left" w:pos="720"/>
              </w:tabs>
              <w:jc w:val="center"/>
              <w:outlineLvl w:val="2"/>
              <w:rPr>
                <w:color w:val="auto"/>
                <w:kern w:val="0"/>
                <w:sz w:val="21"/>
                <w:szCs w:val="21"/>
              </w:rPr>
            </w:pPr>
            <w:r>
              <w:rPr>
                <w:color w:val="auto"/>
                <w:kern w:val="0"/>
                <w:sz w:val="21"/>
                <w:szCs w:val="21"/>
              </w:rPr>
              <w:t>贮存场所</w:t>
            </w:r>
          </w:p>
        </w:tc>
        <w:tc>
          <w:tcPr>
            <w:tcW w:w="1196" w:type="dxa"/>
            <w:tcBorders>
              <w:top w:val="single" w:color="auto" w:sz="12" w:space="0"/>
              <w:left w:val="single" w:color="auto" w:sz="6" w:space="0"/>
              <w:bottom w:val="single" w:color="auto" w:sz="6" w:space="0"/>
              <w:right w:val="single" w:color="auto" w:sz="6" w:space="0"/>
            </w:tcBorders>
            <w:vAlign w:val="center"/>
          </w:tcPr>
          <w:p>
            <w:pPr>
              <w:keepNext/>
              <w:keepLines/>
              <w:tabs>
                <w:tab w:val="left" w:pos="720"/>
              </w:tabs>
              <w:jc w:val="center"/>
              <w:outlineLvl w:val="2"/>
              <w:rPr>
                <w:color w:val="auto"/>
                <w:kern w:val="0"/>
                <w:sz w:val="21"/>
                <w:szCs w:val="21"/>
              </w:rPr>
            </w:pPr>
            <w:r>
              <w:rPr>
                <w:color w:val="auto"/>
                <w:kern w:val="0"/>
                <w:sz w:val="21"/>
                <w:szCs w:val="21"/>
              </w:rPr>
              <w:t>危险废物名称</w:t>
            </w:r>
          </w:p>
        </w:tc>
        <w:tc>
          <w:tcPr>
            <w:tcW w:w="776" w:type="dxa"/>
            <w:tcBorders>
              <w:top w:val="single" w:color="auto" w:sz="12" w:space="0"/>
              <w:left w:val="single" w:color="auto" w:sz="6" w:space="0"/>
              <w:bottom w:val="single" w:color="auto" w:sz="6" w:space="0"/>
              <w:right w:val="single" w:color="auto" w:sz="6" w:space="0"/>
            </w:tcBorders>
            <w:vAlign w:val="center"/>
          </w:tcPr>
          <w:p>
            <w:pPr>
              <w:keepNext/>
              <w:keepLines/>
              <w:tabs>
                <w:tab w:val="left" w:pos="720"/>
              </w:tabs>
              <w:jc w:val="center"/>
              <w:outlineLvl w:val="2"/>
              <w:rPr>
                <w:color w:val="auto"/>
                <w:kern w:val="0"/>
                <w:sz w:val="21"/>
                <w:szCs w:val="21"/>
              </w:rPr>
            </w:pPr>
            <w:r>
              <w:rPr>
                <w:color w:val="auto"/>
                <w:kern w:val="0"/>
                <w:sz w:val="21"/>
                <w:szCs w:val="21"/>
              </w:rPr>
              <w:t>危险废物类别</w:t>
            </w:r>
          </w:p>
        </w:tc>
        <w:tc>
          <w:tcPr>
            <w:tcW w:w="1196" w:type="dxa"/>
            <w:tcBorders>
              <w:top w:val="single" w:color="auto" w:sz="12" w:space="0"/>
              <w:left w:val="single" w:color="auto" w:sz="6" w:space="0"/>
              <w:bottom w:val="single" w:color="auto" w:sz="6" w:space="0"/>
              <w:right w:val="single" w:color="auto" w:sz="6" w:space="0"/>
            </w:tcBorders>
            <w:vAlign w:val="center"/>
          </w:tcPr>
          <w:p>
            <w:pPr>
              <w:keepNext/>
              <w:keepLines/>
              <w:tabs>
                <w:tab w:val="left" w:pos="720"/>
              </w:tabs>
              <w:jc w:val="center"/>
              <w:outlineLvl w:val="2"/>
              <w:rPr>
                <w:color w:val="auto"/>
                <w:kern w:val="0"/>
                <w:sz w:val="21"/>
                <w:szCs w:val="21"/>
              </w:rPr>
            </w:pPr>
            <w:r>
              <w:rPr>
                <w:color w:val="auto"/>
                <w:kern w:val="0"/>
                <w:sz w:val="21"/>
                <w:szCs w:val="21"/>
              </w:rPr>
              <w:t>危险废物代码</w:t>
            </w:r>
          </w:p>
        </w:tc>
        <w:tc>
          <w:tcPr>
            <w:tcW w:w="666" w:type="dxa"/>
            <w:tcBorders>
              <w:top w:val="single" w:color="auto" w:sz="12" w:space="0"/>
              <w:left w:val="single" w:color="auto" w:sz="6" w:space="0"/>
              <w:bottom w:val="single" w:color="auto" w:sz="6" w:space="0"/>
              <w:right w:val="single" w:color="auto" w:sz="6" w:space="0"/>
            </w:tcBorders>
            <w:vAlign w:val="center"/>
          </w:tcPr>
          <w:p>
            <w:pPr>
              <w:keepNext/>
              <w:keepLines/>
              <w:tabs>
                <w:tab w:val="left" w:pos="720"/>
              </w:tabs>
              <w:jc w:val="center"/>
              <w:outlineLvl w:val="2"/>
              <w:rPr>
                <w:color w:val="auto"/>
                <w:kern w:val="0"/>
                <w:sz w:val="21"/>
                <w:szCs w:val="21"/>
              </w:rPr>
            </w:pPr>
            <w:r>
              <w:rPr>
                <w:color w:val="auto"/>
                <w:kern w:val="0"/>
                <w:sz w:val="21"/>
                <w:szCs w:val="21"/>
              </w:rPr>
              <w:t>位置</w:t>
            </w:r>
          </w:p>
        </w:tc>
        <w:tc>
          <w:tcPr>
            <w:tcW w:w="673" w:type="dxa"/>
            <w:tcBorders>
              <w:top w:val="single" w:color="auto" w:sz="12" w:space="0"/>
              <w:left w:val="single" w:color="auto" w:sz="6" w:space="0"/>
              <w:bottom w:val="single" w:color="auto" w:sz="6" w:space="0"/>
              <w:right w:val="single" w:color="auto" w:sz="6" w:space="0"/>
            </w:tcBorders>
            <w:vAlign w:val="center"/>
          </w:tcPr>
          <w:p>
            <w:pPr>
              <w:keepNext/>
              <w:keepLines/>
              <w:tabs>
                <w:tab w:val="left" w:pos="720"/>
              </w:tabs>
              <w:jc w:val="center"/>
              <w:outlineLvl w:val="2"/>
              <w:rPr>
                <w:color w:val="auto"/>
                <w:kern w:val="0"/>
                <w:sz w:val="21"/>
                <w:szCs w:val="21"/>
              </w:rPr>
            </w:pPr>
            <w:r>
              <w:rPr>
                <w:color w:val="auto"/>
                <w:kern w:val="0"/>
                <w:sz w:val="21"/>
                <w:szCs w:val="21"/>
              </w:rPr>
              <w:t>占地面积m</w:t>
            </w:r>
            <w:r>
              <w:rPr>
                <w:color w:val="auto"/>
                <w:kern w:val="0"/>
                <w:sz w:val="21"/>
                <w:szCs w:val="21"/>
                <w:vertAlign w:val="superscript"/>
              </w:rPr>
              <w:t>2</w:t>
            </w:r>
          </w:p>
        </w:tc>
        <w:tc>
          <w:tcPr>
            <w:tcW w:w="666" w:type="dxa"/>
            <w:tcBorders>
              <w:top w:val="single" w:color="auto" w:sz="12" w:space="0"/>
              <w:left w:val="single" w:color="auto" w:sz="6" w:space="0"/>
              <w:bottom w:val="single" w:color="auto" w:sz="6" w:space="0"/>
              <w:right w:val="single" w:color="auto" w:sz="6" w:space="0"/>
            </w:tcBorders>
            <w:vAlign w:val="center"/>
          </w:tcPr>
          <w:p>
            <w:pPr>
              <w:keepNext/>
              <w:keepLines/>
              <w:tabs>
                <w:tab w:val="left" w:pos="720"/>
              </w:tabs>
              <w:jc w:val="center"/>
              <w:outlineLvl w:val="2"/>
              <w:rPr>
                <w:color w:val="auto"/>
                <w:kern w:val="0"/>
                <w:sz w:val="21"/>
                <w:szCs w:val="21"/>
              </w:rPr>
            </w:pPr>
            <w:r>
              <w:rPr>
                <w:color w:val="auto"/>
                <w:kern w:val="0"/>
                <w:sz w:val="21"/>
                <w:szCs w:val="21"/>
              </w:rPr>
              <w:t>贮存能力t</w:t>
            </w:r>
          </w:p>
        </w:tc>
        <w:tc>
          <w:tcPr>
            <w:tcW w:w="666" w:type="dxa"/>
            <w:tcBorders>
              <w:top w:val="single" w:color="auto" w:sz="12" w:space="0"/>
              <w:left w:val="single" w:color="auto" w:sz="6" w:space="0"/>
              <w:bottom w:val="single" w:color="auto" w:sz="6" w:space="0"/>
              <w:right w:val="single" w:color="auto" w:sz="6" w:space="0"/>
            </w:tcBorders>
            <w:vAlign w:val="center"/>
          </w:tcPr>
          <w:p>
            <w:pPr>
              <w:keepNext/>
              <w:keepLines/>
              <w:tabs>
                <w:tab w:val="left" w:pos="720"/>
              </w:tabs>
              <w:jc w:val="center"/>
              <w:outlineLvl w:val="2"/>
              <w:rPr>
                <w:color w:val="auto"/>
                <w:kern w:val="0"/>
                <w:sz w:val="21"/>
                <w:szCs w:val="21"/>
              </w:rPr>
            </w:pPr>
            <w:r>
              <w:rPr>
                <w:color w:val="auto"/>
                <w:kern w:val="0"/>
                <w:sz w:val="21"/>
                <w:szCs w:val="21"/>
              </w:rPr>
              <w:t>贮存方式</w:t>
            </w:r>
          </w:p>
        </w:tc>
        <w:tc>
          <w:tcPr>
            <w:tcW w:w="684" w:type="dxa"/>
            <w:tcBorders>
              <w:top w:val="single" w:color="auto" w:sz="12" w:space="0"/>
              <w:left w:val="single" w:color="auto" w:sz="6" w:space="0"/>
              <w:bottom w:val="single" w:color="auto" w:sz="6" w:space="0"/>
              <w:right w:val="single" w:color="auto" w:sz="6" w:space="0"/>
            </w:tcBorders>
            <w:vAlign w:val="center"/>
          </w:tcPr>
          <w:p>
            <w:pPr>
              <w:keepNext/>
              <w:keepLines/>
              <w:tabs>
                <w:tab w:val="left" w:pos="720"/>
              </w:tabs>
              <w:jc w:val="center"/>
              <w:outlineLvl w:val="2"/>
              <w:rPr>
                <w:color w:val="auto"/>
                <w:kern w:val="0"/>
                <w:sz w:val="21"/>
                <w:szCs w:val="21"/>
              </w:rPr>
            </w:pPr>
            <w:r>
              <w:rPr>
                <w:rFonts w:hint="eastAsia"/>
                <w:color w:val="auto"/>
                <w:kern w:val="0"/>
                <w:sz w:val="21"/>
                <w:szCs w:val="21"/>
              </w:rPr>
              <w:t>最大</w:t>
            </w:r>
            <w:r>
              <w:rPr>
                <w:color w:val="auto"/>
                <w:kern w:val="0"/>
                <w:sz w:val="21"/>
                <w:szCs w:val="21"/>
              </w:rPr>
              <w:t>贮存</w:t>
            </w:r>
            <w:r>
              <w:rPr>
                <w:rFonts w:hint="eastAsia"/>
                <w:color w:val="auto"/>
                <w:kern w:val="0"/>
                <w:sz w:val="21"/>
                <w:szCs w:val="21"/>
              </w:rPr>
              <w:t>量t</w:t>
            </w:r>
          </w:p>
        </w:tc>
        <w:tc>
          <w:tcPr>
            <w:tcW w:w="667" w:type="dxa"/>
            <w:tcBorders>
              <w:top w:val="single" w:color="auto" w:sz="12" w:space="0"/>
              <w:left w:val="single" w:color="auto" w:sz="6" w:space="0"/>
              <w:bottom w:val="single" w:color="auto" w:sz="6" w:space="0"/>
              <w:right w:val="nil"/>
            </w:tcBorders>
            <w:vAlign w:val="center"/>
          </w:tcPr>
          <w:p>
            <w:pPr>
              <w:keepNext/>
              <w:keepLines/>
              <w:tabs>
                <w:tab w:val="left" w:pos="720"/>
              </w:tabs>
              <w:jc w:val="center"/>
              <w:outlineLvl w:val="2"/>
              <w:rPr>
                <w:color w:val="auto"/>
                <w:kern w:val="0"/>
                <w:sz w:val="21"/>
                <w:szCs w:val="21"/>
              </w:rPr>
            </w:pPr>
            <w:r>
              <w:rPr>
                <w:color w:val="auto"/>
                <w:kern w:val="0"/>
                <w:sz w:val="21"/>
                <w:szCs w:val="21"/>
              </w:rPr>
              <w:t>贮存周期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6" w:type="dxa"/>
            <w:tcBorders>
              <w:top w:val="single" w:color="auto" w:sz="6" w:space="0"/>
              <w:left w:val="nil"/>
              <w:bottom w:val="single" w:color="auto" w:sz="12" w:space="0"/>
              <w:right w:val="single" w:color="auto" w:sz="6" w:space="0"/>
            </w:tcBorders>
            <w:vAlign w:val="center"/>
          </w:tcPr>
          <w:p>
            <w:pPr>
              <w:keepNext/>
              <w:keepLines/>
              <w:jc w:val="center"/>
              <w:outlineLvl w:val="2"/>
              <w:rPr>
                <w:color w:val="auto"/>
                <w:kern w:val="0"/>
                <w:sz w:val="21"/>
                <w:szCs w:val="21"/>
              </w:rPr>
            </w:pPr>
            <w:r>
              <w:rPr>
                <w:rFonts w:hint="eastAsia"/>
                <w:color w:val="auto"/>
                <w:kern w:val="0"/>
                <w:sz w:val="21"/>
                <w:szCs w:val="21"/>
              </w:rPr>
              <w:t>1</w:t>
            </w:r>
          </w:p>
        </w:tc>
        <w:tc>
          <w:tcPr>
            <w:tcW w:w="666" w:type="dxa"/>
            <w:tcBorders>
              <w:top w:val="single" w:color="auto" w:sz="6" w:space="0"/>
              <w:left w:val="single" w:color="auto" w:sz="6" w:space="0"/>
              <w:bottom w:val="single" w:color="auto" w:sz="12" w:space="0"/>
              <w:right w:val="single" w:color="auto" w:sz="6" w:space="0"/>
            </w:tcBorders>
            <w:vAlign w:val="center"/>
          </w:tcPr>
          <w:p>
            <w:pPr>
              <w:keepNext/>
              <w:keepLines/>
              <w:jc w:val="center"/>
              <w:outlineLvl w:val="2"/>
              <w:rPr>
                <w:rFonts w:hint="eastAsia" w:eastAsia="宋体"/>
                <w:color w:val="auto"/>
                <w:kern w:val="0"/>
                <w:sz w:val="21"/>
                <w:szCs w:val="21"/>
                <w:lang w:eastAsia="zh-CN"/>
              </w:rPr>
            </w:pPr>
            <w:r>
              <w:rPr>
                <w:rFonts w:hint="eastAsia"/>
                <w:color w:val="auto"/>
                <w:kern w:val="0"/>
                <w:sz w:val="21"/>
                <w:szCs w:val="21"/>
                <w:lang w:eastAsia="zh-CN"/>
              </w:rPr>
              <w:t>危险废物贮存点</w:t>
            </w:r>
          </w:p>
        </w:tc>
        <w:tc>
          <w:tcPr>
            <w:tcW w:w="1196" w:type="dxa"/>
            <w:tcBorders>
              <w:top w:val="single" w:color="auto" w:sz="6" w:space="0"/>
              <w:left w:val="single" w:color="auto" w:sz="6" w:space="0"/>
              <w:bottom w:val="single" w:color="auto" w:sz="12" w:space="0"/>
              <w:right w:val="single" w:color="auto" w:sz="6" w:space="0"/>
            </w:tcBorders>
            <w:vAlign w:val="center"/>
          </w:tcPr>
          <w:p>
            <w:pPr>
              <w:keepNext/>
              <w:keepLines/>
              <w:jc w:val="center"/>
              <w:outlineLvl w:val="2"/>
              <w:rPr>
                <w:color w:val="auto"/>
                <w:kern w:val="0"/>
                <w:sz w:val="21"/>
                <w:szCs w:val="21"/>
              </w:rPr>
            </w:pPr>
            <w:r>
              <w:rPr>
                <w:rFonts w:hint="eastAsia"/>
                <w:color w:val="auto"/>
                <w:kern w:val="0"/>
                <w:sz w:val="21"/>
                <w:szCs w:val="21"/>
              </w:rPr>
              <w:t>检疫</w:t>
            </w:r>
            <w:r>
              <w:rPr>
                <w:color w:val="auto"/>
                <w:kern w:val="0"/>
                <w:sz w:val="21"/>
                <w:szCs w:val="21"/>
              </w:rPr>
              <w:t>废物</w:t>
            </w:r>
            <w:r>
              <w:rPr>
                <w:rFonts w:hint="eastAsia"/>
                <w:bCs/>
                <w:color w:val="auto"/>
                <w:kern w:val="0"/>
                <w:sz w:val="21"/>
                <w:szCs w:val="21"/>
              </w:rPr>
              <w:t>（HW01）</w:t>
            </w:r>
          </w:p>
        </w:tc>
        <w:tc>
          <w:tcPr>
            <w:tcW w:w="776" w:type="dxa"/>
            <w:tcBorders>
              <w:top w:val="single" w:color="auto" w:sz="6" w:space="0"/>
              <w:left w:val="single" w:color="auto" w:sz="6" w:space="0"/>
              <w:bottom w:val="single" w:color="auto" w:sz="12" w:space="0"/>
              <w:right w:val="single" w:color="auto" w:sz="6" w:space="0"/>
            </w:tcBorders>
            <w:vAlign w:val="center"/>
          </w:tcPr>
          <w:p>
            <w:pPr>
              <w:jc w:val="center"/>
              <w:rPr>
                <w:snapToGrid w:val="0"/>
                <w:color w:val="auto"/>
                <w:kern w:val="0"/>
                <w:sz w:val="21"/>
                <w:szCs w:val="21"/>
                <w:highlight w:val="none"/>
              </w:rPr>
            </w:pPr>
            <w:r>
              <w:rPr>
                <w:snapToGrid w:val="0"/>
                <w:color w:val="auto"/>
                <w:kern w:val="0"/>
                <w:sz w:val="21"/>
                <w:szCs w:val="21"/>
                <w:highlight w:val="none"/>
              </w:rPr>
              <w:t>HW</w:t>
            </w:r>
            <w:r>
              <w:rPr>
                <w:rFonts w:hint="eastAsia"/>
                <w:snapToGrid w:val="0"/>
                <w:color w:val="auto"/>
                <w:kern w:val="0"/>
                <w:sz w:val="21"/>
                <w:szCs w:val="21"/>
                <w:highlight w:val="none"/>
              </w:rPr>
              <w:t>01</w:t>
            </w:r>
          </w:p>
        </w:tc>
        <w:tc>
          <w:tcPr>
            <w:tcW w:w="1196" w:type="dxa"/>
            <w:tcBorders>
              <w:top w:val="single" w:color="auto" w:sz="6" w:space="0"/>
              <w:left w:val="single" w:color="auto" w:sz="6" w:space="0"/>
              <w:bottom w:val="single" w:color="auto" w:sz="12" w:space="0"/>
              <w:right w:val="single" w:color="auto" w:sz="6" w:space="0"/>
            </w:tcBorders>
            <w:vAlign w:val="center"/>
          </w:tcPr>
          <w:p>
            <w:pPr>
              <w:jc w:val="center"/>
              <w:rPr>
                <w:snapToGrid w:val="0"/>
                <w:color w:val="auto"/>
                <w:kern w:val="0"/>
                <w:sz w:val="21"/>
                <w:szCs w:val="21"/>
                <w:highlight w:val="none"/>
              </w:rPr>
            </w:pPr>
            <w:r>
              <w:rPr>
                <w:rFonts w:hint="eastAsia"/>
                <w:snapToGrid w:val="0"/>
                <w:color w:val="auto"/>
                <w:kern w:val="0"/>
                <w:sz w:val="21"/>
                <w:szCs w:val="21"/>
                <w:highlight w:val="none"/>
              </w:rPr>
              <w:t>841-005-01</w:t>
            </w:r>
          </w:p>
        </w:tc>
        <w:tc>
          <w:tcPr>
            <w:tcW w:w="666" w:type="dxa"/>
            <w:tcBorders>
              <w:top w:val="single" w:color="auto" w:sz="6" w:space="0"/>
              <w:left w:val="single" w:color="auto" w:sz="6" w:space="0"/>
              <w:bottom w:val="single" w:color="auto" w:sz="12" w:space="0"/>
              <w:right w:val="single" w:color="auto" w:sz="6" w:space="0"/>
            </w:tcBorders>
            <w:vAlign w:val="center"/>
          </w:tcPr>
          <w:p>
            <w:pPr>
              <w:keepNext/>
              <w:keepLines/>
              <w:jc w:val="center"/>
              <w:outlineLvl w:val="2"/>
              <w:rPr>
                <w:rFonts w:hint="eastAsia" w:eastAsia="宋体"/>
                <w:color w:val="auto"/>
                <w:kern w:val="0"/>
                <w:sz w:val="21"/>
                <w:szCs w:val="21"/>
                <w:highlight w:val="none"/>
                <w:lang w:eastAsia="zh-CN"/>
              </w:rPr>
            </w:pPr>
            <w:r>
              <w:rPr>
                <w:rFonts w:hint="eastAsia"/>
                <w:color w:val="auto"/>
                <w:kern w:val="0"/>
                <w:sz w:val="21"/>
                <w:szCs w:val="21"/>
                <w:highlight w:val="none"/>
                <w:lang w:val="en-US" w:eastAsia="zh-CN"/>
              </w:rPr>
              <w:t>屠宰车间内</w:t>
            </w:r>
          </w:p>
        </w:tc>
        <w:tc>
          <w:tcPr>
            <w:tcW w:w="673" w:type="dxa"/>
            <w:tcBorders>
              <w:top w:val="single" w:color="auto" w:sz="6" w:space="0"/>
              <w:left w:val="single" w:color="auto" w:sz="6" w:space="0"/>
              <w:bottom w:val="single" w:color="auto" w:sz="12" w:space="0"/>
              <w:right w:val="single" w:color="auto" w:sz="6" w:space="0"/>
            </w:tcBorders>
            <w:vAlign w:val="center"/>
          </w:tcPr>
          <w:p>
            <w:pPr>
              <w:keepNext/>
              <w:keepLines/>
              <w:jc w:val="center"/>
              <w:outlineLvl w:val="2"/>
              <w:rPr>
                <w:color w:val="auto"/>
                <w:kern w:val="0"/>
                <w:sz w:val="21"/>
                <w:szCs w:val="21"/>
              </w:rPr>
            </w:pPr>
            <w:r>
              <w:rPr>
                <w:rFonts w:hint="eastAsia"/>
                <w:color w:val="auto"/>
                <w:kern w:val="0"/>
                <w:sz w:val="21"/>
                <w:szCs w:val="21"/>
              </w:rPr>
              <w:t>10</w:t>
            </w:r>
          </w:p>
        </w:tc>
        <w:tc>
          <w:tcPr>
            <w:tcW w:w="666" w:type="dxa"/>
            <w:tcBorders>
              <w:top w:val="single" w:color="auto" w:sz="6" w:space="0"/>
              <w:left w:val="single" w:color="auto" w:sz="6" w:space="0"/>
              <w:bottom w:val="single" w:color="auto" w:sz="12" w:space="0"/>
              <w:right w:val="single" w:color="auto" w:sz="6" w:space="0"/>
            </w:tcBorders>
            <w:vAlign w:val="center"/>
          </w:tcPr>
          <w:p>
            <w:pPr>
              <w:keepNext/>
              <w:keepLines/>
              <w:jc w:val="center"/>
              <w:outlineLvl w:val="2"/>
              <w:rPr>
                <w:color w:val="auto"/>
                <w:kern w:val="0"/>
                <w:sz w:val="21"/>
                <w:szCs w:val="21"/>
              </w:rPr>
            </w:pPr>
            <w:r>
              <w:rPr>
                <w:rFonts w:hint="eastAsia"/>
                <w:color w:val="auto"/>
                <w:kern w:val="0"/>
                <w:sz w:val="21"/>
                <w:szCs w:val="21"/>
              </w:rPr>
              <w:t>1</w:t>
            </w:r>
          </w:p>
        </w:tc>
        <w:tc>
          <w:tcPr>
            <w:tcW w:w="666" w:type="dxa"/>
            <w:tcBorders>
              <w:top w:val="single" w:color="auto" w:sz="6" w:space="0"/>
              <w:left w:val="single" w:color="auto" w:sz="6" w:space="0"/>
              <w:bottom w:val="single" w:color="auto" w:sz="12" w:space="0"/>
              <w:right w:val="single" w:color="auto" w:sz="6" w:space="0"/>
            </w:tcBorders>
            <w:vAlign w:val="center"/>
          </w:tcPr>
          <w:p>
            <w:pPr>
              <w:keepNext/>
              <w:keepLines/>
              <w:jc w:val="center"/>
              <w:outlineLvl w:val="2"/>
              <w:rPr>
                <w:color w:val="auto"/>
                <w:kern w:val="0"/>
                <w:sz w:val="21"/>
                <w:szCs w:val="21"/>
              </w:rPr>
            </w:pPr>
            <w:r>
              <w:rPr>
                <w:rFonts w:hint="eastAsia"/>
                <w:color w:val="auto"/>
                <w:kern w:val="0"/>
                <w:sz w:val="21"/>
                <w:szCs w:val="21"/>
              </w:rPr>
              <w:t>袋装</w:t>
            </w:r>
          </w:p>
        </w:tc>
        <w:tc>
          <w:tcPr>
            <w:tcW w:w="684" w:type="dxa"/>
            <w:tcBorders>
              <w:top w:val="single" w:color="auto" w:sz="6" w:space="0"/>
              <w:left w:val="single" w:color="auto" w:sz="6" w:space="0"/>
              <w:bottom w:val="single" w:color="auto" w:sz="12" w:space="0"/>
              <w:right w:val="single" w:color="auto" w:sz="6" w:space="0"/>
            </w:tcBorders>
            <w:vAlign w:val="center"/>
          </w:tcPr>
          <w:p>
            <w:pPr>
              <w:keepNext/>
              <w:keepLines/>
              <w:jc w:val="center"/>
              <w:outlineLvl w:val="2"/>
              <w:rPr>
                <w:color w:val="auto"/>
                <w:kern w:val="0"/>
                <w:sz w:val="21"/>
                <w:szCs w:val="21"/>
              </w:rPr>
            </w:pPr>
            <w:r>
              <w:rPr>
                <w:rFonts w:hint="eastAsia"/>
                <w:color w:val="auto"/>
                <w:kern w:val="0"/>
                <w:sz w:val="21"/>
                <w:szCs w:val="21"/>
              </w:rPr>
              <w:t>0.3</w:t>
            </w:r>
          </w:p>
        </w:tc>
        <w:tc>
          <w:tcPr>
            <w:tcW w:w="667" w:type="dxa"/>
            <w:tcBorders>
              <w:top w:val="single" w:color="auto" w:sz="6" w:space="0"/>
              <w:left w:val="single" w:color="auto" w:sz="6" w:space="0"/>
              <w:bottom w:val="single" w:color="auto" w:sz="12" w:space="0"/>
              <w:right w:val="nil"/>
            </w:tcBorders>
            <w:vAlign w:val="center"/>
          </w:tcPr>
          <w:p>
            <w:pPr>
              <w:keepNext/>
              <w:keepLines/>
              <w:jc w:val="center"/>
              <w:outlineLvl w:val="2"/>
              <w:rPr>
                <w:color w:val="auto"/>
                <w:kern w:val="0"/>
                <w:sz w:val="21"/>
                <w:szCs w:val="21"/>
              </w:rPr>
            </w:pPr>
            <w:r>
              <w:rPr>
                <w:rFonts w:hint="eastAsia"/>
                <w:color w:val="auto"/>
                <w:kern w:val="0"/>
                <w:sz w:val="21"/>
                <w:szCs w:val="21"/>
              </w:rPr>
              <w:t>7天</w:t>
            </w:r>
          </w:p>
        </w:tc>
      </w:tr>
    </w:tbl>
    <w:p>
      <w:pPr>
        <w:pStyle w:val="74"/>
        <w:adjustRightInd/>
        <w:snapToGrid/>
        <w:rPr>
          <w:rFonts w:ascii="Times New Roman" w:hAnsi="Times New Roman" w:eastAsia="宋体" w:cs="Times New Roman"/>
          <w:snapToGrid w:val="0"/>
          <w:color w:val="auto"/>
          <w:kern w:val="0"/>
        </w:rPr>
      </w:pPr>
      <w:r>
        <w:rPr>
          <w:rFonts w:ascii="Times New Roman" w:hAnsi="Times New Roman" w:eastAsia="宋体" w:cs="Times New Roman"/>
          <w:snapToGrid w:val="0"/>
          <w:color w:val="auto"/>
          <w:kern w:val="0"/>
        </w:rPr>
        <w:t>（</w:t>
      </w:r>
      <w:r>
        <w:rPr>
          <w:rFonts w:hint="eastAsia" w:ascii="Times New Roman" w:hAnsi="Times New Roman" w:eastAsia="宋体" w:cs="Times New Roman"/>
          <w:snapToGrid w:val="0"/>
          <w:color w:val="auto"/>
          <w:kern w:val="0"/>
        </w:rPr>
        <w:t>3</w:t>
      </w:r>
      <w:r>
        <w:rPr>
          <w:rFonts w:ascii="Times New Roman" w:hAnsi="Times New Roman" w:eastAsia="宋体" w:cs="Times New Roman"/>
          <w:snapToGrid w:val="0"/>
          <w:color w:val="auto"/>
          <w:kern w:val="0"/>
        </w:rPr>
        <w:t>）运输过程的环境影响分析</w:t>
      </w:r>
    </w:p>
    <w:p>
      <w:pPr>
        <w:pStyle w:val="74"/>
        <w:adjustRightInd/>
        <w:snapToGrid/>
        <w:jc w:val="both"/>
        <w:rPr>
          <w:rFonts w:ascii="Times New Roman" w:hAnsi="Times New Roman" w:eastAsia="宋体" w:cs="Times New Roman"/>
          <w:snapToGrid w:val="0"/>
          <w:color w:val="auto"/>
          <w:kern w:val="0"/>
        </w:rPr>
      </w:pPr>
      <w:r>
        <w:rPr>
          <w:rFonts w:ascii="Times New Roman" w:hAnsi="Times New Roman" w:eastAsia="宋体" w:cs="Times New Roman"/>
          <w:snapToGrid w:val="0"/>
          <w:color w:val="auto"/>
          <w:kern w:val="0"/>
        </w:rPr>
        <w:t>本项目</w:t>
      </w:r>
      <w:r>
        <w:rPr>
          <w:rFonts w:hint="eastAsia" w:ascii="Times New Roman" w:hAnsi="Times New Roman" w:eastAsia="宋体" w:cs="Times New Roman"/>
          <w:snapToGrid w:val="0"/>
          <w:color w:val="auto"/>
          <w:kern w:val="0"/>
        </w:rPr>
        <w:t>检疫</w:t>
      </w:r>
      <w:r>
        <w:rPr>
          <w:rFonts w:ascii="Times New Roman" w:hAnsi="Times New Roman" w:eastAsia="宋体" w:cs="Times New Roman"/>
          <w:snapToGrid w:val="0"/>
          <w:color w:val="auto"/>
          <w:kern w:val="0"/>
        </w:rPr>
        <w:t>废物</w:t>
      </w:r>
      <w:r>
        <w:rPr>
          <w:rFonts w:hint="eastAsia" w:ascii="Times New Roman" w:hAnsi="Times New Roman" w:eastAsia="宋体" w:cs="Times New Roman"/>
          <w:bCs/>
          <w:snapToGrid w:val="0"/>
          <w:color w:val="auto"/>
          <w:kern w:val="0"/>
        </w:rPr>
        <w:t>（HW01）</w:t>
      </w:r>
      <w:r>
        <w:rPr>
          <w:rFonts w:ascii="Times New Roman" w:hAnsi="Times New Roman" w:eastAsia="宋体" w:cs="Times New Roman"/>
          <w:snapToGrid w:val="0"/>
          <w:color w:val="auto"/>
          <w:kern w:val="0"/>
        </w:rPr>
        <w:t>产生后就地包装，然后采用专用转运车转移至厂区内</w:t>
      </w:r>
      <w:r>
        <w:rPr>
          <w:rFonts w:hint="eastAsia" w:ascii="Times New Roman" w:hAnsi="Times New Roman" w:eastAsia="宋体" w:cs="Times New Roman"/>
          <w:snapToGrid w:val="0"/>
          <w:color w:val="auto"/>
          <w:kern w:val="0"/>
          <w:lang w:eastAsia="zh-CN"/>
        </w:rPr>
        <w:t>危险废物贮存点</w:t>
      </w:r>
      <w:r>
        <w:rPr>
          <w:rFonts w:ascii="Times New Roman" w:hAnsi="Times New Roman" w:eastAsia="宋体" w:cs="Times New Roman"/>
          <w:snapToGrid w:val="0"/>
          <w:color w:val="auto"/>
          <w:kern w:val="0"/>
        </w:rPr>
        <w:t>贮存，转运车具备防腐蚀、防渗漏性能，正常情况下不会发生散落、泄露，一旦由于员工操作不当导致危险废物泄露，可立即采取措施进行收集清理，影响范围均位于厂区范围内，不会影响环境保护目标。</w:t>
      </w:r>
    </w:p>
    <w:p>
      <w:pPr>
        <w:pStyle w:val="74"/>
        <w:adjustRightInd/>
        <w:snapToGrid/>
        <w:rPr>
          <w:rFonts w:ascii="Times New Roman" w:hAnsi="Times New Roman" w:cs="Times New Roman"/>
          <w:snapToGrid w:val="0"/>
          <w:color w:val="auto"/>
          <w:kern w:val="0"/>
        </w:rPr>
      </w:pPr>
      <w:r>
        <w:rPr>
          <w:rFonts w:ascii="Times New Roman" w:hAnsi="Times New Roman" w:cs="Times New Roman"/>
          <w:snapToGrid w:val="0"/>
          <w:color w:val="auto"/>
          <w:kern w:val="0"/>
        </w:rPr>
        <w:t>（</w:t>
      </w:r>
      <w:r>
        <w:rPr>
          <w:rFonts w:hint="eastAsia" w:ascii="Times New Roman" w:hAnsi="Times New Roman" w:cs="Times New Roman"/>
          <w:snapToGrid w:val="0"/>
          <w:color w:val="auto"/>
          <w:kern w:val="0"/>
        </w:rPr>
        <w:t>4</w:t>
      </w:r>
      <w:r>
        <w:rPr>
          <w:rFonts w:ascii="Times New Roman" w:hAnsi="Times New Roman" w:cs="Times New Roman"/>
          <w:snapToGrid w:val="0"/>
          <w:color w:val="auto"/>
          <w:kern w:val="0"/>
        </w:rPr>
        <w:t>）委托处置的环境影响分析</w:t>
      </w:r>
    </w:p>
    <w:p>
      <w:pPr>
        <w:pStyle w:val="74"/>
        <w:adjustRightInd/>
        <w:snapToGrid/>
        <w:jc w:val="both"/>
        <w:rPr>
          <w:rFonts w:ascii="Times New Roman" w:hAnsi="Times New Roman" w:cs="Times New Roman"/>
          <w:snapToGrid w:val="0"/>
          <w:color w:val="auto"/>
          <w:kern w:val="0"/>
        </w:rPr>
      </w:pPr>
      <w:r>
        <w:rPr>
          <w:rFonts w:ascii="Times New Roman" w:hAnsi="Times New Roman" w:cs="Times New Roman"/>
          <w:snapToGrid w:val="0"/>
          <w:color w:val="auto"/>
          <w:kern w:val="0"/>
        </w:rPr>
        <w:t>本项目</w:t>
      </w:r>
      <w:r>
        <w:rPr>
          <w:rFonts w:hint="eastAsia" w:ascii="Times New Roman" w:hAnsi="Times New Roman" w:cs="Times New Roman"/>
          <w:snapToGrid w:val="0"/>
          <w:color w:val="auto"/>
          <w:kern w:val="0"/>
        </w:rPr>
        <w:t>检疫</w:t>
      </w:r>
      <w:r>
        <w:rPr>
          <w:rFonts w:ascii="Times New Roman" w:hAnsi="Times New Roman" w:cs="Times New Roman"/>
          <w:snapToGrid w:val="0"/>
          <w:color w:val="auto"/>
          <w:kern w:val="0"/>
        </w:rPr>
        <w:t>废物</w:t>
      </w:r>
      <w:r>
        <w:rPr>
          <w:rFonts w:hint="eastAsia" w:ascii="Times New Roman" w:hAnsi="Times New Roman" w:cs="Times New Roman"/>
          <w:bCs/>
          <w:snapToGrid w:val="0"/>
          <w:color w:val="auto"/>
          <w:kern w:val="0"/>
        </w:rPr>
        <w:t>（HW01）</w:t>
      </w:r>
      <w:r>
        <w:rPr>
          <w:rFonts w:ascii="Times New Roman" w:hAnsi="Times New Roman" w:cs="Times New Roman"/>
          <w:snapToGrid w:val="0"/>
          <w:color w:val="auto"/>
          <w:kern w:val="0"/>
        </w:rPr>
        <w:t>建议委托哈尔滨国环医疗固体废物无害化集中处置中心有限公司处置。哈尔滨国环医疗固体废物无害化集中处置中心有限公司位于</w:t>
      </w:r>
      <w:r>
        <w:rPr>
          <w:rFonts w:hint="eastAsia" w:ascii="Times New Roman" w:hAnsi="Times New Roman" w:cs="Times New Roman"/>
          <w:snapToGrid w:val="0"/>
          <w:color w:val="auto"/>
          <w:kern w:val="0"/>
        </w:rPr>
        <w:t>哈尔滨市利民经济技术开发区哈尔滨国环医疗固体废物无害化集中处置中心有限公司</w:t>
      </w:r>
      <w:r>
        <w:rPr>
          <w:rFonts w:ascii="Times New Roman" w:hAnsi="Times New Roman" w:cs="Times New Roman"/>
          <w:snapToGrid w:val="0"/>
          <w:color w:val="auto"/>
          <w:kern w:val="0"/>
        </w:rPr>
        <w:t>内，主要从事工业危险废物的集中收集、运输、贮存工作，取得了</w:t>
      </w:r>
      <w:r>
        <w:rPr>
          <w:rFonts w:hint="eastAsia" w:ascii="Times New Roman" w:hAnsi="Times New Roman" w:cs="Times New Roman"/>
          <w:snapToGrid w:val="0"/>
          <w:color w:val="auto"/>
          <w:kern w:val="0"/>
        </w:rPr>
        <w:t>黑龙江省哈尔滨市环境保护局</w:t>
      </w:r>
      <w:r>
        <w:rPr>
          <w:rFonts w:ascii="Times New Roman" w:hAnsi="Times New Roman" w:cs="Times New Roman"/>
          <w:snapToGrid w:val="0"/>
          <w:color w:val="auto"/>
          <w:kern w:val="0"/>
        </w:rPr>
        <w:t>颁发的危险废物经营许可证（许可证编号：2301010100），HW01危险废物收集贮存规模为14600t/a，委托可行。</w:t>
      </w:r>
    </w:p>
    <w:p>
      <w:pPr>
        <w:spacing w:line="360" w:lineRule="auto"/>
        <w:outlineLvl w:val="3"/>
        <w:rPr>
          <w:b/>
          <w:color w:val="auto"/>
          <w:sz w:val="24"/>
        </w:rPr>
      </w:pPr>
      <w:r>
        <w:rPr>
          <w:rFonts w:hint="eastAsia"/>
          <w:b/>
          <w:color w:val="auto"/>
          <w:sz w:val="24"/>
        </w:rPr>
        <w:t>5.2.5.3</w:t>
      </w:r>
      <w:r>
        <w:rPr>
          <w:b/>
          <w:color w:val="auto"/>
          <w:sz w:val="24"/>
        </w:rPr>
        <w:t>其他固体废物影响分析</w:t>
      </w:r>
    </w:p>
    <w:p>
      <w:pPr>
        <w:pStyle w:val="74"/>
        <w:adjustRightInd/>
        <w:snapToGrid/>
        <w:contextualSpacing/>
        <w:jc w:val="both"/>
        <w:rPr>
          <w:rFonts w:ascii="Times New Roman" w:hAnsi="Times New Roman" w:cs="Times New Roman"/>
          <w:b/>
          <w:snapToGrid w:val="0"/>
          <w:color w:val="auto"/>
          <w:kern w:val="0"/>
        </w:rPr>
      </w:pPr>
      <w:r>
        <w:rPr>
          <w:rFonts w:ascii="Times New Roman" w:hAnsi="Times New Roman" w:cs="Times New Roman"/>
          <w:snapToGrid w:val="0"/>
          <w:color w:val="auto"/>
          <w:kern w:val="0"/>
        </w:rPr>
        <w:t>生活垃圾由市政部门统一处理。</w:t>
      </w:r>
      <w:r>
        <w:rPr>
          <w:rFonts w:hint="eastAsia" w:ascii="Times New Roman" w:hAnsi="Times New Roman" w:cs="Times New Roman"/>
          <w:bCs/>
          <w:snapToGrid w:val="0"/>
          <w:color w:val="auto"/>
          <w:kern w:val="0"/>
        </w:rPr>
        <w:t>污水处理站废油脂交由有资质单位处置</w:t>
      </w:r>
      <w:r>
        <w:rPr>
          <w:rFonts w:ascii="Times New Roman" w:hAnsi="Times New Roman" w:cs="Times New Roman"/>
          <w:bCs/>
          <w:snapToGrid w:val="0"/>
          <w:color w:val="auto"/>
          <w:kern w:val="0"/>
        </w:rPr>
        <w:t>。食堂餐馀垃圾交由符合规定的回收处置单</w:t>
      </w:r>
      <w:r>
        <w:rPr>
          <w:rFonts w:ascii="Times New Roman" w:hAnsi="Times New Roman" w:cs="Times New Roman"/>
          <w:bCs/>
          <w:snapToGrid w:val="0"/>
          <w:color w:val="auto"/>
          <w:kern w:val="0"/>
          <w:highlight w:val="none"/>
        </w:rPr>
        <w:t>位统一回收处置；食堂废油脂按</w:t>
      </w:r>
      <w:r>
        <w:rPr>
          <w:rFonts w:hint="eastAsia" w:ascii="Times New Roman" w:hAnsi="Times New Roman" w:cs="Times New Roman"/>
          <w:bCs/>
          <w:snapToGrid w:val="0"/>
          <w:color w:val="auto"/>
          <w:kern w:val="0"/>
          <w:highlight w:val="none"/>
          <w:lang w:eastAsia="zh-CN"/>
        </w:rPr>
        <w:t>《哈尔滨市城市餐厨废弃物管理办法》</w:t>
      </w:r>
      <w:r>
        <w:rPr>
          <w:rFonts w:ascii="Times New Roman" w:hAnsi="Times New Roman" w:cs="Times New Roman"/>
          <w:bCs/>
          <w:snapToGrid w:val="0"/>
          <w:color w:val="auto"/>
          <w:kern w:val="0"/>
          <w:highlight w:val="none"/>
        </w:rPr>
        <w:t>处置。</w:t>
      </w:r>
    </w:p>
    <w:p>
      <w:pPr>
        <w:pStyle w:val="74"/>
        <w:adjustRightInd/>
        <w:snapToGrid/>
        <w:contextualSpacing/>
        <w:rPr>
          <w:rFonts w:ascii="Times New Roman" w:hAnsi="Times New Roman" w:cs="Times New Roman"/>
          <w:color w:val="auto"/>
        </w:rPr>
      </w:pPr>
      <w:r>
        <w:rPr>
          <w:rFonts w:ascii="Times New Roman" w:hAnsi="Times New Roman" w:cs="Times New Roman"/>
          <w:color w:val="auto"/>
        </w:rPr>
        <w:t>通过以上分析，</w:t>
      </w:r>
      <w:r>
        <w:rPr>
          <w:rFonts w:hint="eastAsia" w:ascii="Times New Roman" w:hAnsi="Times New Roman" w:cs="Times New Roman"/>
          <w:color w:val="auto"/>
        </w:rPr>
        <w:t>本</w:t>
      </w:r>
      <w:r>
        <w:rPr>
          <w:rFonts w:ascii="Times New Roman" w:hAnsi="Times New Roman" w:cs="Times New Roman"/>
          <w:color w:val="auto"/>
        </w:rPr>
        <w:t>项目产生的固体废物全部得到了妥善处置，不长期堆存，因此对环境影响很小。</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5.2.</w:t>
      </w:r>
      <w:r>
        <w:rPr>
          <w:rFonts w:hint="eastAsia" w:ascii="Times New Roman" w:hAnsi="Times New Roman" w:cs="Times New Roman"/>
          <w:b/>
          <w:color w:val="auto"/>
          <w:sz w:val="28"/>
          <w:szCs w:val="28"/>
        </w:rPr>
        <w:t>6风险</w:t>
      </w:r>
      <w:r>
        <w:rPr>
          <w:rFonts w:ascii="Times New Roman" w:hAnsi="Times New Roman" w:cs="Times New Roman"/>
          <w:b/>
          <w:color w:val="auto"/>
          <w:sz w:val="28"/>
          <w:szCs w:val="28"/>
        </w:rPr>
        <w:t>影响评价</w:t>
      </w:r>
    </w:p>
    <w:p>
      <w:pPr>
        <w:widowControl/>
        <w:tabs>
          <w:tab w:val="left" w:leader="middleDot" w:pos="0"/>
        </w:tabs>
        <w:spacing w:line="360" w:lineRule="auto"/>
        <w:ind w:firstLine="480" w:firstLineChars="200"/>
        <w:rPr>
          <w:rFonts w:hAnsiTheme="minorEastAsia" w:eastAsiaTheme="minorEastAsia"/>
          <w:color w:val="auto"/>
          <w:sz w:val="24"/>
        </w:rPr>
      </w:pPr>
      <w:r>
        <w:rPr>
          <w:rFonts w:hint="eastAsia" w:hAnsiTheme="minorEastAsia" w:eastAsiaTheme="minorEastAsia"/>
          <w:color w:val="auto"/>
          <w:sz w:val="24"/>
        </w:rPr>
        <w:t>根据工程分析</w:t>
      </w:r>
      <w:r>
        <w:rPr>
          <w:rFonts w:hAnsiTheme="minorEastAsia" w:eastAsiaTheme="minorEastAsia"/>
          <w:color w:val="auto"/>
          <w:sz w:val="24"/>
        </w:rPr>
        <w:t>结果</w:t>
      </w:r>
      <w:r>
        <w:rPr>
          <w:rFonts w:hint="eastAsia" w:hAnsiTheme="minorEastAsia" w:eastAsiaTheme="minorEastAsia"/>
          <w:color w:val="auto"/>
          <w:sz w:val="24"/>
        </w:rPr>
        <w:t>，本项目危险物质数量与临界量比值Q为0.</w:t>
      </w:r>
      <w:r>
        <w:rPr>
          <w:rFonts w:hint="eastAsia" w:hAnsiTheme="minorEastAsia" w:eastAsiaTheme="minorEastAsia"/>
          <w:color w:val="auto"/>
          <w:sz w:val="24"/>
          <w:lang w:val="en-US" w:eastAsia="zh-CN"/>
        </w:rPr>
        <w:t>84</w:t>
      </w:r>
      <w:r>
        <w:rPr>
          <w:rFonts w:hint="eastAsia" w:hAnsiTheme="minorEastAsia" w:eastAsiaTheme="minorEastAsia"/>
          <w:color w:val="auto"/>
          <w:sz w:val="24"/>
        </w:rPr>
        <w:t>，小于1，环境风险潜势为</w:t>
      </w:r>
      <w:r>
        <w:rPr>
          <w:rFonts w:hAnsiTheme="minorEastAsia" w:eastAsiaTheme="minorEastAsia"/>
          <w:color w:val="auto"/>
          <w:sz w:val="24"/>
        </w:rPr>
        <w:fldChar w:fldCharType="begin"/>
      </w:r>
      <w:r>
        <w:rPr>
          <w:rFonts w:hint="eastAsia" w:hAnsiTheme="minorEastAsia" w:eastAsiaTheme="minorEastAsia"/>
          <w:color w:val="auto"/>
          <w:sz w:val="24"/>
        </w:rPr>
        <w:instrText xml:space="preserve">= 1 \* ROMAN</w:instrText>
      </w:r>
      <w:r>
        <w:rPr>
          <w:rFonts w:hAnsiTheme="minorEastAsia" w:eastAsiaTheme="minorEastAsia"/>
          <w:color w:val="auto"/>
          <w:sz w:val="24"/>
        </w:rPr>
        <w:fldChar w:fldCharType="separate"/>
      </w:r>
      <w:r>
        <w:rPr>
          <w:rFonts w:hAnsiTheme="minorEastAsia" w:eastAsiaTheme="minorEastAsia"/>
          <w:color w:val="auto"/>
          <w:sz w:val="24"/>
        </w:rPr>
        <w:t>I</w:t>
      </w:r>
      <w:r>
        <w:rPr>
          <w:rFonts w:hAnsiTheme="minorEastAsia" w:eastAsiaTheme="minorEastAsia"/>
          <w:color w:val="auto"/>
          <w:sz w:val="24"/>
        </w:rPr>
        <w:fldChar w:fldCharType="end"/>
      </w:r>
      <w:r>
        <w:rPr>
          <w:rFonts w:hint="eastAsia" w:hAnsiTheme="minorEastAsia" w:eastAsiaTheme="minorEastAsia"/>
          <w:color w:val="auto"/>
          <w:sz w:val="24"/>
        </w:rPr>
        <w:t>，进行简单分析。</w:t>
      </w:r>
    </w:p>
    <w:p>
      <w:pPr>
        <w:spacing w:line="360" w:lineRule="auto"/>
        <w:outlineLvl w:val="3"/>
        <w:rPr>
          <w:rFonts w:eastAsiaTheme="minorEastAsia"/>
          <w:b/>
          <w:snapToGrid w:val="0"/>
          <w:color w:val="auto"/>
          <w:kern w:val="0"/>
          <w:sz w:val="24"/>
        </w:rPr>
      </w:pPr>
      <w:r>
        <w:rPr>
          <w:rFonts w:eastAsiaTheme="minorEastAsia"/>
          <w:b/>
          <w:snapToGrid w:val="0"/>
          <w:color w:val="auto"/>
          <w:kern w:val="0"/>
          <w:sz w:val="24"/>
        </w:rPr>
        <w:t>5.2.</w:t>
      </w:r>
      <w:r>
        <w:rPr>
          <w:rFonts w:hint="eastAsia" w:eastAsiaTheme="minorEastAsia"/>
          <w:b/>
          <w:snapToGrid w:val="0"/>
          <w:color w:val="auto"/>
          <w:kern w:val="0"/>
          <w:sz w:val="24"/>
        </w:rPr>
        <w:t>6</w:t>
      </w:r>
      <w:r>
        <w:rPr>
          <w:rFonts w:eastAsiaTheme="minorEastAsia"/>
          <w:b/>
          <w:snapToGrid w:val="0"/>
          <w:color w:val="auto"/>
          <w:kern w:val="0"/>
          <w:sz w:val="24"/>
        </w:rPr>
        <w:t>.1</w:t>
      </w:r>
      <w:r>
        <w:rPr>
          <w:rFonts w:hAnsiTheme="minorEastAsia" w:eastAsiaTheme="minorEastAsia"/>
          <w:b/>
          <w:snapToGrid w:val="0"/>
          <w:color w:val="auto"/>
          <w:kern w:val="0"/>
          <w:sz w:val="24"/>
        </w:rPr>
        <w:t>环境敏感目标概况</w:t>
      </w:r>
    </w:p>
    <w:p>
      <w:pPr>
        <w:spacing w:line="360" w:lineRule="auto"/>
        <w:ind w:firstLine="480" w:firstLineChars="200"/>
        <w:rPr>
          <w:rFonts w:eastAsiaTheme="minorEastAsia"/>
          <w:color w:val="auto"/>
          <w:sz w:val="24"/>
        </w:rPr>
      </w:pPr>
      <w:r>
        <w:rPr>
          <w:rFonts w:hAnsiTheme="minorEastAsia" w:eastAsiaTheme="minorEastAsia"/>
          <w:color w:val="auto"/>
          <w:sz w:val="24"/>
        </w:rPr>
        <w:t>本项目距最近敏感目标</w:t>
      </w:r>
      <w:r>
        <w:rPr>
          <w:rFonts w:hint="eastAsia" w:hAnsiTheme="minorEastAsia" w:eastAsiaTheme="minorEastAsia"/>
          <w:color w:val="auto"/>
          <w:sz w:val="24"/>
          <w:lang w:eastAsia="zh-CN"/>
        </w:rPr>
        <w:t>一曼下屯</w:t>
      </w:r>
      <w:r>
        <w:rPr>
          <w:rFonts w:hAnsiTheme="minorEastAsia" w:eastAsiaTheme="minorEastAsia"/>
          <w:color w:val="auto"/>
          <w:sz w:val="24"/>
        </w:rPr>
        <w:t>为</w:t>
      </w:r>
      <w:r>
        <w:rPr>
          <w:rFonts w:hint="eastAsia" w:eastAsiaTheme="minorEastAsia"/>
          <w:color w:val="auto"/>
          <w:sz w:val="24"/>
          <w:lang w:eastAsia="zh-CN"/>
        </w:rPr>
        <w:t>330</w:t>
      </w:r>
      <w:r>
        <w:rPr>
          <w:rFonts w:eastAsiaTheme="minorEastAsia"/>
          <w:color w:val="auto"/>
          <w:sz w:val="24"/>
        </w:rPr>
        <w:t>m</w:t>
      </w:r>
      <w:r>
        <w:rPr>
          <w:rFonts w:hAnsiTheme="minorEastAsia" w:eastAsiaTheme="minorEastAsia"/>
          <w:color w:val="auto"/>
          <w:sz w:val="24"/>
        </w:rPr>
        <w:t>，位于本项目</w:t>
      </w:r>
      <w:r>
        <w:rPr>
          <w:rFonts w:hint="eastAsia" w:hAnsiTheme="minorEastAsia" w:eastAsiaTheme="minorEastAsia"/>
          <w:color w:val="auto"/>
          <w:sz w:val="24"/>
          <w:lang w:val="en-US" w:eastAsia="zh-CN"/>
        </w:rPr>
        <w:t>东</w:t>
      </w:r>
      <w:r>
        <w:rPr>
          <w:rFonts w:hAnsiTheme="minorEastAsia" w:eastAsiaTheme="minorEastAsia"/>
          <w:color w:val="auto"/>
          <w:sz w:val="24"/>
        </w:rPr>
        <w:t>侧，居民人数约</w:t>
      </w:r>
      <w:r>
        <w:rPr>
          <w:rFonts w:hint="eastAsia" w:eastAsiaTheme="minorEastAsia"/>
          <w:color w:val="auto"/>
          <w:sz w:val="24"/>
          <w:lang w:val="en-US" w:eastAsia="zh-CN"/>
        </w:rPr>
        <w:t>180</w:t>
      </w:r>
      <w:r>
        <w:rPr>
          <w:rFonts w:hAnsiTheme="minorEastAsia" w:eastAsiaTheme="minorEastAsia"/>
          <w:color w:val="auto"/>
          <w:sz w:val="24"/>
        </w:rPr>
        <w:t>人。</w:t>
      </w:r>
    </w:p>
    <w:p>
      <w:pPr>
        <w:spacing w:line="360" w:lineRule="auto"/>
        <w:outlineLvl w:val="3"/>
        <w:rPr>
          <w:rFonts w:eastAsiaTheme="minorEastAsia"/>
          <w:b/>
          <w:snapToGrid w:val="0"/>
          <w:color w:val="auto"/>
          <w:kern w:val="0"/>
          <w:sz w:val="24"/>
        </w:rPr>
      </w:pPr>
      <w:r>
        <w:rPr>
          <w:rFonts w:eastAsiaTheme="minorEastAsia"/>
          <w:b/>
          <w:snapToGrid w:val="0"/>
          <w:color w:val="auto"/>
          <w:kern w:val="0"/>
          <w:sz w:val="24"/>
        </w:rPr>
        <w:t>5.2.</w:t>
      </w:r>
      <w:r>
        <w:rPr>
          <w:rFonts w:hint="eastAsia" w:eastAsiaTheme="minorEastAsia"/>
          <w:b/>
          <w:snapToGrid w:val="0"/>
          <w:color w:val="auto"/>
          <w:kern w:val="0"/>
          <w:sz w:val="24"/>
        </w:rPr>
        <w:t>6</w:t>
      </w:r>
      <w:r>
        <w:rPr>
          <w:rFonts w:eastAsiaTheme="minorEastAsia"/>
          <w:b/>
          <w:snapToGrid w:val="0"/>
          <w:color w:val="auto"/>
          <w:kern w:val="0"/>
          <w:sz w:val="24"/>
        </w:rPr>
        <w:t>.2环境风险识别</w:t>
      </w:r>
    </w:p>
    <w:p>
      <w:pPr>
        <w:pStyle w:val="74"/>
        <w:adjustRightInd/>
        <w:snapToGrid/>
        <w:jc w:val="both"/>
        <w:rPr>
          <w:rFonts w:ascii="Times New Roman" w:cs="Times New Roman" w:hAnsiTheme="minorEastAsia"/>
          <w:snapToGrid w:val="0"/>
          <w:color w:val="auto"/>
        </w:rPr>
      </w:pPr>
      <w:r>
        <w:rPr>
          <w:rFonts w:ascii="Times New Roman" w:cs="Times New Roman" w:hAnsiTheme="minorEastAsia"/>
          <w:snapToGrid w:val="0"/>
          <w:color w:val="auto"/>
        </w:rPr>
        <w:t>本项目风险主要为</w:t>
      </w:r>
      <w:r>
        <w:rPr>
          <w:rFonts w:hint="eastAsia" w:ascii="Times New Roman" w:cs="Times New Roman" w:hAnsiTheme="minorEastAsia"/>
          <w:snapToGrid w:val="0"/>
          <w:color w:val="auto"/>
          <w:lang w:val="en-US" w:eastAsia="zh-CN"/>
        </w:rPr>
        <w:t>污水处理站、</w:t>
      </w:r>
      <w:r>
        <w:rPr>
          <w:rFonts w:hint="eastAsia" w:ascii="Times New Roman" w:cs="Times New Roman" w:hAnsiTheme="minorEastAsia"/>
          <w:snapToGrid w:val="0"/>
          <w:color w:val="auto"/>
        </w:rPr>
        <w:t>次氯酸钠</w:t>
      </w:r>
      <w:r>
        <w:rPr>
          <w:rFonts w:hint="eastAsia" w:ascii="Times New Roman" w:cs="Times New Roman" w:hAnsiTheme="minorEastAsia"/>
          <w:snapToGrid w:val="0"/>
          <w:color w:val="auto"/>
          <w:lang w:eastAsia="zh-CN"/>
        </w:rPr>
        <w:t>、</w:t>
      </w:r>
      <w:r>
        <w:rPr>
          <w:rFonts w:hint="eastAsia" w:ascii="Times New Roman" w:cs="Times New Roman" w:hAnsiTheme="minorEastAsia"/>
          <w:snapToGrid w:val="0"/>
          <w:color w:val="auto"/>
          <w:lang w:val="en-US" w:eastAsia="zh-CN"/>
        </w:rPr>
        <w:t>液氨</w:t>
      </w:r>
      <w:r>
        <w:rPr>
          <w:rFonts w:ascii="Times New Roman" w:cs="Times New Roman" w:hAnsiTheme="minorEastAsia"/>
          <w:snapToGrid w:val="0"/>
          <w:color w:val="auto"/>
        </w:rPr>
        <w:t>泄漏事故。</w:t>
      </w:r>
    </w:p>
    <w:p>
      <w:pPr>
        <w:spacing w:line="360" w:lineRule="auto"/>
        <w:outlineLvl w:val="3"/>
        <w:rPr>
          <w:rFonts w:eastAsiaTheme="minorEastAsia"/>
          <w:b/>
          <w:snapToGrid w:val="0"/>
          <w:color w:val="auto"/>
          <w:kern w:val="0"/>
          <w:sz w:val="24"/>
        </w:rPr>
      </w:pPr>
      <w:r>
        <w:rPr>
          <w:rFonts w:eastAsiaTheme="minorEastAsia"/>
          <w:b/>
          <w:snapToGrid w:val="0"/>
          <w:color w:val="auto"/>
          <w:kern w:val="0"/>
          <w:sz w:val="24"/>
        </w:rPr>
        <w:t>5.2.</w:t>
      </w:r>
      <w:r>
        <w:rPr>
          <w:rFonts w:hint="eastAsia" w:eastAsiaTheme="minorEastAsia"/>
          <w:b/>
          <w:snapToGrid w:val="0"/>
          <w:color w:val="auto"/>
          <w:kern w:val="0"/>
          <w:sz w:val="24"/>
        </w:rPr>
        <w:t>6</w:t>
      </w:r>
      <w:r>
        <w:rPr>
          <w:rFonts w:eastAsiaTheme="minorEastAsia"/>
          <w:b/>
          <w:snapToGrid w:val="0"/>
          <w:color w:val="auto"/>
          <w:kern w:val="0"/>
          <w:sz w:val="24"/>
        </w:rPr>
        <w:t>.3环境风险分析</w:t>
      </w:r>
    </w:p>
    <w:p>
      <w:pPr>
        <w:pStyle w:val="74"/>
        <w:rPr>
          <w:rFonts w:hint="default" w:hAnsiTheme="minorEastAsia" w:eastAsiaTheme="minorEastAsia"/>
          <w:color w:val="auto"/>
          <w:lang w:val="en-US" w:eastAsia="zh-CN"/>
        </w:rPr>
      </w:pPr>
      <w:r>
        <w:rPr>
          <w:rFonts w:hint="default" w:ascii="Times New Roman" w:hAnsi="Times New Roman" w:eastAsia="宋体" w:cs="Times New Roman"/>
          <w:color w:val="auto"/>
          <w:spacing w:val="0"/>
          <w:kern w:val="2"/>
          <w:sz w:val="24"/>
          <w:szCs w:val="24"/>
          <w:lang w:val="en-US" w:eastAsia="zh-CN"/>
        </w:rPr>
        <w:t>污水处理站内池体泄漏</w:t>
      </w:r>
      <w:r>
        <w:rPr>
          <w:rFonts w:hint="default" w:ascii="Times New Roman" w:hAnsi="Times New Roman" w:eastAsia="宋体" w:cs="Times New Roman"/>
          <w:color w:val="auto"/>
          <w:spacing w:val="0"/>
          <w:kern w:val="2"/>
          <w:sz w:val="24"/>
          <w:szCs w:val="24"/>
          <w:lang w:val="zh-CN"/>
        </w:rPr>
        <w:t>可能对周围土壤和地下水造成污染，对外环境产生影响</w:t>
      </w:r>
      <w:r>
        <w:rPr>
          <w:rFonts w:hint="eastAsia" w:ascii="Times New Roman" w:hAnsi="Times New Roman" w:eastAsia="宋体" w:cs="Times New Roman"/>
          <w:color w:val="auto"/>
          <w:spacing w:val="0"/>
          <w:kern w:val="2"/>
          <w:sz w:val="24"/>
          <w:szCs w:val="24"/>
          <w:lang w:val="zh-CN"/>
        </w:rPr>
        <w:t>。</w:t>
      </w:r>
      <w:r>
        <w:rPr>
          <w:rFonts w:hAnsiTheme="minorEastAsia"/>
          <w:color w:val="auto"/>
        </w:rPr>
        <w:t>人为操作失误，如装卸、分装物料时失误导致</w:t>
      </w:r>
      <w:r>
        <w:rPr>
          <w:rFonts w:hint="eastAsia" w:hAnsiTheme="minorEastAsia"/>
          <w:color w:val="auto"/>
        </w:rPr>
        <w:t>次氯酸钠</w:t>
      </w:r>
      <w:r>
        <w:rPr>
          <w:rFonts w:hint="eastAsia" w:hAnsiTheme="minorEastAsia"/>
          <w:color w:val="auto"/>
          <w:lang w:eastAsia="zh-CN"/>
        </w:rPr>
        <w:t>、</w:t>
      </w:r>
      <w:r>
        <w:rPr>
          <w:rFonts w:hint="eastAsia" w:hAnsiTheme="minorEastAsia"/>
          <w:color w:val="auto"/>
          <w:lang w:val="en-US" w:eastAsia="zh-CN"/>
        </w:rPr>
        <w:t>液氨</w:t>
      </w:r>
      <w:r>
        <w:rPr>
          <w:rFonts w:hAnsiTheme="minorEastAsia"/>
          <w:color w:val="auto"/>
        </w:rPr>
        <w:t>泄漏</w:t>
      </w:r>
      <w:r>
        <w:rPr>
          <w:rFonts w:hint="eastAsia" w:hAnsiTheme="minorEastAsia"/>
          <w:color w:val="auto"/>
        </w:rPr>
        <w:t>或</w:t>
      </w:r>
      <w:r>
        <w:rPr>
          <w:rFonts w:hAnsiTheme="minorEastAsia"/>
          <w:color w:val="auto"/>
        </w:rPr>
        <w:t>违反操作规程</w:t>
      </w:r>
      <w:r>
        <w:rPr>
          <w:rFonts w:hint="eastAsia" w:hAnsiTheme="minorEastAsia"/>
          <w:color w:val="auto"/>
        </w:rPr>
        <w:t>将</w:t>
      </w:r>
      <w:r>
        <w:rPr>
          <w:rFonts w:hAnsiTheme="minorEastAsia"/>
          <w:color w:val="auto"/>
        </w:rPr>
        <w:t>性质相抵触的物品混放而引起事故</w:t>
      </w:r>
      <w:r>
        <w:rPr>
          <w:rFonts w:hint="eastAsia" w:hAnsiTheme="minorEastAsia"/>
          <w:color w:val="auto"/>
        </w:rPr>
        <w:t>，泄漏的次氯酸钠未及时收集通过雨水、消防废水等水介质进入地表水或通过土壤渗入地下水，造成水体环境污染。</w:t>
      </w:r>
      <w:r>
        <w:rPr>
          <w:rFonts w:hint="eastAsia" w:hAnsiTheme="minorEastAsia"/>
          <w:color w:val="auto"/>
          <w:lang w:val="en-US" w:eastAsia="zh-CN"/>
        </w:rPr>
        <w:t>泄露的液氨未及时收集造成大气环境污染。</w:t>
      </w:r>
    </w:p>
    <w:p>
      <w:pPr>
        <w:spacing w:line="360" w:lineRule="auto"/>
        <w:outlineLvl w:val="3"/>
        <w:rPr>
          <w:rFonts w:hint="eastAsia" w:eastAsiaTheme="minorEastAsia"/>
          <w:b/>
          <w:snapToGrid w:val="0"/>
          <w:color w:val="auto"/>
          <w:kern w:val="0"/>
          <w:sz w:val="24"/>
          <w:lang w:eastAsia="zh-CN"/>
        </w:rPr>
      </w:pPr>
      <w:r>
        <w:rPr>
          <w:rFonts w:eastAsiaTheme="minorEastAsia"/>
          <w:b/>
          <w:snapToGrid w:val="0"/>
          <w:color w:val="auto"/>
          <w:kern w:val="0"/>
          <w:sz w:val="24"/>
        </w:rPr>
        <w:t>5.2.</w:t>
      </w:r>
      <w:r>
        <w:rPr>
          <w:rFonts w:hint="eastAsia" w:eastAsiaTheme="minorEastAsia"/>
          <w:b/>
          <w:snapToGrid w:val="0"/>
          <w:color w:val="auto"/>
          <w:kern w:val="0"/>
          <w:sz w:val="24"/>
        </w:rPr>
        <w:t>6</w:t>
      </w:r>
      <w:r>
        <w:rPr>
          <w:rFonts w:eastAsiaTheme="minorEastAsia"/>
          <w:b/>
          <w:snapToGrid w:val="0"/>
          <w:color w:val="auto"/>
          <w:kern w:val="0"/>
          <w:sz w:val="24"/>
        </w:rPr>
        <w:t>.4风险防范措施及应急要求</w:t>
      </w:r>
    </w:p>
    <w:p>
      <w:pPr>
        <w:spacing w:line="360" w:lineRule="auto"/>
        <w:ind w:firstLine="480" w:firstLineChars="200"/>
        <w:rPr>
          <w:rFonts w:hAnsiTheme="minorEastAsia" w:eastAsiaTheme="minorEastAsia"/>
          <w:color w:val="auto"/>
          <w:sz w:val="24"/>
          <w:szCs w:val="20"/>
        </w:rPr>
      </w:pPr>
      <w:r>
        <w:rPr>
          <w:rFonts w:hint="eastAsia" w:hAnsiTheme="minorEastAsia" w:eastAsiaTheme="minorEastAsia"/>
          <w:color w:val="auto"/>
          <w:sz w:val="24"/>
          <w:szCs w:val="20"/>
        </w:rPr>
        <w:t>（1）消毒剂存储位置</w:t>
      </w:r>
      <w:r>
        <w:rPr>
          <w:rFonts w:hint="eastAsia" w:hAnsiTheme="minorEastAsia" w:eastAsiaTheme="minorEastAsia"/>
          <w:color w:val="auto"/>
          <w:sz w:val="24"/>
          <w:szCs w:val="20"/>
          <w:lang w:val="en-US" w:eastAsia="zh-CN"/>
        </w:rPr>
        <w:t>及储氨罐</w:t>
      </w:r>
      <w:r>
        <w:rPr>
          <w:rFonts w:hint="eastAsia" w:hAnsiTheme="minorEastAsia" w:eastAsiaTheme="minorEastAsia"/>
          <w:color w:val="auto"/>
          <w:sz w:val="24"/>
          <w:szCs w:val="20"/>
        </w:rPr>
        <w:t>周围设置围堰；</w:t>
      </w:r>
    </w:p>
    <w:p>
      <w:pPr>
        <w:spacing w:line="360" w:lineRule="auto"/>
        <w:ind w:firstLine="480" w:firstLineChars="200"/>
        <w:rPr>
          <w:rFonts w:hint="eastAsia" w:hAnsiTheme="minorEastAsia" w:eastAsiaTheme="minorEastAsia"/>
          <w:color w:val="auto"/>
          <w:sz w:val="24"/>
          <w:szCs w:val="20"/>
          <w:lang w:eastAsia="zh-CN"/>
        </w:rPr>
      </w:pPr>
      <w:r>
        <w:rPr>
          <w:rFonts w:hint="eastAsia" w:hAnsiTheme="minorEastAsia" w:eastAsiaTheme="minorEastAsia"/>
          <w:color w:val="auto"/>
          <w:sz w:val="24"/>
          <w:szCs w:val="20"/>
          <w:lang w:eastAsia="zh-CN"/>
        </w:rPr>
        <w:t>（</w:t>
      </w:r>
      <w:r>
        <w:rPr>
          <w:rFonts w:hint="eastAsia" w:hAnsiTheme="minorEastAsia" w:eastAsiaTheme="minorEastAsia"/>
          <w:color w:val="auto"/>
          <w:sz w:val="24"/>
          <w:szCs w:val="20"/>
          <w:lang w:val="en-US" w:eastAsia="zh-CN"/>
        </w:rPr>
        <w:t>2</w:t>
      </w:r>
      <w:r>
        <w:rPr>
          <w:rFonts w:hint="eastAsia" w:hAnsiTheme="minorEastAsia" w:eastAsiaTheme="minorEastAsia"/>
          <w:color w:val="auto"/>
          <w:sz w:val="24"/>
          <w:szCs w:val="20"/>
          <w:lang w:eastAsia="zh-CN"/>
        </w:rPr>
        <w:t>）储</w:t>
      </w:r>
      <w:r>
        <w:rPr>
          <w:rFonts w:hint="eastAsia" w:hAnsiTheme="minorEastAsia" w:eastAsiaTheme="minorEastAsia"/>
          <w:color w:val="auto"/>
          <w:sz w:val="24"/>
          <w:szCs w:val="20"/>
          <w:lang w:val="en-US" w:eastAsia="zh-CN"/>
        </w:rPr>
        <w:t>氨</w:t>
      </w:r>
      <w:r>
        <w:rPr>
          <w:rFonts w:hint="eastAsia" w:hAnsiTheme="minorEastAsia" w:eastAsiaTheme="minorEastAsia"/>
          <w:color w:val="auto"/>
          <w:sz w:val="24"/>
          <w:szCs w:val="20"/>
          <w:lang w:eastAsia="zh-CN"/>
        </w:rPr>
        <w:t>罐设置阻火器和呼吸阀；罐储时要有防火防爆技术措施，配备相应品种和数量的消防器材。</w:t>
      </w:r>
    </w:p>
    <w:p>
      <w:pPr>
        <w:spacing w:line="360" w:lineRule="auto"/>
        <w:ind w:firstLine="480" w:firstLineChars="200"/>
        <w:rPr>
          <w:rFonts w:hint="eastAsia" w:hAnsiTheme="minorEastAsia" w:eastAsiaTheme="minorEastAsia"/>
          <w:color w:val="auto"/>
          <w:sz w:val="24"/>
          <w:szCs w:val="20"/>
          <w:lang w:eastAsia="zh-CN"/>
        </w:rPr>
      </w:pPr>
      <w:r>
        <w:rPr>
          <w:rFonts w:hint="eastAsia" w:hAnsiTheme="minorEastAsia" w:eastAsiaTheme="minorEastAsia"/>
          <w:color w:val="auto"/>
          <w:sz w:val="24"/>
          <w:szCs w:val="20"/>
          <w:lang w:eastAsia="zh-CN"/>
        </w:rPr>
        <w:t>（</w:t>
      </w:r>
      <w:r>
        <w:rPr>
          <w:rFonts w:hint="eastAsia" w:hAnsiTheme="minorEastAsia" w:eastAsiaTheme="minorEastAsia"/>
          <w:color w:val="auto"/>
          <w:sz w:val="24"/>
          <w:szCs w:val="20"/>
          <w:lang w:val="en-US" w:eastAsia="zh-CN"/>
        </w:rPr>
        <w:t>3</w:t>
      </w:r>
      <w:r>
        <w:rPr>
          <w:rFonts w:hint="eastAsia" w:hAnsiTheme="minorEastAsia" w:eastAsiaTheme="minorEastAsia"/>
          <w:color w:val="auto"/>
          <w:sz w:val="24"/>
          <w:szCs w:val="20"/>
          <w:lang w:eastAsia="zh-CN"/>
        </w:rPr>
        <w:t>）</w:t>
      </w:r>
      <w:r>
        <w:rPr>
          <w:rFonts w:hint="eastAsia" w:hAnsiTheme="minorEastAsia" w:eastAsiaTheme="minorEastAsia"/>
          <w:color w:val="auto"/>
          <w:sz w:val="24"/>
          <w:szCs w:val="20"/>
          <w:lang w:val="en-US" w:eastAsia="zh-CN"/>
        </w:rPr>
        <w:t>冷库的氨制冷机房贮氨器上方宜设置局部水喷淋系统，水喷淋系统宜选用开式喷头，开式喷头保护面积应按贮氨器占地面积确定。开式喷头的水源可由库区消防给水系统供给，操作可为手动或电动方式。</w:t>
      </w:r>
    </w:p>
    <w:p>
      <w:pPr>
        <w:spacing w:line="360" w:lineRule="auto"/>
        <w:ind w:firstLine="480" w:firstLineChars="200"/>
        <w:rPr>
          <w:rFonts w:hint="eastAsia" w:hAnsiTheme="minorEastAsia" w:eastAsiaTheme="minorEastAsia"/>
          <w:color w:val="auto"/>
          <w:sz w:val="24"/>
          <w:szCs w:val="20"/>
          <w:lang w:eastAsia="zh-CN"/>
        </w:rPr>
      </w:pPr>
      <w:r>
        <w:rPr>
          <w:rFonts w:hint="eastAsia" w:hAnsiTheme="minorEastAsia" w:eastAsiaTheme="minorEastAsia"/>
          <w:color w:val="auto"/>
          <w:sz w:val="24"/>
          <w:szCs w:val="20"/>
          <w:lang w:eastAsia="zh-CN"/>
        </w:rPr>
        <w:t>（</w:t>
      </w:r>
      <w:r>
        <w:rPr>
          <w:rFonts w:hint="eastAsia" w:hAnsiTheme="minorEastAsia" w:eastAsiaTheme="minorEastAsia"/>
          <w:color w:val="auto"/>
          <w:sz w:val="24"/>
          <w:szCs w:val="20"/>
          <w:lang w:val="en-US" w:eastAsia="zh-CN"/>
        </w:rPr>
        <w:t>4</w:t>
      </w:r>
      <w:r>
        <w:rPr>
          <w:rFonts w:hint="eastAsia" w:hAnsiTheme="minorEastAsia" w:eastAsiaTheme="minorEastAsia"/>
          <w:color w:val="auto"/>
          <w:sz w:val="24"/>
          <w:szCs w:val="20"/>
          <w:lang w:eastAsia="zh-CN"/>
        </w:rPr>
        <w:t>）储</w:t>
      </w:r>
      <w:r>
        <w:rPr>
          <w:rFonts w:hint="eastAsia" w:hAnsiTheme="minorEastAsia" w:eastAsiaTheme="minorEastAsia"/>
          <w:color w:val="auto"/>
          <w:sz w:val="24"/>
          <w:szCs w:val="20"/>
          <w:lang w:val="en-US" w:eastAsia="zh-CN"/>
        </w:rPr>
        <w:t>氨</w:t>
      </w:r>
      <w:r>
        <w:rPr>
          <w:rFonts w:hint="eastAsia" w:hAnsiTheme="minorEastAsia" w:eastAsiaTheme="minorEastAsia"/>
          <w:color w:val="auto"/>
          <w:sz w:val="24"/>
          <w:szCs w:val="20"/>
          <w:lang w:eastAsia="zh-CN"/>
        </w:rPr>
        <w:t>罐设防雷接地并按规定监测，保持有效。防雷装置实行定期检测制度。防雷装置检测为每年一次，对爆炸危险环境的防雷装置可以每半年检测一次。</w:t>
      </w:r>
    </w:p>
    <w:p>
      <w:pPr>
        <w:spacing w:line="360" w:lineRule="auto"/>
        <w:ind w:firstLine="480" w:firstLineChars="200"/>
        <w:rPr>
          <w:rFonts w:hint="eastAsia" w:hAnsiTheme="minorEastAsia" w:eastAsiaTheme="minorEastAsia"/>
          <w:color w:val="auto"/>
          <w:sz w:val="24"/>
          <w:szCs w:val="20"/>
          <w:lang w:eastAsia="zh-CN"/>
        </w:rPr>
      </w:pPr>
      <w:r>
        <w:rPr>
          <w:rFonts w:hint="eastAsia" w:hAnsiTheme="minorEastAsia" w:eastAsiaTheme="minorEastAsia"/>
          <w:color w:val="auto"/>
          <w:sz w:val="24"/>
          <w:szCs w:val="20"/>
          <w:lang w:eastAsia="zh-CN"/>
        </w:rPr>
        <w:t>（</w:t>
      </w:r>
      <w:r>
        <w:rPr>
          <w:rFonts w:hint="eastAsia" w:hAnsiTheme="minorEastAsia" w:eastAsiaTheme="minorEastAsia"/>
          <w:color w:val="auto"/>
          <w:sz w:val="24"/>
          <w:szCs w:val="20"/>
          <w:lang w:val="en-US" w:eastAsia="zh-CN"/>
        </w:rPr>
        <w:t>5</w:t>
      </w:r>
      <w:r>
        <w:rPr>
          <w:rFonts w:hint="eastAsia" w:hAnsiTheme="minorEastAsia" w:eastAsiaTheme="minorEastAsia"/>
          <w:color w:val="auto"/>
          <w:sz w:val="24"/>
          <w:szCs w:val="20"/>
          <w:lang w:eastAsia="zh-CN"/>
        </w:rPr>
        <w:t>）贮氨器罐体、阀门、管道及泵均设置防静电接地措施。</w:t>
      </w:r>
    </w:p>
    <w:p>
      <w:pPr>
        <w:spacing w:line="360" w:lineRule="auto"/>
        <w:ind w:firstLine="480" w:firstLineChars="200"/>
        <w:rPr>
          <w:rFonts w:hint="eastAsia" w:hAnsiTheme="minorEastAsia" w:eastAsiaTheme="minorEastAsia"/>
          <w:color w:val="auto"/>
          <w:sz w:val="24"/>
          <w:szCs w:val="20"/>
          <w:lang w:eastAsia="zh-CN"/>
        </w:rPr>
      </w:pPr>
      <w:r>
        <w:rPr>
          <w:rFonts w:hint="eastAsia" w:hAnsiTheme="minorEastAsia" w:eastAsiaTheme="minorEastAsia"/>
          <w:color w:val="auto"/>
          <w:sz w:val="24"/>
          <w:szCs w:val="20"/>
          <w:lang w:eastAsia="zh-CN"/>
        </w:rPr>
        <w:t>（</w:t>
      </w:r>
      <w:r>
        <w:rPr>
          <w:rFonts w:hint="eastAsia" w:hAnsiTheme="minorEastAsia" w:eastAsiaTheme="minorEastAsia"/>
          <w:color w:val="auto"/>
          <w:sz w:val="24"/>
          <w:szCs w:val="20"/>
          <w:lang w:val="en-US" w:eastAsia="zh-CN"/>
        </w:rPr>
        <w:t>6</w:t>
      </w:r>
      <w:r>
        <w:rPr>
          <w:rFonts w:hint="eastAsia" w:hAnsiTheme="minorEastAsia" w:eastAsiaTheme="minorEastAsia"/>
          <w:color w:val="auto"/>
          <w:sz w:val="24"/>
          <w:szCs w:val="20"/>
          <w:lang w:eastAsia="zh-CN"/>
        </w:rPr>
        <w:t>）储</w:t>
      </w:r>
      <w:r>
        <w:rPr>
          <w:rFonts w:hint="eastAsia" w:hAnsiTheme="minorEastAsia" w:eastAsiaTheme="minorEastAsia"/>
          <w:color w:val="auto"/>
          <w:sz w:val="24"/>
          <w:szCs w:val="20"/>
          <w:lang w:val="en-US" w:eastAsia="zh-CN"/>
        </w:rPr>
        <w:t>氨</w:t>
      </w:r>
      <w:r>
        <w:rPr>
          <w:rFonts w:hint="eastAsia" w:hAnsiTheme="minorEastAsia" w:eastAsiaTheme="minorEastAsia"/>
          <w:color w:val="auto"/>
          <w:sz w:val="24"/>
          <w:szCs w:val="20"/>
          <w:lang w:eastAsia="zh-CN"/>
        </w:rPr>
        <w:t>罐由抗腐蚀材料制作，液氨罐在充装前必须保证液氨罐充装中和充装后压力不超过1Mpa，储罐充装量不得超过安全警戒线，在液氨设备15m距离内，严禁明火和热源，液氨罐在高温时段应急喷淋水源进行降温处理。</w:t>
      </w:r>
    </w:p>
    <w:p>
      <w:pPr>
        <w:spacing w:line="360" w:lineRule="auto"/>
        <w:ind w:firstLine="480" w:firstLineChars="200"/>
        <w:rPr>
          <w:rFonts w:hint="eastAsia" w:hAnsiTheme="minorEastAsia" w:eastAsiaTheme="minorEastAsia"/>
          <w:color w:val="auto"/>
          <w:sz w:val="24"/>
          <w:szCs w:val="20"/>
          <w:lang w:eastAsia="zh-CN"/>
        </w:rPr>
      </w:pPr>
      <w:r>
        <w:rPr>
          <w:rFonts w:hint="eastAsia" w:hAnsiTheme="minorEastAsia" w:eastAsiaTheme="minorEastAsia"/>
          <w:color w:val="auto"/>
          <w:sz w:val="24"/>
          <w:szCs w:val="20"/>
          <w:lang w:eastAsia="zh-CN"/>
        </w:rPr>
        <w:t>（</w:t>
      </w:r>
      <w:r>
        <w:rPr>
          <w:rFonts w:hint="eastAsia" w:hAnsiTheme="minorEastAsia" w:eastAsiaTheme="minorEastAsia"/>
          <w:color w:val="auto"/>
          <w:sz w:val="24"/>
          <w:szCs w:val="20"/>
          <w:lang w:val="en-US" w:eastAsia="zh-CN"/>
        </w:rPr>
        <w:t>7</w:t>
      </w:r>
      <w:r>
        <w:rPr>
          <w:rFonts w:hint="eastAsia" w:hAnsiTheme="minorEastAsia" w:eastAsiaTheme="minorEastAsia"/>
          <w:color w:val="auto"/>
          <w:sz w:val="24"/>
          <w:szCs w:val="20"/>
          <w:lang w:eastAsia="zh-CN"/>
        </w:rPr>
        <w:t>）储氨区四周在明显和便于操作部位设置手动报警按钮。</w:t>
      </w:r>
    </w:p>
    <w:p>
      <w:pPr>
        <w:spacing w:line="360" w:lineRule="auto"/>
        <w:ind w:firstLine="480" w:firstLineChars="200"/>
        <w:rPr>
          <w:rFonts w:hint="default" w:hAnsiTheme="minorEastAsia" w:eastAsiaTheme="minorEastAsia"/>
          <w:color w:val="auto"/>
          <w:sz w:val="24"/>
          <w:szCs w:val="20"/>
          <w:lang w:val="en-US" w:eastAsia="zh-CN"/>
        </w:rPr>
      </w:pPr>
      <w:r>
        <w:rPr>
          <w:rFonts w:hint="eastAsia" w:hAnsiTheme="minorEastAsia" w:eastAsiaTheme="minorEastAsia"/>
          <w:color w:val="auto"/>
          <w:sz w:val="24"/>
          <w:szCs w:val="20"/>
          <w:lang w:eastAsia="zh-CN"/>
        </w:rPr>
        <w:t>（</w:t>
      </w:r>
      <w:r>
        <w:rPr>
          <w:rFonts w:hint="eastAsia" w:hAnsiTheme="minorEastAsia" w:eastAsiaTheme="minorEastAsia"/>
          <w:color w:val="auto"/>
          <w:sz w:val="24"/>
          <w:szCs w:val="20"/>
          <w:lang w:val="en-US" w:eastAsia="zh-CN"/>
        </w:rPr>
        <w:t>8</w:t>
      </w:r>
      <w:r>
        <w:rPr>
          <w:rFonts w:hint="eastAsia" w:hAnsiTheme="minorEastAsia" w:eastAsiaTheme="minorEastAsia"/>
          <w:color w:val="auto"/>
          <w:sz w:val="24"/>
          <w:szCs w:val="20"/>
          <w:lang w:eastAsia="zh-CN"/>
        </w:rPr>
        <w:t>）</w:t>
      </w:r>
      <w:r>
        <w:rPr>
          <w:rFonts w:hint="eastAsia" w:hAnsiTheme="minorEastAsia" w:eastAsiaTheme="minorEastAsia"/>
          <w:color w:val="auto"/>
          <w:sz w:val="24"/>
          <w:szCs w:val="20"/>
          <w:lang w:val="en-US" w:eastAsia="zh-CN"/>
        </w:rPr>
        <w:t>设置氨气泄露报警系统。</w:t>
      </w:r>
    </w:p>
    <w:p>
      <w:pPr>
        <w:spacing w:line="360" w:lineRule="auto"/>
        <w:ind w:firstLine="480" w:firstLineChars="200"/>
        <w:rPr>
          <w:rFonts w:hAnsiTheme="minorEastAsia" w:eastAsiaTheme="minorEastAsia"/>
          <w:color w:val="auto"/>
          <w:sz w:val="24"/>
          <w:szCs w:val="20"/>
        </w:rPr>
      </w:pPr>
      <w:r>
        <w:rPr>
          <w:rFonts w:hint="eastAsia" w:hAnsiTheme="minorEastAsia" w:eastAsiaTheme="minorEastAsia"/>
          <w:color w:val="auto"/>
          <w:sz w:val="24"/>
          <w:szCs w:val="20"/>
        </w:rPr>
        <w:t>（</w:t>
      </w:r>
      <w:r>
        <w:rPr>
          <w:rFonts w:hint="eastAsia" w:hAnsiTheme="minorEastAsia" w:eastAsiaTheme="minorEastAsia"/>
          <w:color w:val="auto"/>
          <w:sz w:val="24"/>
          <w:szCs w:val="20"/>
          <w:lang w:val="en-US" w:eastAsia="zh-CN"/>
        </w:rPr>
        <w:t>9</w:t>
      </w:r>
      <w:r>
        <w:rPr>
          <w:rFonts w:hint="eastAsia" w:hAnsiTheme="minorEastAsia" w:eastAsiaTheme="minorEastAsia"/>
          <w:color w:val="auto"/>
          <w:sz w:val="24"/>
          <w:szCs w:val="20"/>
        </w:rPr>
        <w:t>）当发生泄漏时建议应急处理人员戴自给正压式呼吸器，穿防酸碱工作服。不要直接接触泄漏物。尽可能切断泄漏源，用砂土、蛭石或其它惰性材料吸收，并交由有资质单位处置。</w:t>
      </w:r>
    </w:p>
    <w:p>
      <w:pPr>
        <w:spacing w:line="360" w:lineRule="auto"/>
        <w:ind w:firstLine="480" w:firstLineChars="200"/>
        <w:rPr>
          <w:rFonts w:hint="eastAsia" w:hAnsiTheme="minorEastAsia" w:eastAsiaTheme="minorEastAsia"/>
          <w:color w:val="auto"/>
          <w:sz w:val="24"/>
          <w:szCs w:val="20"/>
          <w:lang w:eastAsia="zh-CN"/>
        </w:rPr>
      </w:pPr>
      <w:r>
        <w:rPr>
          <w:rFonts w:hint="eastAsia" w:hAnsiTheme="minorEastAsia" w:eastAsiaTheme="minorEastAsia"/>
          <w:color w:val="auto"/>
          <w:sz w:val="24"/>
          <w:szCs w:val="20"/>
          <w:lang w:eastAsia="zh-CN"/>
        </w:rPr>
        <w:t>（</w:t>
      </w:r>
      <w:r>
        <w:rPr>
          <w:rFonts w:hint="eastAsia" w:hAnsiTheme="minorEastAsia" w:eastAsiaTheme="minorEastAsia"/>
          <w:color w:val="auto"/>
          <w:sz w:val="24"/>
          <w:szCs w:val="20"/>
          <w:lang w:val="en-US" w:eastAsia="zh-CN"/>
        </w:rPr>
        <w:t>10</w:t>
      </w:r>
      <w:r>
        <w:rPr>
          <w:rFonts w:hint="eastAsia" w:hAnsiTheme="minorEastAsia" w:eastAsiaTheme="minorEastAsia"/>
          <w:color w:val="auto"/>
          <w:sz w:val="24"/>
          <w:szCs w:val="20"/>
          <w:lang w:eastAsia="zh-CN"/>
        </w:rPr>
        <w:t>）工程废水处理设施发生事故性排放主要有设备故障和停电因素，若出现设备故障因素引起的事故性排放，可将排放污水引入事故水池中；若出现停电事故，生产也将停止，废水可引入事故水池，不对周围水环境造成影响。</w:t>
      </w:r>
    </w:p>
    <w:p>
      <w:pPr>
        <w:spacing w:line="360" w:lineRule="auto"/>
        <w:ind w:firstLine="480" w:firstLineChars="200"/>
        <w:rPr>
          <w:rFonts w:hAnsiTheme="minorEastAsia" w:eastAsiaTheme="minorEastAsia"/>
          <w:color w:val="auto"/>
          <w:sz w:val="24"/>
          <w:szCs w:val="20"/>
        </w:rPr>
      </w:pPr>
      <w:r>
        <w:rPr>
          <w:rFonts w:hint="eastAsia" w:hAnsiTheme="minorEastAsia" w:eastAsiaTheme="minorEastAsia"/>
          <w:color w:val="auto"/>
          <w:sz w:val="24"/>
          <w:szCs w:val="20"/>
        </w:rPr>
        <w:t>（</w:t>
      </w:r>
      <w:r>
        <w:rPr>
          <w:rFonts w:hint="eastAsia" w:hAnsiTheme="minorEastAsia" w:eastAsiaTheme="minorEastAsia"/>
          <w:color w:val="auto"/>
          <w:sz w:val="24"/>
          <w:szCs w:val="20"/>
          <w:lang w:val="en-US" w:eastAsia="zh-CN"/>
        </w:rPr>
        <w:t>11</w:t>
      </w:r>
      <w:r>
        <w:rPr>
          <w:rFonts w:hint="eastAsia" w:hAnsiTheme="minorEastAsia" w:eastAsiaTheme="minorEastAsia"/>
          <w:color w:val="auto"/>
          <w:sz w:val="24"/>
          <w:szCs w:val="20"/>
        </w:rPr>
        <w:t>）</w:t>
      </w:r>
      <w:r>
        <w:rPr>
          <w:rFonts w:hAnsiTheme="minorEastAsia" w:eastAsiaTheme="minorEastAsia"/>
          <w:color w:val="auto"/>
          <w:sz w:val="24"/>
          <w:szCs w:val="20"/>
        </w:rPr>
        <w:t>制定安全生产管理制度、安全操作规程和危险化学品储运方案等方面的程序文件和作业指导书，并严格按要求执行。按设计规范要求配备消防、环保、监控等安全环保设备和实施，确保包装完好</w:t>
      </w:r>
      <w:r>
        <w:rPr>
          <w:rFonts w:hint="eastAsia" w:hAnsiTheme="minorEastAsia" w:eastAsiaTheme="minorEastAsia"/>
          <w:color w:val="auto"/>
          <w:sz w:val="24"/>
          <w:szCs w:val="20"/>
        </w:rPr>
        <w:t>；</w:t>
      </w:r>
    </w:p>
    <w:p>
      <w:pPr>
        <w:spacing w:line="360" w:lineRule="auto"/>
        <w:ind w:firstLine="480" w:firstLineChars="200"/>
        <w:rPr>
          <w:rFonts w:hAnsiTheme="minorEastAsia" w:eastAsiaTheme="minorEastAsia"/>
          <w:color w:val="auto"/>
          <w:sz w:val="24"/>
          <w:szCs w:val="20"/>
        </w:rPr>
      </w:pPr>
      <w:r>
        <w:rPr>
          <w:rFonts w:hAnsiTheme="minorEastAsia" w:eastAsiaTheme="minorEastAsia"/>
          <w:color w:val="auto"/>
          <w:sz w:val="24"/>
          <w:szCs w:val="20"/>
        </w:rPr>
        <w:t>（</w:t>
      </w:r>
      <w:r>
        <w:rPr>
          <w:rFonts w:hint="eastAsia" w:hAnsiTheme="minorEastAsia" w:eastAsiaTheme="minorEastAsia"/>
          <w:color w:val="auto"/>
          <w:sz w:val="24"/>
          <w:szCs w:val="20"/>
          <w:lang w:val="en-US" w:eastAsia="zh-CN"/>
        </w:rPr>
        <w:t>12</w:t>
      </w:r>
      <w:r>
        <w:rPr>
          <w:rFonts w:hAnsiTheme="minorEastAsia" w:eastAsiaTheme="minorEastAsia"/>
          <w:color w:val="auto"/>
          <w:sz w:val="24"/>
          <w:szCs w:val="20"/>
        </w:rPr>
        <w:t>）</w:t>
      </w:r>
      <w:r>
        <w:rPr>
          <w:rFonts w:hint="eastAsia" w:hAnsiTheme="minorEastAsia" w:eastAsiaTheme="minorEastAsia"/>
          <w:color w:val="auto"/>
          <w:sz w:val="24"/>
          <w:szCs w:val="20"/>
        </w:rPr>
        <w:t>按照《突发环境事件应急预案管理暂行办法》和《企业事业单位突发环境事件应急预案备案管理办法（试行）》等相关文件要求编制突发环境事件应急预案，并在相应的生态环境主管部门进行备案。</w:t>
      </w:r>
    </w:p>
    <w:p>
      <w:pPr>
        <w:spacing w:line="360" w:lineRule="auto"/>
        <w:ind w:firstLine="480" w:firstLineChars="200"/>
        <w:rPr>
          <w:rFonts w:hAnsiTheme="minorEastAsia" w:eastAsiaTheme="minorEastAsia"/>
          <w:color w:val="auto"/>
          <w:sz w:val="24"/>
          <w:szCs w:val="20"/>
        </w:rPr>
      </w:pPr>
      <w:r>
        <w:rPr>
          <w:rFonts w:hAnsiTheme="minorEastAsia" w:eastAsiaTheme="minorEastAsia"/>
          <w:color w:val="auto"/>
          <w:sz w:val="24"/>
          <w:szCs w:val="20"/>
        </w:rPr>
        <w:t>在严格落实应急措施后，可将风险发生的概率和影响后果降到最低限度。一旦发生事故，及时采取应急措施，可将对</w:t>
      </w:r>
      <w:r>
        <w:rPr>
          <w:rFonts w:hint="eastAsia" w:hAnsiTheme="minorEastAsia" w:eastAsiaTheme="minorEastAsia"/>
          <w:color w:val="auto"/>
          <w:sz w:val="24"/>
          <w:szCs w:val="20"/>
        </w:rPr>
        <w:t>地表水</w:t>
      </w:r>
      <w:r>
        <w:rPr>
          <w:rFonts w:hAnsiTheme="minorEastAsia" w:eastAsiaTheme="minorEastAsia"/>
          <w:color w:val="auto"/>
          <w:sz w:val="24"/>
          <w:szCs w:val="20"/>
        </w:rPr>
        <w:t>和地下水的影响降到最低限度，其风险水平可以被接受。</w:t>
      </w:r>
    </w:p>
    <w:p>
      <w:pPr>
        <w:spacing w:line="360" w:lineRule="auto"/>
        <w:outlineLvl w:val="3"/>
        <w:rPr>
          <w:rFonts w:eastAsiaTheme="minorEastAsia"/>
          <w:b/>
          <w:snapToGrid w:val="0"/>
          <w:color w:val="auto"/>
          <w:kern w:val="0"/>
          <w:sz w:val="24"/>
        </w:rPr>
      </w:pPr>
      <w:r>
        <w:rPr>
          <w:rFonts w:eastAsiaTheme="minorEastAsia"/>
          <w:b/>
          <w:snapToGrid w:val="0"/>
          <w:color w:val="auto"/>
          <w:kern w:val="0"/>
          <w:sz w:val="24"/>
        </w:rPr>
        <w:t>5.2.6.5分析结论</w:t>
      </w:r>
    </w:p>
    <w:p>
      <w:pPr>
        <w:spacing w:line="360" w:lineRule="auto"/>
        <w:ind w:firstLine="482"/>
        <w:rPr>
          <w:rFonts w:eastAsiaTheme="minorEastAsia"/>
          <w:color w:val="auto"/>
          <w:kern w:val="0"/>
          <w:sz w:val="24"/>
        </w:rPr>
      </w:pPr>
      <w:r>
        <w:rPr>
          <w:rFonts w:eastAsiaTheme="minorEastAsia"/>
          <w:color w:val="auto"/>
          <w:kern w:val="0"/>
          <w:sz w:val="24"/>
        </w:rPr>
        <w:t>本项目环境风险潜势为Ⅰ，环境风险等级低于三级，在做好上述各项防范措施后，项目生产过程的环境风险是可控的。</w:t>
      </w:r>
    </w:p>
    <w:p>
      <w:pPr>
        <w:spacing w:line="360" w:lineRule="auto"/>
        <w:jc w:val="center"/>
        <w:rPr>
          <w:rFonts w:eastAsiaTheme="minorEastAsia"/>
          <w:b/>
          <w:color w:val="auto"/>
          <w:sz w:val="24"/>
        </w:rPr>
      </w:pPr>
      <w:r>
        <w:rPr>
          <w:rFonts w:hAnsiTheme="minorEastAsia" w:eastAsiaTheme="minorEastAsia"/>
          <w:b/>
          <w:color w:val="auto"/>
          <w:sz w:val="24"/>
        </w:rPr>
        <w:t>表</w:t>
      </w:r>
      <w:r>
        <w:rPr>
          <w:rFonts w:eastAsiaTheme="minorEastAsia"/>
          <w:b/>
          <w:color w:val="auto"/>
          <w:sz w:val="24"/>
        </w:rPr>
        <w:t>5-2-</w:t>
      </w:r>
      <w:r>
        <w:rPr>
          <w:rFonts w:hint="eastAsia" w:eastAsiaTheme="minorEastAsia"/>
          <w:b/>
          <w:color w:val="auto"/>
          <w:sz w:val="24"/>
        </w:rPr>
        <w:t>2</w:t>
      </w:r>
      <w:r>
        <w:rPr>
          <w:rFonts w:hint="eastAsia" w:eastAsiaTheme="minorEastAsia"/>
          <w:b/>
          <w:color w:val="auto"/>
          <w:sz w:val="24"/>
          <w:lang w:val="en-US" w:eastAsia="zh-CN"/>
        </w:rPr>
        <w:t>4</w:t>
      </w:r>
      <w:r>
        <w:rPr>
          <w:rFonts w:hAnsiTheme="minorEastAsia" w:eastAsiaTheme="minorEastAsia"/>
          <w:b/>
          <w:color w:val="auto"/>
          <w:sz w:val="24"/>
        </w:rPr>
        <w:t>建设项目环境风险简单分析内容表</w:t>
      </w:r>
    </w:p>
    <w:tbl>
      <w:tblPr>
        <w:tblStyle w:val="46"/>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711"/>
        <w:gridCol w:w="1425"/>
        <w:gridCol w:w="1547"/>
        <w:gridCol w:w="1251"/>
        <w:gridCol w:w="1371"/>
        <w:gridCol w:w="1217"/>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25" w:hRule="atLeast"/>
          <w:jc w:val="center"/>
        </w:trPr>
        <w:tc>
          <w:tcPr>
            <w:tcW w:w="1711" w:type="dxa"/>
            <w:vAlign w:val="center"/>
          </w:tcPr>
          <w:p>
            <w:pPr>
              <w:jc w:val="center"/>
              <w:rPr>
                <w:rFonts w:eastAsiaTheme="minorEastAsia"/>
                <w:color w:val="auto"/>
                <w:szCs w:val="21"/>
              </w:rPr>
            </w:pPr>
            <w:r>
              <w:rPr>
                <w:rFonts w:hAnsiTheme="minorEastAsia" w:eastAsiaTheme="minorEastAsia"/>
                <w:color w:val="auto"/>
                <w:szCs w:val="21"/>
              </w:rPr>
              <w:t>建设项目名称</w:t>
            </w:r>
          </w:p>
        </w:tc>
        <w:tc>
          <w:tcPr>
            <w:tcW w:w="6811" w:type="dxa"/>
            <w:gridSpan w:val="5"/>
            <w:vAlign w:val="center"/>
          </w:tcPr>
          <w:p>
            <w:pPr>
              <w:jc w:val="center"/>
              <w:rPr>
                <w:rFonts w:hint="eastAsia" w:eastAsiaTheme="minorEastAsia"/>
                <w:color w:val="auto"/>
                <w:szCs w:val="21"/>
                <w:lang w:eastAsia="zh-CN"/>
              </w:rPr>
            </w:pPr>
            <w:r>
              <w:rPr>
                <w:rFonts w:hint="eastAsia" w:hAnsiTheme="minorEastAsia" w:eastAsiaTheme="minorEastAsia"/>
                <w:bCs/>
                <w:color w:val="auto"/>
                <w:szCs w:val="21"/>
                <w:lang w:eastAsia="zh-CN"/>
              </w:rPr>
              <w:t>黑龙江省哈尔滨市尚志市黑龙江省龙源工贸集团有限公司黑龙江阿穆屠宰有限公司肉牛屠宰厂建设项目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8" w:hRule="atLeast"/>
          <w:jc w:val="center"/>
        </w:trPr>
        <w:tc>
          <w:tcPr>
            <w:tcW w:w="1711" w:type="dxa"/>
            <w:vAlign w:val="center"/>
          </w:tcPr>
          <w:p>
            <w:pPr>
              <w:jc w:val="center"/>
              <w:rPr>
                <w:rFonts w:eastAsiaTheme="minorEastAsia"/>
                <w:color w:val="auto"/>
                <w:szCs w:val="21"/>
              </w:rPr>
            </w:pPr>
            <w:r>
              <w:rPr>
                <w:rFonts w:hAnsiTheme="minorEastAsia" w:eastAsiaTheme="minorEastAsia"/>
                <w:color w:val="auto"/>
                <w:szCs w:val="21"/>
              </w:rPr>
              <w:t>建设地点</w:t>
            </w:r>
          </w:p>
        </w:tc>
        <w:tc>
          <w:tcPr>
            <w:tcW w:w="1425" w:type="dxa"/>
            <w:vAlign w:val="center"/>
          </w:tcPr>
          <w:p>
            <w:pPr>
              <w:jc w:val="center"/>
              <w:rPr>
                <w:color w:val="auto"/>
                <w:szCs w:val="21"/>
              </w:rPr>
            </w:pPr>
            <w:r>
              <w:rPr>
                <w:rFonts w:hAnsi="宋体"/>
                <w:color w:val="auto"/>
                <w:szCs w:val="21"/>
              </w:rPr>
              <w:t>（黑龙江）省</w:t>
            </w:r>
          </w:p>
        </w:tc>
        <w:tc>
          <w:tcPr>
            <w:tcW w:w="1547" w:type="dxa"/>
            <w:vAlign w:val="center"/>
          </w:tcPr>
          <w:p>
            <w:pPr>
              <w:jc w:val="center"/>
              <w:rPr>
                <w:color w:val="auto"/>
                <w:szCs w:val="21"/>
              </w:rPr>
            </w:pPr>
            <w:r>
              <w:rPr>
                <w:rFonts w:hAnsi="宋体"/>
                <w:color w:val="auto"/>
                <w:szCs w:val="21"/>
              </w:rPr>
              <w:t>（哈尔滨）市</w:t>
            </w:r>
          </w:p>
        </w:tc>
        <w:tc>
          <w:tcPr>
            <w:tcW w:w="1251" w:type="dxa"/>
            <w:vAlign w:val="center"/>
          </w:tcPr>
          <w:p>
            <w:pPr>
              <w:jc w:val="center"/>
              <w:rPr>
                <w:rFonts w:hint="eastAsia" w:eastAsia="宋体"/>
                <w:color w:val="auto"/>
                <w:szCs w:val="21"/>
                <w:lang w:eastAsia="zh-CN"/>
              </w:rPr>
            </w:pPr>
            <w:r>
              <w:rPr>
                <w:rFonts w:hAnsi="宋体"/>
                <w:color w:val="auto"/>
                <w:szCs w:val="21"/>
              </w:rPr>
              <w:t>（</w:t>
            </w:r>
            <w:r>
              <w:rPr>
                <w:rFonts w:hint="eastAsia" w:hAnsi="宋体"/>
                <w:color w:val="auto"/>
                <w:szCs w:val="21"/>
                <w:lang w:val="en-US" w:eastAsia="zh-CN"/>
              </w:rPr>
              <w:t>尚志</w:t>
            </w:r>
            <w:r>
              <w:rPr>
                <w:rFonts w:hAnsi="宋体"/>
                <w:color w:val="auto"/>
                <w:szCs w:val="21"/>
              </w:rPr>
              <w:t>）</w:t>
            </w:r>
            <w:r>
              <w:rPr>
                <w:rFonts w:hint="eastAsia" w:hAnsi="宋体"/>
                <w:color w:val="auto"/>
                <w:szCs w:val="21"/>
                <w:lang w:val="en-US" w:eastAsia="zh-CN"/>
              </w:rPr>
              <w:t>市</w:t>
            </w:r>
          </w:p>
        </w:tc>
        <w:tc>
          <w:tcPr>
            <w:tcW w:w="1371" w:type="dxa"/>
            <w:vAlign w:val="center"/>
          </w:tcPr>
          <w:p>
            <w:pPr>
              <w:jc w:val="center"/>
              <w:rPr>
                <w:color w:val="auto"/>
                <w:szCs w:val="21"/>
              </w:rPr>
            </w:pPr>
            <w:r>
              <w:rPr>
                <w:rFonts w:hAnsi="宋体"/>
                <w:color w:val="auto"/>
                <w:szCs w:val="21"/>
              </w:rPr>
              <w:t>（</w:t>
            </w:r>
            <w:r>
              <w:rPr>
                <w:rFonts w:hint="eastAsia" w:hAnsi="宋体"/>
                <w:color w:val="auto"/>
                <w:szCs w:val="21"/>
                <w:lang w:val="en-US" w:eastAsia="zh-CN"/>
              </w:rPr>
              <w:t>长寿乡</w:t>
            </w:r>
            <w:r>
              <w:rPr>
                <w:rFonts w:hAnsi="宋体"/>
                <w:color w:val="auto"/>
                <w:szCs w:val="21"/>
              </w:rPr>
              <w:t>）镇</w:t>
            </w:r>
          </w:p>
        </w:tc>
        <w:tc>
          <w:tcPr>
            <w:tcW w:w="1217" w:type="dxa"/>
            <w:vAlign w:val="center"/>
          </w:tcPr>
          <w:p>
            <w:pPr>
              <w:jc w:val="center"/>
              <w:rPr>
                <w:color w:val="auto"/>
                <w:szCs w:val="21"/>
              </w:rPr>
            </w:pPr>
            <w:r>
              <w:rPr>
                <w:rFonts w:hAnsi="宋体"/>
                <w:color w:val="auto"/>
                <w:szCs w:val="21"/>
              </w:rPr>
              <w:t>（）园区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0" w:hRule="atLeast"/>
          <w:jc w:val="center"/>
        </w:trPr>
        <w:tc>
          <w:tcPr>
            <w:tcW w:w="1711" w:type="dxa"/>
            <w:vAlign w:val="center"/>
          </w:tcPr>
          <w:p>
            <w:pPr>
              <w:jc w:val="center"/>
              <w:rPr>
                <w:rFonts w:eastAsiaTheme="minorEastAsia"/>
                <w:color w:val="auto"/>
                <w:szCs w:val="21"/>
              </w:rPr>
            </w:pPr>
            <w:r>
              <w:rPr>
                <w:rFonts w:hAnsiTheme="minorEastAsia" w:eastAsiaTheme="minorEastAsia"/>
                <w:color w:val="auto"/>
                <w:szCs w:val="21"/>
              </w:rPr>
              <w:t>地理坐标</w:t>
            </w:r>
          </w:p>
        </w:tc>
        <w:tc>
          <w:tcPr>
            <w:tcW w:w="1425" w:type="dxa"/>
            <w:vAlign w:val="center"/>
          </w:tcPr>
          <w:p>
            <w:pPr>
              <w:jc w:val="center"/>
              <w:rPr>
                <w:color w:val="auto"/>
                <w:szCs w:val="21"/>
              </w:rPr>
            </w:pPr>
            <w:r>
              <w:rPr>
                <w:rFonts w:hAnsi="宋体"/>
                <w:color w:val="auto"/>
                <w:szCs w:val="21"/>
              </w:rPr>
              <w:t>经度</w:t>
            </w:r>
          </w:p>
        </w:tc>
        <w:tc>
          <w:tcPr>
            <w:tcW w:w="1547" w:type="dxa"/>
            <w:vAlign w:val="center"/>
          </w:tcPr>
          <w:p>
            <w:pPr>
              <w:jc w:val="center"/>
              <w:rPr>
                <w:bCs/>
                <w:color w:val="auto"/>
                <w:szCs w:val="21"/>
              </w:rPr>
            </w:pPr>
            <w:r>
              <w:rPr>
                <w:bCs/>
                <w:color w:val="auto"/>
                <w:szCs w:val="21"/>
              </w:rPr>
              <w:t>127.81144917</w:t>
            </w:r>
          </w:p>
        </w:tc>
        <w:tc>
          <w:tcPr>
            <w:tcW w:w="1251" w:type="dxa"/>
            <w:vAlign w:val="center"/>
          </w:tcPr>
          <w:p>
            <w:pPr>
              <w:jc w:val="center"/>
              <w:rPr>
                <w:color w:val="auto"/>
                <w:szCs w:val="21"/>
              </w:rPr>
            </w:pPr>
            <w:r>
              <w:rPr>
                <w:rFonts w:hAnsi="宋体"/>
                <w:color w:val="auto"/>
                <w:szCs w:val="21"/>
              </w:rPr>
              <w:t>纬度</w:t>
            </w:r>
          </w:p>
        </w:tc>
        <w:tc>
          <w:tcPr>
            <w:tcW w:w="2588" w:type="dxa"/>
            <w:gridSpan w:val="2"/>
            <w:vAlign w:val="center"/>
          </w:tcPr>
          <w:p>
            <w:pPr>
              <w:jc w:val="center"/>
              <w:rPr>
                <w:bCs/>
                <w:color w:val="auto"/>
                <w:szCs w:val="21"/>
              </w:rPr>
            </w:pPr>
            <w:r>
              <w:rPr>
                <w:bCs/>
                <w:color w:val="auto"/>
                <w:szCs w:val="21"/>
              </w:rPr>
              <w:t>45.30451225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03" w:hRule="atLeast"/>
          <w:jc w:val="center"/>
        </w:trPr>
        <w:tc>
          <w:tcPr>
            <w:tcW w:w="1711" w:type="dxa"/>
            <w:vAlign w:val="center"/>
          </w:tcPr>
          <w:p>
            <w:pPr>
              <w:jc w:val="center"/>
              <w:rPr>
                <w:rFonts w:eastAsiaTheme="minorEastAsia"/>
                <w:color w:val="auto"/>
                <w:szCs w:val="21"/>
              </w:rPr>
            </w:pPr>
            <w:r>
              <w:rPr>
                <w:rFonts w:hAnsiTheme="minorEastAsia" w:eastAsiaTheme="minorEastAsia"/>
                <w:color w:val="auto"/>
                <w:szCs w:val="21"/>
              </w:rPr>
              <w:t>主要危险物质及分布</w:t>
            </w:r>
          </w:p>
        </w:tc>
        <w:tc>
          <w:tcPr>
            <w:tcW w:w="6811" w:type="dxa"/>
            <w:gridSpan w:val="5"/>
            <w:vAlign w:val="center"/>
          </w:tcPr>
          <w:p>
            <w:pPr>
              <w:jc w:val="center"/>
              <w:rPr>
                <w:rFonts w:hint="default" w:eastAsiaTheme="minorEastAsia"/>
                <w:color w:val="auto"/>
                <w:szCs w:val="21"/>
                <w:lang w:val="en-US" w:eastAsia="zh-CN"/>
              </w:rPr>
            </w:pPr>
            <w:r>
              <w:rPr>
                <w:rFonts w:hint="eastAsia" w:hAnsiTheme="minorEastAsia" w:eastAsiaTheme="minorEastAsia"/>
                <w:color w:val="auto"/>
                <w:szCs w:val="21"/>
              </w:rPr>
              <w:t>本项目风险物质为次氯酸钠</w:t>
            </w:r>
            <w:r>
              <w:rPr>
                <w:rFonts w:hint="eastAsia" w:hAnsiTheme="minorEastAsia" w:eastAsiaTheme="minorEastAsia"/>
                <w:color w:val="auto"/>
                <w:szCs w:val="21"/>
                <w:lang w:eastAsia="zh-CN"/>
              </w:rPr>
              <w:t>、</w:t>
            </w:r>
            <w:r>
              <w:rPr>
                <w:rFonts w:hint="eastAsia" w:hAnsiTheme="minorEastAsia" w:eastAsiaTheme="minorEastAsia"/>
                <w:color w:val="auto"/>
                <w:szCs w:val="21"/>
                <w:lang w:val="en-US" w:eastAsia="zh-CN"/>
              </w:rPr>
              <w:t>液氨</w:t>
            </w:r>
            <w:r>
              <w:rPr>
                <w:rFonts w:hint="eastAsia" w:hAnsiTheme="minorEastAsia" w:eastAsiaTheme="minorEastAsia"/>
                <w:color w:val="auto"/>
                <w:szCs w:val="21"/>
              </w:rPr>
              <w:t>，</w:t>
            </w:r>
            <w:r>
              <w:rPr>
                <w:rFonts w:hint="eastAsia" w:hAnsiTheme="minorEastAsia" w:eastAsiaTheme="minorEastAsia"/>
                <w:color w:val="auto"/>
                <w:szCs w:val="21"/>
                <w:lang w:val="en-US" w:eastAsia="zh-CN"/>
              </w:rPr>
              <w:t>次氯酸钠</w:t>
            </w:r>
            <w:r>
              <w:rPr>
                <w:rFonts w:hint="eastAsia" w:hAnsiTheme="minorEastAsia" w:eastAsiaTheme="minorEastAsia"/>
                <w:color w:val="auto"/>
                <w:szCs w:val="21"/>
              </w:rPr>
              <w:t>主要储存在污水处理站设备间内，储存量0.2t</w:t>
            </w:r>
            <w:r>
              <w:rPr>
                <w:rFonts w:hint="eastAsia" w:hAnsiTheme="minorEastAsia" w:eastAsiaTheme="minorEastAsia"/>
                <w:color w:val="auto"/>
                <w:szCs w:val="21"/>
                <w:lang w:eastAsia="zh-CN"/>
              </w:rPr>
              <w:t>；</w:t>
            </w:r>
            <w:r>
              <w:rPr>
                <w:rFonts w:hint="eastAsia" w:hAnsiTheme="minorEastAsia" w:eastAsiaTheme="minorEastAsia"/>
                <w:color w:val="auto"/>
                <w:szCs w:val="21"/>
                <w:lang w:val="en-US" w:eastAsia="zh-CN"/>
              </w:rPr>
              <w:t>液氨储存在储氨罐内，储存量为8t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03" w:hRule="atLeast"/>
          <w:jc w:val="center"/>
        </w:trPr>
        <w:tc>
          <w:tcPr>
            <w:tcW w:w="1711" w:type="dxa"/>
            <w:vAlign w:val="center"/>
          </w:tcPr>
          <w:p>
            <w:pPr>
              <w:jc w:val="center"/>
              <w:rPr>
                <w:rFonts w:eastAsiaTheme="minorEastAsia"/>
                <w:color w:val="auto"/>
                <w:szCs w:val="21"/>
              </w:rPr>
            </w:pPr>
            <w:r>
              <w:rPr>
                <w:rFonts w:hAnsiTheme="minorEastAsia" w:eastAsiaTheme="minorEastAsia"/>
                <w:color w:val="auto"/>
                <w:szCs w:val="21"/>
              </w:rPr>
              <w:t>环境影响途径及危害后果</w:t>
            </w:r>
          </w:p>
          <w:p>
            <w:pPr>
              <w:jc w:val="center"/>
              <w:rPr>
                <w:rFonts w:eastAsiaTheme="minorEastAsia"/>
                <w:color w:val="auto"/>
                <w:szCs w:val="21"/>
              </w:rPr>
            </w:pPr>
            <w:r>
              <w:rPr>
                <w:rFonts w:hAnsiTheme="minorEastAsia" w:eastAsiaTheme="minorEastAsia"/>
                <w:color w:val="auto"/>
                <w:szCs w:val="21"/>
              </w:rPr>
              <w:t>（大气、地表水、地下水等）</w:t>
            </w:r>
          </w:p>
        </w:tc>
        <w:tc>
          <w:tcPr>
            <w:tcW w:w="6811" w:type="dxa"/>
            <w:gridSpan w:val="5"/>
            <w:vAlign w:val="center"/>
          </w:tcPr>
          <w:p>
            <w:pPr>
              <w:rPr>
                <w:rFonts w:eastAsiaTheme="minorEastAsia"/>
                <w:color w:val="auto"/>
                <w:szCs w:val="21"/>
              </w:rPr>
            </w:pPr>
            <w:r>
              <w:rPr>
                <w:rFonts w:hint="eastAsia" w:hAnsiTheme="minorEastAsia" w:eastAsiaTheme="minorEastAsia"/>
                <w:color w:val="auto"/>
                <w:szCs w:val="21"/>
              </w:rPr>
              <w:t>次氯酸钠</w:t>
            </w:r>
            <w:r>
              <w:rPr>
                <w:rFonts w:hint="eastAsia" w:hAnsiTheme="minorEastAsia" w:eastAsiaTheme="minorEastAsia"/>
                <w:color w:val="auto"/>
                <w:szCs w:val="21"/>
                <w:lang w:eastAsia="zh-CN"/>
              </w:rPr>
              <w:t>、</w:t>
            </w:r>
            <w:r>
              <w:rPr>
                <w:rFonts w:hint="eastAsia" w:hAnsiTheme="minorEastAsia" w:eastAsiaTheme="minorEastAsia"/>
                <w:color w:val="auto"/>
                <w:szCs w:val="21"/>
                <w:lang w:val="en-US" w:eastAsia="zh-CN"/>
              </w:rPr>
              <w:t>液氨</w:t>
            </w:r>
            <w:r>
              <w:rPr>
                <w:rFonts w:hint="eastAsia" w:hAnsiTheme="minorEastAsia" w:eastAsiaTheme="minorEastAsia"/>
                <w:color w:val="auto"/>
                <w:szCs w:val="21"/>
              </w:rPr>
              <w:t>一旦因为员工操作不当，导致次氯酸钠</w:t>
            </w:r>
            <w:r>
              <w:rPr>
                <w:rFonts w:hint="eastAsia" w:hAnsiTheme="minorEastAsia" w:eastAsiaTheme="minorEastAsia"/>
                <w:color w:val="auto"/>
                <w:szCs w:val="21"/>
                <w:lang w:eastAsia="zh-CN"/>
              </w:rPr>
              <w:t>、</w:t>
            </w:r>
            <w:r>
              <w:rPr>
                <w:rFonts w:hint="eastAsia" w:hAnsiTheme="minorEastAsia" w:eastAsiaTheme="minorEastAsia"/>
                <w:color w:val="auto"/>
                <w:szCs w:val="21"/>
                <w:lang w:val="en-US" w:eastAsia="zh-CN"/>
              </w:rPr>
              <w:t>液氨</w:t>
            </w:r>
            <w:r>
              <w:rPr>
                <w:rFonts w:hint="eastAsia" w:hAnsiTheme="minorEastAsia" w:eastAsiaTheme="minorEastAsia"/>
                <w:color w:val="auto"/>
                <w:szCs w:val="21"/>
              </w:rPr>
              <w:t>发生泄露未及时进行收集，通过雨水、消防废水等进入外环境，可能导致</w:t>
            </w:r>
            <w:r>
              <w:rPr>
                <w:rFonts w:hint="eastAsia" w:hAnsiTheme="minorEastAsia" w:eastAsiaTheme="minorEastAsia"/>
                <w:color w:val="auto"/>
                <w:szCs w:val="21"/>
                <w:lang w:val="en-US" w:eastAsia="zh-CN"/>
              </w:rPr>
              <w:t>大气、</w:t>
            </w:r>
            <w:r>
              <w:rPr>
                <w:rFonts w:hint="eastAsia" w:hAnsiTheme="minorEastAsia" w:eastAsiaTheme="minorEastAsia"/>
                <w:color w:val="auto"/>
                <w:szCs w:val="21"/>
              </w:rPr>
              <w:t>地表水和地下水污染。</w:t>
            </w:r>
            <w:r>
              <w:rPr>
                <w:rFonts w:hint="eastAsia" w:hAnsiTheme="minorEastAsia" w:eastAsiaTheme="minorEastAsia"/>
                <w:color w:val="auto"/>
                <w:szCs w:val="21"/>
                <w:lang w:val="en-US" w:eastAsia="zh-CN"/>
              </w:rPr>
              <w:t>污水处理站内池体泄漏</w:t>
            </w:r>
            <w:r>
              <w:rPr>
                <w:rFonts w:hint="eastAsia" w:hAnsiTheme="minorEastAsia" w:eastAsiaTheme="minorEastAsia"/>
                <w:color w:val="auto"/>
                <w:szCs w:val="21"/>
                <w:lang w:val="zh-CN"/>
              </w:rPr>
              <w:t>可能对周围土壤和地下水造成污染，对外环境产生影响。</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530" w:hRule="atLeast"/>
          <w:jc w:val="center"/>
        </w:trPr>
        <w:tc>
          <w:tcPr>
            <w:tcW w:w="1711" w:type="dxa"/>
            <w:vAlign w:val="center"/>
          </w:tcPr>
          <w:p>
            <w:pPr>
              <w:jc w:val="center"/>
              <w:rPr>
                <w:rFonts w:hAnsiTheme="minorEastAsia" w:eastAsiaTheme="minorEastAsia"/>
                <w:color w:val="auto"/>
                <w:szCs w:val="21"/>
                <w:highlight w:val="none"/>
              </w:rPr>
            </w:pPr>
            <w:r>
              <w:rPr>
                <w:rFonts w:hAnsiTheme="minorEastAsia" w:eastAsiaTheme="minorEastAsia"/>
                <w:color w:val="auto"/>
                <w:szCs w:val="21"/>
                <w:highlight w:val="none"/>
              </w:rPr>
              <w:t>风险防范</w:t>
            </w:r>
          </w:p>
          <w:p>
            <w:pPr>
              <w:jc w:val="center"/>
              <w:rPr>
                <w:rFonts w:hint="eastAsia" w:eastAsiaTheme="minorEastAsia"/>
                <w:color w:val="auto"/>
                <w:szCs w:val="21"/>
                <w:lang w:eastAsia="zh-CN"/>
              </w:rPr>
            </w:pPr>
            <w:r>
              <w:rPr>
                <w:rFonts w:hAnsiTheme="minorEastAsia" w:eastAsiaTheme="minorEastAsia"/>
                <w:color w:val="auto"/>
                <w:szCs w:val="21"/>
                <w:highlight w:val="none"/>
              </w:rPr>
              <w:t>措施要求</w:t>
            </w:r>
          </w:p>
        </w:tc>
        <w:tc>
          <w:tcPr>
            <w:tcW w:w="6811" w:type="dxa"/>
            <w:gridSpan w:val="5"/>
            <w:vAlign w:val="center"/>
          </w:tcPr>
          <w:p>
            <w:pPr>
              <w:rPr>
                <w:rFonts w:hAnsiTheme="minorEastAsia" w:eastAsiaTheme="minorEastAsia"/>
                <w:color w:val="auto"/>
                <w:szCs w:val="21"/>
              </w:rPr>
            </w:pPr>
            <w:r>
              <w:rPr>
                <w:rFonts w:hint="eastAsia" w:hAnsiTheme="minorEastAsia" w:eastAsiaTheme="minorEastAsia"/>
                <w:color w:val="auto"/>
                <w:szCs w:val="21"/>
              </w:rPr>
              <w:t>（1）消毒剂存储位置</w:t>
            </w:r>
            <w:r>
              <w:rPr>
                <w:rFonts w:hint="eastAsia" w:hAnsiTheme="minorEastAsia" w:eastAsiaTheme="minorEastAsia"/>
                <w:color w:val="auto"/>
                <w:szCs w:val="21"/>
                <w:lang w:val="en-US" w:eastAsia="zh-CN"/>
              </w:rPr>
              <w:t>及储氨罐</w:t>
            </w:r>
            <w:r>
              <w:rPr>
                <w:rFonts w:hint="eastAsia" w:hAnsiTheme="minorEastAsia" w:eastAsiaTheme="minorEastAsia"/>
                <w:color w:val="auto"/>
                <w:szCs w:val="21"/>
              </w:rPr>
              <w:t>周围设置围堰；</w:t>
            </w:r>
          </w:p>
          <w:p>
            <w:pPr>
              <w:rPr>
                <w:rFonts w:hint="eastAsia" w:hAnsiTheme="minorEastAsia" w:eastAsiaTheme="minorEastAsia"/>
                <w:color w:val="auto"/>
                <w:szCs w:val="21"/>
                <w:lang w:eastAsia="zh-CN"/>
              </w:rPr>
            </w:pPr>
            <w:r>
              <w:rPr>
                <w:rFonts w:hint="eastAsia" w:hAnsiTheme="minorEastAsia" w:eastAsiaTheme="minorEastAsia"/>
                <w:color w:val="auto"/>
                <w:szCs w:val="21"/>
                <w:lang w:eastAsia="zh-CN"/>
              </w:rPr>
              <w:t>（</w:t>
            </w:r>
            <w:r>
              <w:rPr>
                <w:rFonts w:hint="eastAsia" w:hAnsiTheme="minorEastAsia" w:eastAsiaTheme="minorEastAsia"/>
                <w:color w:val="auto"/>
                <w:szCs w:val="21"/>
                <w:lang w:val="en-US" w:eastAsia="zh-CN"/>
              </w:rPr>
              <w:t>2</w:t>
            </w:r>
            <w:r>
              <w:rPr>
                <w:rFonts w:hint="eastAsia" w:hAnsiTheme="minorEastAsia" w:eastAsiaTheme="minorEastAsia"/>
                <w:color w:val="auto"/>
                <w:szCs w:val="21"/>
                <w:lang w:eastAsia="zh-CN"/>
              </w:rPr>
              <w:t>）储</w:t>
            </w:r>
            <w:r>
              <w:rPr>
                <w:rFonts w:hint="eastAsia" w:hAnsiTheme="minorEastAsia" w:eastAsiaTheme="minorEastAsia"/>
                <w:color w:val="auto"/>
                <w:szCs w:val="21"/>
                <w:lang w:val="en-US" w:eastAsia="zh-CN"/>
              </w:rPr>
              <w:t>氨</w:t>
            </w:r>
            <w:r>
              <w:rPr>
                <w:rFonts w:hint="eastAsia" w:hAnsiTheme="minorEastAsia" w:eastAsiaTheme="minorEastAsia"/>
                <w:color w:val="auto"/>
                <w:szCs w:val="21"/>
                <w:lang w:eastAsia="zh-CN"/>
              </w:rPr>
              <w:t>罐设置阻火器和呼吸阀；罐储时要有防火防爆技术措施，配备相应品种和数量的消防器材。</w:t>
            </w:r>
          </w:p>
          <w:p>
            <w:pPr>
              <w:rPr>
                <w:rFonts w:hint="eastAsia" w:hAnsiTheme="minorEastAsia" w:eastAsiaTheme="minorEastAsia"/>
                <w:color w:val="auto"/>
                <w:szCs w:val="21"/>
                <w:lang w:eastAsia="zh-CN"/>
              </w:rPr>
            </w:pPr>
            <w:r>
              <w:rPr>
                <w:rFonts w:hint="eastAsia" w:hAnsiTheme="minorEastAsia" w:eastAsiaTheme="minorEastAsia"/>
                <w:color w:val="auto"/>
                <w:szCs w:val="21"/>
                <w:lang w:eastAsia="zh-CN"/>
              </w:rPr>
              <w:t>（</w:t>
            </w:r>
            <w:r>
              <w:rPr>
                <w:rFonts w:hint="eastAsia" w:hAnsiTheme="minorEastAsia" w:eastAsiaTheme="minorEastAsia"/>
                <w:color w:val="auto"/>
                <w:szCs w:val="21"/>
                <w:lang w:val="en-US" w:eastAsia="zh-CN"/>
              </w:rPr>
              <w:t>3</w:t>
            </w:r>
            <w:r>
              <w:rPr>
                <w:rFonts w:hint="eastAsia" w:hAnsiTheme="minorEastAsia" w:eastAsiaTheme="minorEastAsia"/>
                <w:color w:val="auto"/>
                <w:szCs w:val="21"/>
                <w:lang w:eastAsia="zh-CN"/>
              </w:rPr>
              <w:t>）</w:t>
            </w:r>
            <w:r>
              <w:rPr>
                <w:rFonts w:hint="eastAsia" w:hAnsiTheme="minorEastAsia" w:eastAsiaTheme="minorEastAsia"/>
                <w:color w:val="auto"/>
                <w:szCs w:val="21"/>
                <w:lang w:val="en-US" w:eastAsia="zh-CN"/>
              </w:rPr>
              <w:t>冷库的氨制冷机房贮氨器上方宜设置局部水喷淋系统，水喷淋系统宜选用开式喷头，开式喷头保护面积应按贮氨器占地面积确定。开式喷头的水源可由库区消防给水系统供给，操作可为手动或电动方式。</w:t>
            </w:r>
          </w:p>
          <w:p>
            <w:pPr>
              <w:rPr>
                <w:rFonts w:hint="eastAsia" w:hAnsiTheme="minorEastAsia" w:eastAsiaTheme="minorEastAsia"/>
                <w:color w:val="auto"/>
                <w:szCs w:val="21"/>
                <w:lang w:eastAsia="zh-CN"/>
              </w:rPr>
            </w:pPr>
            <w:r>
              <w:rPr>
                <w:rFonts w:hint="eastAsia" w:hAnsiTheme="minorEastAsia" w:eastAsiaTheme="minorEastAsia"/>
                <w:color w:val="auto"/>
                <w:szCs w:val="21"/>
                <w:lang w:eastAsia="zh-CN"/>
              </w:rPr>
              <w:t>（</w:t>
            </w:r>
            <w:r>
              <w:rPr>
                <w:rFonts w:hint="eastAsia" w:hAnsiTheme="minorEastAsia" w:eastAsiaTheme="minorEastAsia"/>
                <w:color w:val="auto"/>
                <w:szCs w:val="21"/>
                <w:lang w:val="en-US" w:eastAsia="zh-CN"/>
              </w:rPr>
              <w:t>4</w:t>
            </w:r>
            <w:r>
              <w:rPr>
                <w:rFonts w:hint="eastAsia" w:hAnsiTheme="minorEastAsia" w:eastAsiaTheme="minorEastAsia"/>
                <w:color w:val="auto"/>
                <w:szCs w:val="21"/>
                <w:lang w:eastAsia="zh-CN"/>
              </w:rPr>
              <w:t>）储</w:t>
            </w:r>
            <w:r>
              <w:rPr>
                <w:rFonts w:hint="eastAsia" w:hAnsiTheme="minorEastAsia" w:eastAsiaTheme="minorEastAsia"/>
                <w:color w:val="auto"/>
                <w:szCs w:val="21"/>
                <w:lang w:val="en-US" w:eastAsia="zh-CN"/>
              </w:rPr>
              <w:t>氨</w:t>
            </w:r>
            <w:r>
              <w:rPr>
                <w:rFonts w:hint="eastAsia" w:hAnsiTheme="minorEastAsia" w:eastAsiaTheme="minorEastAsia"/>
                <w:color w:val="auto"/>
                <w:szCs w:val="21"/>
                <w:lang w:eastAsia="zh-CN"/>
              </w:rPr>
              <w:t>罐设防雷接地并按规定监测，保持有效。防雷装置实行定期检测制度。防雷装置检测为每年一次，对爆炸危险环境的防雷装置可以每半年检测一次。</w:t>
            </w:r>
          </w:p>
          <w:p>
            <w:pPr>
              <w:rPr>
                <w:rFonts w:hint="eastAsia" w:hAnsiTheme="minorEastAsia" w:eastAsiaTheme="minorEastAsia"/>
                <w:color w:val="auto"/>
                <w:szCs w:val="21"/>
                <w:lang w:eastAsia="zh-CN"/>
              </w:rPr>
            </w:pPr>
            <w:r>
              <w:rPr>
                <w:rFonts w:hint="eastAsia" w:hAnsiTheme="minorEastAsia" w:eastAsiaTheme="minorEastAsia"/>
                <w:color w:val="auto"/>
                <w:szCs w:val="21"/>
                <w:lang w:eastAsia="zh-CN"/>
              </w:rPr>
              <w:t>（</w:t>
            </w:r>
            <w:r>
              <w:rPr>
                <w:rFonts w:hint="eastAsia" w:hAnsiTheme="minorEastAsia" w:eastAsiaTheme="minorEastAsia"/>
                <w:color w:val="auto"/>
                <w:szCs w:val="21"/>
                <w:lang w:val="en-US" w:eastAsia="zh-CN"/>
              </w:rPr>
              <w:t>5</w:t>
            </w:r>
            <w:r>
              <w:rPr>
                <w:rFonts w:hint="eastAsia" w:hAnsiTheme="minorEastAsia" w:eastAsiaTheme="minorEastAsia"/>
                <w:color w:val="auto"/>
                <w:szCs w:val="21"/>
                <w:lang w:eastAsia="zh-CN"/>
              </w:rPr>
              <w:t>）贮氨器罐体、阀门、管道及泵均设置防静电接地措施。</w:t>
            </w:r>
          </w:p>
          <w:p>
            <w:pPr>
              <w:rPr>
                <w:rFonts w:hint="eastAsia" w:hAnsiTheme="minorEastAsia" w:eastAsiaTheme="minorEastAsia"/>
                <w:color w:val="auto"/>
                <w:szCs w:val="21"/>
                <w:lang w:eastAsia="zh-CN"/>
              </w:rPr>
            </w:pPr>
            <w:r>
              <w:rPr>
                <w:rFonts w:hint="eastAsia" w:hAnsiTheme="minorEastAsia" w:eastAsiaTheme="minorEastAsia"/>
                <w:color w:val="auto"/>
                <w:szCs w:val="21"/>
                <w:lang w:eastAsia="zh-CN"/>
              </w:rPr>
              <w:t>（</w:t>
            </w:r>
            <w:r>
              <w:rPr>
                <w:rFonts w:hint="eastAsia" w:hAnsiTheme="minorEastAsia" w:eastAsiaTheme="minorEastAsia"/>
                <w:color w:val="auto"/>
                <w:szCs w:val="21"/>
                <w:lang w:val="en-US" w:eastAsia="zh-CN"/>
              </w:rPr>
              <w:t>6</w:t>
            </w:r>
            <w:r>
              <w:rPr>
                <w:rFonts w:hint="eastAsia" w:hAnsiTheme="minorEastAsia" w:eastAsiaTheme="minorEastAsia"/>
                <w:color w:val="auto"/>
                <w:szCs w:val="21"/>
                <w:lang w:eastAsia="zh-CN"/>
              </w:rPr>
              <w:t>）储</w:t>
            </w:r>
            <w:r>
              <w:rPr>
                <w:rFonts w:hint="eastAsia" w:hAnsiTheme="minorEastAsia" w:eastAsiaTheme="minorEastAsia"/>
                <w:color w:val="auto"/>
                <w:szCs w:val="21"/>
                <w:lang w:val="en-US" w:eastAsia="zh-CN"/>
              </w:rPr>
              <w:t>氨</w:t>
            </w:r>
            <w:r>
              <w:rPr>
                <w:rFonts w:hint="eastAsia" w:hAnsiTheme="minorEastAsia" w:eastAsiaTheme="minorEastAsia"/>
                <w:color w:val="auto"/>
                <w:szCs w:val="21"/>
                <w:lang w:eastAsia="zh-CN"/>
              </w:rPr>
              <w:t>罐由抗腐蚀材料制作，液氨罐在充装前必须保证液氨罐充装中和充装后压力不超过1Mpa，储罐充装量不得超过安全警戒线，在液氨设备15m距离内，严禁明火和热源，液氨罐在高温时段应急喷淋水源进行降温处理。</w:t>
            </w:r>
          </w:p>
          <w:p>
            <w:pPr>
              <w:rPr>
                <w:rFonts w:hint="eastAsia" w:hAnsiTheme="minorEastAsia" w:eastAsiaTheme="minorEastAsia"/>
                <w:color w:val="auto"/>
                <w:szCs w:val="21"/>
                <w:lang w:eastAsia="zh-CN"/>
              </w:rPr>
            </w:pPr>
            <w:r>
              <w:rPr>
                <w:rFonts w:hint="eastAsia" w:hAnsiTheme="minorEastAsia" w:eastAsiaTheme="minorEastAsia"/>
                <w:color w:val="auto"/>
                <w:szCs w:val="21"/>
                <w:lang w:eastAsia="zh-CN"/>
              </w:rPr>
              <w:t>（</w:t>
            </w:r>
            <w:r>
              <w:rPr>
                <w:rFonts w:hint="eastAsia" w:hAnsiTheme="minorEastAsia" w:eastAsiaTheme="minorEastAsia"/>
                <w:color w:val="auto"/>
                <w:szCs w:val="21"/>
                <w:lang w:val="en-US" w:eastAsia="zh-CN"/>
              </w:rPr>
              <w:t>7</w:t>
            </w:r>
            <w:r>
              <w:rPr>
                <w:rFonts w:hint="eastAsia" w:hAnsiTheme="minorEastAsia" w:eastAsiaTheme="minorEastAsia"/>
                <w:color w:val="auto"/>
                <w:szCs w:val="21"/>
                <w:lang w:eastAsia="zh-CN"/>
              </w:rPr>
              <w:t>）储氨区四周在明显和便于操作部位设置手动报警按钮。</w:t>
            </w:r>
          </w:p>
          <w:p>
            <w:pPr>
              <w:rPr>
                <w:rFonts w:hint="default" w:hAnsiTheme="minorEastAsia" w:eastAsiaTheme="minorEastAsia"/>
                <w:color w:val="auto"/>
                <w:szCs w:val="21"/>
                <w:lang w:val="en-US" w:eastAsia="zh-CN"/>
              </w:rPr>
            </w:pPr>
            <w:r>
              <w:rPr>
                <w:rFonts w:hint="eastAsia" w:hAnsiTheme="minorEastAsia" w:eastAsiaTheme="minorEastAsia"/>
                <w:color w:val="auto"/>
                <w:szCs w:val="21"/>
                <w:lang w:eastAsia="zh-CN"/>
              </w:rPr>
              <w:t>（</w:t>
            </w:r>
            <w:r>
              <w:rPr>
                <w:rFonts w:hint="eastAsia" w:hAnsiTheme="minorEastAsia" w:eastAsiaTheme="minorEastAsia"/>
                <w:color w:val="auto"/>
                <w:szCs w:val="21"/>
                <w:lang w:val="en-US" w:eastAsia="zh-CN"/>
              </w:rPr>
              <w:t>8</w:t>
            </w:r>
            <w:r>
              <w:rPr>
                <w:rFonts w:hint="eastAsia" w:hAnsiTheme="minorEastAsia" w:eastAsiaTheme="minorEastAsia"/>
                <w:color w:val="auto"/>
                <w:szCs w:val="21"/>
                <w:lang w:eastAsia="zh-CN"/>
              </w:rPr>
              <w:t>）</w:t>
            </w:r>
            <w:r>
              <w:rPr>
                <w:rFonts w:hint="eastAsia" w:hAnsiTheme="minorEastAsia" w:eastAsiaTheme="minorEastAsia"/>
                <w:color w:val="auto"/>
                <w:szCs w:val="21"/>
                <w:lang w:val="en-US" w:eastAsia="zh-CN"/>
              </w:rPr>
              <w:t>设置氨气泄露报警系统。</w:t>
            </w:r>
          </w:p>
          <w:p>
            <w:pPr>
              <w:rPr>
                <w:rFonts w:hAnsiTheme="minorEastAsia" w:eastAsiaTheme="minorEastAsia"/>
                <w:color w:val="auto"/>
                <w:szCs w:val="21"/>
              </w:rPr>
            </w:pPr>
            <w:r>
              <w:rPr>
                <w:rFonts w:hint="eastAsia" w:hAnsiTheme="minorEastAsia" w:eastAsiaTheme="minorEastAsia"/>
                <w:color w:val="auto"/>
                <w:szCs w:val="21"/>
              </w:rPr>
              <w:t>（</w:t>
            </w:r>
            <w:r>
              <w:rPr>
                <w:rFonts w:hint="eastAsia" w:hAnsiTheme="minorEastAsia" w:eastAsiaTheme="minorEastAsia"/>
                <w:color w:val="auto"/>
                <w:szCs w:val="21"/>
                <w:lang w:val="en-US" w:eastAsia="zh-CN"/>
              </w:rPr>
              <w:t>9</w:t>
            </w:r>
            <w:r>
              <w:rPr>
                <w:rFonts w:hint="eastAsia" w:hAnsiTheme="minorEastAsia" w:eastAsiaTheme="minorEastAsia"/>
                <w:color w:val="auto"/>
                <w:szCs w:val="21"/>
              </w:rPr>
              <w:t>）当发生泄漏时建议应急处理人员戴自给正压式呼吸器，穿防酸碱工作服。不要直接接触泄漏物。尽可能切断泄漏源，用砂土、蛭石或其它惰性材料吸收，并交由有资质单位处置。</w:t>
            </w:r>
          </w:p>
          <w:p>
            <w:pPr>
              <w:rPr>
                <w:rFonts w:hint="eastAsia" w:hAnsiTheme="minorEastAsia" w:eastAsiaTheme="minorEastAsia"/>
                <w:color w:val="auto"/>
                <w:szCs w:val="21"/>
                <w:lang w:eastAsia="zh-CN"/>
              </w:rPr>
            </w:pPr>
            <w:r>
              <w:rPr>
                <w:rFonts w:hint="eastAsia" w:hAnsiTheme="minorEastAsia" w:eastAsiaTheme="minorEastAsia"/>
                <w:color w:val="auto"/>
                <w:szCs w:val="21"/>
                <w:lang w:eastAsia="zh-CN"/>
              </w:rPr>
              <w:t>（</w:t>
            </w:r>
            <w:r>
              <w:rPr>
                <w:rFonts w:hint="eastAsia" w:hAnsiTheme="minorEastAsia" w:eastAsiaTheme="minorEastAsia"/>
                <w:color w:val="auto"/>
                <w:szCs w:val="21"/>
                <w:lang w:val="en-US" w:eastAsia="zh-CN"/>
              </w:rPr>
              <w:t>10</w:t>
            </w:r>
            <w:r>
              <w:rPr>
                <w:rFonts w:hint="eastAsia" w:hAnsiTheme="minorEastAsia" w:eastAsiaTheme="minorEastAsia"/>
                <w:color w:val="auto"/>
                <w:szCs w:val="21"/>
                <w:lang w:eastAsia="zh-CN"/>
              </w:rPr>
              <w:t>）工程废水处理设施发生事故性排放主要有设备故障和停电因素，若出现设备故障因素引起的事故性排放，可将排放污水引入事故水池中；若出现停电事故，生产也将停止，废水可引入事故水池，不对周围水环境造成影响。</w:t>
            </w:r>
          </w:p>
          <w:p>
            <w:pPr>
              <w:rPr>
                <w:rFonts w:hAnsiTheme="minorEastAsia" w:eastAsiaTheme="minorEastAsia"/>
                <w:color w:val="auto"/>
                <w:szCs w:val="21"/>
              </w:rPr>
            </w:pPr>
            <w:r>
              <w:rPr>
                <w:rFonts w:hint="eastAsia" w:hAnsiTheme="minorEastAsia" w:eastAsiaTheme="minorEastAsia"/>
                <w:color w:val="auto"/>
                <w:szCs w:val="21"/>
              </w:rPr>
              <w:t>（</w:t>
            </w:r>
            <w:r>
              <w:rPr>
                <w:rFonts w:hint="eastAsia" w:hAnsiTheme="minorEastAsia" w:eastAsiaTheme="minorEastAsia"/>
                <w:color w:val="auto"/>
                <w:szCs w:val="21"/>
                <w:lang w:val="en-US" w:eastAsia="zh-CN"/>
              </w:rPr>
              <w:t>11</w:t>
            </w:r>
            <w:r>
              <w:rPr>
                <w:rFonts w:hint="eastAsia" w:hAnsiTheme="minorEastAsia" w:eastAsiaTheme="minorEastAsia"/>
                <w:color w:val="auto"/>
                <w:szCs w:val="21"/>
              </w:rPr>
              <w:t>）</w:t>
            </w:r>
            <w:r>
              <w:rPr>
                <w:rFonts w:hAnsiTheme="minorEastAsia" w:eastAsiaTheme="minorEastAsia"/>
                <w:color w:val="auto"/>
                <w:szCs w:val="21"/>
              </w:rPr>
              <w:t>制定安全生产管理制度、安全操作规程和危险化学品储运方案等方面的程序文件和作业指导书，并严格按要求执行。按设计规范要求配备消防、环保、监控等安全环保设备和实施，确保包装完好</w:t>
            </w:r>
            <w:r>
              <w:rPr>
                <w:rFonts w:hint="eastAsia" w:hAnsiTheme="minorEastAsia" w:eastAsiaTheme="minorEastAsia"/>
                <w:color w:val="auto"/>
                <w:szCs w:val="21"/>
              </w:rPr>
              <w:t>；</w:t>
            </w:r>
          </w:p>
          <w:p>
            <w:pPr>
              <w:rPr>
                <w:rFonts w:hAnsiTheme="minorEastAsia" w:eastAsiaTheme="minorEastAsia"/>
                <w:color w:val="auto"/>
                <w:szCs w:val="21"/>
              </w:rPr>
            </w:pPr>
            <w:r>
              <w:rPr>
                <w:rFonts w:hAnsiTheme="minorEastAsia" w:eastAsiaTheme="minorEastAsia"/>
                <w:color w:val="auto"/>
                <w:szCs w:val="21"/>
              </w:rPr>
              <w:t>（</w:t>
            </w:r>
            <w:r>
              <w:rPr>
                <w:rFonts w:hint="eastAsia" w:hAnsiTheme="minorEastAsia" w:eastAsiaTheme="minorEastAsia"/>
                <w:color w:val="auto"/>
                <w:szCs w:val="21"/>
                <w:lang w:val="en-US" w:eastAsia="zh-CN"/>
              </w:rPr>
              <w:t>12</w:t>
            </w:r>
            <w:r>
              <w:rPr>
                <w:rFonts w:hAnsiTheme="minorEastAsia" w:eastAsiaTheme="minorEastAsia"/>
                <w:color w:val="auto"/>
                <w:szCs w:val="21"/>
              </w:rPr>
              <w:t>）</w:t>
            </w:r>
            <w:r>
              <w:rPr>
                <w:rFonts w:hint="eastAsia" w:hAnsiTheme="minorEastAsia" w:eastAsiaTheme="minorEastAsia"/>
                <w:color w:val="auto"/>
                <w:szCs w:val="21"/>
              </w:rPr>
              <w:t>按照《突发环境事件应急预案管理暂行办法》和《企业事业单位突发环境事件应急预案备案管理办法（试行）》等相关文件要求编制突发环境事件应急预案，并在相应的生态环境主管部门进行备案。</w:t>
            </w:r>
          </w:p>
          <w:p>
            <w:pPr>
              <w:rPr>
                <w:rFonts w:hAnsiTheme="minorEastAsia" w:eastAsiaTheme="minorEastAsia"/>
                <w:color w:val="auto"/>
                <w:szCs w:val="21"/>
              </w:rPr>
            </w:pPr>
            <w:r>
              <w:rPr>
                <w:rFonts w:hAnsiTheme="minorEastAsia" w:eastAsiaTheme="minorEastAsia"/>
                <w:color w:val="auto"/>
                <w:szCs w:val="21"/>
              </w:rPr>
              <w:t>在严格落实应急措施后，可将风险发生的概率和影响后果降到最低限度。一旦发生事故，及时采取应急措施，可将对</w:t>
            </w:r>
            <w:r>
              <w:rPr>
                <w:rFonts w:hint="eastAsia" w:hAnsiTheme="minorEastAsia" w:eastAsiaTheme="minorEastAsia"/>
                <w:color w:val="auto"/>
                <w:szCs w:val="21"/>
              </w:rPr>
              <w:t>地表水</w:t>
            </w:r>
            <w:r>
              <w:rPr>
                <w:rFonts w:hAnsiTheme="minorEastAsia" w:eastAsiaTheme="minorEastAsia"/>
                <w:color w:val="auto"/>
                <w:szCs w:val="21"/>
              </w:rPr>
              <w:t>和地下水的影响降到最低限度，其风险水平可以被接受。</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8" w:hRule="atLeast"/>
          <w:jc w:val="center"/>
        </w:trPr>
        <w:tc>
          <w:tcPr>
            <w:tcW w:w="8522" w:type="dxa"/>
            <w:gridSpan w:val="6"/>
            <w:vAlign w:val="center"/>
          </w:tcPr>
          <w:p>
            <w:pPr>
              <w:rPr>
                <w:rFonts w:eastAsiaTheme="minorEastAsia"/>
                <w:color w:val="auto"/>
                <w:szCs w:val="21"/>
              </w:rPr>
            </w:pPr>
            <w:r>
              <w:rPr>
                <w:rFonts w:hAnsiTheme="minorEastAsia" w:eastAsiaTheme="minorEastAsia"/>
                <w:color w:val="auto"/>
                <w:szCs w:val="21"/>
              </w:rPr>
              <w:t>填表说明（列出项目相关信息及评价说明）</w:t>
            </w:r>
          </w:p>
        </w:tc>
      </w:tr>
    </w:tbl>
    <w:p>
      <w:pPr>
        <w:widowControl/>
        <w:tabs>
          <w:tab w:val="left" w:leader="middleDot" w:pos="7371"/>
        </w:tabs>
        <w:spacing w:line="360" w:lineRule="auto"/>
        <w:jc w:val="left"/>
        <w:outlineLvl w:val="0"/>
        <w:rPr>
          <w:b/>
          <w:color w:val="auto"/>
          <w:kern w:val="0"/>
          <w:sz w:val="32"/>
          <w:szCs w:val="32"/>
        </w:rPr>
      </w:pPr>
      <w:bookmarkStart w:id="197" w:name="_Toc477954576"/>
      <w:bookmarkStart w:id="198" w:name="_Toc479252821"/>
      <w:bookmarkStart w:id="199" w:name="_Toc9182"/>
      <w:r>
        <w:rPr>
          <w:b/>
          <w:color w:val="auto"/>
          <w:kern w:val="0"/>
          <w:sz w:val="32"/>
          <w:szCs w:val="32"/>
        </w:rPr>
        <w:t>6环境保护措施及其可行性论证</w:t>
      </w:r>
      <w:bookmarkEnd w:id="197"/>
      <w:bookmarkEnd w:id="198"/>
      <w:bookmarkEnd w:id="199"/>
    </w:p>
    <w:p>
      <w:pPr>
        <w:spacing w:line="360" w:lineRule="auto"/>
        <w:jc w:val="left"/>
        <w:outlineLvl w:val="1"/>
        <w:rPr>
          <w:b/>
          <w:bCs/>
          <w:color w:val="auto"/>
          <w:kern w:val="44"/>
          <w:sz w:val="30"/>
          <w:szCs w:val="30"/>
        </w:rPr>
      </w:pPr>
      <w:bookmarkStart w:id="200" w:name="_Toc12336"/>
      <w:bookmarkStart w:id="201" w:name="_Toc494017094"/>
      <w:bookmarkStart w:id="202" w:name="_Toc493664702"/>
      <w:r>
        <w:rPr>
          <w:b/>
          <w:bCs/>
          <w:color w:val="auto"/>
          <w:kern w:val="44"/>
          <w:sz w:val="30"/>
          <w:szCs w:val="30"/>
        </w:rPr>
        <w:t>6.1施工期环境保护措施及其可行性论证</w:t>
      </w:r>
      <w:bookmarkEnd w:id="200"/>
      <w:bookmarkEnd w:id="201"/>
      <w:bookmarkEnd w:id="202"/>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6.1.1施工期大气环境保护措施及其可行性论证</w:t>
      </w:r>
    </w:p>
    <w:p>
      <w:pPr>
        <w:spacing w:line="360" w:lineRule="auto"/>
        <w:ind w:firstLine="424" w:firstLineChars="177"/>
        <w:rPr>
          <w:color w:val="auto"/>
          <w:sz w:val="24"/>
        </w:rPr>
      </w:pPr>
      <w:r>
        <w:rPr>
          <w:color w:val="auto"/>
          <w:sz w:val="24"/>
        </w:rPr>
        <w:t>（1）施工期间，建设单位应</w:t>
      </w:r>
      <w:r>
        <w:rPr>
          <w:rFonts w:hint="eastAsia"/>
          <w:color w:val="auto"/>
          <w:sz w:val="24"/>
        </w:rPr>
        <w:t>在施工场地周围设置围挡，</w:t>
      </w:r>
      <w:r>
        <w:rPr>
          <w:color w:val="auto"/>
          <w:sz w:val="24"/>
        </w:rPr>
        <w:t>严格制定洒水降尘制度，配套洒水车，专人负责，定期洒水，在大风日要加大洒水量和洒水次数。</w:t>
      </w:r>
    </w:p>
    <w:p>
      <w:pPr>
        <w:spacing w:line="360" w:lineRule="auto"/>
        <w:ind w:firstLine="424" w:firstLineChars="177"/>
        <w:rPr>
          <w:color w:val="auto"/>
          <w:sz w:val="24"/>
        </w:rPr>
      </w:pPr>
      <w:r>
        <w:rPr>
          <w:color w:val="auto"/>
          <w:sz w:val="24"/>
        </w:rPr>
        <w:t>（2）风速四级以上（＞5m/s）时，施工单位应暂时停止土方开挖。</w:t>
      </w:r>
    </w:p>
    <w:p>
      <w:pPr>
        <w:spacing w:line="360" w:lineRule="auto"/>
        <w:ind w:firstLine="424" w:firstLineChars="177"/>
        <w:rPr>
          <w:color w:val="auto"/>
          <w:sz w:val="24"/>
        </w:rPr>
      </w:pPr>
      <w:r>
        <w:rPr>
          <w:color w:val="auto"/>
          <w:sz w:val="24"/>
        </w:rPr>
        <w:t>（3）运输车辆装载高度应低于车箱上沿，不得超高超载，必须实施严密封盖运输，减少车辆颠簸洒漏。运输车辆装卸完成后应清洗车厢，施工车辆及运输车辆驶离施工区前采用人工清泥除尘，不得将泥土带出施工工地。</w:t>
      </w:r>
    </w:p>
    <w:p>
      <w:pPr>
        <w:spacing w:line="360" w:lineRule="auto"/>
        <w:ind w:firstLine="424" w:firstLineChars="177"/>
        <w:rPr>
          <w:color w:val="auto"/>
          <w:sz w:val="24"/>
        </w:rPr>
      </w:pPr>
      <w:r>
        <w:rPr>
          <w:color w:val="auto"/>
          <w:sz w:val="24"/>
        </w:rPr>
        <w:t>（4）施工运输车辆矿区内限速15km/h以下，既可减少扬尘量，又可降低车辆噪声，同时有利于施工现场安全。卸料时，应尽量降低高度，对散状物如沙子、石子堆场也可采取</w:t>
      </w:r>
      <w:r>
        <w:rPr>
          <w:rFonts w:hint="eastAsia"/>
          <w:color w:val="auto"/>
          <w:sz w:val="24"/>
        </w:rPr>
        <w:t>遮盖</w:t>
      </w:r>
      <w:r>
        <w:rPr>
          <w:color w:val="auto"/>
          <w:sz w:val="24"/>
        </w:rPr>
        <w:t>措施。</w:t>
      </w:r>
    </w:p>
    <w:p>
      <w:pPr>
        <w:spacing w:line="360" w:lineRule="auto"/>
        <w:ind w:firstLine="424" w:firstLineChars="177"/>
        <w:rPr>
          <w:color w:val="auto"/>
          <w:sz w:val="24"/>
        </w:rPr>
      </w:pPr>
      <w:r>
        <w:rPr>
          <w:rFonts w:hint="eastAsia"/>
          <w:color w:val="auto"/>
          <w:sz w:val="24"/>
        </w:rPr>
        <w:t>（5）</w:t>
      </w:r>
      <w:r>
        <w:rPr>
          <w:color w:val="auto"/>
          <w:sz w:val="24"/>
        </w:rPr>
        <w:t>施工现场必须使用商品混凝土、预拌砂浆，严禁现场搅拌。</w:t>
      </w:r>
    </w:p>
    <w:p>
      <w:pPr>
        <w:spacing w:line="360" w:lineRule="auto"/>
        <w:ind w:firstLine="424" w:firstLineChars="177"/>
        <w:rPr>
          <w:color w:val="auto"/>
          <w:sz w:val="24"/>
        </w:rPr>
      </w:pPr>
      <w:r>
        <w:rPr>
          <w:color w:val="auto"/>
          <w:sz w:val="24"/>
        </w:rPr>
        <w:t>（</w:t>
      </w:r>
      <w:r>
        <w:rPr>
          <w:rFonts w:hint="eastAsia"/>
          <w:color w:val="auto"/>
          <w:sz w:val="24"/>
        </w:rPr>
        <w:t>6</w:t>
      </w:r>
      <w:r>
        <w:rPr>
          <w:color w:val="auto"/>
          <w:sz w:val="24"/>
        </w:rPr>
        <w:t>）</w:t>
      </w:r>
      <w:r>
        <w:rPr>
          <w:color w:val="auto"/>
          <w:kern w:val="0"/>
          <w:sz w:val="24"/>
          <w:szCs w:val="20"/>
        </w:rPr>
        <w:t>加强运输车辆的维护、保养，避免尾气超标排放。</w:t>
      </w:r>
    </w:p>
    <w:p>
      <w:pPr>
        <w:spacing w:line="360" w:lineRule="auto"/>
        <w:ind w:firstLine="424" w:firstLineChars="177"/>
        <w:rPr>
          <w:color w:val="auto"/>
          <w:sz w:val="24"/>
        </w:rPr>
      </w:pPr>
      <w:r>
        <w:rPr>
          <w:color w:val="auto"/>
          <w:sz w:val="24"/>
        </w:rPr>
        <w:t>（</w:t>
      </w:r>
      <w:r>
        <w:rPr>
          <w:rFonts w:hint="eastAsia"/>
          <w:color w:val="auto"/>
          <w:sz w:val="24"/>
        </w:rPr>
        <w:t>7</w:t>
      </w:r>
      <w:r>
        <w:rPr>
          <w:color w:val="auto"/>
          <w:sz w:val="24"/>
        </w:rPr>
        <w:t>）加强施工人员环保教育，在施工场地张贴文明施工标语，坚持文明施工科学施工。</w:t>
      </w:r>
    </w:p>
    <w:p>
      <w:pPr>
        <w:spacing w:line="360" w:lineRule="auto"/>
        <w:ind w:firstLine="424" w:firstLineChars="177"/>
        <w:rPr>
          <w:color w:val="auto"/>
          <w:sz w:val="24"/>
        </w:rPr>
      </w:pPr>
      <w:r>
        <w:rPr>
          <w:color w:val="auto"/>
          <w:sz w:val="24"/>
        </w:rPr>
        <w:t>通过采取上述措施后本项目施工期扬尘对周围环境的影响会大大降低，</w:t>
      </w:r>
      <w:r>
        <w:rPr>
          <w:rFonts w:hint="eastAsia"/>
          <w:bCs/>
          <w:color w:val="auto"/>
          <w:sz w:val="24"/>
        </w:rPr>
        <w:t>场界颗粒物能够满足</w:t>
      </w:r>
      <w:r>
        <w:rPr>
          <w:bCs/>
          <w:color w:val="auto"/>
          <w:sz w:val="24"/>
        </w:rPr>
        <w:t>《大气污染物综合排放标准》（GB16297-1996）表2的无组织排放监控浓度限值</w:t>
      </w:r>
      <w:r>
        <w:rPr>
          <w:rFonts w:hint="eastAsia"/>
          <w:bCs/>
          <w:color w:val="auto"/>
          <w:sz w:val="24"/>
        </w:rPr>
        <w:t>。</w:t>
      </w:r>
      <w:r>
        <w:rPr>
          <w:color w:val="auto"/>
          <w:sz w:val="24"/>
        </w:rPr>
        <w:t>施工期对大气环境的影响暂时的</w:t>
      </w:r>
      <w:r>
        <w:rPr>
          <w:rFonts w:hint="eastAsia"/>
          <w:color w:val="auto"/>
          <w:sz w:val="24"/>
        </w:rPr>
        <w:t>，</w:t>
      </w:r>
      <w:r>
        <w:rPr>
          <w:color w:val="auto"/>
          <w:sz w:val="24"/>
        </w:rPr>
        <w:t>随着施工活动结束，影响消除，不会遗留环境问题，本项目采取的环保措施可行。</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6.1.2施工期水环境保护措施及其可行性论证</w:t>
      </w:r>
    </w:p>
    <w:p>
      <w:pPr>
        <w:spacing w:line="360" w:lineRule="auto"/>
        <w:ind w:firstLine="480" w:firstLineChars="200"/>
        <w:rPr>
          <w:color w:val="auto"/>
          <w:sz w:val="24"/>
        </w:rPr>
      </w:pPr>
      <w:r>
        <w:rPr>
          <w:color w:val="auto"/>
          <w:sz w:val="24"/>
        </w:rPr>
        <w:t>施工期废水集中收集经厂区内沉淀池沉降后用于厂区内地面洒水</w:t>
      </w:r>
      <w:r>
        <w:rPr>
          <w:rFonts w:hint="eastAsia"/>
          <w:color w:val="auto"/>
          <w:sz w:val="24"/>
        </w:rPr>
        <w:t>；</w:t>
      </w:r>
      <w:r>
        <w:rPr>
          <w:color w:val="auto"/>
          <w:sz w:val="24"/>
        </w:rPr>
        <w:t>施工人员生活污水排入防渗旱厕，定期清掏，外运堆肥，可保证本项目施工期污水不外排本项目施工内容较少，施工期持续时间短，施工过程中产生的废水对周围环境不会造成影响。</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6.1.3施工期声环境保护措施及其可行性论证</w:t>
      </w:r>
    </w:p>
    <w:p>
      <w:pPr>
        <w:spacing w:line="360" w:lineRule="auto"/>
        <w:ind w:firstLine="424" w:firstLineChars="177"/>
        <w:rPr>
          <w:color w:val="auto"/>
          <w:sz w:val="24"/>
        </w:rPr>
      </w:pPr>
      <w:r>
        <w:rPr>
          <w:color w:val="auto"/>
          <w:sz w:val="24"/>
        </w:rPr>
        <w:t>本项目施工期噪声主要来源于施工机械噪声和运输车辆噪声，根据拟建项目所在区域环境敏感点情况和受影响的程度，建设单位应针对以上具体影响情况，采取以下防护措施来减轻噪声和振动的影响：</w:t>
      </w:r>
    </w:p>
    <w:p>
      <w:pPr>
        <w:spacing w:line="360" w:lineRule="auto"/>
        <w:ind w:firstLine="424" w:firstLineChars="177"/>
        <w:rPr>
          <w:color w:val="auto"/>
          <w:sz w:val="24"/>
        </w:rPr>
      </w:pPr>
      <w:r>
        <w:rPr>
          <w:color w:val="auto"/>
          <w:sz w:val="24"/>
        </w:rPr>
        <w:t>（1）合理安排施工时间，严禁在夜间（22：00～次日6：00）施工，制订施工计划时，应尽可能避免大量高噪声设备同时施工。</w:t>
      </w:r>
    </w:p>
    <w:p>
      <w:pPr>
        <w:spacing w:line="360" w:lineRule="auto"/>
        <w:ind w:firstLine="424" w:firstLineChars="177"/>
        <w:rPr>
          <w:color w:val="auto"/>
          <w:sz w:val="24"/>
        </w:rPr>
      </w:pPr>
      <w:r>
        <w:rPr>
          <w:color w:val="auto"/>
          <w:sz w:val="24"/>
        </w:rPr>
        <w:t>（2）设备选型上尽量采用低噪声设备，如以振捣器采用高频振捣器等。</w:t>
      </w:r>
    </w:p>
    <w:p>
      <w:pPr>
        <w:spacing w:line="360" w:lineRule="auto"/>
        <w:ind w:firstLine="424" w:firstLineChars="177"/>
        <w:rPr>
          <w:color w:val="auto"/>
          <w:sz w:val="24"/>
        </w:rPr>
      </w:pPr>
      <w:r>
        <w:rPr>
          <w:color w:val="auto"/>
          <w:sz w:val="24"/>
        </w:rPr>
        <w:t>（3）装载机、运输卡车等，可通过排气管消音器的方法降低噪声。</w:t>
      </w:r>
    </w:p>
    <w:p>
      <w:pPr>
        <w:spacing w:line="360" w:lineRule="auto"/>
        <w:ind w:firstLine="424" w:firstLineChars="177"/>
        <w:rPr>
          <w:color w:val="auto"/>
          <w:sz w:val="24"/>
        </w:rPr>
      </w:pPr>
      <w:r>
        <w:rPr>
          <w:color w:val="auto"/>
          <w:sz w:val="24"/>
        </w:rPr>
        <w:t>（4）对动力机械设备进行定期的维修、养护，维修不良的设备常因松动部件的振动而增加其工作时声压级。</w:t>
      </w:r>
    </w:p>
    <w:p>
      <w:pPr>
        <w:spacing w:line="360" w:lineRule="auto"/>
        <w:ind w:firstLine="424" w:firstLineChars="177"/>
        <w:rPr>
          <w:color w:val="auto"/>
          <w:sz w:val="24"/>
        </w:rPr>
      </w:pPr>
      <w:r>
        <w:rPr>
          <w:color w:val="auto"/>
          <w:sz w:val="24"/>
        </w:rPr>
        <w:t>（5）闲置不用的设备应立即关闭，运输车辆进入现场应减速，并减少鸣笛。</w:t>
      </w:r>
    </w:p>
    <w:p>
      <w:pPr>
        <w:spacing w:line="360" w:lineRule="auto"/>
        <w:ind w:firstLine="424" w:firstLineChars="177"/>
        <w:rPr>
          <w:color w:val="auto"/>
          <w:sz w:val="24"/>
        </w:rPr>
      </w:pPr>
      <w:r>
        <w:rPr>
          <w:color w:val="auto"/>
          <w:sz w:val="24"/>
        </w:rPr>
        <w:t>（6）降低人为噪音，按规定操作机械设备，遵守作业规定，减少碰撞噪音。尽量少用哨子、钟、笛等指挥作业，而代以现代化设备。</w:t>
      </w:r>
    </w:p>
    <w:p>
      <w:pPr>
        <w:spacing w:line="360" w:lineRule="auto"/>
        <w:ind w:firstLine="424" w:firstLineChars="177"/>
        <w:rPr>
          <w:color w:val="auto"/>
          <w:sz w:val="24"/>
        </w:rPr>
      </w:pPr>
      <w:r>
        <w:rPr>
          <w:color w:val="auto"/>
          <w:sz w:val="24"/>
        </w:rPr>
        <w:t>（7）建设管理部门应加强对施工工地的噪声管理，施工企业也应对施工声进行自律，文明施工，避免因施工噪声产生纠纷。</w:t>
      </w:r>
    </w:p>
    <w:p>
      <w:pPr>
        <w:spacing w:line="360" w:lineRule="auto"/>
        <w:ind w:firstLine="424" w:firstLineChars="177"/>
        <w:rPr>
          <w:color w:val="auto"/>
          <w:sz w:val="24"/>
        </w:rPr>
      </w:pPr>
      <w:r>
        <w:rPr>
          <w:color w:val="auto"/>
          <w:sz w:val="24"/>
        </w:rPr>
        <w:t>采取措施后厂界噪声符合《建筑施工场界环境噪声排放标准》</w:t>
      </w:r>
      <w:r>
        <w:rPr>
          <w:rFonts w:hint="eastAsia"/>
          <w:color w:val="auto"/>
          <w:sz w:val="24"/>
        </w:rPr>
        <w:t>（</w:t>
      </w:r>
      <w:r>
        <w:rPr>
          <w:color w:val="auto"/>
          <w:sz w:val="24"/>
        </w:rPr>
        <w:t>GB12523-2011</w:t>
      </w:r>
      <w:r>
        <w:rPr>
          <w:rFonts w:hint="eastAsia"/>
          <w:color w:val="auto"/>
          <w:sz w:val="24"/>
        </w:rPr>
        <w:t>）</w:t>
      </w:r>
      <w:r>
        <w:rPr>
          <w:color w:val="auto"/>
          <w:sz w:val="24"/>
        </w:rPr>
        <w:t>要求，施工期声环境保护措施可行。</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6.1.4施工期固体废物处置措施及其可行性论证</w:t>
      </w:r>
    </w:p>
    <w:p>
      <w:pPr>
        <w:spacing w:line="360" w:lineRule="auto"/>
        <w:ind w:firstLine="424" w:firstLineChars="177"/>
        <w:rPr>
          <w:color w:val="auto"/>
          <w:sz w:val="24"/>
        </w:rPr>
      </w:pPr>
      <w:r>
        <w:rPr>
          <w:color w:val="auto"/>
          <w:sz w:val="24"/>
        </w:rPr>
        <w:t>针对施工期固体废物，施工单位应做到</w:t>
      </w:r>
      <w:r>
        <w:rPr>
          <w:rFonts w:hint="eastAsia"/>
          <w:color w:val="auto"/>
          <w:sz w:val="24"/>
        </w:rPr>
        <w:t>：</w:t>
      </w:r>
    </w:p>
    <w:p>
      <w:pPr>
        <w:spacing w:line="360" w:lineRule="auto"/>
        <w:ind w:firstLine="424" w:firstLineChars="177"/>
        <w:rPr>
          <w:color w:val="auto"/>
          <w:sz w:val="24"/>
        </w:rPr>
      </w:pPr>
      <w:r>
        <w:rPr>
          <w:color w:val="auto"/>
          <w:sz w:val="24"/>
        </w:rPr>
        <w:t>（1）生活垃圾集中收集，由市政部门统一处理。</w:t>
      </w:r>
    </w:p>
    <w:p>
      <w:pPr>
        <w:spacing w:line="360" w:lineRule="auto"/>
        <w:ind w:firstLine="424" w:firstLineChars="177"/>
        <w:rPr>
          <w:color w:val="auto"/>
          <w:sz w:val="24"/>
        </w:rPr>
      </w:pPr>
      <w:r>
        <w:rPr>
          <w:color w:val="auto"/>
          <w:sz w:val="24"/>
        </w:rPr>
        <w:t>（2）建筑垃圾及时清运，运至指定地点倾倒，不得随意堆放。</w:t>
      </w:r>
    </w:p>
    <w:p>
      <w:pPr>
        <w:spacing w:line="360" w:lineRule="auto"/>
        <w:ind w:firstLine="424" w:firstLineChars="177"/>
        <w:rPr>
          <w:color w:val="auto"/>
          <w:sz w:val="24"/>
        </w:rPr>
      </w:pPr>
      <w:r>
        <w:rPr>
          <w:color w:val="auto"/>
          <w:sz w:val="24"/>
        </w:rPr>
        <w:t>（3）应对施工人员加强教育，树立环保意识，不随意乱丢废弃物，以保证施工中生活区的环境卫生质量。</w:t>
      </w:r>
    </w:p>
    <w:p>
      <w:pPr>
        <w:spacing w:line="360" w:lineRule="auto"/>
        <w:ind w:firstLine="424" w:firstLineChars="177"/>
        <w:rPr>
          <w:color w:val="auto"/>
          <w:sz w:val="24"/>
        </w:rPr>
      </w:pPr>
      <w:r>
        <w:rPr>
          <w:color w:val="auto"/>
          <w:sz w:val="24"/>
        </w:rPr>
        <w:t>采取上述措施，本项目施工期产生的固废处置率100%，不会对环境产生明显影响，施工期固体废物处置措施可行</w:t>
      </w:r>
      <w:r>
        <w:rPr>
          <w:rFonts w:hint="eastAsia"/>
          <w:color w:val="auto"/>
          <w:sz w:val="24"/>
        </w:rPr>
        <w:t>。</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6.1.</w:t>
      </w:r>
      <w:r>
        <w:rPr>
          <w:rFonts w:hint="eastAsia" w:ascii="Times New Roman" w:hAnsi="Times New Roman" w:cs="Times New Roman"/>
          <w:b/>
          <w:color w:val="auto"/>
          <w:sz w:val="28"/>
          <w:szCs w:val="28"/>
        </w:rPr>
        <w:t>5</w:t>
      </w:r>
      <w:r>
        <w:rPr>
          <w:rFonts w:ascii="Times New Roman" w:hAnsi="Times New Roman" w:cs="Times New Roman"/>
          <w:b/>
          <w:color w:val="auto"/>
          <w:sz w:val="28"/>
          <w:szCs w:val="28"/>
        </w:rPr>
        <w:t>施工期</w:t>
      </w:r>
      <w:r>
        <w:rPr>
          <w:rFonts w:hint="eastAsia" w:ascii="Times New Roman" w:hAnsi="Times New Roman" w:cs="Times New Roman"/>
          <w:b/>
          <w:color w:val="auto"/>
          <w:sz w:val="28"/>
          <w:szCs w:val="28"/>
        </w:rPr>
        <w:t>生态</w:t>
      </w:r>
      <w:r>
        <w:rPr>
          <w:rFonts w:ascii="Times New Roman" w:hAnsi="Times New Roman" w:cs="Times New Roman"/>
          <w:b/>
          <w:color w:val="auto"/>
          <w:sz w:val="28"/>
          <w:szCs w:val="28"/>
        </w:rPr>
        <w:t>保护减缓措施可行性论证</w:t>
      </w:r>
    </w:p>
    <w:p>
      <w:pPr>
        <w:spacing w:line="360" w:lineRule="auto"/>
        <w:ind w:firstLine="424" w:firstLineChars="177"/>
        <w:rPr>
          <w:color w:val="auto"/>
          <w:sz w:val="24"/>
        </w:rPr>
      </w:pPr>
      <w:r>
        <w:rPr>
          <w:color w:val="auto"/>
          <w:sz w:val="24"/>
        </w:rPr>
        <w:t>建设期的生态影响主要是土地平整及土方挖运施工导致的水土流失，工程应加强施工道路的路面建设，创造施工场地良好的排水条件，减少雨水冲刷和停留时间，从而达到减少水土流失的目的。</w:t>
      </w:r>
    </w:p>
    <w:p>
      <w:pPr>
        <w:spacing w:line="360" w:lineRule="auto"/>
        <w:ind w:firstLine="424" w:firstLineChars="177"/>
        <w:rPr>
          <w:color w:val="auto"/>
          <w:sz w:val="24"/>
        </w:rPr>
      </w:pPr>
      <w:r>
        <w:rPr>
          <w:color w:val="auto"/>
          <w:sz w:val="24"/>
        </w:rPr>
        <w:t>（1）严格控制施工范围，在项目永久占地范围内施工，不新增临时占地</w:t>
      </w:r>
      <w:r>
        <w:rPr>
          <w:rFonts w:hint="eastAsia"/>
          <w:color w:val="auto"/>
          <w:sz w:val="24"/>
        </w:rPr>
        <w:t>。</w:t>
      </w:r>
    </w:p>
    <w:p>
      <w:pPr>
        <w:spacing w:line="360" w:lineRule="auto"/>
        <w:ind w:firstLine="424" w:firstLineChars="177"/>
        <w:rPr>
          <w:color w:val="auto"/>
          <w:sz w:val="24"/>
        </w:rPr>
      </w:pPr>
      <w:r>
        <w:rPr>
          <w:color w:val="auto"/>
          <w:sz w:val="24"/>
        </w:rPr>
        <w:t>（</w:t>
      </w:r>
      <w:r>
        <w:rPr>
          <w:rFonts w:hint="eastAsia"/>
          <w:color w:val="auto"/>
          <w:sz w:val="24"/>
        </w:rPr>
        <w:t>2</w:t>
      </w:r>
      <w:r>
        <w:rPr>
          <w:color w:val="auto"/>
          <w:sz w:val="24"/>
        </w:rPr>
        <w:t>）合理安排施工时间</w:t>
      </w:r>
      <w:r>
        <w:rPr>
          <w:rFonts w:hint="eastAsia"/>
          <w:color w:val="auto"/>
          <w:sz w:val="24"/>
        </w:rPr>
        <w:t>，</w:t>
      </w:r>
      <w:r>
        <w:rPr>
          <w:color w:val="auto"/>
          <w:sz w:val="24"/>
        </w:rPr>
        <w:t>避免雨天</w:t>
      </w:r>
      <w:r>
        <w:rPr>
          <w:rFonts w:hint="eastAsia"/>
          <w:color w:val="auto"/>
          <w:sz w:val="24"/>
        </w:rPr>
        <w:t>及大风天</w:t>
      </w:r>
      <w:r>
        <w:rPr>
          <w:color w:val="auto"/>
          <w:sz w:val="24"/>
        </w:rPr>
        <w:t>施工，防止在暴雨</w:t>
      </w:r>
      <w:r>
        <w:rPr>
          <w:rFonts w:hint="eastAsia"/>
          <w:color w:val="auto"/>
          <w:sz w:val="24"/>
        </w:rPr>
        <w:t>及大风</w:t>
      </w:r>
      <w:r>
        <w:rPr>
          <w:color w:val="auto"/>
          <w:sz w:val="24"/>
        </w:rPr>
        <w:t>期间造成大量水土流失。</w:t>
      </w:r>
    </w:p>
    <w:p>
      <w:pPr>
        <w:spacing w:line="360" w:lineRule="auto"/>
        <w:ind w:firstLine="424" w:firstLineChars="177"/>
        <w:rPr>
          <w:color w:val="auto"/>
          <w:sz w:val="24"/>
        </w:rPr>
      </w:pPr>
      <w:r>
        <w:rPr>
          <w:color w:val="auto"/>
          <w:sz w:val="24"/>
        </w:rPr>
        <w:t>（</w:t>
      </w:r>
      <w:r>
        <w:rPr>
          <w:rFonts w:hint="eastAsia"/>
          <w:color w:val="auto"/>
          <w:sz w:val="24"/>
        </w:rPr>
        <w:t>3</w:t>
      </w:r>
      <w:r>
        <w:rPr>
          <w:color w:val="auto"/>
          <w:sz w:val="24"/>
        </w:rPr>
        <w:t>）施工结束后立即</w:t>
      </w:r>
      <w:r>
        <w:rPr>
          <w:rFonts w:hint="eastAsia"/>
          <w:color w:val="auto"/>
          <w:sz w:val="24"/>
        </w:rPr>
        <w:t>对</w:t>
      </w:r>
      <w:r>
        <w:rPr>
          <w:color w:val="auto"/>
          <w:sz w:val="24"/>
        </w:rPr>
        <w:t>厂区空地及时绿化，避免裸露，减少水土流失和扬尘污染。</w:t>
      </w:r>
    </w:p>
    <w:p>
      <w:pPr>
        <w:spacing w:line="360" w:lineRule="auto"/>
        <w:ind w:firstLine="424" w:firstLineChars="177"/>
        <w:rPr>
          <w:color w:val="auto"/>
          <w:sz w:val="24"/>
        </w:rPr>
      </w:pPr>
      <w:r>
        <w:rPr>
          <w:color w:val="auto"/>
          <w:sz w:val="24"/>
        </w:rPr>
        <w:t>（</w:t>
      </w:r>
      <w:r>
        <w:rPr>
          <w:rFonts w:hint="eastAsia"/>
          <w:color w:val="auto"/>
          <w:sz w:val="24"/>
        </w:rPr>
        <w:t>4</w:t>
      </w:r>
      <w:r>
        <w:rPr>
          <w:color w:val="auto"/>
          <w:sz w:val="24"/>
        </w:rPr>
        <w:t>）施工期</w:t>
      </w:r>
      <w:r>
        <w:rPr>
          <w:rFonts w:hint="eastAsia"/>
          <w:color w:val="auto"/>
          <w:sz w:val="24"/>
        </w:rPr>
        <w:t>项目施工过程中产生的土方采取苫布遮盖，</w:t>
      </w:r>
      <w:r>
        <w:rPr>
          <w:color w:val="auto"/>
          <w:sz w:val="24"/>
        </w:rPr>
        <w:t>以确保挖填裸露堆土，不被雨水冲刷，避免造成水土流失，施工结束后，挖方回填、平整场地，</w:t>
      </w:r>
      <w:r>
        <w:rPr>
          <w:rFonts w:hint="eastAsia"/>
          <w:color w:val="auto"/>
          <w:sz w:val="24"/>
        </w:rPr>
        <w:t>表土用于厂区绿化</w:t>
      </w:r>
      <w:r>
        <w:rPr>
          <w:color w:val="auto"/>
          <w:sz w:val="24"/>
        </w:rPr>
        <w:t>。</w:t>
      </w:r>
    </w:p>
    <w:p>
      <w:pPr>
        <w:spacing w:line="360" w:lineRule="auto"/>
        <w:ind w:firstLine="424" w:firstLineChars="177"/>
        <w:rPr>
          <w:color w:val="auto"/>
          <w:sz w:val="24"/>
        </w:rPr>
      </w:pPr>
      <w:r>
        <w:rPr>
          <w:color w:val="auto"/>
          <w:sz w:val="24"/>
        </w:rPr>
        <w:t>（</w:t>
      </w:r>
      <w:r>
        <w:rPr>
          <w:rFonts w:hint="eastAsia"/>
          <w:color w:val="auto"/>
          <w:sz w:val="24"/>
        </w:rPr>
        <w:t>5</w:t>
      </w:r>
      <w:r>
        <w:rPr>
          <w:color w:val="auto"/>
          <w:sz w:val="24"/>
        </w:rPr>
        <w:t>）加强对施工人员生态环境方面知识的教育，加强管理，增强对生态环境保护的意识和观念，并使施工人员变为自觉行为。</w:t>
      </w:r>
    </w:p>
    <w:p>
      <w:pPr>
        <w:spacing w:line="360" w:lineRule="auto"/>
        <w:ind w:firstLine="424" w:firstLineChars="177"/>
        <w:rPr>
          <w:color w:val="auto"/>
          <w:sz w:val="24"/>
        </w:rPr>
      </w:pPr>
      <w:r>
        <w:rPr>
          <w:color w:val="auto"/>
          <w:sz w:val="24"/>
        </w:rPr>
        <w:t>采取采取上述措施，本项目施工期不会对生态环境造成影响，生态保护减缓措施可行。</w:t>
      </w:r>
    </w:p>
    <w:p>
      <w:pPr>
        <w:spacing w:line="360" w:lineRule="auto"/>
        <w:contextualSpacing/>
        <w:jc w:val="left"/>
        <w:outlineLvl w:val="1"/>
        <w:rPr>
          <w:b/>
          <w:bCs/>
          <w:color w:val="auto"/>
          <w:kern w:val="44"/>
          <w:sz w:val="30"/>
          <w:szCs w:val="30"/>
        </w:rPr>
      </w:pPr>
      <w:bookmarkStart w:id="203" w:name="_Toc27946"/>
      <w:r>
        <w:rPr>
          <w:b/>
          <w:bCs/>
          <w:color w:val="auto"/>
          <w:kern w:val="44"/>
          <w:sz w:val="30"/>
          <w:szCs w:val="30"/>
        </w:rPr>
        <w:t>6.2营运期环境保护措施及其可行性论证</w:t>
      </w:r>
      <w:bookmarkEnd w:id="203"/>
    </w:p>
    <w:p>
      <w:pPr>
        <w:pStyle w:val="5"/>
        <w:spacing w:before="0" w:after="0" w:line="360" w:lineRule="auto"/>
        <w:ind w:firstLine="0" w:firstLineChars="0"/>
        <w:contextualSpacing/>
        <w:rPr>
          <w:rFonts w:ascii="Times New Roman" w:hAnsi="Times New Roman" w:cs="Times New Roman"/>
          <w:b/>
          <w:color w:val="auto"/>
          <w:sz w:val="28"/>
          <w:szCs w:val="28"/>
        </w:rPr>
      </w:pPr>
      <w:r>
        <w:rPr>
          <w:rFonts w:ascii="Times New Roman" w:hAnsi="Times New Roman" w:cs="Times New Roman"/>
          <w:b/>
          <w:color w:val="auto"/>
          <w:sz w:val="28"/>
          <w:szCs w:val="28"/>
        </w:rPr>
        <w:t>6.2.1大气环境保护措施及其可行性论证</w:t>
      </w:r>
    </w:p>
    <w:p>
      <w:pPr>
        <w:spacing w:line="360" w:lineRule="auto"/>
        <w:ind w:firstLine="424" w:firstLineChars="177"/>
        <w:rPr>
          <w:color w:val="auto"/>
          <w:sz w:val="24"/>
        </w:rPr>
      </w:pPr>
      <w:r>
        <w:rPr>
          <w:color w:val="auto"/>
          <w:sz w:val="24"/>
        </w:rPr>
        <w:t>结合</w:t>
      </w:r>
      <w:r>
        <w:rPr>
          <w:rFonts w:hint="eastAsia"/>
          <w:color w:val="auto"/>
          <w:sz w:val="24"/>
        </w:rPr>
        <w:t>《屠宰及肉类加工业污染防治可行技术指南》（</w:t>
      </w:r>
      <w:r>
        <w:rPr>
          <w:color w:val="auto"/>
          <w:sz w:val="24"/>
        </w:rPr>
        <w:t>HJ1285—2023</w:t>
      </w:r>
      <w:r>
        <w:rPr>
          <w:rFonts w:hint="eastAsia"/>
          <w:color w:val="auto"/>
          <w:sz w:val="24"/>
        </w:rPr>
        <w:t>）及</w:t>
      </w:r>
      <w:r>
        <w:rPr>
          <w:color w:val="auto"/>
          <w:sz w:val="24"/>
        </w:rPr>
        <w:t>《排污许可证申请与核发技术规范农副食品加工工业—屠宰及肉类加工工业》（HJ 860.3—2018）中表3屠宰及肉类加工工业排污单位废气产污环节、污染控制项目、排放形式及污染治理设施一览表对项目产生的恶臭进行环保措施的选择。</w:t>
      </w:r>
    </w:p>
    <w:p>
      <w:pPr>
        <w:bidi w:val="0"/>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44"/>
        <w:rPr>
          <w:color w:val="auto"/>
        </w:rPr>
      </w:pPr>
      <w:r>
        <w:rPr>
          <w:color w:val="auto"/>
        </w:rPr>
        <w:t>表6-2-</w:t>
      </w:r>
      <w:r>
        <w:rPr>
          <w:rFonts w:hint="eastAsia"/>
          <w:color w:val="auto"/>
        </w:rPr>
        <w:t>1</w:t>
      </w:r>
      <w:r>
        <w:rPr>
          <w:color w:val="auto"/>
        </w:rPr>
        <w:t xml:space="preserve">  </w:t>
      </w:r>
      <w:r>
        <w:rPr>
          <w:bCs/>
          <w:color w:val="auto"/>
          <w:sz w:val="24"/>
        </w:rPr>
        <w:t>《排污许可证申请与核发技术规范农副食品加工工业—屠宰及肉类加工工业》（HJ 860.3—2018）</w:t>
      </w:r>
      <w:r>
        <w:rPr>
          <w:color w:val="auto"/>
        </w:rPr>
        <w:t>屠宰及肉类加工工业排污单位废气产污环节、污染控制项目、排放形式及污染治理设施一览表</w:t>
      </w:r>
    </w:p>
    <w:tbl>
      <w:tblPr>
        <w:tblStyle w:val="4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2"/>
        <w:gridCol w:w="916"/>
        <w:gridCol w:w="1701"/>
        <w:gridCol w:w="1297"/>
        <w:gridCol w:w="1485"/>
        <w:gridCol w:w="1230"/>
        <w:gridCol w:w="1395"/>
        <w:gridCol w:w="1442"/>
        <w:gridCol w:w="31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8" w:type="dxa"/>
            <w:gridSpan w:val="2"/>
            <w:vAlign w:val="center"/>
          </w:tcPr>
          <w:p>
            <w:pPr>
              <w:widowControl/>
              <w:jc w:val="center"/>
              <w:rPr>
                <w:color w:val="auto"/>
                <w:kern w:val="0"/>
                <w:szCs w:val="21"/>
              </w:rPr>
            </w:pPr>
            <w:r>
              <w:rPr>
                <w:color w:val="auto"/>
                <w:kern w:val="0"/>
                <w:szCs w:val="21"/>
              </w:rPr>
              <w:t>生产单元</w:t>
            </w:r>
          </w:p>
        </w:tc>
        <w:tc>
          <w:tcPr>
            <w:tcW w:w="1701" w:type="dxa"/>
            <w:vAlign w:val="center"/>
          </w:tcPr>
          <w:p>
            <w:pPr>
              <w:widowControl/>
              <w:jc w:val="center"/>
              <w:rPr>
                <w:color w:val="auto"/>
                <w:kern w:val="0"/>
                <w:szCs w:val="21"/>
              </w:rPr>
            </w:pPr>
            <w:r>
              <w:rPr>
                <w:color w:val="auto"/>
                <w:kern w:val="0"/>
                <w:szCs w:val="21"/>
              </w:rPr>
              <w:t>生产设施</w:t>
            </w:r>
          </w:p>
        </w:tc>
        <w:tc>
          <w:tcPr>
            <w:tcW w:w="1297" w:type="dxa"/>
            <w:vAlign w:val="center"/>
          </w:tcPr>
          <w:p>
            <w:pPr>
              <w:widowControl/>
              <w:jc w:val="center"/>
              <w:rPr>
                <w:color w:val="auto"/>
                <w:kern w:val="0"/>
                <w:szCs w:val="21"/>
              </w:rPr>
            </w:pPr>
            <w:r>
              <w:rPr>
                <w:color w:val="auto"/>
                <w:kern w:val="0"/>
                <w:szCs w:val="21"/>
              </w:rPr>
              <w:t>产污环节</w:t>
            </w:r>
          </w:p>
        </w:tc>
        <w:tc>
          <w:tcPr>
            <w:tcW w:w="1485" w:type="dxa"/>
            <w:vAlign w:val="center"/>
          </w:tcPr>
          <w:p>
            <w:pPr>
              <w:widowControl/>
              <w:jc w:val="center"/>
              <w:rPr>
                <w:color w:val="auto"/>
                <w:kern w:val="0"/>
                <w:szCs w:val="21"/>
              </w:rPr>
            </w:pPr>
            <w:r>
              <w:rPr>
                <w:color w:val="auto"/>
                <w:kern w:val="0"/>
                <w:szCs w:val="21"/>
              </w:rPr>
              <w:t>污染控制项目</w:t>
            </w:r>
          </w:p>
        </w:tc>
        <w:tc>
          <w:tcPr>
            <w:tcW w:w="1230" w:type="dxa"/>
            <w:vAlign w:val="center"/>
          </w:tcPr>
          <w:p>
            <w:pPr>
              <w:widowControl/>
              <w:jc w:val="center"/>
              <w:rPr>
                <w:color w:val="auto"/>
                <w:kern w:val="0"/>
                <w:szCs w:val="21"/>
              </w:rPr>
            </w:pPr>
            <w:r>
              <w:rPr>
                <w:color w:val="auto"/>
                <w:kern w:val="0"/>
                <w:szCs w:val="21"/>
              </w:rPr>
              <w:t>排放方式</w:t>
            </w:r>
          </w:p>
        </w:tc>
        <w:tc>
          <w:tcPr>
            <w:tcW w:w="1395" w:type="dxa"/>
            <w:vAlign w:val="center"/>
          </w:tcPr>
          <w:p>
            <w:pPr>
              <w:widowControl/>
              <w:jc w:val="center"/>
              <w:rPr>
                <w:rFonts w:hint="eastAsia" w:eastAsia="宋体"/>
                <w:color w:val="auto"/>
                <w:kern w:val="0"/>
                <w:szCs w:val="21"/>
                <w:highlight w:val="none"/>
                <w:lang w:eastAsia="zh-CN"/>
              </w:rPr>
            </w:pPr>
            <w:r>
              <w:rPr>
                <w:color w:val="auto"/>
                <w:kern w:val="0"/>
                <w:szCs w:val="21"/>
                <w:highlight w:val="none"/>
              </w:rPr>
              <w:t>排放口类型</w:t>
            </w:r>
          </w:p>
        </w:tc>
        <w:tc>
          <w:tcPr>
            <w:tcW w:w="1442" w:type="dxa"/>
            <w:vAlign w:val="center"/>
          </w:tcPr>
          <w:p>
            <w:pPr>
              <w:widowControl/>
              <w:jc w:val="center"/>
              <w:rPr>
                <w:rFonts w:hint="eastAsia" w:eastAsia="宋体"/>
                <w:color w:val="auto"/>
                <w:kern w:val="0"/>
                <w:szCs w:val="21"/>
                <w:highlight w:val="none"/>
                <w:lang w:eastAsia="zh-CN"/>
              </w:rPr>
            </w:pPr>
            <w:r>
              <w:rPr>
                <w:color w:val="auto"/>
                <w:kern w:val="0"/>
                <w:szCs w:val="21"/>
                <w:highlight w:val="none"/>
              </w:rPr>
              <w:t>执行标准</w:t>
            </w:r>
          </w:p>
        </w:tc>
        <w:tc>
          <w:tcPr>
            <w:tcW w:w="3105" w:type="dxa"/>
            <w:vAlign w:val="center"/>
          </w:tcPr>
          <w:p>
            <w:pPr>
              <w:widowControl/>
              <w:jc w:val="center"/>
              <w:rPr>
                <w:color w:val="auto"/>
                <w:kern w:val="0"/>
                <w:szCs w:val="21"/>
              </w:rPr>
            </w:pPr>
            <w:r>
              <w:rPr>
                <w:color w:val="auto"/>
                <w:kern w:val="0"/>
                <w:szCs w:val="21"/>
              </w:rPr>
              <w:t>污染治理名称及工艺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2" w:type="dxa"/>
            <w:vMerge w:val="restart"/>
            <w:vAlign w:val="center"/>
          </w:tcPr>
          <w:p>
            <w:pPr>
              <w:widowControl/>
              <w:jc w:val="center"/>
              <w:rPr>
                <w:color w:val="auto"/>
                <w:kern w:val="0"/>
                <w:szCs w:val="21"/>
              </w:rPr>
            </w:pPr>
            <w:r>
              <w:rPr>
                <w:rFonts w:hint="eastAsia"/>
                <w:color w:val="auto"/>
                <w:kern w:val="0"/>
                <w:szCs w:val="21"/>
              </w:rPr>
              <w:t>屠宰</w:t>
            </w:r>
          </w:p>
        </w:tc>
        <w:tc>
          <w:tcPr>
            <w:tcW w:w="916" w:type="dxa"/>
            <w:vAlign w:val="center"/>
          </w:tcPr>
          <w:p>
            <w:pPr>
              <w:widowControl/>
              <w:jc w:val="center"/>
              <w:rPr>
                <w:color w:val="auto"/>
                <w:kern w:val="0"/>
                <w:szCs w:val="21"/>
              </w:rPr>
            </w:pPr>
            <w:r>
              <w:rPr>
                <w:color w:val="auto"/>
                <w:kern w:val="0"/>
                <w:szCs w:val="21"/>
              </w:rPr>
              <w:t>宰前准备</w:t>
            </w:r>
          </w:p>
        </w:tc>
        <w:tc>
          <w:tcPr>
            <w:tcW w:w="1701" w:type="dxa"/>
            <w:vAlign w:val="center"/>
          </w:tcPr>
          <w:p>
            <w:pPr>
              <w:widowControl/>
              <w:jc w:val="center"/>
              <w:rPr>
                <w:color w:val="auto"/>
                <w:kern w:val="0"/>
                <w:szCs w:val="21"/>
              </w:rPr>
            </w:pPr>
            <w:r>
              <w:rPr>
                <w:color w:val="auto"/>
                <w:kern w:val="0"/>
                <w:szCs w:val="21"/>
              </w:rPr>
              <w:t>待宰</w:t>
            </w:r>
            <w:r>
              <w:rPr>
                <w:rFonts w:hint="eastAsia"/>
                <w:color w:val="auto"/>
                <w:kern w:val="0"/>
                <w:szCs w:val="21"/>
              </w:rPr>
              <w:t>圈</w:t>
            </w:r>
          </w:p>
        </w:tc>
        <w:tc>
          <w:tcPr>
            <w:tcW w:w="1297" w:type="dxa"/>
            <w:vAlign w:val="center"/>
          </w:tcPr>
          <w:p>
            <w:pPr>
              <w:widowControl/>
              <w:jc w:val="center"/>
              <w:rPr>
                <w:color w:val="auto"/>
                <w:kern w:val="0"/>
                <w:szCs w:val="21"/>
              </w:rPr>
            </w:pPr>
            <w:r>
              <w:rPr>
                <w:color w:val="auto"/>
                <w:kern w:val="0"/>
                <w:szCs w:val="21"/>
              </w:rPr>
              <w:t>恶臭气体</w:t>
            </w:r>
          </w:p>
        </w:tc>
        <w:tc>
          <w:tcPr>
            <w:tcW w:w="1485" w:type="dxa"/>
            <w:vAlign w:val="center"/>
          </w:tcPr>
          <w:p>
            <w:pPr>
              <w:widowControl/>
              <w:jc w:val="center"/>
              <w:rPr>
                <w:color w:val="auto"/>
                <w:kern w:val="0"/>
                <w:szCs w:val="21"/>
              </w:rPr>
            </w:pPr>
            <w:r>
              <w:rPr>
                <w:color w:val="auto"/>
                <w:kern w:val="0"/>
                <w:szCs w:val="21"/>
              </w:rPr>
              <w:t>氨、硫化氢、臭气浓度</w:t>
            </w:r>
          </w:p>
        </w:tc>
        <w:tc>
          <w:tcPr>
            <w:tcW w:w="1230" w:type="dxa"/>
            <w:vAlign w:val="center"/>
          </w:tcPr>
          <w:p>
            <w:pPr>
              <w:widowControl/>
              <w:jc w:val="center"/>
              <w:rPr>
                <w:color w:val="auto"/>
                <w:kern w:val="0"/>
                <w:szCs w:val="21"/>
              </w:rPr>
            </w:pPr>
            <w:r>
              <w:rPr>
                <w:color w:val="auto"/>
                <w:kern w:val="0"/>
                <w:szCs w:val="21"/>
              </w:rPr>
              <w:t>无组织</w:t>
            </w:r>
          </w:p>
        </w:tc>
        <w:tc>
          <w:tcPr>
            <w:tcW w:w="1395" w:type="dxa"/>
            <w:vAlign w:val="center"/>
          </w:tcPr>
          <w:p>
            <w:pPr>
              <w:widowControl/>
              <w:jc w:val="center"/>
              <w:rPr>
                <w:color w:val="auto"/>
                <w:kern w:val="0"/>
                <w:szCs w:val="21"/>
              </w:rPr>
            </w:pPr>
            <w:r>
              <w:rPr>
                <w:color w:val="auto"/>
                <w:kern w:val="0"/>
                <w:szCs w:val="21"/>
              </w:rPr>
              <w:t>/</w:t>
            </w:r>
          </w:p>
        </w:tc>
        <w:tc>
          <w:tcPr>
            <w:tcW w:w="1442" w:type="dxa"/>
            <w:vAlign w:val="center"/>
          </w:tcPr>
          <w:p>
            <w:pPr>
              <w:widowControl/>
              <w:jc w:val="center"/>
              <w:rPr>
                <w:color w:val="auto"/>
                <w:kern w:val="0"/>
                <w:szCs w:val="21"/>
              </w:rPr>
            </w:pPr>
            <w:r>
              <w:rPr>
                <w:color w:val="auto"/>
                <w:kern w:val="0"/>
                <w:szCs w:val="21"/>
              </w:rPr>
              <w:t>GB 14554</w:t>
            </w:r>
          </w:p>
        </w:tc>
        <w:tc>
          <w:tcPr>
            <w:tcW w:w="3105" w:type="dxa"/>
            <w:vAlign w:val="center"/>
          </w:tcPr>
          <w:p>
            <w:pPr>
              <w:widowControl/>
              <w:jc w:val="center"/>
              <w:rPr>
                <w:color w:val="auto"/>
                <w:kern w:val="0"/>
                <w:szCs w:val="21"/>
              </w:rPr>
            </w:pPr>
            <w:r>
              <w:rPr>
                <w:color w:val="auto"/>
                <w:kern w:val="0"/>
                <w:szCs w:val="21"/>
              </w:rPr>
              <w:t>清洗；及时清运粪便；集中收集恶臭气体经处理（喷淋、生物除臭、活性</w:t>
            </w:r>
            <w:r>
              <w:rPr>
                <w:rFonts w:hint="eastAsia"/>
                <w:color w:val="auto"/>
                <w:kern w:val="0"/>
                <w:szCs w:val="21"/>
              </w:rPr>
              <w:t>炭</w:t>
            </w:r>
            <w:r>
              <w:rPr>
                <w:color w:val="auto"/>
                <w:kern w:val="0"/>
                <w:szCs w:val="21"/>
              </w:rPr>
              <w:t>吸附、UV高效光解除臭等）后经排气筒排放；其他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2" w:type="dxa"/>
            <w:vMerge w:val="continue"/>
            <w:vAlign w:val="center"/>
          </w:tcPr>
          <w:p>
            <w:pPr>
              <w:widowControl/>
              <w:jc w:val="center"/>
              <w:rPr>
                <w:color w:val="auto"/>
                <w:kern w:val="0"/>
                <w:szCs w:val="21"/>
              </w:rPr>
            </w:pPr>
          </w:p>
        </w:tc>
        <w:tc>
          <w:tcPr>
            <w:tcW w:w="916" w:type="dxa"/>
            <w:vAlign w:val="center"/>
          </w:tcPr>
          <w:p>
            <w:pPr>
              <w:widowControl/>
              <w:jc w:val="center"/>
              <w:rPr>
                <w:color w:val="auto"/>
                <w:kern w:val="0"/>
                <w:szCs w:val="21"/>
              </w:rPr>
            </w:pPr>
            <w:r>
              <w:rPr>
                <w:color w:val="auto"/>
                <w:kern w:val="0"/>
                <w:szCs w:val="21"/>
              </w:rPr>
              <w:t>刺杀放血</w:t>
            </w:r>
          </w:p>
        </w:tc>
        <w:tc>
          <w:tcPr>
            <w:tcW w:w="1701" w:type="dxa"/>
            <w:vAlign w:val="center"/>
          </w:tcPr>
          <w:p>
            <w:pPr>
              <w:widowControl/>
              <w:jc w:val="center"/>
              <w:rPr>
                <w:color w:val="auto"/>
                <w:kern w:val="0"/>
                <w:szCs w:val="21"/>
              </w:rPr>
            </w:pPr>
            <w:r>
              <w:rPr>
                <w:color w:val="auto"/>
                <w:kern w:val="0"/>
                <w:szCs w:val="21"/>
              </w:rPr>
              <w:t>真空放血系统、集血槽</w:t>
            </w:r>
          </w:p>
        </w:tc>
        <w:tc>
          <w:tcPr>
            <w:tcW w:w="1297" w:type="dxa"/>
            <w:vAlign w:val="center"/>
          </w:tcPr>
          <w:p>
            <w:pPr>
              <w:widowControl/>
              <w:jc w:val="center"/>
              <w:rPr>
                <w:color w:val="auto"/>
                <w:kern w:val="0"/>
                <w:szCs w:val="21"/>
              </w:rPr>
            </w:pPr>
            <w:r>
              <w:rPr>
                <w:color w:val="auto"/>
                <w:kern w:val="0"/>
                <w:szCs w:val="21"/>
              </w:rPr>
              <w:t>恶臭气体</w:t>
            </w:r>
          </w:p>
        </w:tc>
        <w:tc>
          <w:tcPr>
            <w:tcW w:w="1485" w:type="dxa"/>
            <w:vAlign w:val="center"/>
          </w:tcPr>
          <w:p>
            <w:pPr>
              <w:widowControl/>
              <w:jc w:val="center"/>
              <w:rPr>
                <w:color w:val="auto"/>
                <w:kern w:val="0"/>
                <w:szCs w:val="21"/>
              </w:rPr>
            </w:pPr>
            <w:r>
              <w:rPr>
                <w:color w:val="auto"/>
                <w:kern w:val="0"/>
                <w:szCs w:val="21"/>
              </w:rPr>
              <w:t>氨、硫化氢、臭气浓度</w:t>
            </w:r>
          </w:p>
        </w:tc>
        <w:tc>
          <w:tcPr>
            <w:tcW w:w="1230" w:type="dxa"/>
            <w:vAlign w:val="center"/>
          </w:tcPr>
          <w:p>
            <w:pPr>
              <w:widowControl/>
              <w:jc w:val="center"/>
              <w:rPr>
                <w:color w:val="auto"/>
                <w:kern w:val="0"/>
                <w:szCs w:val="21"/>
              </w:rPr>
            </w:pPr>
            <w:r>
              <w:rPr>
                <w:color w:val="auto"/>
                <w:kern w:val="0"/>
                <w:szCs w:val="21"/>
              </w:rPr>
              <w:t>无组织</w:t>
            </w:r>
          </w:p>
        </w:tc>
        <w:tc>
          <w:tcPr>
            <w:tcW w:w="1395" w:type="dxa"/>
            <w:vAlign w:val="center"/>
          </w:tcPr>
          <w:p>
            <w:pPr>
              <w:widowControl/>
              <w:jc w:val="center"/>
              <w:rPr>
                <w:rFonts w:hint="eastAsia" w:eastAsia="宋体"/>
                <w:color w:val="auto"/>
                <w:kern w:val="0"/>
                <w:szCs w:val="21"/>
                <w:highlight w:val="none"/>
                <w:lang w:val="en-US" w:eastAsia="zh-CN"/>
              </w:rPr>
            </w:pPr>
            <w:r>
              <w:rPr>
                <w:rFonts w:hint="eastAsia"/>
                <w:color w:val="auto"/>
                <w:kern w:val="0"/>
                <w:szCs w:val="21"/>
                <w:highlight w:val="none"/>
                <w:lang w:val="en-US" w:eastAsia="zh-CN"/>
              </w:rPr>
              <w:t>/</w:t>
            </w:r>
          </w:p>
        </w:tc>
        <w:tc>
          <w:tcPr>
            <w:tcW w:w="1442" w:type="dxa"/>
            <w:vAlign w:val="center"/>
          </w:tcPr>
          <w:p>
            <w:pPr>
              <w:widowControl/>
              <w:jc w:val="center"/>
              <w:rPr>
                <w:color w:val="auto"/>
                <w:kern w:val="0"/>
                <w:szCs w:val="21"/>
                <w:highlight w:val="none"/>
              </w:rPr>
            </w:pPr>
            <w:r>
              <w:rPr>
                <w:color w:val="auto"/>
                <w:kern w:val="0"/>
                <w:szCs w:val="21"/>
                <w:highlight w:val="none"/>
              </w:rPr>
              <w:t>GB 14554</w:t>
            </w:r>
          </w:p>
        </w:tc>
        <w:tc>
          <w:tcPr>
            <w:tcW w:w="3105" w:type="dxa"/>
            <w:vAlign w:val="center"/>
          </w:tcPr>
          <w:p>
            <w:pPr>
              <w:widowControl/>
              <w:jc w:val="center"/>
              <w:rPr>
                <w:color w:val="auto"/>
                <w:kern w:val="0"/>
                <w:szCs w:val="21"/>
                <w:highlight w:val="none"/>
              </w:rPr>
            </w:pPr>
            <w:r>
              <w:rPr>
                <w:color w:val="auto"/>
                <w:kern w:val="0"/>
                <w:szCs w:val="21"/>
                <w:highlight w:val="none"/>
              </w:rPr>
              <w:t>清洗；增加通风次数；集中收集恶臭气体经处理（喷淋塔除臭、活性炭吸附等）后经排气筒排放；其他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2" w:type="dxa"/>
            <w:vMerge w:val="continue"/>
            <w:vAlign w:val="center"/>
          </w:tcPr>
          <w:p>
            <w:pPr>
              <w:widowControl/>
              <w:jc w:val="center"/>
              <w:rPr>
                <w:color w:val="auto"/>
                <w:kern w:val="0"/>
                <w:szCs w:val="21"/>
              </w:rPr>
            </w:pPr>
          </w:p>
        </w:tc>
        <w:tc>
          <w:tcPr>
            <w:tcW w:w="916" w:type="dxa"/>
            <w:vAlign w:val="center"/>
          </w:tcPr>
          <w:p>
            <w:pPr>
              <w:widowControl/>
              <w:jc w:val="center"/>
              <w:rPr>
                <w:color w:val="auto"/>
                <w:kern w:val="0"/>
                <w:szCs w:val="21"/>
              </w:rPr>
            </w:pPr>
            <w:r>
              <w:rPr>
                <w:color w:val="auto"/>
                <w:kern w:val="0"/>
                <w:szCs w:val="21"/>
              </w:rPr>
              <w:t>煺毛或剥皮</w:t>
            </w:r>
          </w:p>
        </w:tc>
        <w:tc>
          <w:tcPr>
            <w:tcW w:w="1701" w:type="dxa"/>
            <w:vAlign w:val="center"/>
          </w:tcPr>
          <w:p>
            <w:pPr>
              <w:widowControl/>
              <w:jc w:val="center"/>
              <w:rPr>
                <w:color w:val="auto"/>
                <w:kern w:val="0"/>
                <w:szCs w:val="21"/>
              </w:rPr>
            </w:pPr>
            <w:r>
              <w:rPr>
                <w:color w:val="auto"/>
                <w:kern w:val="0"/>
                <w:szCs w:val="21"/>
              </w:rPr>
              <w:t>蒸汽烫毛设备或浸烫池、剥皮设备、脱毛设备</w:t>
            </w:r>
          </w:p>
        </w:tc>
        <w:tc>
          <w:tcPr>
            <w:tcW w:w="1297" w:type="dxa"/>
            <w:vAlign w:val="center"/>
          </w:tcPr>
          <w:p>
            <w:pPr>
              <w:widowControl/>
              <w:jc w:val="center"/>
              <w:rPr>
                <w:color w:val="auto"/>
                <w:kern w:val="0"/>
                <w:szCs w:val="21"/>
              </w:rPr>
            </w:pPr>
            <w:r>
              <w:rPr>
                <w:color w:val="auto"/>
                <w:kern w:val="0"/>
                <w:szCs w:val="21"/>
              </w:rPr>
              <w:t>恶臭气体</w:t>
            </w:r>
          </w:p>
        </w:tc>
        <w:tc>
          <w:tcPr>
            <w:tcW w:w="1485" w:type="dxa"/>
            <w:vAlign w:val="center"/>
          </w:tcPr>
          <w:p>
            <w:pPr>
              <w:widowControl/>
              <w:jc w:val="center"/>
              <w:rPr>
                <w:color w:val="auto"/>
                <w:kern w:val="0"/>
                <w:szCs w:val="21"/>
              </w:rPr>
            </w:pPr>
            <w:r>
              <w:rPr>
                <w:color w:val="auto"/>
                <w:kern w:val="0"/>
                <w:szCs w:val="21"/>
              </w:rPr>
              <w:t>氨、硫化氢、臭气浓度</w:t>
            </w:r>
          </w:p>
        </w:tc>
        <w:tc>
          <w:tcPr>
            <w:tcW w:w="1230" w:type="dxa"/>
            <w:vAlign w:val="center"/>
          </w:tcPr>
          <w:p>
            <w:pPr>
              <w:widowControl/>
              <w:jc w:val="center"/>
              <w:rPr>
                <w:color w:val="auto"/>
                <w:kern w:val="0"/>
                <w:szCs w:val="21"/>
              </w:rPr>
            </w:pPr>
            <w:r>
              <w:rPr>
                <w:color w:val="auto"/>
                <w:kern w:val="0"/>
                <w:szCs w:val="21"/>
              </w:rPr>
              <w:t>无组织</w:t>
            </w:r>
          </w:p>
        </w:tc>
        <w:tc>
          <w:tcPr>
            <w:tcW w:w="1395" w:type="dxa"/>
            <w:vAlign w:val="center"/>
          </w:tcPr>
          <w:p>
            <w:pPr>
              <w:widowControl/>
              <w:jc w:val="center"/>
              <w:rPr>
                <w:rFonts w:hint="eastAsia" w:eastAsia="宋体"/>
                <w:color w:val="auto"/>
                <w:kern w:val="0"/>
                <w:szCs w:val="21"/>
                <w:highlight w:val="none"/>
                <w:lang w:val="en-US" w:eastAsia="zh-CN"/>
              </w:rPr>
            </w:pPr>
            <w:r>
              <w:rPr>
                <w:rFonts w:hint="eastAsia"/>
                <w:color w:val="auto"/>
                <w:kern w:val="0"/>
                <w:szCs w:val="21"/>
                <w:highlight w:val="none"/>
                <w:lang w:val="en-US" w:eastAsia="zh-CN"/>
              </w:rPr>
              <w:t>/</w:t>
            </w:r>
          </w:p>
        </w:tc>
        <w:tc>
          <w:tcPr>
            <w:tcW w:w="1442" w:type="dxa"/>
            <w:vAlign w:val="center"/>
          </w:tcPr>
          <w:p>
            <w:pPr>
              <w:widowControl/>
              <w:jc w:val="center"/>
              <w:rPr>
                <w:color w:val="auto"/>
                <w:kern w:val="0"/>
                <w:szCs w:val="21"/>
                <w:highlight w:val="none"/>
              </w:rPr>
            </w:pPr>
            <w:r>
              <w:rPr>
                <w:color w:val="auto"/>
                <w:kern w:val="0"/>
                <w:szCs w:val="21"/>
                <w:highlight w:val="none"/>
              </w:rPr>
              <w:t>GB 14554</w:t>
            </w:r>
          </w:p>
        </w:tc>
        <w:tc>
          <w:tcPr>
            <w:tcW w:w="3105" w:type="dxa"/>
            <w:vAlign w:val="center"/>
          </w:tcPr>
          <w:p>
            <w:pPr>
              <w:widowControl/>
              <w:jc w:val="center"/>
              <w:rPr>
                <w:color w:val="auto"/>
                <w:kern w:val="0"/>
                <w:szCs w:val="21"/>
                <w:highlight w:val="none"/>
              </w:rPr>
            </w:pPr>
            <w:r>
              <w:rPr>
                <w:color w:val="auto"/>
                <w:kern w:val="0"/>
                <w:szCs w:val="21"/>
                <w:highlight w:val="none"/>
              </w:rPr>
              <w:t>清洗；增加通风次数；集中收集恶臭气体经处理（喷淋塔除臭、 活性炭吸附等）后经排气筒排放；其他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2" w:type="dxa"/>
            <w:vMerge w:val="continue"/>
            <w:vAlign w:val="center"/>
          </w:tcPr>
          <w:p>
            <w:pPr>
              <w:widowControl/>
              <w:jc w:val="center"/>
              <w:rPr>
                <w:color w:val="auto"/>
                <w:kern w:val="0"/>
                <w:szCs w:val="21"/>
              </w:rPr>
            </w:pPr>
          </w:p>
        </w:tc>
        <w:tc>
          <w:tcPr>
            <w:tcW w:w="916" w:type="dxa"/>
            <w:vAlign w:val="center"/>
          </w:tcPr>
          <w:p>
            <w:pPr>
              <w:widowControl/>
              <w:jc w:val="center"/>
              <w:rPr>
                <w:color w:val="auto"/>
                <w:kern w:val="0"/>
                <w:szCs w:val="21"/>
              </w:rPr>
            </w:pPr>
            <w:r>
              <w:rPr>
                <w:color w:val="auto"/>
                <w:kern w:val="0"/>
                <w:szCs w:val="21"/>
              </w:rPr>
              <w:t>开膛解体</w:t>
            </w:r>
          </w:p>
        </w:tc>
        <w:tc>
          <w:tcPr>
            <w:tcW w:w="1701" w:type="dxa"/>
            <w:vAlign w:val="center"/>
          </w:tcPr>
          <w:p>
            <w:pPr>
              <w:widowControl/>
              <w:jc w:val="center"/>
              <w:rPr>
                <w:color w:val="auto"/>
                <w:kern w:val="0"/>
                <w:szCs w:val="21"/>
              </w:rPr>
            </w:pPr>
            <w:r>
              <w:rPr>
                <w:color w:val="auto"/>
                <w:kern w:val="0"/>
                <w:szCs w:val="21"/>
              </w:rPr>
              <w:t>劈半设备</w:t>
            </w:r>
          </w:p>
        </w:tc>
        <w:tc>
          <w:tcPr>
            <w:tcW w:w="1297" w:type="dxa"/>
            <w:vAlign w:val="center"/>
          </w:tcPr>
          <w:p>
            <w:pPr>
              <w:widowControl/>
              <w:jc w:val="center"/>
              <w:rPr>
                <w:color w:val="auto"/>
                <w:kern w:val="0"/>
                <w:szCs w:val="21"/>
              </w:rPr>
            </w:pPr>
            <w:r>
              <w:rPr>
                <w:color w:val="auto"/>
                <w:kern w:val="0"/>
                <w:szCs w:val="21"/>
              </w:rPr>
              <w:t>恶臭气体</w:t>
            </w:r>
          </w:p>
        </w:tc>
        <w:tc>
          <w:tcPr>
            <w:tcW w:w="1485" w:type="dxa"/>
            <w:vAlign w:val="center"/>
          </w:tcPr>
          <w:p>
            <w:pPr>
              <w:widowControl/>
              <w:jc w:val="center"/>
              <w:rPr>
                <w:color w:val="auto"/>
                <w:kern w:val="0"/>
                <w:szCs w:val="21"/>
              </w:rPr>
            </w:pPr>
            <w:r>
              <w:rPr>
                <w:color w:val="auto"/>
                <w:kern w:val="0"/>
                <w:szCs w:val="21"/>
              </w:rPr>
              <w:t>氨、硫化氢、臭气浓度</w:t>
            </w:r>
          </w:p>
        </w:tc>
        <w:tc>
          <w:tcPr>
            <w:tcW w:w="1230" w:type="dxa"/>
            <w:vAlign w:val="center"/>
          </w:tcPr>
          <w:p>
            <w:pPr>
              <w:widowControl/>
              <w:jc w:val="center"/>
              <w:rPr>
                <w:color w:val="auto"/>
                <w:kern w:val="0"/>
                <w:szCs w:val="21"/>
              </w:rPr>
            </w:pPr>
            <w:r>
              <w:rPr>
                <w:color w:val="auto"/>
                <w:kern w:val="0"/>
                <w:szCs w:val="21"/>
              </w:rPr>
              <w:t>无组织</w:t>
            </w:r>
          </w:p>
        </w:tc>
        <w:tc>
          <w:tcPr>
            <w:tcW w:w="1395" w:type="dxa"/>
            <w:vAlign w:val="center"/>
          </w:tcPr>
          <w:p>
            <w:pPr>
              <w:widowControl/>
              <w:jc w:val="center"/>
              <w:rPr>
                <w:rFonts w:hint="eastAsia" w:eastAsia="宋体"/>
                <w:color w:val="auto"/>
                <w:kern w:val="0"/>
                <w:szCs w:val="21"/>
                <w:highlight w:val="none"/>
                <w:lang w:val="en-US" w:eastAsia="zh-CN"/>
              </w:rPr>
            </w:pPr>
            <w:r>
              <w:rPr>
                <w:rFonts w:hint="eastAsia"/>
                <w:color w:val="auto"/>
                <w:kern w:val="0"/>
                <w:szCs w:val="21"/>
                <w:highlight w:val="none"/>
                <w:lang w:val="en-US" w:eastAsia="zh-CN"/>
              </w:rPr>
              <w:t>/</w:t>
            </w:r>
          </w:p>
        </w:tc>
        <w:tc>
          <w:tcPr>
            <w:tcW w:w="1442" w:type="dxa"/>
            <w:vAlign w:val="center"/>
          </w:tcPr>
          <w:p>
            <w:pPr>
              <w:widowControl/>
              <w:jc w:val="center"/>
              <w:rPr>
                <w:color w:val="auto"/>
                <w:kern w:val="0"/>
                <w:szCs w:val="21"/>
                <w:highlight w:val="none"/>
              </w:rPr>
            </w:pPr>
            <w:r>
              <w:rPr>
                <w:color w:val="auto"/>
                <w:kern w:val="0"/>
                <w:szCs w:val="21"/>
                <w:highlight w:val="none"/>
              </w:rPr>
              <w:t>GB 14554</w:t>
            </w:r>
          </w:p>
        </w:tc>
        <w:tc>
          <w:tcPr>
            <w:tcW w:w="3105" w:type="dxa"/>
            <w:vAlign w:val="center"/>
          </w:tcPr>
          <w:p>
            <w:pPr>
              <w:widowControl/>
              <w:jc w:val="center"/>
              <w:rPr>
                <w:color w:val="auto"/>
                <w:kern w:val="0"/>
                <w:szCs w:val="21"/>
                <w:highlight w:val="none"/>
              </w:rPr>
            </w:pPr>
            <w:r>
              <w:rPr>
                <w:color w:val="auto"/>
                <w:kern w:val="0"/>
                <w:szCs w:val="21"/>
                <w:highlight w:val="none"/>
              </w:rPr>
              <w:t>清洗；增加通风次数；集中收集恶臭气体经处理（喷淋塔除臭、活性炭吸附等）后经排气筒排放；其他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2" w:type="dxa"/>
            <w:vMerge w:val="restart"/>
            <w:vAlign w:val="center"/>
          </w:tcPr>
          <w:p>
            <w:pPr>
              <w:widowControl/>
              <w:jc w:val="center"/>
              <w:rPr>
                <w:rFonts w:hint="default" w:eastAsia="宋体"/>
                <w:color w:val="auto"/>
                <w:kern w:val="0"/>
                <w:szCs w:val="21"/>
                <w:lang w:val="en-US" w:eastAsia="zh-CN"/>
              </w:rPr>
            </w:pPr>
            <w:r>
              <w:rPr>
                <w:rFonts w:hint="eastAsia"/>
                <w:color w:val="auto"/>
                <w:kern w:val="0"/>
                <w:szCs w:val="21"/>
                <w:lang w:val="en-US" w:eastAsia="zh-CN"/>
              </w:rPr>
              <w:t>公用单元</w:t>
            </w:r>
          </w:p>
        </w:tc>
        <w:tc>
          <w:tcPr>
            <w:tcW w:w="916" w:type="dxa"/>
            <w:vMerge w:val="restart"/>
            <w:vAlign w:val="center"/>
          </w:tcPr>
          <w:p>
            <w:pPr>
              <w:widowControl/>
              <w:jc w:val="center"/>
              <w:rPr>
                <w:rFonts w:hint="eastAsia" w:eastAsia="宋体"/>
                <w:color w:val="auto"/>
                <w:kern w:val="0"/>
                <w:szCs w:val="21"/>
                <w:lang w:val="en-US" w:eastAsia="zh-CN"/>
              </w:rPr>
            </w:pPr>
            <w:r>
              <w:rPr>
                <w:rFonts w:hint="eastAsia"/>
                <w:color w:val="auto"/>
                <w:kern w:val="0"/>
                <w:szCs w:val="21"/>
                <w:lang w:val="en-US" w:eastAsia="zh-CN"/>
              </w:rPr>
              <w:t>供热</w:t>
            </w:r>
          </w:p>
        </w:tc>
        <w:tc>
          <w:tcPr>
            <w:tcW w:w="1701" w:type="dxa"/>
            <w:vMerge w:val="restart"/>
            <w:vAlign w:val="center"/>
          </w:tcPr>
          <w:p>
            <w:pPr>
              <w:widowControl/>
              <w:jc w:val="center"/>
              <w:rPr>
                <w:rFonts w:hint="eastAsia" w:eastAsia="宋体"/>
                <w:color w:val="auto"/>
                <w:kern w:val="0"/>
                <w:szCs w:val="21"/>
                <w:lang w:val="en-US" w:eastAsia="zh-CN"/>
              </w:rPr>
            </w:pPr>
            <w:r>
              <w:rPr>
                <w:rFonts w:hint="eastAsia"/>
                <w:color w:val="auto"/>
                <w:kern w:val="0"/>
                <w:szCs w:val="21"/>
                <w:lang w:val="en-US" w:eastAsia="zh-CN"/>
              </w:rPr>
              <w:t>生物质燃料锅炉</w:t>
            </w:r>
          </w:p>
        </w:tc>
        <w:tc>
          <w:tcPr>
            <w:tcW w:w="1297" w:type="dxa"/>
            <w:vMerge w:val="restart"/>
            <w:vAlign w:val="center"/>
          </w:tcPr>
          <w:p>
            <w:pPr>
              <w:widowControl/>
              <w:jc w:val="center"/>
              <w:rPr>
                <w:rFonts w:hint="eastAsia" w:eastAsia="宋体"/>
                <w:color w:val="auto"/>
                <w:kern w:val="0"/>
                <w:szCs w:val="21"/>
                <w:lang w:val="en-US" w:eastAsia="zh-CN"/>
              </w:rPr>
            </w:pPr>
            <w:r>
              <w:rPr>
                <w:rFonts w:hint="eastAsia"/>
                <w:color w:val="auto"/>
                <w:kern w:val="0"/>
                <w:szCs w:val="21"/>
                <w:lang w:val="en-US" w:eastAsia="zh-CN"/>
              </w:rPr>
              <w:t>燃烧废气</w:t>
            </w:r>
          </w:p>
        </w:tc>
        <w:tc>
          <w:tcPr>
            <w:tcW w:w="1485" w:type="dxa"/>
            <w:vAlign w:val="center"/>
          </w:tcPr>
          <w:p>
            <w:pPr>
              <w:widowControl/>
              <w:jc w:val="center"/>
              <w:rPr>
                <w:rFonts w:hint="eastAsia" w:eastAsia="宋体"/>
                <w:color w:val="auto"/>
                <w:kern w:val="0"/>
                <w:szCs w:val="21"/>
                <w:lang w:val="en-US" w:eastAsia="zh-CN"/>
              </w:rPr>
            </w:pPr>
            <w:r>
              <w:rPr>
                <w:rFonts w:hint="eastAsia"/>
                <w:color w:val="auto"/>
                <w:kern w:val="0"/>
                <w:szCs w:val="21"/>
                <w:lang w:val="en-US" w:eastAsia="zh-CN"/>
              </w:rPr>
              <w:t>颗粒物</w:t>
            </w:r>
          </w:p>
        </w:tc>
        <w:tc>
          <w:tcPr>
            <w:tcW w:w="1230" w:type="dxa"/>
            <w:vMerge w:val="restart"/>
            <w:vAlign w:val="center"/>
          </w:tcPr>
          <w:p>
            <w:pPr>
              <w:widowControl/>
              <w:jc w:val="center"/>
              <w:rPr>
                <w:rFonts w:hint="eastAsia" w:eastAsia="宋体"/>
                <w:color w:val="auto"/>
                <w:kern w:val="0"/>
                <w:szCs w:val="21"/>
                <w:lang w:val="en-US" w:eastAsia="zh-CN"/>
              </w:rPr>
            </w:pPr>
            <w:r>
              <w:rPr>
                <w:rFonts w:hint="eastAsia"/>
                <w:color w:val="auto"/>
                <w:kern w:val="0"/>
                <w:szCs w:val="21"/>
                <w:lang w:val="en-US" w:eastAsia="zh-CN"/>
              </w:rPr>
              <w:t>有组织</w:t>
            </w:r>
          </w:p>
        </w:tc>
        <w:tc>
          <w:tcPr>
            <w:tcW w:w="1395" w:type="dxa"/>
            <w:vMerge w:val="restart"/>
            <w:vAlign w:val="center"/>
          </w:tcPr>
          <w:p>
            <w:pPr>
              <w:widowControl/>
              <w:jc w:val="center"/>
              <w:rPr>
                <w:rFonts w:hint="default"/>
                <w:color w:val="auto"/>
                <w:kern w:val="0"/>
                <w:szCs w:val="21"/>
                <w:highlight w:val="none"/>
                <w:lang w:val="en-US" w:eastAsia="zh-CN"/>
              </w:rPr>
            </w:pPr>
            <w:r>
              <w:rPr>
                <w:rFonts w:hint="eastAsia"/>
                <w:color w:val="auto"/>
                <w:kern w:val="0"/>
                <w:szCs w:val="21"/>
                <w:highlight w:val="none"/>
                <w:lang w:val="en-US" w:eastAsia="zh-CN"/>
              </w:rPr>
              <w:t>主要排放口</w:t>
            </w:r>
          </w:p>
        </w:tc>
        <w:tc>
          <w:tcPr>
            <w:tcW w:w="1442" w:type="dxa"/>
            <w:vMerge w:val="restart"/>
            <w:vAlign w:val="center"/>
          </w:tcPr>
          <w:p>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GB13271</w:t>
            </w:r>
          </w:p>
        </w:tc>
        <w:tc>
          <w:tcPr>
            <w:tcW w:w="3105" w:type="dxa"/>
            <w:vAlign w:val="center"/>
          </w:tcPr>
          <w:p>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静电除尘器（注明电场数）；袋式除尘器（注明滤料种类）；电袋复合除尘器；旋风除尘器；多管除尘器；滤筒除尘器；湿式电除尘；水浴除尘器；其他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2" w:type="dxa"/>
            <w:vMerge w:val="continue"/>
            <w:vAlign w:val="center"/>
          </w:tcPr>
          <w:p>
            <w:pPr>
              <w:widowControl/>
              <w:jc w:val="center"/>
              <w:rPr>
                <w:rFonts w:hint="eastAsia"/>
                <w:color w:val="auto"/>
                <w:kern w:val="0"/>
                <w:szCs w:val="21"/>
                <w:lang w:val="en-US" w:eastAsia="zh-CN"/>
              </w:rPr>
            </w:pPr>
          </w:p>
        </w:tc>
        <w:tc>
          <w:tcPr>
            <w:tcW w:w="916" w:type="dxa"/>
            <w:vMerge w:val="continue"/>
            <w:vAlign w:val="center"/>
          </w:tcPr>
          <w:p>
            <w:pPr>
              <w:widowControl/>
              <w:jc w:val="center"/>
              <w:rPr>
                <w:rFonts w:hint="eastAsia"/>
                <w:color w:val="auto"/>
                <w:kern w:val="0"/>
                <w:szCs w:val="21"/>
                <w:lang w:val="en-US" w:eastAsia="zh-CN"/>
              </w:rPr>
            </w:pPr>
          </w:p>
        </w:tc>
        <w:tc>
          <w:tcPr>
            <w:tcW w:w="1701" w:type="dxa"/>
            <w:vMerge w:val="continue"/>
            <w:vAlign w:val="center"/>
          </w:tcPr>
          <w:p>
            <w:pPr>
              <w:widowControl/>
              <w:jc w:val="center"/>
              <w:rPr>
                <w:rFonts w:hint="eastAsia"/>
                <w:color w:val="auto"/>
                <w:kern w:val="0"/>
                <w:szCs w:val="21"/>
                <w:lang w:val="en-US" w:eastAsia="zh-CN"/>
              </w:rPr>
            </w:pPr>
          </w:p>
        </w:tc>
        <w:tc>
          <w:tcPr>
            <w:tcW w:w="1297" w:type="dxa"/>
            <w:vMerge w:val="continue"/>
            <w:vAlign w:val="center"/>
          </w:tcPr>
          <w:p>
            <w:pPr>
              <w:widowControl/>
              <w:jc w:val="center"/>
              <w:rPr>
                <w:rFonts w:hint="eastAsia"/>
                <w:color w:val="auto"/>
                <w:kern w:val="0"/>
                <w:szCs w:val="21"/>
                <w:lang w:val="en-US" w:eastAsia="zh-CN"/>
              </w:rPr>
            </w:pPr>
          </w:p>
        </w:tc>
        <w:tc>
          <w:tcPr>
            <w:tcW w:w="1485" w:type="dxa"/>
            <w:vAlign w:val="center"/>
          </w:tcPr>
          <w:p>
            <w:pPr>
              <w:widowControl/>
              <w:jc w:val="center"/>
              <w:rPr>
                <w:rFonts w:hint="default" w:eastAsia="宋体"/>
                <w:color w:val="auto"/>
                <w:kern w:val="0"/>
                <w:szCs w:val="21"/>
                <w:lang w:val="en-US" w:eastAsia="zh-CN"/>
              </w:rPr>
            </w:pPr>
            <w:r>
              <w:rPr>
                <w:rFonts w:hint="eastAsia"/>
                <w:color w:val="auto"/>
                <w:kern w:val="0"/>
                <w:szCs w:val="21"/>
                <w:lang w:val="en-US" w:eastAsia="zh-CN"/>
              </w:rPr>
              <w:t>二氧化硫、氮氧化物、烟气黑度（林格曼黑度，级）</w:t>
            </w:r>
          </w:p>
        </w:tc>
        <w:tc>
          <w:tcPr>
            <w:tcW w:w="1230" w:type="dxa"/>
            <w:vMerge w:val="continue"/>
            <w:vAlign w:val="center"/>
          </w:tcPr>
          <w:p>
            <w:pPr>
              <w:widowControl/>
              <w:jc w:val="center"/>
              <w:rPr>
                <w:color w:val="auto"/>
                <w:kern w:val="0"/>
                <w:szCs w:val="21"/>
              </w:rPr>
            </w:pPr>
          </w:p>
        </w:tc>
        <w:tc>
          <w:tcPr>
            <w:tcW w:w="1395" w:type="dxa"/>
            <w:vMerge w:val="continue"/>
            <w:vAlign w:val="center"/>
          </w:tcPr>
          <w:p>
            <w:pPr>
              <w:widowControl/>
              <w:jc w:val="center"/>
              <w:rPr>
                <w:rFonts w:hint="eastAsia"/>
                <w:color w:val="auto"/>
                <w:kern w:val="0"/>
                <w:szCs w:val="21"/>
                <w:highlight w:val="none"/>
                <w:lang w:val="en-US" w:eastAsia="zh-CN"/>
              </w:rPr>
            </w:pPr>
          </w:p>
        </w:tc>
        <w:tc>
          <w:tcPr>
            <w:tcW w:w="1442" w:type="dxa"/>
            <w:vMerge w:val="continue"/>
            <w:vAlign w:val="center"/>
          </w:tcPr>
          <w:p>
            <w:pPr>
              <w:widowControl/>
              <w:jc w:val="center"/>
              <w:rPr>
                <w:color w:val="auto"/>
                <w:kern w:val="0"/>
                <w:szCs w:val="21"/>
                <w:highlight w:val="none"/>
              </w:rPr>
            </w:pPr>
          </w:p>
        </w:tc>
        <w:tc>
          <w:tcPr>
            <w:tcW w:w="3105" w:type="dxa"/>
            <w:vAlign w:val="center"/>
          </w:tcPr>
          <w:p>
            <w:pPr>
              <w:widowControl/>
              <w:jc w:val="center"/>
              <w:rPr>
                <w:color w:val="auto"/>
                <w:kern w:val="0"/>
                <w:szCs w:val="21"/>
                <w:highlight w:val="none"/>
              </w:rPr>
            </w:pPr>
            <w:r>
              <w:rPr>
                <w:rFonts w:hint="eastAsia"/>
                <w:color w:val="auto"/>
                <w:kern w:val="0"/>
                <w:szCs w:val="21"/>
                <w:highlight w:val="none"/>
              </w:rPr>
              <w:t>脱硫系统(石灰石/石灰-石膏法、氨法、氧化镁法、双碱法、循环流化床法、旋转喷雾法、密相干塔法</w:t>
            </w:r>
            <w:r>
              <w:rPr>
                <w:rFonts w:hint="eastAsia"/>
                <w:color w:val="auto"/>
                <w:kern w:val="0"/>
                <w:szCs w:val="21"/>
                <w:highlight w:val="none"/>
                <w:lang w:eastAsia="zh-CN"/>
              </w:rPr>
              <w:t>、</w:t>
            </w:r>
            <w:r>
              <w:rPr>
                <w:rFonts w:hint="eastAsia"/>
                <w:color w:val="auto"/>
                <w:kern w:val="0"/>
                <w:szCs w:val="21"/>
                <w:highlight w:val="none"/>
              </w:rPr>
              <w:t>新型脱硫除尘</w:t>
            </w:r>
            <w:r>
              <w:rPr>
                <w:rFonts w:hint="eastAsia"/>
                <w:color w:val="auto"/>
                <w:kern w:val="0"/>
                <w:szCs w:val="21"/>
                <w:highlight w:val="none"/>
                <w:lang w:val="en-US" w:eastAsia="zh-CN"/>
              </w:rPr>
              <w:t>一</w:t>
            </w:r>
            <w:r>
              <w:rPr>
                <w:rFonts w:hint="eastAsia"/>
                <w:color w:val="auto"/>
                <w:kern w:val="0"/>
                <w:szCs w:val="21"/>
                <w:highlight w:val="none"/>
              </w:rPr>
              <w:t>体化技术、MEROS法脱硫技术)</w:t>
            </w:r>
            <w:r>
              <w:rPr>
                <w:rFonts w:hint="eastAsia"/>
                <w:color w:val="auto"/>
                <w:kern w:val="0"/>
                <w:szCs w:val="21"/>
                <w:highlight w:val="none"/>
                <w:lang w:eastAsia="zh-CN"/>
              </w:rPr>
              <w:t>；</w:t>
            </w:r>
            <w:r>
              <w:rPr>
                <w:rFonts w:hint="eastAsia"/>
                <w:color w:val="auto"/>
                <w:kern w:val="0"/>
                <w:szCs w:val="21"/>
                <w:highlight w:val="none"/>
              </w:rPr>
              <w:t>脱硝系统(SCR、SNCR、低氮燃烧)</w:t>
            </w:r>
            <w:r>
              <w:rPr>
                <w:rFonts w:hint="eastAsia"/>
                <w:color w:val="auto"/>
                <w:kern w:val="0"/>
                <w:szCs w:val="21"/>
                <w:highlight w:val="none"/>
                <w:lang w:eastAsia="zh-CN"/>
              </w:rPr>
              <w:t>；</w:t>
            </w:r>
            <w:r>
              <w:rPr>
                <w:rFonts w:hint="eastAsia"/>
                <w:color w:val="auto"/>
                <w:kern w:val="0"/>
                <w:szCs w:val="21"/>
                <w:highlight w:val="none"/>
              </w:rPr>
              <w:t>协同处置装置(活性炭(焦)法)</w:t>
            </w:r>
            <w:r>
              <w:rPr>
                <w:rFonts w:hint="eastAsia"/>
                <w:color w:val="auto"/>
                <w:kern w:val="0"/>
                <w:szCs w:val="21"/>
                <w:highlight w:val="none"/>
                <w:lang w:eastAsia="zh-CN"/>
              </w:rPr>
              <w:t>；</w:t>
            </w:r>
            <w:r>
              <w:rPr>
                <w:rFonts w:hint="eastAsia"/>
                <w:color w:val="auto"/>
                <w:kern w:val="0"/>
                <w:szCs w:val="21"/>
                <w:highlight w:val="none"/>
              </w:rPr>
              <w:t>炉内添加卤化物</w:t>
            </w:r>
            <w:r>
              <w:rPr>
                <w:rFonts w:hint="eastAsia"/>
                <w:color w:val="auto"/>
                <w:kern w:val="0"/>
                <w:szCs w:val="21"/>
                <w:highlight w:val="none"/>
                <w:lang w:eastAsia="zh-CN"/>
              </w:rPr>
              <w:t>；</w:t>
            </w:r>
            <w:r>
              <w:rPr>
                <w:rFonts w:hint="eastAsia"/>
                <w:color w:val="auto"/>
                <w:kern w:val="0"/>
                <w:szCs w:val="21"/>
                <w:highlight w:val="none"/>
              </w:rPr>
              <w:t>烟道喷入活性炭(焦)</w:t>
            </w:r>
            <w:r>
              <w:rPr>
                <w:rFonts w:hint="eastAsia"/>
                <w:color w:val="auto"/>
                <w:kern w:val="0"/>
                <w:szCs w:val="21"/>
                <w:highlight w:val="none"/>
                <w:lang w:eastAsia="zh-CN"/>
              </w:rPr>
              <w:t>；</w:t>
            </w:r>
            <w:r>
              <w:rPr>
                <w:rFonts w:hint="eastAsia"/>
                <w:color w:val="auto"/>
                <w:kern w:val="0"/>
                <w:szCs w:val="21"/>
                <w:highlight w:val="none"/>
              </w:rPr>
              <w:t>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2" w:type="dxa"/>
            <w:vMerge w:val="continue"/>
            <w:vAlign w:val="center"/>
          </w:tcPr>
          <w:p>
            <w:pPr>
              <w:widowControl/>
              <w:jc w:val="center"/>
              <w:rPr>
                <w:rFonts w:hint="eastAsia"/>
                <w:color w:val="auto"/>
                <w:kern w:val="0"/>
                <w:szCs w:val="21"/>
                <w:lang w:val="en-US" w:eastAsia="zh-CN"/>
              </w:rPr>
            </w:pPr>
          </w:p>
        </w:tc>
        <w:tc>
          <w:tcPr>
            <w:tcW w:w="916" w:type="dxa"/>
            <w:vAlign w:val="center"/>
          </w:tcPr>
          <w:p>
            <w:pPr>
              <w:widowControl/>
              <w:jc w:val="center"/>
              <w:rPr>
                <w:rFonts w:hint="default"/>
                <w:color w:val="auto"/>
                <w:kern w:val="0"/>
                <w:szCs w:val="21"/>
                <w:lang w:val="en-US" w:eastAsia="zh-CN"/>
              </w:rPr>
            </w:pPr>
            <w:r>
              <w:rPr>
                <w:rFonts w:hint="eastAsia"/>
                <w:color w:val="auto"/>
                <w:kern w:val="0"/>
                <w:szCs w:val="21"/>
                <w:lang w:val="en-US" w:eastAsia="zh-CN"/>
              </w:rPr>
              <w:t>制冷</w:t>
            </w:r>
          </w:p>
        </w:tc>
        <w:tc>
          <w:tcPr>
            <w:tcW w:w="1701" w:type="dxa"/>
            <w:vAlign w:val="center"/>
          </w:tcPr>
          <w:p>
            <w:pPr>
              <w:widowControl/>
              <w:jc w:val="center"/>
              <w:rPr>
                <w:rFonts w:hint="default"/>
                <w:color w:val="auto"/>
                <w:kern w:val="0"/>
                <w:szCs w:val="21"/>
                <w:lang w:val="en-US" w:eastAsia="zh-CN"/>
              </w:rPr>
            </w:pPr>
            <w:r>
              <w:rPr>
                <w:rFonts w:hint="eastAsia"/>
                <w:color w:val="auto"/>
                <w:kern w:val="0"/>
                <w:szCs w:val="21"/>
                <w:lang w:val="en-US" w:eastAsia="zh-CN"/>
              </w:rPr>
              <w:t>冷冻库、制冷压缩机、管线</w:t>
            </w:r>
          </w:p>
        </w:tc>
        <w:tc>
          <w:tcPr>
            <w:tcW w:w="1297" w:type="dxa"/>
            <w:vAlign w:val="center"/>
          </w:tcPr>
          <w:p>
            <w:pPr>
              <w:widowControl/>
              <w:jc w:val="center"/>
              <w:rPr>
                <w:rFonts w:hint="default"/>
                <w:color w:val="auto"/>
                <w:kern w:val="0"/>
                <w:szCs w:val="21"/>
                <w:lang w:val="en-US" w:eastAsia="zh-CN"/>
              </w:rPr>
            </w:pPr>
            <w:r>
              <w:rPr>
                <w:rFonts w:hint="eastAsia"/>
                <w:color w:val="auto"/>
                <w:kern w:val="0"/>
                <w:szCs w:val="21"/>
                <w:lang w:val="en-US" w:eastAsia="zh-CN"/>
              </w:rPr>
              <w:t>制冷废气</w:t>
            </w:r>
          </w:p>
        </w:tc>
        <w:tc>
          <w:tcPr>
            <w:tcW w:w="1485" w:type="dxa"/>
            <w:vAlign w:val="center"/>
          </w:tcPr>
          <w:p>
            <w:pPr>
              <w:widowControl/>
              <w:jc w:val="center"/>
              <w:rPr>
                <w:rFonts w:hint="default"/>
                <w:color w:val="auto"/>
                <w:kern w:val="0"/>
                <w:szCs w:val="21"/>
                <w:lang w:val="en-US" w:eastAsia="zh-CN"/>
              </w:rPr>
            </w:pPr>
            <w:r>
              <w:rPr>
                <w:rFonts w:hint="eastAsia"/>
                <w:color w:val="auto"/>
                <w:kern w:val="0"/>
                <w:szCs w:val="21"/>
                <w:lang w:val="en-US" w:eastAsia="zh-CN"/>
              </w:rPr>
              <w:t>氨</w:t>
            </w:r>
          </w:p>
        </w:tc>
        <w:tc>
          <w:tcPr>
            <w:tcW w:w="1230" w:type="dxa"/>
            <w:vAlign w:val="center"/>
          </w:tcPr>
          <w:p>
            <w:pPr>
              <w:widowControl/>
              <w:jc w:val="center"/>
              <w:rPr>
                <w:rFonts w:hint="eastAsia" w:eastAsia="宋体"/>
                <w:color w:val="auto"/>
                <w:kern w:val="0"/>
                <w:szCs w:val="21"/>
                <w:lang w:val="en-US" w:eastAsia="zh-CN"/>
              </w:rPr>
            </w:pPr>
            <w:r>
              <w:rPr>
                <w:rFonts w:hint="eastAsia"/>
                <w:color w:val="auto"/>
                <w:kern w:val="0"/>
                <w:szCs w:val="21"/>
                <w:lang w:val="en-US" w:eastAsia="zh-CN"/>
              </w:rPr>
              <w:t>无组织</w:t>
            </w:r>
          </w:p>
        </w:tc>
        <w:tc>
          <w:tcPr>
            <w:tcW w:w="1395" w:type="dxa"/>
            <w:vAlign w:val="center"/>
          </w:tcPr>
          <w:p>
            <w:pPr>
              <w:widowControl/>
              <w:jc w:val="center"/>
              <w:rPr>
                <w:rFonts w:hint="default"/>
                <w:color w:val="auto"/>
                <w:kern w:val="0"/>
                <w:szCs w:val="21"/>
                <w:highlight w:val="none"/>
                <w:lang w:val="en-US" w:eastAsia="zh-CN"/>
              </w:rPr>
            </w:pPr>
            <w:r>
              <w:rPr>
                <w:rFonts w:hint="eastAsia"/>
                <w:color w:val="auto"/>
                <w:kern w:val="0"/>
                <w:szCs w:val="21"/>
                <w:highlight w:val="none"/>
                <w:lang w:val="en-US" w:eastAsia="zh-CN"/>
              </w:rPr>
              <w:t>/</w:t>
            </w:r>
          </w:p>
        </w:tc>
        <w:tc>
          <w:tcPr>
            <w:tcW w:w="1442" w:type="dxa"/>
            <w:vAlign w:val="center"/>
          </w:tcPr>
          <w:p>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GB14554</w:t>
            </w:r>
          </w:p>
        </w:tc>
        <w:tc>
          <w:tcPr>
            <w:tcW w:w="3105" w:type="dxa"/>
            <w:vAlign w:val="center"/>
          </w:tcPr>
          <w:p>
            <w:pPr>
              <w:widowControl/>
              <w:jc w:val="center"/>
              <w:rPr>
                <w:rFonts w:hint="eastAsia"/>
                <w:color w:val="auto"/>
                <w:kern w:val="0"/>
                <w:szCs w:val="21"/>
                <w:highlight w:val="none"/>
              </w:rPr>
            </w:pPr>
            <w:r>
              <w:rPr>
                <w:rFonts w:hint="eastAsia"/>
                <w:color w:val="auto"/>
                <w:kern w:val="0"/>
                <w:szCs w:val="21"/>
                <w:highlight w:val="none"/>
              </w:rPr>
              <w:t>定期加强制冷系统密封检查和检测</w:t>
            </w:r>
            <w:r>
              <w:rPr>
                <w:rFonts w:hint="eastAsia"/>
                <w:color w:val="auto"/>
                <w:kern w:val="0"/>
                <w:szCs w:val="21"/>
                <w:highlight w:val="none"/>
                <w:lang w:eastAsia="zh-CN"/>
              </w:rPr>
              <w:t>；</w:t>
            </w:r>
            <w:r>
              <w:rPr>
                <w:rFonts w:hint="eastAsia"/>
                <w:color w:val="auto"/>
                <w:kern w:val="0"/>
                <w:szCs w:val="21"/>
                <w:highlight w:val="none"/>
              </w:rPr>
              <w:t>及时更换老化阀门和管道</w:t>
            </w:r>
            <w:r>
              <w:rPr>
                <w:rFonts w:hint="eastAsia"/>
                <w:color w:val="auto"/>
                <w:kern w:val="0"/>
                <w:szCs w:val="21"/>
                <w:highlight w:val="none"/>
                <w:lang w:eastAsia="zh-CN"/>
              </w:rPr>
              <w:t>；</w:t>
            </w:r>
            <w:r>
              <w:rPr>
                <w:rFonts w:hint="eastAsia"/>
                <w:color w:val="auto"/>
                <w:kern w:val="0"/>
                <w:szCs w:val="21"/>
                <w:highlight w:val="none"/>
              </w:rPr>
              <w:t>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2" w:type="dxa"/>
            <w:vMerge w:val="continue"/>
            <w:vAlign w:val="center"/>
          </w:tcPr>
          <w:p>
            <w:pPr>
              <w:widowControl/>
              <w:jc w:val="center"/>
              <w:rPr>
                <w:rFonts w:hint="eastAsia"/>
                <w:color w:val="auto"/>
                <w:kern w:val="0"/>
                <w:szCs w:val="21"/>
                <w:lang w:val="en-US" w:eastAsia="zh-CN"/>
              </w:rPr>
            </w:pPr>
          </w:p>
        </w:tc>
        <w:tc>
          <w:tcPr>
            <w:tcW w:w="916" w:type="dxa"/>
            <w:vAlign w:val="center"/>
          </w:tcPr>
          <w:p>
            <w:pPr>
              <w:widowControl/>
              <w:jc w:val="center"/>
              <w:rPr>
                <w:rFonts w:hint="default"/>
                <w:color w:val="auto"/>
                <w:kern w:val="0"/>
                <w:szCs w:val="21"/>
                <w:lang w:val="en-US" w:eastAsia="zh-CN"/>
              </w:rPr>
            </w:pPr>
            <w:r>
              <w:rPr>
                <w:rFonts w:hint="eastAsia"/>
                <w:color w:val="auto"/>
                <w:kern w:val="0"/>
                <w:szCs w:val="21"/>
                <w:lang w:val="en-US" w:eastAsia="zh-CN"/>
              </w:rPr>
              <w:t>其他</w:t>
            </w:r>
          </w:p>
        </w:tc>
        <w:tc>
          <w:tcPr>
            <w:tcW w:w="1701" w:type="dxa"/>
            <w:vAlign w:val="center"/>
          </w:tcPr>
          <w:p>
            <w:pPr>
              <w:widowControl/>
              <w:jc w:val="center"/>
              <w:rPr>
                <w:rFonts w:hint="default"/>
                <w:color w:val="auto"/>
                <w:kern w:val="0"/>
                <w:szCs w:val="21"/>
                <w:lang w:val="en-US" w:eastAsia="zh-CN"/>
              </w:rPr>
            </w:pPr>
            <w:r>
              <w:rPr>
                <w:rFonts w:hint="eastAsia"/>
                <w:color w:val="auto"/>
                <w:kern w:val="0"/>
                <w:szCs w:val="21"/>
                <w:lang w:val="en-US" w:eastAsia="zh-CN"/>
              </w:rPr>
              <w:t>厂内综合污水处理站</w:t>
            </w:r>
          </w:p>
        </w:tc>
        <w:tc>
          <w:tcPr>
            <w:tcW w:w="1297" w:type="dxa"/>
            <w:vAlign w:val="center"/>
          </w:tcPr>
          <w:p>
            <w:pPr>
              <w:widowControl/>
              <w:jc w:val="center"/>
              <w:rPr>
                <w:rFonts w:hint="default"/>
                <w:color w:val="auto"/>
                <w:kern w:val="0"/>
                <w:szCs w:val="21"/>
                <w:lang w:val="en-US" w:eastAsia="zh-CN"/>
              </w:rPr>
            </w:pPr>
            <w:r>
              <w:rPr>
                <w:rFonts w:hint="eastAsia"/>
                <w:color w:val="auto"/>
                <w:kern w:val="0"/>
                <w:szCs w:val="21"/>
                <w:lang w:val="en-US" w:eastAsia="zh-CN"/>
              </w:rPr>
              <w:t>污水处理站废气</w:t>
            </w:r>
          </w:p>
        </w:tc>
        <w:tc>
          <w:tcPr>
            <w:tcW w:w="1485" w:type="dxa"/>
            <w:vAlign w:val="center"/>
          </w:tcPr>
          <w:p>
            <w:pPr>
              <w:widowControl/>
              <w:jc w:val="center"/>
              <w:rPr>
                <w:rFonts w:hint="default"/>
                <w:color w:val="auto"/>
                <w:kern w:val="0"/>
                <w:szCs w:val="21"/>
                <w:lang w:val="en-US" w:eastAsia="zh-CN"/>
              </w:rPr>
            </w:pPr>
            <w:r>
              <w:rPr>
                <w:rFonts w:hint="eastAsia"/>
                <w:color w:val="auto"/>
                <w:kern w:val="0"/>
                <w:szCs w:val="21"/>
                <w:lang w:val="en-US" w:eastAsia="zh-CN"/>
              </w:rPr>
              <w:t>氨、硫化氢、臭气浓度</w:t>
            </w:r>
          </w:p>
        </w:tc>
        <w:tc>
          <w:tcPr>
            <w:tcW w:w="1230" w:type="dxa"/>
            <w:vAlign w:val="center"/>
          </w:tcPr>
          <w:p>
            <w:pPr>
              <w:widowControl/>
              <w:jc w:val="center"/>
              <w:rPr>
                <w:rFonts w:hint="default"/>
                <w:color w:val="auto"/>
                <w:kern w:val="0"/>
                <w:szCs w:val="21"/>
                <w:lang w:val="en-US" w:eastAsia="zh-CN"/>
              </w:rPr>
            </w:pPr>
            <w:r>
              <w:rPr>
                <w:rFonts w:hint="eastAsia"/>
                <w:color w:val="auto"/>
                <w:kern w:val="0"/>
                <w:szCs w:val="21"/>
                <w:lang w:val="en-US" w:eastAsia="zh-CN"/>
              </w:rPr>
              <w:t>无组织</w:t>
            </w:r>
          </w:p>
        </w:tc>
        <w:tc>
          <w:tcPr>
            <w:tcW w:w="1395" w:type="dxa"/>
            <w:vAlign w:val="center"/>
          </w:tcPr>
          <w:p>
            <w:pPr>
              <w:widowControl/>
              <w:jc w:val="center"/>
              <w:rPr>
                <w:rFonts w:hint="default"/>
                <w:color w:val="auto"/>
                <w:kern w:val="0"/>
                <w:szCs w:val="21"/>
                <w:highlight w:val="none"/>
                <w:lang w:val="en-US" w:eastAsia="zh-CN"/>
              </w:rPr>
            </w:pPr>
            <w:r>
              <w:rPr>
                <w:rFonts w:hint="eastAsia"/>
                <w:color w:val="auto"/>
                <w:kern w:val="0"/>
                <w:szCs w:val="21"/>
                <w:highlight w:val="none"/>
                <w:lang w:val="en-US" w:eastAsia="zh-CN"/>
              </w:rPr>
              <w:t>/</w:t>
            </w:r>
          </w:p>
        </w:tc>
        <w:tc>
          <w:tcPr>
            <w:tcW w:w="1442" w:type="dxa"/>
            <w:vAlign w:val="center"/>
          </w:tcPr>
          <w:p>
            <w:pPr>
              <w:widowControl/>
              <w:jc w:val="center"/>
              <w:rPr>
                <w:rFonts w:hint="eastAsia"/>
                <w:color w:val="auto"/>
                <w:kern w:val="0"/>
                <w:szCs w:val="21"/>
                <w:highlight w:val="none"/>
                <w:lang w:val="en-US" w:eastAsia="zh-CN"/>
              </w:rPr>
            </w:pPr>
            <w:r>
              <w:rPr>
                <w:rFonts w:hint="eastAsia"/>
                <w:color w:val="auto"/>
                <w:kern w:val="0"/>
                <w:szCs w:val="21"/>
                <w:highlight w:val="none"/>
                <w:lang w:val="en-US" w:eastAsia="zh-CN"/>
              </w:rPr>
              <w:t>GB14554</w:t>
            </w:r>
          </w:p>
        </w:tc>
        <w:tc>
          <w:tcPr>
            <w:tcW w:w="3105" w:type="dxa"/>
            <w:vAlign w:val="center"/>
          </w:tcPr>
          <w:p>
            <w:pPr>
              <w:widowControl/>
              <w:jc w:val="center"/>
              <w:rPr>
                <w:rFonts w:hint="eastAsia"/>
                <w:color w:val="auto"/>
                <w:kern w:val="0"/>
                <w:szCs w:val="21"/>
                <w:highlight w:val="none"/>
              </w:rPr>
            </w:pPr>
            <w:r>
              <w:rPr>
                <w:rFonts w:hint="eastAsia"/>
                <w:color w:val="auto"/>
                <w:kern w:val="0"/>
                <w:szCs w:val="21"/>
                <w:highlight w:val="none"/>
                <w:lang w:val="en-US" w:eastAsia="zh-CN"/>
              </w:rPr>
              <w:t>产生恶臭区域加罩或加盖；投放除臭剂；</w:t>
            </w:r>
            <w:r>
              <w:rPr>
                <w:color w:val="auto"/>
                <w:kern w:val="0"/>
                <w:szCs w:val="21"/>
                <w:highlight w:val="none"/>
              </w:rPr>
              <w:t>集中收集恶臭气体经处理（喷淋塔除臭、活性炭吸附等）后经排气筒排放；其他</w:t>
            </w:r>
          </w:p>
        </w:tc>
      </w:tr>
    </w:tbl>
    <w:p>
      <w:pPr>
        <w:pStyle w:val="44"/>
        <w:rPr>
          <w:rFonts w:hint="eastAsia" w:eastAsia="宋体"/>
          <w:color w:val="auto"/>
          <w:highlight w:val="yellow"/>
          <w:lang w:eastAsia="zh-CN"/>
        </w:rPr>
      </w:pPr>
      <w:r>
        <w:rPr>
          <w:color w:val="auto"/>
        </w:rPr>
        <w:t>表6-2-</w:t>
      </w:r>
      <w:r>
        <w:rPr>
          <w:rFonts w:hint="eastAsia"/>
          <w:color w:val="auto"/>
        </w:rPr>
        <w:t>2</w:t>
      </w:r>
      <w:r>
        <w:rPr>
          <w:color w:val="auto"/>
        </w:rPr>
        <w:t xml:space="preserve">  </w:t>
      </w:r>
      <w:r>
        <w:rPr>
          <w:rFonts w:hint="eastAsia"/>
          <w:color w:val="auto"/>
        </w:rPr>
        <w:t>《屠宰及肉类加工业污染防治可行技术指南》（</w:t>
      </w:r>
      <w:r>
        <w:rPr>
          <w:color w:val="auto"/>
        </w:rPr>
        <w:t>HJ1285—2023</w:t>
      </w:r>
      <w:r>
        <w:rPr>
          <w:rFonts w:hint="eastAsia"/>
          <w:color w:val="auto"/>
        </w:rPr>
        <w:t>）</w:t>
      </w:r>
      <w:r>
        <w:rPr>
          <w:color w:val="auto"/>
        </w:rPr>
        <w:t>表</w:t>
      </w:r>
      <w:r>
        <w:rPr>
          <w:rFonts w:hint="eastAsia"/>
          <w:color w:val="auto"/>
        </w:rPr>
        <w:t>3废气污染防治可行性技术</w:t>
      </w:r>
    </w:p>
    <w:tbl>
      <w:tblPr>
        <w:tblStyle w:val="46"/>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65"/>
        <w:gridCol w:w="6422"/>
        <w:gridCol w:w="2534"/>
        <w:gridCol w:w="41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376" w:type="pct"/>
            <w:vAlign w:val="center"/>
          </w:tcPr>
          <w:p>
            <w:pPr>
              <w:widowControl/>
              <w:jc w:val="center"/>
              <w:rPr>
                <w:color w:val="auto"/>
                <w:kern w:val="0"/>
                <w:szCs w:val="21"/>
              </w:rPr>
            </w:pPr>
            <w:r>
              <w:rPr>
                <w:rFonts w:hint="eastAsia"/>
                <w:color w:val="auto"/>
                <w:kern w:val="0"/>
                <w:szCs w:val="21"/>
              </w:rPr>
              <w:t>序号</w:t>
            </w:r>
          </w:p>
        </w:tc>
        <w:tc>
          <w:tcPr>
            <w:tcW w:w="2266" w:type="pct"/>
            <w:vAlign w:val="center"/>
          </w:tcPr>
          <w:p>
            <w:pPr>
              <w:widowControl/>
              <w:jc w:val="center"/>
              <w:rPr>
                <w:color w:val="auto"/>
                <w:kern w:val="0"/>
                <w:szCs w:val="21"/>
              </w:rPr>
            </w:pPr>
            <w:r>
              <w:rPr>
                <w:rFonts w:hint="eastAsia"/>
                <w:color w:val="auto"/>
                <w:kern w:val="0"/>
                <w:szCs w:val="21"/>
              </w:rPr>
              <w:t>废气种类</w:t>
            </w:r>
          </w:p>
        </w:tc>
        <w:tc>
          <w:tcPr>
            <w:tcW w:w="894" w:type="pct"/>
            <w:vAlign w:val="center"/>
          </w:tcPr>
          <w:p>
            <w:pPr>
              <w:widowControl/>
              <w:jc w:val="center"/>
              <w:rPr>
                <w:color w:val="auto"/>
                <w:kern w:val="0"/>
                <w:szCs w:val="21"/>
              </w:rPr>
            </w:pPr>
            <w:r>
              <w:rPr>
                <w:rFonts w:hint="eastAsia"/>
                <w:color w:val="auto"/>
                <w:kern w:val="0"/>
                <w:szCs w:val="21"/>
              </w:rPr>
              <w:t>主要</w:t>
            </w:r>
            <w:r>
              <w:rPr>
                <w:color w:val="auto"/>
                <w:kern w:val="0"/>
                <w:szCs w:val="21"/>
              </w:rPr>
              <w:t>污染因子</w:t>
            </w:r>
          </w:p>
        </w:tc>
        <w:tc>
          <w:tcPr>
            <w:tcW w:w="1462" w:type="pct"/>
            <w:vAlign w:val="center"/>
          </w:tcPr>
          <w:p>
            <w:pPr>
              <w:widowControl/>
              <w:jc w:val="center"/>
              <w:rPr>
                <w:color w:val="auto"/>
                <w:kern w:val="0"/>
                <w:szCs w:val="21"/>
              </w:rPr>
            </w:pPr>
            <w:r>
              <w:rPr>
                <w:rFonts w:hint="eastAsia"/>
                <w:color w:val="auto"/>
                <w:kern w:val="0"/>
                <w:szCs w:val="21"/>
              </w:rPr>
              <w:t>可行</w:t>
            </w:r>
            <w:r>
              <w:rPr>
                <w:color w:val="auto"/>
                <w:kern w:val="0"/>
                <w:szCs w:val="21"/>
              </w:rPr>
              <w:t>技术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376" w:type="pct"/>
            <w:vAlign w:val="center"/>
          </w:tcPr>
          <w:p>
            <w:pPr>
              <w:widowControl/>
              <w:jc w:val="center"/>
              <w:rPr>
                <w:color w:val="auto"/>
                <w:kern w:val="0"/>
                <w:szCs w:val="21"/>
              </w:rPr>
            </w:pPr>
            <w:r>
              <w:rPr>
                <w:rFonts w:hint="eastAsia"/>
                <w:color w:val="auto"/>
                <w:kern w:val="0"/>
                <w:szCs w:val="21"/>
              </w:rPr>
              <w:t>1</w:t>
            </w:r>
          </w:p>
        </w:tc>
        <w:tc>
          <w:tcPr>
            <w:tcW w:w="2266" w:type="pct"/>
            <w:vAlign w:val="center"/>
          </w:tcPr>
          <w:p>
            <w:pPr>
              <w:widowControl/>
              <w:jc w:val="center"/>
              <w:rPr>
                <w:color w:val="auto"/>
                <w:kern w:val="0"/>
                <w:szCs w:val="21"/>
              </w:rPr>
            </w:pPr>
            <w:r>
              <w:rPr>
                <w:color w:val="auto"/>
                <w:kern w:val="0"/>
                <w:szCs w:val="21"/>
              </w:rPr>
              <w:t>待宰间、屠宰车间固废暂存设施以及废水处理单元产生的恶臭</w:t>
            </w:r>
          </w:p>
        </w:tc>
        <w:tc>
          <w:tcPr>
            <w:tcW w:w="894" w:type="pct"/>
            <w:vAlign w:val="center"/>
          </w:tcPr>
          <w:p>
            <w:pPr>
              <w:widowControl/>
              <w:jc w:val="center"/>
              <w:rPr>
                <w:color w:val="auto"/>
                <w:kern w:val="0"/>
                <w:szCs w:val="21"/>
              </w:rPr>
            </w:pPr>
            <w:r>
              <w:rPr>
                <w:color w:val="auto"/>
                <w:kern w:val="0"/>
                <w:szCs w:val="21"/>
              </w:rPr>
              <w:t>氨、硫化氢</w:t>
            </w:r>
          </w:p>
        </w:tc>
        <w:tc>
          <w:tcPr>
            <w:tcW w:w="1462" w:type="pct"/>
            <w:vAlign w:val="center"/>
          </w:tcPr>
          <w:p>
            <w:pPr>
              <w:widowControl/>
              <w:jc w:val="center"/>
              <w:rPr>
                <w:color w:val="auto"/>
                <w:kern w:val="0"/>
                <w:szCs w:val="21"/>
              </w:rPr>
            </w:pPr>
            <w:r>
              <w:rPr>
                <w:color w:val="auto"/>
                <w:kern w:val="0"/>
                <w:szCs w:val="21"/>
              </w:rPr>
              <w:t>集中收集</w:t>
            </w:r>
            <w:r>
              <w:rPr>
                <w:rFonts w:hint="eastAsia"/>
                <w:color w:val="auto"/>
                <w:kern w:val="0"/>
                <w:szCs w:val="21"/>
              </w:rPr>
              <w:t>/加罩（盖）+生物除臭/物理除臭</w:t>
            </w:r>
          </w:p>
        </w:tc>
      </w:tr>
    </w:tbl>
    <w:p>
      <w:pPr>
        <w:spacing w:line="360" w:lineRule="auto"/>
        <w:ind w:firstLine="480" w:firstLineChars="200"/>
        <w:rPr>
          <w:rFonts w:hint="eastAsia" w:eastAsia="宋体"/>
          <w:bCs/>
          <w:color w:val="auto"/>
          <w:sz w:val="24"/>
          <w:szCs w:val="24"/>
          <w:highlight w:val="none"/>
          <w:lang w:eastAsia="zh-CN"/>
        </w:rPr>
      </w:pPr>
      <w:r>
        <w:rPr>
          <w:rFonts w:hint="eastAsia"/>
          <w:color w:val="auto"/>
          <w:sz w:val="24"/>
        </w:rPr>
        <w:t>本项目待宰间、屠宰车间及污水处理站采取负压集气收集，产生的恶臭气体经收集后分别通过活性炭吸附净化后，分别由3根排气筒排放。厂区产生的肠胃内容物同粪便暂存于待宰间储粪池内，车间产生的不可食用内脏</w:t>
      </w:r>
      <w:r>
        <w:rPr>
          <w:rFonts w:hint="eastAsia"/>
          <w:bCs/>
          <w:color w:val="auto"/>
          <w:sz w:val="24"/>
        </w:rPr>
        <w:t>采用专用存储桶暂存屠宰车间内，密闭存储，污泥暂存池位于污水处理站</w:t>
      </w:r>
      <w:r>
        <w:rPr>
          <w:rFonts w:hint="eastAsia"/>
          <w:bCs/>
          <w:color w:val="auto"/>
          <w:sz w:val="24"/>
          <w:highlight w:val="none"/>
        </w:rPr>
        <w:t>地下，属于地埋式建筑，因此本项目不再单独设置固废暂存设施，固废暂存产生的恶臭气体同待宰间、屠宰车间、污水处理站产生的恶臭气体一并处理。</w:t>
      </w:r>
      <w:r>
        <w:rPr>
          <w:bCs/>
          <w:color w:val="auto"/>
          <w:sz w:val="24"/>
          <w:szCs w:val="24"/>
          <w:highlight w:val="none"/>
        </w:rPr>
        <w:t>本项目</w:t>
      </w:r>
      <w:r>
        <w:rPr>
          <w:color w:val="auto"/>
          <w:sz w:val="24"/>
          <w:szCs w:val="24"/>
          <w:highlight w:val="none"/>
        </w:rPr>
        <w:t>锅炉烟气经布袋除尘器（除尘效率按</w:t>
      </w:r>
      <w:r>
        <w:rPr>
          <w:rFonts w:hint="eastAsia"/>
          <w:color w:val="auto"/>
          <w:sz w:val="24"/>
          <w:szCs w:val="24"/>
          <w:highlight w:val="none"/>
          <w:lang w:eastAsia="zh-CN"/>
        </w:rPr>
        <w:t>99.8</w:t>
      </w:r>
      <w:r>
        <w:rPr>
          <w:color w:val="auto"/>
          <w:sz w:val="24"/>
          <w:szCs w:val="24"/>
          <w:highlight w:val="none"/>
        </w:rPr>
        <w:t>%计）处理后由</w:t>
      </w:r>
      <w:r>
        <w:rPr>
          <w:rFonts w:hint="eastAsia"/>
          <w:color w:val="auto"/>
          <w:sz w:val="24"/>
          <w:szCs w:val="24"/>
          <w:highlight w:val="none"/>
          <w:lang w:val="en-US" w:eastAsia="zh-CN"/>
        </w:rPr>
        <w:t>30m</w:t>
      </w:r>
      <w:r>
        <w:rPr>
          <w:color w:val="auto"/>
          <w:sz w:val="24"/>
          <w:szCs w:val="24"/>
          <w:highlight w:val="none"/>
        </w:rPr>
        <w:t>高烟囱排放</w:t>
      </w:r>
      <w:r>
        <w:rPr>
          <w:rFonts w:hint="eastAsia"/>
          <w:color w:val="auto"/>
          <w:sz w:val="24"/>
          <w:szCs w:val="24"/>
          <w:highlight w:val="none"/>
          <w:lang w:eastAsia="zh-CN"/>
        </w:rPr>
        <w:t>。</w:t>
      </w:r>
    </w:p>
    <w:p>
      <w:pPr>
        <w:spacing w:line="360" w:lineRule="auto"/>
        <w:ind w:firstLine="480" w:firstLineChars="200"/>
        <w:rPr>
          <w:color w:val="auto"/>
          <w:sz w:val="24"/>
        </w:rPr>
      </w:pPr>
      <w:r>
        <w:rPr>
          <w:rFonts w:hint="eastAsia"/>
          <w:bCs/>
          <w:color w:val="auto"/>
          <w:sz w:val="24"/>
          <w:highlight w:val="none"/>
        </w:rPr>
        <w:t>综上本项目废气处理符合《屠宰及肉类加工业污染防治可行技术指南》（</w:t>
      </w:r>
      <w:r>
        <w:rPr>
          <w:bCs/>
          <w:color w:val="auto"/>
          <w:sz w:val="24"/>
          <w:highlight w:val="none"/>
        </w:rPr>
        <w:t>HJ1285—2023</w:t>
      </w:r>
      <w:r>
        <w:rPr>
          <w:rFonts w:hint="eastAsia"/>
          <w:bCs/>
          <w:color w:val="auto"/>
          <w:sz w:val="24"/>
          <w:highlight w:val="none"/>
        </w:rPr>
        <w:t>）及</w:t>
      </w:r>
      <w:r>
        <w:rPr>
          <w:bCs/>
          <w:color w:val="auto"/>
          <w:sz w:val="24"/>
          <w:highlight w:val="none"/>
        </w:rPr>
        <w:t>《排污许可证申请与核发技术规范农</w:t>
      </w:r>
      <w:r>
        <w:rPr>
          <w:bCs/>
          <w:color w:val="auto"/>
          <w:sz w:val="24"/>
        </w:rPr>
        <w:t>副食品加工工业—屠宰及肉类加工工业》（HJ 860.3—2018）要求，属于可行性技术。具体分析内容如下。</w:t>
      </w:r>
    </w:p>
    <w:p>
      <w:pPr>
        <w:spacing w:line="360" w:lineRule="auto"/>
        <w:outlineLvl w:val="3"/>
        <w:rPr>
          <w:b/>
          <w:color w:val="auto"/>
          <w:sz w:val="24"/>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pacing w:line="360" w:lineRule="auto"/>
        <w:outlineLvl w:val="3"/>
        <w:rPr>
          <w:b/>
          <w:color w:val="auto"/>
          <w:sz w:val="24"/>
        </w:rPr>
      </w:pPr>
      <w:r>
        <w:rPr>
          <w:b/>
          <w:color w:val="auto"/>
          <w:sz w:val="24"/>
        </w:rPr>
        <w:t>6.2.1.</w:t>
      </w:r>
      <w:r>
        <w:rPr>
          <w:rFonts w:hint="eastAsia"/>
          <w:b/>
          <w:color w:val="auto"/>
          <w:sz w:val="24"/>
        </w:rPr>
        <w:t>1有组织</w:t>
      </w:r>
      <w:r>
        <w:rPr>
          <w:b/>
          <w:color w:val="auto"/>
          <w:sz w:val="24"/>
        </w:rPr>
        <w:t>恶臭气体防治措施</w:t>
      </w:r>
    </w:p>
    <w:p>
      <w:pPr>
        <w:spacing w:line="360" w:lineRule="auto"/>
        <w:ind w:firstLine="480" w:firstLineChars="200"/>
        <w:rPr>
          <w:color w:val="auto"/>
          <w:sz w:val="24"/>
        </w:rPr>
      </w:pPr>
      <w:r>
        <w:rPr>
          <w:rFonts w:hint="eastAsia"/>
          <w:color w:val="auto"/>
          <w:sz w:val="24"/>
        </w:rPr>
        <w:t>1、待宰间</w:t>
      </w:r>
      <w:r>
        <w:rPr>
          <w:color w:val="auto"/>
          <w:sz w:val="24"/>
        </w:rPr>
        <w:t>恶臭气体防治措施</w:t>
      </w:r>
    </w:p>
    <w:p>
      <w:pPr>
        <w:spacing w:line="360" w:lineRule="auto"/>
        <w:ind w:firstLine="480" w:firstLineChars="200"/>
        <w:rPr>
          <w:color w:val="auto"/>
          <w:sz w:val="24"/>
        </w:rPr>
      </w:pPr>
      <w:r>
        <w:rPr>
          <w:rFonts w:hint="eastAsia"/>
          <w:color w:val="auto"/>
          <w:sz w:val="24"/>
        </w:rPr>
        <w:t>本项目待宰间采取干清粪工艺，日产日清</w:t>
      </w:r>
      <w:r>
        <w:rPr>
          <w:color w:val="auto"/>
          <w:sz w:val="24"/>
        </w:rPr>
        <w:t>，并投加或喷洒除臭剂</w:t>
      </w:r>
      <w:r>
        <w:rPr>
          <w:rFonts w:hint="eastAsia"/>
          <w:color w:val="auto"/>
          <w:sz w:val="24"/>
        </w:rPr>
        <w:t>可有效去除恶臭污染物浓度，且</w:t>
      </w:r>
      <w:r>
        <w:rPr>
          <w:color w:val="auto"/>
          <w:sz w:val="24"/>
        </w:rPr>
        <w:t>待宰</w:t>
      </w:r>
      <w:r>
        <w:rPr>
          <w:rFonts w:hint="eastAsia"/>
          <w:color w:val="auto"/>
          <w:sz w:val="24"/>
        </w:rPr>
        <w:t>间封闭，</w:t>
      </w:r>
      <w:r>
        <w:rPr>
          <w:bCs/>
          <w:color w:val="auto"/>
          <w:sz w:val="24"/>
        </w:rPr>
        <w:t>产生的</w:t>
      </w:r>
      <w:r>
        <w:rPr>
          <w:rFonts w:hint="eastAsia"/>
          <w:bCs/>
          <w:color w:val="auto"/>
          <w:sz w:val="24"/>
        </w:rPr>
        <w:t>恶臭气体</w:t>
      </w:r>
      <w:r>
        <w:rPr>
          <w:bCs/>
          <w:color w:val="auto"/>
          <w:sz w:val="24"/>
        </w:rPr>
        <w:t>经负压集中收集后，通过活性炭吸附净化后由15m高排气筒排放，收集率约</w:t>
      </w:r>
      <w:r>
        <w:rPr>
          <w:rFonts w:hint="eastAsia"/>
          <w:bCs/>
          <w:color w:val="auto"/>
          <w:sz w:val="24"/>
        </w:rPr>
        <w:t>8</w:t>
      </w:r>
      <w:r>
        <w:rPr>
          <w:bCs/>
          <w:color w:val="auto"/>
          <w:sz w:val="24"/>
        </w:rPr>
        <w:t>0%左右，恶臭气体净化率不低于70%。</w:t>
      </w:r>
      <w:r>
        <w:rPr>
          <w:rFonts w:hint="eastAsia"/>
          <w:bCs/>
          <w:color w:val="auto"/>
          <w:sz w:val="24"/>
        </w:rPr>
        <w:t>有组织恶臭气体满足《恶臭污染物排放标准》（GB14554-93）中表2中限值要求。</w:t>
      </w:r>
      <w:r>
        <w:rPr>
          <w:bCs/>
          <w:color w:val="auto"/>
          <w:sz w:val="24"/>
        </w:rPr>
        <w:t>对周围环境影响较小。</w:t>
      </w:r>
    </w:p>
    <w:p>
      <w:pPr>
        <w:spacing w:line="360" w:lineRule="auto"/>
        <w:ind w:firstLine="480" w:firstLineChars="200"/>
        <w:rPr>
          <w:color w:val="auto"/>
          <w:sz w:val="24"/>
        </w:rPr>
      </w:pPr>
      <w:r>
        <w:rPr>
          <w:rFonts w:hint="eastAsia"/>
          <w:color w:val="auto"/>
          <w:sz w:val="24"/>
        </w:rPr>
        <w:t>项目待宰间废气采用喷洒除臭剂、废气集中收集经活性炭吸附处理符合</w:t>
      </w:r>
      <w:r>
        <w:rPr>
          <w:color w:val="auto"/>
          <w:sz w:val="24"/>
        </w:rPr>
        <w:t>《排污许可证申请与核发技术规范农副食品加工工业—屠宰及肉类加工工业》（HJ860.3-2018）及</w:t>
      </w:r>
      <w:r>
        <w:rPr>
          <w:rFonts w:hint="eastAsia"/>
          <w:bCs/>
          <w:color w:val="auto"/>
          <w:sz w:val="24"/>
        </w:rPr>
        <w:t>《屠宰及肉类加工业污染防治可行技术指南》（</w:t>
      </w:r>
      <w:r>
        <w:rPr>
          <w:bCs/>
          <w:color w:val="auto"/>
          <w:sz w:val="24"/>
        </w:rPr>
        <w:t>HJ1285—2023</w:t>
      </w:r>
      <w:r>
        <w:rPr>
          <w:rFonts w:hint="eastAsia"/>
          <w:bCs/>
          <w:color w:val="auto"/>
          <w:sz w:val="24"/>
        </w:rPr>
        <w:t>）</w:t>
      </w:r>
      <w:r>
        <w:rPr>
          <w:color w:val="auto"/>
          <w:sz w:val="24"/>
        </w:rPr>
        <w:t>要求</w:t>
      </w:r>
      <w:r>
        <w:rPr>
          <w:rFonts w:hint="eastAsia"/>
          <w:color w:val="auto"/>
          <w:sz w:val="24"/>
        </w:rPr>
        <w:t>。</w:t>
      </w:r>
    </w:p>
    <w:p>
      <w:pPr>
        <w:spacing w:line="360" w:lineRule="auto"/>
        <w:ind w:firstLine="480" w:firstLineChars="200"/>
        <w:rPr>
          <w:color w:val="auto"/>
          <w:sz w:val="24"/>
        </w:rPr>
      </w:pPr>
      <w:r>
        <w:rPr>
          <w:rFonts w:hint="eastAsia"/>
          <w:color w:val="auto"/>
          <w:sz w:val="24"/>
        </w:rPr>
        <w:t>2、屠宰车间</w:t>
      </w:r>
      <w:r>
        <w:rPr>
          <w:color w:val="auto"/>
          <w:sz w:val="24"/>
        </w:rPr>
        <w:t>恶臭气体防治措施</w:t>
      </w:r>
    </w:p>
    <w:p>
      <w:pPr>
        <w:spacing w:line="360" w:lineRule="auto"/>
        <w:ind w:firstLine="480" w:firstLineChars="200"/>
        <w:rPr>
          <w:color w:val="auto"/>
          <w:sz w:val="24"/>
        </w:rPr>
      </w:pPr>
      <w:r>
        <w:rPr>
          <w:color w:val="auto"/>
          <w:sz w:val="24"/>
        </w:rPr>
        <w:t>本项目屠宰车间封闭建设，</w:t>
      </w:r>
      <w:r>
        <w:rPr>
          <w:bCs/>
          <w:color w:val="auto"/>
          <w:sz w:val="24"/>
        </w:rPr>
        <w:t>产生的恶臭气体经负压集中收集后，通过活性炭吸附净化后由15m高排气筒排放，收集率约</w:t>
      </w:r>
      <w:r>
        <w:rPr>
          <w:rFonts w:hint="eastAsia"/>
          <w:bCs/>
          <w:color w:val="auto"/>
          <w:sz w:val="24"/>
        </w:rPr>
        <w:t>8</w:t>
      </w:r>
      <w:r>
        <w:rPr>
          <w:bCs/>
          <w:color w:val="auto"/>
          <w:sz w:val="24"/>
        </w:rPr>
        <w:t>0%左右，恶臭气体净化率不低于70%</w:t>
      </w:r>
      <w:r>
        <w:rPr>
          <w:color w:val="auto"/>
          <w:sz w:val="24"/>
        </w:rPr>
        <w:t>。</w:t>
      </w:r>
      <w:r>
        <w:rPr>
          <w:rFonts w:hint="eastAsia"/>
          <w:color w:val="auto"/>
          <w:sz w:val="24"/>
        </w:rPr>
        <w:t>有组织恶臭气体满足</w:t>
      </w:r>
      <w:r>
        <w:rPr>
          <w:color w:val="auto"/>
          <w:sz w:val="24"/>
        </w:rPr>
        <w:t>《恶臭污染物排放标准》（GB14554-93）中表2中限值要求。</w:t>
      </w:r>
    </w:p>
    <w:p>
      <w:pPr>
        <w:spacing w:line="360" w:lineRule="auto"/>
        <w:ind w:firstLine="480" w:firstLineChars="200"/>
        <w:rPr>
          <w:color w:val="auto"/>
          <w:sz w:val="24"/>
        </w:rPr>
      </w:pPr>
      <w:r>
        <w:rPr>
          <w:color w:val="auto"/>
          <w:sz w:val="24"/>
        </w:rPr>
        <w:t>项目屠宰车间</w:t>
      </w:r>
      <w:r>
        <w:rPr>
          <w:rFonts w:hint="eastAsia"/>
          <w:color w:val="auto"/>
          <w:sz w:val="24"/>
        </w:rPr>
        <w:t>废气集中收集经活性炭吸附处理符合</w:t>
      </w:r>
      <w:r>
        <w:rPr>
          <w:color w:val="auto"/>
          <w:sz w:val="24"/>
        </w:rPr>
        <w:t>《排污许可证申请与核发技术规范农副食品加工工业—屠宰及肉类加工工业》（HJ860.3-2018）及</w:t>
      </w:r>
      <w:r>
        <w:rPr>
          <w:rFonts w:hint="eastAsia"/>
          <w:bCs/>
          <w:color w:val="auto"/>
          <w:sz w:val="24"/>
        </w:rPr>
        <w:t>《屠宰及肉类加工业污染防治可行技术指南》（</w:t>
      </w:r>
      <w:r>
        <w:rPr>
          <w:bCs/>
          <w:color w:val="auto"/>
          <w:sz w:val="24"/>
        </w:rPr>
        <w:t>HJ1285—2023</w:t>
      </w:r>
      <w:r>
        <w:rPr>
          <w:rFonts w:hint="eastAsia"/>
          <w:bCs/>
          <w:color w:val="auto"/>
          <w:sz w:val="24"/>
        </w:rPr>
        <w:t>）</w:t>
      </w:r>
      <w:r>
        <w:rPr>
          <w:color w:val="auto"/>
          <w:sz w:val="24"/>
        </w:rPr>
        <w:t>要求</w:t>
      </w:r>
      <w:r>
        <w:rPr>
          <w:rFonts w:hint="eastAsia"/>
          <w:color w:val="auto"/>
          <w:sz w:val="24"/>
        </w:rPr>
        <w:t>。</w:t>
      </w:r>
    </w:p>
    <w:p>
      <w:pPr>
        <w:spacing w:line="360" w:lineRule="auto"/>
        <w:ind w:firstLine="480" w:firstLineChars="200"/>
        <w:rPr>
          <w:color w:val="auto"/>
          <w:sz w:val="24"/>
        </w:rPr>
      </w:pPr>
      <w:r>
        <w:rPr>
          <w:rFonts w:hint="eastAsia"/>
          <w:color w:val="auto"/>
          <w:sz w:val="24"/>
        </w:rPr>
        <w:t>3、污水处理站</w:t>
      </w:r>
      <w:r>
        <w:rPr>
          <w:color w:val="auto"/>
          <w:sz w:val="24"/>
        </w:rPr>
        <w:t>恶臭气体防治措施</w:t>
      </w:r>
    </w:p>
    <w:p>
      <w:pPr>
        <w:spacing w:line="360" w:lineRule="auto"/>
        <w:ind w:firstLine="480" w:firstLineChars="200"/>
        <w:rPr>
          <w:color w:val="auto"/>
          <w:sz w:val="24"/>
        </w:rPr>
      </w:pPr>
      <w:r>
        <w:rPr>
          <w:bCs/>
          <w:color w:val="auto"/>
          <w:sz w:val="24"/>
        </w:rPr>
        <w:t>本项目污水处理站封闭，产生的恶臭气体经负压集中收集后，通过活性炭吸附净化后由15m高排气筒排放，收集率约</w:t>
      </w:r>
      <w:r>
        <w:rPr>
          <w:rFonts w:hint="eastAsia"/>
          <w:bCs/>
          <w:color w:val="auto"/>
          <w:sz w:val="24"/>
        </w:rPr>
        <w:t>8</w:t>
      </w:r>
      <w:r>
        <w:rPr>
          <w:bCs/>
          <w:color w:val="auto"/>
          <w:sz w:val="24"/>
        </w:rPr>
        <w:t>0%左右，恶臭气体净化率不低于70%</w:t>
      </w:r>
      <w:r>
        <w:rPr>
          <w:rFonts w:hint="eastAsia"/>
          <w:bCs/>
          <w:color w:val="auto"/>
          <w:sz w:val="24"/>
        </w:rPr>
        <w:t>。</w:t>
      </w:r>
      <w:r>
        <w:rPr>
          <w:rFonts w:hint="eastAsia"/>
          <w:color w:val="auto"/>
          <w:sz w:val="24"/>
        </w:rPr>
        <w:t>有组织恶臭气体满足</w:t>
      </w:r>
      <w:r>
        <w:rPr>
          <w:color w:val="auto"/>
          <w:sz w:val="24"/>
        </w:rPr>
        <w:t>《恶臭污染物排放标准》（GB14554-93）中表2中限值要求。</w:t>
      </w:r>
    </w:p>
    <w:p>
      <w:pPr>
        <w:spacing w:line="360" w:lineRule="auto"/>
        <w:ind w:firstLine="480" w:firstLineChars="200"/>
        <w:rPr>
          <w:color w:val="auto"/>
          <w:sz w:val="24"/>
        </w:rPr>
      </w:pPr>
      <w:r>
        <w:rPr>
          <w:color w:val="auto"/>
          <w:sz w:val="24"/>
        </w:rPr>
        <w:t>项目污水处理站</w:t>
      </w:r>
      <w:r>
        <w:rPr>
          <w:rFonts w:hint="eastAsia"/>
          <w:color w:val="auto"/>
          <w:sz w:val="24"/>
        </w:rPr>
        <w:t>废气集中收集经活性炭吸附处理符合</w:t>
      </w:r>
      <w:r>
        <w:rPr>
          <w:color w:val="auto"/>
          <w:sz w:val="24"/>
        </w:rPr>
        <w:t>《排污许可证申请与核发技术规范农副食品加工工业—屠宰及肉类加工工业》（HJ860.3-2018）及</w:t>
      </w:r>
      <w:r>
        <w:rPr>
          <w:rFonts w:hint="eastAsia"/>
          <w:bCs/>
          <w:color w:val="auto"/>
          <w:sz w:val="24"/>
        </w:rPr>
        <w:t>《屠宰及肉类加工业污染防治可行技术指南》（</w:t>
      </w:r>
      <w:r>
        <w:rPr>
          <w:bCs/>
          <w:color w:val="auto"/>
          <w:sz w:val="24"/>
        </w:rPr>
        <w:t>HJ1285—2023</w:t>
      </w:r>
      <w:r>
        <w:rPr>
          <w:rFonts w:hint="eastAsia"/>
          <w:bCs/>
          <w:color w:val="auto"/>
          <w:sz w:val="24"/>
        </w:rPr>
        <w:t>）</w:t>
      </w:r>
      <w:r>
        <w:rPr>
          <w:color w:val="auto"/>
          <w:sz w:val="24"/>
        </w:rPr>
        <w:t>要求</w:t>
      </w:r>
      <w:r>
        <w:rPr>
          <w:rFonts w:hint="eastAsia"/>
          <w:color w:val="auto"/>
          <w:sz w:val="24"/>
        </w:rPr>
        <w:t>。</w:t>
      </w:r>
    </w:p>
    <w:p>
      <w:pPr>
        <w:spacing w:line="360" w:lineRule="auto"/>
        <w:ind w:firstLine="480" w:firstLineChars="200"/>
        <w:rPr>
          <w:color w:val="auto"/>
          <w:sz w:val="24"/>
        </w:rPr>
      </w:pPr>
      <w:r>
        <w:rPr>
          <w:rFonts w:hint="eastAsia"/>
          <w:color w:val="auto"/>
          <w:sz w:val="24"/>
        </w:rPr>
        <w:t>4、食堂油烟</w:t>
      </w:r>
      <w:r>
        <w:rPr>
          <w:color w:val="auto"/>
          <w:sz w:val="24"/>
        </w:rPr>
        <w:t>污染防治措施</w:t>
      </w:r>
    </w:p>
    <w:p>
      <w:pPr>
        <w:pStyle w:val="74"/>
        <w:adjustRightInd/>
        <w:snapToGrid/>
        <w:jc w:val="both"/>
        <w:rPr>
          <w:rFonts w:hint="eastAsia" w:ascii="Times New Roman" w:hAnsi="Times New Roman" w:cs="Times New Roman"/>
          <w:color w:val="auto"/>
        </w:rPr>
      </w:pPr>
      <w:r>
        <w:rPr>
          <w:rFonts w:ascii="Times New Roman" w:cs="Times New Roman"/>
          <w:color w:val="auto"/>
        </w:rPr>
        <w:t>本项目</w:t>
      </w:r>
      <w:r>
        <w:rPr>
          <w:snapToGrid w:val="0"/>
          <w:color w:val="auto"/>
          <w:kern w:val="0"/>
          <w:szCs w:val="21"/>
        </w:rPr>
        <w:t>食堂油烟经油烟净化器处理后经高于楼顶的专用烟道排放，油烟排放</w:t>
      </w:r>
      <w:r>
        <w:rPr>
          <w:rFonts w:ascii="Times New Roman" w:cs="Times New Roman"/>
          <w:bCs/>
          <w:color w:val="auto"/>
        </w:rPr>
        <w:t>满足《饮食业油烟排放标准（试行）》（GB18483-2001）中小型食堂油烟的标</w:t>
      </w:r>
      <w:r>
        <w:rPr>
          <w:rFonts w:hint="eastAsia" w:ascii="Times New Roman" w:hAnsi="Times New Roman" w:cs="Times New Roman"/>
          <w:color w:val="auto"/>
        </w:rPr>
        <w:t>准限值要求。</w:t>
      </w:r>
    </w:p>
    <w:p>
      <w:pPr>
        <w:pStyle w:val="74"/>
        <w:adjustRightInd/>
        <w:snapToGrid/>
        <w:jc w:val="both"/>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5、生物质锅炉烟气</w:t>
      </w:r>
    </w:p>
    <w:p>
      <w:pPr>
        <w:pStyle w:val="74"/>
        <w:adjustRightInd/>
        <w:snapToGrid/>
        <w:jc w:val="both"/>
        <w:rPr>
          <w:rFonts w:hint="eastAsia" w:ascii="Times New Roman" w:hAnsi="Times New Roman" w:cs="Times New Roman"/>
          <w:color w:val="auto"/>
          <w:lang w:val="en-US" w:eastAsia="zh-CN"/>
        </w:rPr>
      </w:pPr>
      <w:r>
        <w:rPr>
          <w:rFonts w:hint="eastAsia" w:ascii="Times New Roman" w:hAnsi="Times New Roman" w:cs="Times New Roman"/>
          <w:color w:val="auto"/>
        </w:rPr>
        <w:t>本项目冬季采用一台</w:t>
      </w:r>
      <w:r>
        <w:rPr>
          <w:rFonts w:hint="eastAsia" w:ascii="Times New Roman" w:hAnsi="Times New Roman" w:eastAsia="宋体" w:cs="Times New Roman"/>
          <w:color w:val="auto"/>
          <w:kern w:val="2"/>
          <w:sz w:val="24"/>
          <w:szCs w:val="24"/>
          <w:lang w:val="en-US" w:eastAsia="zh-CN" w:bidi="ar-SA"/>
        </w:rPr>
        <w:t>2.1MW</w:t>
      </w:r>
      <w:r>
        <w:rPr>
          <w:rFonts w:hint="eastAsia" w:ascii="Times New Roman" w:hAnsi="Times New Roman" w:cs="Times New Roman"/>
          <w:color w:val="auto"/>
        </w:rPr>
        <w:t>生物质热水锅炉为办公楼供暖，生物质热水锅炉烟气经布袋除尘器（除尘效率</w:t>
      </w:r>
      <w:r>
        <w:rPr>
          <w:rFonts w:hint="eastAsia" w:ascii="Times New Roman" w:hAnsi="Times New Roman" w:cs="Times New Roman"/>
          <w:color w:val="auto"/>
          <w:lang w:eastAsia="zh-CN"/>
        </w:rPr>
        <w:t>99.8</w:t>
      </w:r>
      <w:r>
        <w:rPr>
          <w:rFonts w:hint="eastAsia" w:ascii="Times New Roman" w:hAnsi="Times New Roman" w:cs="Times New Roman"/>
          <w:color w:val="auto"/>
        </w:rPr>
        <w:t>%）处理后通过</w:t>
      </w:r>
      <w:r>
        <w:rPr>
          <w:rFonts w:hint="eastAsia" w:ascii="Times New Roman" w:hAnsi="Times New Roman" w:cs="Times New Roman"/>
          <w:color w:val="auto"/>
          <w:lang w:val="en-US" w:eastAsia="zh-CN"/>
        </w:rPr>
        <w:t>30m</w:t>
      </w:r>
      <w:r>
        <w:rPr>
          <w:rFonts w:hint="eastAsia" w:ascii="Times New Roman" w:hAnsi="Times New Roman" w:cs="Times New Roman"/>
          <w:color w:val="auto"/>
        </w:rPr>
        <w:t>高烟囱排放。袋式除尘器的主要优点有：除尘效率高，对微细粒子的除尘效率可达99％以上；适应性强，对各类性质的粉尘都有很高的除尘效率，如高比电阻粉尘和高浓度粉尘等；处理风量范围广，对于小风量和大风量均可处理；结构简单，操作方便，占地面积小；捕集的干尘粒便于回收利用，没有水污染及污泥处理等问题，因此项目选用布袋除尘器处理锅炉粉尘是合理的。林格曼黑度、颗粒物、SO</w:t>
      </w:r>
      <w:r>
        <w:rPr>
          <w:rFonts w:hint="eastAsia" w:ascii="Times New Roman" w:hAnsi="Times New Roman" w:cs="Times New Roman"/>
          <w:color w:val="auto"/>
          <w:vertAlign w:val="subscript"/>
        </w:rPr>
        <w:t>2</w:t>
      </w:r>
      <w:r>
        <w:rPr>
          <w:rFonts w:hint="eastAsia" w:ascii="Times New Roman" w:hAnsi="Times New Roman" w:cs="Times New Roman"/>
          <w:color w:val="auto"/>
        </w:rPr>
        <w:t>、NO</w:t>
      </w:r>
      <w:r>
        <w:rPr>
          <w:rFonts w:hint="eastAsia" w:ascii="Times New Roman" w:hAnsi="Times New Roman" w:cs="Times New Roman"/>
          <w:color w:val="auto"/>
          <w:vertAlign w:val="subscript"/>
        </w:rPr>
        <w:t>X</w:t>
      </w:r>
      <w:r>
        <w:rPr>
          <w:rFonts w:hint="eastAsia" w:ascii="Times New Roman" w:hAnsi="Times New Roman" w:cs="Times New Roman"/>
          <w:color w:val="auto"/>
        </w:rPr>
        <w:t>排放浓度满足《锅炉大气污染物排放标准》（GB13271-2014）表3中燃煤锅炉大气污染物特别排放限值要求。生物质热水锅炉烟气经布袋除尘器（除尘效率</w:t>
      </w:r>
      <w:r>
        <w:rPr>
          <w:rFonts w:hint="eastAsia" w:ascii="Times New Roman" w:hAnsi="Times New Roman" w:cs="Times New Roman"/>
          <w:color w:val="auto"/>
          <w:lang w:eastAsia="zh-CN"/>
        </w:rPr>
        <w:t>99.8</w:t>
      </w:r>
      <w:r>
        <w:rPr>
          <w:rFonts w:hint="eastAsia" w:ascii="Times New Roman" w:hAnsi="Times New Roman" w:cs="Times New Roman"/>
          <w:color w:val="auto"/>
        </w:rPr>
        <w:t>%）处理后通过</w:t>
      </w:r>
      <w:r>
        <w:rPr>
          <w:rFonts w:hint="eastAsia" w:ascii="Times New Roman" w:hAnsi="Times New Roman" w:cs="Times New Roman"/>
          <w:color w:val="auto"/>
          <w:lang w:val="en-US" w:eastAsia="zh-CN"/>
        </w:rPr>
        <w:t>30m</w:t>
      </w:r>
      <w:r>
        <w:rPr>
          <w:rFonts w:hint="eastAsia" w:ascii="Times New Roman" w:hAnsi="Times New Roman" w:cs="Times New Roman"/>
          <w:color w:val="auto"/>
        </w:rPr>
        <w:t>高烟囱排放</w:t>
      </w:r>
      <w:r>
        <w:rPr>
          <w:bCs/>
          <w:color w:val="auto"/>
          <w:sz w:val="24"/>
          <w:szCs w:val="24"/>
          <w:highlight w:val="none"/>
        </w:rPr>
        <w:t>符合《排污许可证申请与核发技术规范农副食品加工工业—屠宰及肉类加工工业》（HJ860.3-2018）中的措施要求。</w:t>
      </w:r>
    </w:p>
    <w:p>
      <w:pPr>
        <w:spacing w:line="360" w:lineRule="auto"/>
        <w:outlineLvl w:val="3"/>
        <w:rPr>
          <w:b/>
          <w:color w:val="auto"/>
          <w:sz w:val="24"/>
        </w:rPr>
      </w:pPr>
      <w:r>
        <w:rPr>
          <w:b/>
          <w:color w:val="auto"/>
          <w:sz w:val="24"/>
        </w:rPr>
        <w:t>6.2.1</w:t>
      </w:r>
      <w:r>
        <w:rPr>
          <w:rFonts w:hint="eastAsia"/>
          <w:b/>
          <w:color w:val="auto"/>
          <w:sz w:val="24"/>
        </w:rPr>
        <w:t>.2无组织恶臭气体</w:t>
      </w:r>
      <w:r>
        <w:rPr>
          <w:b/>
          <w:color w:val="auto"/>
          <w:sz w:val="24"/>
        </w:rPr>
        <w:t>防治措施</w:t>
      </w:r>
    </w:p>
    <w:p>
      <w:pPr>
        <w:pStyle w:val="74"/>
        <w:adjustRightInd/>
        <w:snapToGrid/>
        <w:jc w:val="both"/>
        <w:rPr>
          <w:rFonts w:ascii="Times New Roman" w:hAnsi="Times New Roman" w:cs="Times New Roman"/>
          <w:color w:val="auto"/>
        </w:rPr>
      </w:pPr>
      <w:r>
        <w:rPr>
          <w:rFonts w:hint="eastAsia" w:ascii="Times New Roman" w:hAnsi="Times New Roman" w:cs="Times New Roman"/>
          <w:color w:val="auto"/>
        </w:rPr>
        <w:t>1、待宰间、屠宰车间、污水处理站</w:t>
      </w:r>
    </w:p>
    <w:p>
      <w:pPr>
        <w:pStyle w:val="74"/>
        <w:adjustRightInd/>
        <w:snapToGrid/>
        <w:jc w:val="both"/>
        <w:rPr>
          <w:rFonts w:ascii="Times New Roman" w:hAnsi="Times New Roman" w:cs="Times New Roman"/>
          <w:color w:val="auto"/>
        </w:rPr>
      </w:pPr>
      <w:r>
        <w:rPr>
          <w:rFonts w:hint="eastAsia" w:ascii="Times New Roman" w:hAnsi="Times New Roman" w:cs="Times New Roman"/>
          <w:color w:val="auto"/>
        </w:rPr>
        <w:t>本项目待宰间、屠宰车间、污水处理站风机收集不到的恶臭气体，建设方加强管理，增加通风次数加强气体的扩散</w:t>
      </w:r>
      <w:r>
        <w:rPr>
          <w:rFonts w:ascii="Times New Roman" w:hAnsi="Times New Roman" w:cs="Times New Roman"/>
          <w:color w:val="auto"/>
        </w:rPr>
        <w:t>。</w:t>
      </w:r>
    </w:p>
    <w:p>
      <w:pPr>
        <w:pStyle w:val="74"/>
        <w:adjustRightInd/>
        <w:snapToGrid/>
        <w:jc w:val="both"/>
        <w:rPr>
          <w:rFonts w:ascii="Times New Roman" w:hAnsi="Times New Roman" w:cs="Times New Roman"/>
          <w:color w:val="auto"/>
        </w:rPr>
      </w:pPr>
      <w:r>
        <w:rPr>
          <w:rFonts w:hint="eastAsia" w:ascii="Times New Roman" w:hAnsi="Times New Roman" w:cs="Times New Roman"/>
          <w:color w:val="auto"/>
        </w:rPr>
        <w:t>2、固废暂存</w:t>
      </w:r>
    </w:p>
    <w:p>
      <w:pPr>
        <w:pStyle w:val="74"/>
        <w:adjustRightInd/>
        <w:snapToGrid/>
        <w:jc w:val="both"/>
        <w:rPr>
          <w:rFonts w:ascii="Times New Roman" w:hAnsi="Times New Roman" w:cs="Times New Roman"/>
          <w:bCs/>
          <w:color w:val="auto"/>
        </w:rPr>
      </w:pPr>
      <w:r>
        <w:rPr>
          <w:rFonts w:hint="eastAsia" w:ascii="Times New Roman" w:hAnsi="Times New Roman" w:cs="Times New Roman"/>
          <w:color w:val="auto"/>
        </w:rPr>
        <w:t>厂区产生的肠胃内容物同粪便暂存于待宰间储粪池内，日产日清，每天清洗，喷洒除臭剂；车间产生的不可食用内脏</w:t>
      </w:r>
      <w:r>
        <w:rPr>
          <w:rFonts w:hint="eastAsia" w:ascii="Times New Roman" w:hAnsi="Times New Roman" w:cs="Times New Roman"/>
          <w:bCs/>
          <w:color w:val="auto"/>
        </w:rPr>
        <w:t>采用专用存储桶暂存屠宰车间内，密闭存储，污泥暂存池位于污水处理站地下，属于地埋式建筑。</w:t>
      </w:r>
    </w:p>
    <w:p>
      <w:pPr>
        <w:pStyle w:val="74"/>
        <w:adjustRightInd/>
        <w:snapToGrid/>
        <w:jc w:val="both"/>
        <w:rPr>
          <w:rFonts w:hint="default" w:ascii="Times New Roman" w:hAnsi="Times New Roman" w:cs="Times New Roman" w:eastAsiaTheme="minorEastAsia"/>
          <w:color w:val="auto"/>
          <w:lang w:val="en-US" w:eastAsia="zh-CN"/>
        </w:rPr>
      </w:pPr>
      <w:r>
        <w:rPr>
          <w:rFonts w:hint="eastAsia" w:ascii="Times New Roman" w:hAnsi="Times New Roman" w:cs="Times New Roman"/>
          <w:color w:val="auto"/>
          <w:lang w:val="en-US" w:eastAsia="zh-CN"/>
        </w:rPr>
        <w:t>3、冷库、储氨房</w:t>
      </w:r>
    </w:p>
    <w:p>
      <w:pPr>
        <w:pStyle w:val="74"/>
        <w:adjustRightInd/>
        <w:snapToGrid/>
        <w:jc w:val="both"/>
        <w:rPr>
          <w:rFonts w:ascii="Times New Roman" w:hAnsi="Times New Roman" w:cs="Times New Roman"/>
          <w:color w:val="auto"/>
        </w:rPr>
      </w:pPr>
      <w:r>
        <w:rPr>
          <w:rFonts w:hint="eastAsia"/>
          <w:bCs/>
          <w:color w:val="auto"/>
          <w:lang w:val="en-US" w:eastAsia="zh-CN"/>
        </w:rPr>
        <w:t>冷库及储氨房产生的无组织氨通过加强管理及定期检查，及时更换老化阀门及管道，可减少氨对周围环境的影响。</w:t>
      </w:r>
    </w:p>
    <w:p>
      <w:pPr>
        <w:pStyle w:val="74"/>
        <w:adjustRightInd/>
        <w:snapToGrid/>
        <w:jc w:val="both"/>
        <w:rPr>
          <w:rFonts w:ascii="Times New Roman" w:hAnsi="Times New Roman" w:cs="Times New Roman"/>
          <w:color w:val="auto"/>
        </w:rPr>
      </w:pPr>
      <w:r>
        <w:rPr>
          <w:rFonts w:ascii="Times New Roman" w:hAnsi="Times New Roman" w:cs="Times New Roman"/>
          <w:color w:val="auto"/>
        </w:rPr>
        <w:t>为了进一步减轻恶臭对厂内外环境的影响，建议项目方在厂界四周种植10m宽乔木类植物绿化隔离带，一方面可改善厂内环境，另一方面植被具有隔音、净化空气、杀菌、滞尘等功能，从一定程度上减少恶臭污染物对周围环境的影响。</w:t>
      </w:r>
    </w:p>
    <w:p>
      <w:pPr>
        <w:pStyle w:val="74"/>
        <w:adjustRightInd/>
        <w:snapToGrid/>
        <w:jc w:val="both"/>
        <w:rPr>
          <w:rFonts w:ascii="Times New Roman" w:hAnsi="Times New Roman" w:cs="Times New Roman"/>
          <w:color w:val="auto"/>
        </w:rPr>
      </w:pPr>
      <w:r>
        <w:rPr>
          <w:rFonts w:ascii="Times New Roman" w:hAnsi="Times New Roman" w:cs="Times New Roman"/>
          <w:color w:val="auto"/>
        </w:rPr>
        <w:t>通过采取上述措施，厂界</w:t>
      </w:r>
      <w:r>
        <w:rPr>
          <w:rFonts w:hint="eastAsia" w:ascii="Times New Roman" w:hAnsi="Times New Roman" w:cs="Times New Roman"/>
          <w:color w:val="auto"/>
        </w:rPr>
        <w:t>恶臭</w:t>
      </w:r>
      <w:r>
        <w:rPr>
          <w:rFonts w:ascii="Times New Roman" w:hAnsi="Times New Roman" w:cs="Times New Roman"/>
          <w:color w:val="auto"/>
        </w:rPr>
        <w:t>能够</w:t>
      </w:r>
      <w:r>
        <w:rPr>
          <w:rFonts w:hint="eastAsia" w:ascii="Times New Roman" w:hAnsi="Times New Roman" w:cs="Times New Roman"/>
          <w:color w:val="auto"/>
        </w:rPr>
        <w:t>满足</w:t>
      </w:r>
      <w:r>
        <w:rPr>
          <w:rFonts w:ascii="Times New Roman" w:hAnsi="Times New Roman" w:cs="Times New Roman"/>
          <w:color w:val="auto"/>
        </w:rPr>
        <w:t>《恶臭污染物排放标准》（GB14554-93）恶臭污染物厂界标准值的二级标准要求。</w:t>
      </w:r>
    </w:p>
    <w:p>
      <w:pPr>
        <w:spacing w:line="360" w:lineRule="auto"/>
        <w:outlineLvl w:val="3"/>
        <w:rPr>
          <w:b/>
          <w:color w:val="auto"/>
          <w:sz w:val="24"/>
        </w:rPr>
      </w:pPr>
      <w:r>
        <w:rPr>
          <w:b/>
          <w:color w:val="auto"/>
          <w:sz w:val="24"/>
        </w:rPr>
        <w:t>6.2.1</w:t>
      </w:r>
      <w:r>
        <w:rPr>
          <w:rFonts w:hint="eastAsia"/>
          <w:b/>
          <w:color w:val="auto"/>
          <w:sz w:val="24"/>
        </w:rPr>
        <w:t>.3</w:t>
      </w:r>
      <w:r>
        <w:rPr>
          <w:b/>
          <w:color w:val="auto"/>
          <w:sz w:val="24"/>
        </w:rPr>
        <w:t>其它措施</w:t>
      </w:r>
    </w:p>
    <w:p>
      <w:pPr>
        <w:spacing w:line="360" w:lineRule="auto"/>
        <w:ind w:firstLine="480" w:firstLineChars="200"/>
        <w:rPr>
          <w:color w:val="auto"/>
          <w:sz w:val="24"/>
        </w:rPr>
      </w:pPr>
      <w:r>
        <w:rPr>
          <w:color w:val="auto"/>
          <w:sz w:val="24"/>
        </w:rPr>
        <w:t>为了确保生产过程中各类废气污染物达标排放，建设单位应采取以下监控措施：</w:t>
      </w:r>
    </w:p>
    <w:p>
      <w:pPr>
        <w:spacing w:line="360" w:lineRule="auto"/>
        <w:ind w:firstLine="480" w:firstLineChars="200"/>
        <w:rPr>
          <w:color w:val="auto"/>
          <w:sz w:val="24"/>
        </w:rPr>
      </w:pPr>
      <w:r>
        <w:rPr>
          <w:rFonts w:hint="eastAsia" w:ascii="宋体" w:hAnsi="宋体" w:cs="宋体"/>
          <w:color w:val="auto"/>
          <w:sz w:val="24"/>
        </w:rPr>
        <w:t>①</w:t>
      </w:r>
      <w:r>
        <w:rPr>
          <w:color w:val="auto"/>
          <w:sz w:val="24"/>
        </w:rPr>
        <w:t>建立健全的环保管理机构，对环保管理人员和技术人员进行岗位培训，委托具有专业资质的环境检测单位对厂区排放的各类废气污染物进行定期检测。</w:t>
      </w:r>
    </w:p>
    <w:p>
      <w:pPr>
        <w:spacing w:line="360" w:lineRule="auto"/>
        <w:ind w:firstLine="480" w:firstLineChars="200"/>
        <w:rPr>
          <w:color w:val="auto"/>
          <w:sz w:val="24"/>
        </w:rPr>
      </w:pPr>
      <w:r>
        <w:rPr>
          <w:rFonts w:hint="eastAsia" w:ascii="宋体" w:hAnsi="宋体" w:cs="宋体"/>
          <w:color w:val="auto"/>
          <w:sz w:val="24"/>
        </w:rPr>
        <w:t>②</w:t>
      </w:r>
      <w:r>
        <w:rPr>
          <w:color w:val="auto"/>
          <w:sz w:val="24"/>
        </w:rPr>
        <w:t>定期对废气处理装置进行维护保养，及时发现处理设备的隐患，确保废气治理措施正常运行。</w:t>
      </w:r>
    </w:p>
    <w:p>
      <w:pPr>
        <w:spacing w:line="360" w:lineRule="auto"/>
        <w:ind w:firstLine="480" w:firstLineChars="200"/>
        <w:rPr>
          <w:color w:val="auto"/>
          <w:sz w:val="24"/>
        </w:rPr>
      </w:pPr>
      <w:r>
        <w:rPr>
          <w:rFonts w:hint="eastAsia" w:ascii="宋体" w:hAnsi="宋体" w:cs="宋体"/>
          <w:color w:val="auto"/>
          <w:sz w:val="24"/>
        </w:rPr>
        <w:t>③</w:t>
      </w:r>
      <w:r>
        <w:rPr>
          <w:color w:val="auto"/>
          <w:sz w:val="24"/>
        </w:rPr>
        <w:t>在日常管理中，应加强日常检查，对环保设施运行安排专项检查，确保设备运行正常，以减少非正常工况的发生。</w:t>
      </w:r>
    </w:p>
    <w:p>
      <w:pPr>
        <w:spacing w:line="360" w:lineRule="auto"/>
        <w:ind w:firstLine="480" w:firstLineChars="200"/>
        <w:rPr>
          <w:color w:val="auto"/>
          <w:sz w:val="24"/>
        </w:rPr>
      </w:pPr>
      <w:r>
        <w:rPr>
          <w:color w:val="auto"/>
          <w:sz w:val="24"/>
        </w:rPr>
        <w:t>综上所述，</w:t>
      </w:r>
      <w:r>
        <w:rPr>
          <w:rFonts w:hint="eastAsia"/>
          <w:color w:val="auto"/>
          <w:sz w:val="24"/>
        </w:rPr>
        <w:t>本</w:t>
      </w:r>
      <w:r>
        <w:rPr>
          <w:color w:val="auto"/>
          <w:sz w:val="24"/>
        </w:rPr>
        <w:t>项目大气污染物治理措施可行，污染物经治理和大气稀释扩散后对当地的环境空气质量影响很小，大气环境质量可维持现状水平。</w:t>
      </w:r>
    </w:p>
    <w:p>
      <w:pPr>
        <w:pStyle w:val="5"/>
        <w:spacing w:before="0" w:after="0" w:line="360" w:lineRule="auto"/>
        <w:ind w:firstLine="0" w:firstLineChars="0"/>
        <w:rPr>
          <w:rFonts w:ascii="Times New Roman" w:hAnsi="Times New Roman" w:cs="Times New Roman"/>
          <w:b/>
          <w:color w:val="auto"/>
          <w:sz w:val="28"/>
          <w:szCs w:val="28"/>
        </w:rPr>
      </w:pPr>
      <w:r>
        <w:rPr>
          <w:rFonts w:ascii="Times New Roman" w:hAnsi="Times New Roman" w:cs="Times New Roman"/>
          <w:b/>
          <w:color w:val="auto"/>
          <w:sz w:val="28"/>
          <w:szCs w:val="28"/>
        </w:rPr>
        <w:t>6.2.2水环境保护措施及其可行性论证</w:t>
      </w:r>
    </w:p>
    <w:p>
      <w:pPr>
        <w:spacing w:line="360" w:lineRule="auto"/>
        <w:outlineLvl w:val="3"/>
        <w:rPr>
          <w:b/>
          <w:color w:val="auto"/>
          <w:kern w:val="0"/>
          <w:sz w:val="24"/>
        </w:rPr>
      </w:pPr>
      <w:r>
        <w:rPr>
          <w:b/>
          <w:snapToGrid w:val="0"/>
          <w:color w:val="auto"/>
          <w:kern w:val="0"/>
          <w:sz w:val="24"/>
        </w:rPr>
        <w:t>6.2.2.1废水处理措施及其可行性论证</w:t>
      </w:r>
    </w:p>
    <w:p>
      <w:pPr>
        <w:spacing w:line="360" w:lineRule="auto"/>
        <w:ind w:firstLine="480" w:firstLineChars="200"/>
        <w:rPr>
          <w:rFonts w:hAnsiTheme="minorEastAsia" w:eastAsiaTheme="minorEastAsia"/>
          <w:color w:val="auto"/>
          <w:sz w:val="24"/>
        </w:rPr>
      </w:pPr>
      <w:r>
        <w:rPr>
          <w:rFonts w:hint="eastAsia" w:hAnsiTheme="minorEastAsia" w:eastAsiaTheme="minorEastAsia"/>
          <w:color w:val="auto"/>
          <w:sz w:val="24"/>
        </w:rPr>
        <w:t>1、水污染防治措施</w:t>
      </w:r>
    </w:p>
    <w:p>
      <w:pPr>
        <w:spacing w:line="360" w:lineRule="auto"/>
        <w:ind w:firstLine="480" w:firstLineChars="200"/>
        <w:rPr>
          <w:rFonts w:hAnsiTheme="minorEastAsia" w:eastAsiaTheme="minorEastAsia"/>
          <w:color w:val="auto"/>
          <w:sz w:val="24"/>
        </w:rPr>
      </w:pPr>
      <w:r>
        <w:rPr>
          <w:rFonts w:hint="eastAsia" w:hAnsiTheme="minorEastAsia" w:eastAsiaTheme="minorEastAsia"/>
          <w:color w:val="auto"/>
          <w:sz w:val="24"/>
        </w:rPr>
        <w:t>本项目废水主要包括生活污水和生产废水，生产废水包括待宰间清洗废水（含尿液）、屠宰车间</w:t>
      </w:r>
      <w:r>
        <w:rPr>
          <w:rFonts w:hint="eastAsia" w:hAnsiTheme="minorEastAsia" w:eastAsiaTheme="minorEastAsia"/>
          <w:color w:val="auto"/>
          <w:sz w:val="24"/>
          <w:lang w:val="en-US" w:eastAsia="zh-CN"/>
        </w:rPr>
        <w:t>及急宰间</w:t>
      </w:r>
      <w:r>
        <w:rPr>
          <w:rFonts w:hint="eastAsia" w:hAnsiTheme="minorEastAsia" w:eastAsiaTheme="minorEastAsia"/>
          <w:color w:val="auto"/>
          <w:sz w:val="24"/>
        </w:rPr>
        <w:t>废水，污染因子主要为pH、</w:t>
      </w:r>
      <w:r>
        <w:rPr>
          <w:rFonts w:hAnsiTheme="minorEastAsia" w:eastAsiaTheme="minorEastAsia"/>
          <w:color w:val="auto"/>
          <w:sz w:val="24"/>
        </w:rPr>
        <w:t>COD、</w:t>
      </w:r>
      <w:r>
        <w:rPr>
          <w:rFonts w:hint="eastAsia" w:hAnsiTheme="minorEastAsia" w:eastAsiaTheme="minorEastAsia"/>
          <w:color w:val="auto"/>
          <w:sz w:val="24"/>
        </w:rPr>
        <w:t>BOD</w:t>
      </w:r>
      <w:r>
        <w:rPr>
          <w:rFonts w:hint="eastAsia" w:hAnsiTheme="minorEastAsia" w:eastAsiaTheme="minorEastAsia"/>
          <w:color w:val="auto"/>
          <w:sz w:val="24"/>
          <w:vertAlign w:val="subscript"/>
        </w:rPr>
        <w:t>5</w:t>
      </w:r>
      <w:r>
        <w:rPr>
          <w:rFonts w:hint="eastAsia" w:hAnsiTheme="minorEastAsia" w:eastAsiaTheme="minorEastAsia"/>
          <w:color w:val="auto"/>
          <w:sz w:val="24"/>
        </w:rPr>
        <w:t>、SS、动植物油、</w:t>
      </w:r>
      <w:r>
        <w:rPr>
          <w:rFonts w:hAnsiTheme="minorEastAsia" w:eastAsiaTheme="minorEastAsia"/>
          <w:color w:val="auto"/>
          <w:sz w:val="24"/>
        </w:rPr>
        <w:t>NH</w:t>
      </w:r>
      <w:r>
        <w:rPr>
          <w:rFonts w:hAnsiTheme="minorEastAsia" w:eastAsiaTheme="minorEastAsia"/>
          <w:color w:val="auto"/>
          <w:sz w:val="24"/>
          <w:vertAlign w:val="subscript"/>
        </w:rPr>
        <w:t>3</w:t>
      </w:r>
      <w:r>
        <w:rPr>
          <w:rFonts w:hAnsiTheme="minorEastAsia" w:eastAsiaTheme="minorEastAsia"/>
          <w:color w:val="auto"/>
          <w:sz w:val="24"/>
        </w:rPr>
        <w:t>-N</w:t>
      </w:r>
      <w:r>
        <w:rPr>
          <w:rFonts w:hint="eastAsia" w:hAnsiTheme="minorEastAsia" w:eastAsiaTheme="minorEastAsia"/>
          <w:color w:val="auto"/>
          <w:sz w:val="24"/>
        </w:rPr>
        <w:t>、大肠菌群数，废水量为</w:t>
      </w:r>
      <w:r>
        <w:rPr>
          <w:rFonts w:hint="eastAsia" w:hAnsiTheme="minorEastAsia" w:eastAsiaTheme="minorEastAsia"/>
          <w:color w:val="auto"/>
          <w:sz w:val="24"/>
          <w:lang w:eastAsia="zh-CN"/>
        </w:rPr>
        <w:t>59.0356</w:t>
      </w:r>
      <w:r>
        <w:rPr>
          <w:rFonts w:hint="eastAsia" w:hAnsiTheme="minorEastAsia" w:eastAsiaTheme="minorEastAsia"/>
          <w:color w:val="auto"/>
          <w:sz w:val="24"/>
        </w:rPr>
        <w:t>t/d、</w:t>
      </w:r>
      <w:r>
        <w:rPr>
          <w:rFonts w:hint="eastAsia" w:hAnsiTheme="minorEastAsia" w:eastAsiaTheme="minorEastAsia"/>
          <w:color w:val="auto"/>
          <w:sz w:val="24"/>
          <w:lang w:eastAsia="zh-CN"/>
        </w:rPr>
        <w:t>17518.608</w:t>
      </w:r>
      <w:r>
        <w:rPr>
          <w:rFonts w:hint="eastAsia" w:hAnsiTheme="minorEastAsia" w:eastAsiaTheme="minorEastAsia"/>
          <w:color w:val="auto"/>
          <w:sz w:val="24"/>
        </w:rPr>
        <w:t>t/a。</w:t>
      </w:r>
    </w:p>
    <w:p>
      <w:pPr>
        <w:spacing w:line="360" w:lineRule="auto"/>
        <w:ind w:firstLine="480" w:firstLineChars="200"/>
        <w:rPr>
          <w:rFonts w:hAnsiTheme="minorEastAsia" w:eastAsiaTheme="minorEastAsia"/>
          <w:color w:val="auto"/>
          <w:sz w:val="24"/>
        </w:rPr>
      </w:pPr>
      <w:r>
        <w:rPr>
          <w:rFonts w:hAnsiTheme="minorEastAsia" w:eastAsiaTheme="minorEastAsia"/>
          <w:color w:val="auto"/>
          <w:sz w:val="24"/>
        </w:rPr>
        <w:t>（1）</w:t>
      </w:r>
      <w:r>
        <w:rPr>
          <w:rFonts w:hint="eastAsia" w:hAnsiTheme="minorEastAsia" w:eastAsiaTheme="minorEastAsia"/>
          <w:color w:val="auto"/>
          <w:sz w:val="24"/>
        </w:rPr>
        <w:t>工艺确定</w:t>
      </w:r>
    </w:p>
    <w:p>
      <w:pPr>
        <w:spacing w:line="360" w:lineRule="auto"/>
        <w:ind w:firstLine="480" w:firstLineChars="200"/>
        <w:rPr>
          <w:rFonts w:hAnsiTheme="minorEastAsia" w:eastAsiaTheme="minorEastAsia"/>
          <w:color w:val="auto"/>
          <w:sz w:val="24"/>
        </w:rPr>
      </w:pPr>
      <w:r>
        <w:rPr>
          <w:rFonts w:hAnsiTheme="minorEastAsia" w:eastAsiaTheme="minorEastAsia"/>
          <w:color w:val="auto"/>
          <w:sz w:val="24"/>
        </w:rPr>
        <w:t>屠宰</w:t>
      </w:r>
      <w:r>
        <w:rPr>
          <w:rFonts w:hint="eastAsia" w:hAnsiTheme="minorEastAsia" w:eastAsiaTheme="minorEastAsia"/>
          <w:color w:val="auto"/>
          <w:sz w:val="24"/>
        </w:rPr>
        <w:t>废水</w:t>
      </w:r>
      <w:r>
        <w:rPr>
          <w:rFonts w:hAnsiTheme="minorEastAsia" w:eastAsiaTheme="minorEastAsia"/>
          <w:color w:val="auto"/>
          <w:sz w:val="24"/>
        </w:rPr>
        <w:t>属易于生物降解的高悬浮物有机污水，只要有足够的生物群、供氧及水力停留时间，均能使处理后的污水达到国家排放标准。目前国内对这类污水的处理，均采用以生物法处理为主的处理工艺，包括好氧、厌氧、兼氧等处理系统。主要采用的技术有活性污泥法、生物滤池、生物转盘、生物接触氧化池、生物流化床、氧化塘等。针对本项目生产规模、特点以及污水水质，污水处理工艺最终选择</w:t>
      </w:r>
      <w:r>
        <w:rPr>
          <w:rFonts w:hint="eastAsia" w:hAnsiTheme="minorEastAsia" w:eastAsiaTheme="minorEastAsia"/>
          <w:color w:val="auto"/>
          <w:sz w:val="24"/>
        </w:rPr>
        <w:t>“</w:t>
      </w:r>
      <w:r>
        <w:rPr>
          <w:rFonts w:hAnsiTheme="minorEastAsia" w:eastAsiaTheme="minorEastAsia"/>
          <w:bCs/>
          <w:color w:val="auto"/>
          <w:sz w:val="24"/>
        </w:rPr>
        <w:t>格栅+</w:t>
      </w:r>
      <w:r>
        <w:rPr>
          <w:rFonts w:hAnsiTheme="minorEastAsia" w:eastAsiaTheme="minorEastAsia"/>
          <w:color w:val="auto"/>
          <w:sz w:val="24"/>
        </w:rPr>
        <w:t>隔油沉砂+气浮+水解酸化+生物接触氧化+二沉池+消毒</w:t>
      </w:r>
      <w:r>
        <w:rPr>
          <w:rFonts w:hint="eastAsia" w:hAnsiTheme="minorEastAsia" w:eastAsiaTheme="minorEastAsia"/>
          <w:color w:val="auto"/>
          <w:sz w:val="24"/>
        </w:rPr>
        <w:t>”</w:t>
      </w:r>
      <w:r>
        <w:rPr>
          <w:rFonts w:hAnsiTheme="minorEastAsia" w:eastAsiaTheme="minorEastAsia"/>
          <w:color w:val="auto"/>
          <w:sz w:val="24"/>
        </w:rPr>
        <w:t>工艺作为本项目的污水处理方案。根据</w:t>
      </w:r>
      <w:r>
        <w:rPr>
          <w:rFonts w:hint="eastAsia" w:hAnsiTheme="minorEastAsia" w:eastAsiaTheme="minorEastAsia"/>
          <w:color w:val="auto"/>
          <w:sz w:val="24"/>
        </w:rPr>
        <w:t>《排污许可证申请与核发技术规范农副食品加工工业—屠宰及肉类加工工业》（HJ860.3-2018）</w:t>
      </w:r>
      <w:r>
        <w:rPr>
          <w:rFonts w:hAnsiTheme="minorEastAsia" w:eastAsiaTheme="minorEastAsia"/>
          <w:color w:val="auto"/>
          <w:sz w:val="24"/>
        </w:rPr>
        <w:t>及</w:t>
      </w:r>
      <w:r>
        <w:rPr>
          <w:rFonts w:hint="eastAsia" w:hAnsiTheme="minorEastAsia" w:eastAsiaTheme="minorEastAsia"/>
          <w:bCs/>
          <w:color w:val="auto"/>
          <w:sz w:val="24"/>
        </w:rPr>
        <w:t>《屠宰及肉类加工业污染防治可行技术指南》（</w:t>
      </w:r>
      <w:r>
        <w:rPr>
          <w:rFonts w:hAnsiTheme="minorEastAsia" w:eastAsiaTheme="minorEastAsia"/>
          <w:bCs/>
          <w:color w:val="auto"/>
          <w:sz w:val="24"/>
        </w:rPr>
        <w:t>HJ1285—2023</w:t>
      </w:r>
      <w:r>
        <w:rPr>
          <w:rFonts w:hint="eastAsia" w:hAnsiTheme="minorEastAsia" w:eastAsiaTheme="minorEastAsia"/>
          <w:bCs/>
          <w:color w:val="auto"/>
          <w:sz w:val="24"/>
        </w:rPr>
        <w:t>）</w:t>
      </w:r>
      <w:r>
        <w:rPr>
          <w:rFonts w:hint="eastAsia" w:hAnsiTheme="minorEastAsia" w:eastAsiaTheme="minorEastAsia"/>
          <w:color w:val="auto"/>
          <w:sz w:val="24"/>
        </w:rPr>
        <w:t>，本项目污水处理工艺属于可行性技术。</w:t>
      </w:r>
    </w:p>
    <w:p>
      <w:pPr>
        <w:spacing w:line="360" w:lineRule="auto"/>
        <w:ind w:firstLine="480" w:firstLineChars="200"/>
        <w:rPr>
          <w:rFonts w:eastAsiaTheme="minorEastAsia"/>
          <w:color w:val="auto"/>
          <w:sz w:val="24"/>
        </w:rPr>
      </w:pPr>
      <w:r>
        <w:rPr>
          <w:rFonts w:eastAsiaTheme="minorEastAsia"/>
          <w:color w:val="auto"/>
          <w:sz w:val="24"/>
        </w:rPr>
        <w:t>（2）工艺主要特点</w:t>
      </w:r>
    </w:p>
    <w:p>
      <w:pPr>
        <w:spacing w:line="360" w:lineRule="auto"/>
        <w:ind w:firstLine="480" w:firstLineChars="200"/>
        <w:rPr>
          <w:rFonts w:eastAsiaTheme="minorEastAsia"/>
          <w:color w:val="auto"/>
          <w:sz w:val="24"/>
        </w:rPr>
      </w:pPr>
      <w:r>
        <w:rPr>
          <w:rFonts w:eastAsiaTheme="minorEastAsia"/>
          <w:color w:val="auto"/>
          <w:sz w:val="24"/>
        </w:rPr>
        <w:t>①容积负荷高，耐冲击负荷能力强；</w:t>
      </w:r>
    </w:p>
    <w:p>
      <w:pPr>
        <w:spacing w:line="360" w:lineRule="auto"/>
        <w:ind w:firstLine="480" w:firstLineChars="200"/>
        <w:rPr>
          <w:rFonts w:eastAsiaTheme="minorEastAsia"/>
          <w:color w:val="auto"/>
          <w:sz w:val="24"/>
        </w:rPr>
      </w:pPr>
      <w:r>
        <w:rPr>
          <w:rFonts w:eastAsiaTheme="minorEastAsia"/>
          <w:color w:val="auto"/>
          <w:sz w:val="24"/>
        </w:rPr>
        <w:t>②具有膜法的优点，剩余污泥量少；</w:t>
      </w:r>
    </w:p>
    <w:p>
      <w:pPr>
        <w:spacing w:line="360" w:lineRule="auto"/>
        <w:ind w:firstLine="480" w:firstLineChars="200"/>
        <w:rPr>
          <w:rFonts w:eastAsiaTheme="minorEastAsia"/>
          <w:color w:val="auto"/>
          <w:sz w:val="24"/>
        </w:rPr>
      </w:pPr>
      <w:r>
        <w:rPr>
          <w:rFonts w:eastAsiaTheme="minorEastAsia"/>
          <w:color w:val="auto"/>
          <w:sz w:val="24"/>
        </w:rPr>
        <w:t>③具有活性污泥法的优点，辅以机械设备供氧，生物活性高，泥龄短；</w:t>
      </w:r>
    </w:p>
    <w:p>
      <w:pPr>
        <w:spacing w:line="360" w:lineRule="auto"/>
        <w:ind w:firstLine="480" w:firstLineChars="200"/>
        <w:rPr>
          <w:rFonts w:eastAsiaTheme="minorEastAsia"/>
          <w:color w:val="auto"/>
          <w:sz w:val="24"/>
        </w:rPr>
      </w:pPr>
      <w:r>
        <w:rPr>
          <w:rFonts w:eastAsiaTheme="minorEastAsia"/>
          <w:color w:val="auto"/>
          <w:sz w:val="24"/>
        </w:rPr>
        <w:t>④能分解其它生物处理难分解的物质；</w:t>
      </w:r>
    </w:p>
    <w:p>
      <w:pPr>
        <w:spacing w:line="360" w:lineRule="auto"/>
        <w:ind w:firstLine="480" w:firstLineChars="200"/>
        <w:rPr>
          <w:rFonts w:eastAsiaTheme="minorEastAsia"/>
          <w:color w:val="auto"/>
          <w:sz w:val="24"/>
        </w:rPr>
      </w:pPr>
      <w:r>
        <w:rPr>
          <w:rFonts w:eastAsiaTheme="minorEastAsia"/>
          <w:color w:val="auto"/>
          <w:sz w:val="24"/>
        </w:rPr>
        <w:t>⑤容易管理，消除污泥上浮和膨胀等弊端。</w:t>
      </w:r>
    </w:p>
    <w:p>
      <w:pPr>
        <w:spacing w:line="360" w:lineRule="auto"/>
        <w:ind w:firstLine="480" w:firstLineChars="200"/>
        <w:rPr>
          <w:rFonts w:hAnsiTheme="minorEastAsia" w:eastAsiaTheme="minorEastAsia"/>
          <w:color w:val="auto"/>
          <w:sz w:val="24"/>
        </w:rPr>
      </w:pPr>
      <w:r>
        <w:rPr>
          <w:rFonts w:hAnsiTheme="minorEastAsia" w:eastAsiaTheme="minorEastAsia"/>
          <w:color w:val="auto"/>
          <w:sz w:val="24"/>
        </w:rPr>
        <w:t>（3）</w:t>
      </w:r>
      <w:r>
        <w:rPr>
          <w:rFonts w:hint="eastAsia" w:hAnsiTheme="minorEastAsia" w:eastAsiaTheme="minorEastAsia"/>
          <w:color w:val="auto"/>
          <w:sz w:val="24"/>
        </w:rPr>
        <w:t>设计处理能力</w:t>
      </w:r>
    </w:p>
    <w:p>
      <w:pPr>
        <w:spacing w:line="360" w:lineRule="auto"/>
        <w:ind w:firstLine="480" w:firstLineChars="200"/>
        <w:rPr>
          <w:rFonts w:hAnsiTheme="minorEastAsia" w:eastAsiaTheme="minorEastAsia"/>
          <w:color w:val="auto"/>
          <w:sz w:val="24"/>
        </w:rPr>
      </w:pPr>
      <w:r>
        <w:rPr>
          <w:rFonts w:hint="eastAsia" w:hAnsiTheme="minorEastAsia" w:eastAsiaTheme="minorEastAsia"/>
          <w:color w:val="auto"/>
          <w:sz w:val="24"/>
        </w:rPr>
        <w:t>本项目建设了一座污水处理站，该污水处理站设计处理能力为</w:t>
      </w:r>
      <w:r>
        <w:rPr>
          <w:rFonts w:hint="eastAsia" w:hAnsiTheme="minorEastAsia" w:eastAsiaTheme="minorEastAsia"/>
          <w:color w:val="auto"/>
          <w:sz w:val="24"/>
          <w:lang w:val="en-US" w:eastAsia="zh-CN"/>
        </w:rPr>
        <w:t>70</w:t>
      </w:r>
      <w:r>
        <w:rPr>
          <w:rFonts w:hint="eastAsia" w:hAnsiTheme="minorEastAsia" w:eastAsiaTheme="minorEastAsia"/>
          <w:color w:val="auto"/>
          <w:sz w:val="24"/>
        </w:rPr>
        <w:t>m</w:t>
      </w:r>
      <w:r>
        <w:rPr>
          <w:rFonts w:hint="eastAsia" w:hAnsiTheme="minorEastAsia" w:eastAsiaTheme="minorEastAsia"/>
          <w:color w:val="auto"/>
          <w:sz w:val="24"/>
          <w:vertAlign w:val="superscript"/>
        </w:rPr>
        <w:t>3</w:t>
      </w:r>
      <w:r>
        <w:rPr>
          <w:rFonts w:hint="eastAsia" w:hAnsiTheme="minorEastAsia" w:eastAsiaTheme="minorEastAsia"/>
          <w:color w:val="auto"/>
          <w:sz w:val="24"/>
        </w:rPr>
        <w:t>/d，本项目污水产生量为</w:t>
      </w:r>
      <w:r>
        <w:rPr>
          <w:rFonts w:hint="eastAsia" w:hAnsiTheme="minorEastAsia" w:eastAsiaTheme="minorEastAsia"/>
          <w:color w:val="auto"/>
          <w:sz w:val="24"/>
          <w:lang w:eastAsia="zh-CN"/>
        </w:rPr>
        <w:t>59.0356</w:t>
      </w:r>
      <w:r>
        <w:rPr>
          <w:rFonts w:hint="eastAsia" w:hAnsiTheme="minorEastAsia" w:eastAsiaTheme="minorEastAsia"/>
          <w:color w:val="auto"/>
          <w:sz w:val="24"/>
        </w:rPr>
        <w:t>m</w:t>
      </w:r>
      <w:r>
        <w:rPr>
          <w:rFonts w:hint="eastAsia" w:hAnsiTheme="minorEastAsia" w:eastAsiaTheme="minorEastAsia"/>
          <w:color w:val="auto"/>
          <w:sz w:val="24"/>
          <w:vertAlign w:val="superscript"/>
        </w:rPr>
        <w:t>3</w:t>
      </w:r>
      <w:r>
        <w:rPr>
          <w:rFonts w:hint="eastAsia" w:hAnsiTheme="minorEastAsia" w:eastAsiaTheme="minorEastAsia"/>
          <w:color w:val="auto"/>
          <w:sz w:val="24"/>
        </w:rPr>
        <w:t>/d，</w:t>
      </w:r>
      <w:r>
        <w:rPr>
          <w:rFonts w:hAnsiTheme="minorEastAsia" w:eastAsiaTheme="minorEastAsia"/>
          <w:color w:val="auto"/>
          <w:sz w:val="24"/>
        </w:rPr>
        <w:t>因此，</w:t>
      </w:r>
      <w:r>
        <w:rPr>
          <w:rFonts w:hint="eastAsia" w:hAnsiTheme="minorEastAsia" w:eastAsiaTheme="minorEastAsia"/>
          <w:color w:val="auto"/>
          <w:sz w:val="24"/>
        </w:rPr>
        <w:t>本项目自建的污水处理站</w:t>
      </w:r>
      <w:r>
        <w:rPr>
          <w:rFonts w:hAnsiTheme="minorEastAsia" w:eastAsiaTheme="minorEastAsia"/>
          <w:color w:val="auto"/>
          <w:sz w:val="24"/>
        </w:rPr>
        <w:t>能满足本项目废水的处理量。</w:t>
      </w:r>
    </w:p>
    <w:p>
      <w:pPr>
        <w:spacing w:line="360" w:lineRule="auto"/>
        <w:ind w:firstLine="480" w:firstLineChars="200"/>
        <w:rPr>
          <w:rFonts w:hAnsiTheme="minorEastAsia" w:eastAsiaTheme="minorEastAsia"/>
          <w:color w:val="auto"/>
          <w:sz w:val="24"/>
        </w:rPr>
      </w:pPr>
      <w:r>
        <w:rPr>
          <w:rFonts w:hint="eastAsia" w:hAnsiTheme="minorEastAsia" w:eastAsiaTheme="minorEastAsia"/>
          <w:color w:val="auto"/>
          <w:sz w:val="24"/>
        </w:rPr>
        <w:t>（4）污水处理工艺流程</w:t>
      </w:r>
    </w:p>
    <w:p>
      <w:pPr>
        <w:spacing w:line="360" w:lineRule="auto"/>
        <w:ind w:firstLine="480" w:firstLineChars="200"/>
        <w:rPr>
          <w:rFonts w:hAnsiTheme="minorEastAsia" w:eastAsiaTheme="minorEastAsia"/>
          <w:color w:val="auto"/>
          <w:sz w:val="24"/>
        </w:rPr>
      </w:pPr>
      <w:r>
        <w:rPr>
          <w:rFonts w:hint="eastAsia" w:hAnsiTheme="minorEastAsia" w:eastAsiaTheme="minorEastAsia"/>
          <w:color w:val="auto"/>
          <w:sz w:val="24"/>
        </w:rPr>
        <w:t>废水通过自建污水管导入格栅池，经回转式机械格栅去除废水中的大块杂物后流入隔油沉砂池除去污水中的油类物质，出水后流入调节池内调节水量、水质，再由调节池内提升泵将废水提升至气浮系统进一步去除废水中油脂，后进入水解酸化池进行酸化水解处理，出水依次重力流入以及生物接触氧化池和二级生化池进行好氧生化处理，在此处经曝气充氧后自上而下流经填料层。经生化处理后的出水流入消毒池，采用次氯酸钠做消毒剂进行消毒处理，处理达标后通过自建管道排入厂区贮水池。本项目污水处理站</w:t>
      </w:r>
      <w:r>
        <w:rPr>
          <w:rFonts w:hAnsiTheme="minorEastAsia" w:eastAsiaTheme="minorEastAsia"/>
          <w:color w:val="auto"/>
          <w:sz w:val="24"/>
        </w:rPr>
        <w:t>工艺流程见下图。</w:t>
      </w:r>
    </w:p>
    <w:p>
      <w:pPr>
        <w:spacing w:line="360" w:lineRule="auto"/>
        <w:rPr>
          <w:color w:val="FF0000"/>
        </w:rPr>
      </w:pPr>
      <w:r>
        <w:rPr>
          <w:color w:val="FF0000"/>
        </w:rPr>
        <w:pict>
          <v:group id="_x0000_s3905" o:spid="_x0000_s3905" o:spt="203" style="height:509.25pt;width:409.2pt;" coordorigin="2035,7424" coordsize="8184,10185" editas="canvas">
            <o:lock v:ext="edit"/>
            <v:shape id="_x0000_s3906" o:spid="_x0000_s3906" o:spt="75" type="#_x0000_t75" style="position:absolute;left:2035;top:7424;height:10185;width:8184;" o:preferrelative="f" coordsize="21600,21600">
              <v:fill focussize="0,0"/>
              <v:stroke/>
              <v:imagedata o:title=""/>
              <o:lock v:ext="edit" text="t" aspectratio="t"/>
            </v:shape>
            <v:shape id="_x0000_s3907" o:spid="_x0000_s3907" o:spt="202" type="#_x0000_t202" style="position:absolute;left:5515;top:7424;height:467;width:871;" filled="f" stroked="f" coordsize="21600,21600">
              <v:path/>
              <v:fill on="f" focussize="0,0"/>
              <v:stroke on="f" joinstyle="miter"/>
              <v:imagedata o:title=""/>
              <o:lock v:ext="edit"/>
              <v:textbox>
                <w:txbxContent>
                  <w:p>
                    <w:pPr>
                      <w:jc w:val="center"/>
                      <w:rPr>
                        <w:szCs w:val="21"/>
                      </w:rPr>
                    </w:pPr>
                    <w:r>
                      <w:rPr>
                        <w:rFonts w:hint="eastAsia"/>
                        <w:szCs w:val="21"/>
                      </w:rPr>
                      <w:t>废水</w:t>
                    </w:r>
                  </w:p>
                </w:txbxContent>
              </v:textbox>
            </v:shape>
            <v:shape id="_x0000_s3908" o:spid="_x0000_s3908" o:spt="202" type="#_x0000_t202" style="position:absolute;left:5217;top:8199;height:466;width:1488;" filled="f" coordsize="21600,21600">
              <v:path/>
              <v:fill on="f" focussize="0,0"/>
              <v:stroke joinstyle="miter"/>
              <v:imagedata o:title=""/>
              <o:lock v:ext="edit"/>
              <v:textbox>
                <w:txbxContent>
                  <w:p>
                    <w:pPr>
                      <w:jc w:val="center"/>
                      <w:rPr>
                        <w:szCs w:val="21"/>
                      </w:rPr>
                    </w:pPr>
                    <w:r>
                      <w:rPr>
                        <w:rFonts w:hint="eastAsia"/>
                        <w:szCs w:val="21"/>
                      </w:rPr>
                      <w:t>格栅</w:t>
                    </w:r>
                  </w:p>
                </w:txbxContent>
              </v:textbox>
            </v:shape>
            <v:shape id="_x0000_s3909" o:spid="_x0000_s3909" o:spt="202" type="#_x0000_t202" style="position:absolute;left:5217;top:9166;height:465;width:1488;" filled="f" coordsize="21600,21600">
              <v:path/>
              <v:fill on="f" focussize="0,0"/>
              <v:stroke joinstyle="miter"/>
              <v:imagedata o:title=""/>
              <o:lock v:ext="edit"/>
              <v:textbox>
                <w:txbxContent>
                  <w:p>
                    <w:pPr>
                      <w:jc w:val="center"/>
                      <w:rPr>
                        <w:szCs w:val="21"/>
                      </w:rPr>
                    </w:pPr>
                    <w:r>
                      <w:rPr>
                        <w:rFonts w:hint="eastAsia"/>
                        <w:szCs w:val="21"/>
                      </w:rPr>
                      <w:t>隔油沉砂池</w:t>
                    </w:r>
                  </w:p>
                </w:txbxContent>
              </v:textbox>
            </v:shape>
            <v:shape id="_x0000_s3910" o:spid="_x0000_s3910" o:spt="202" type="#_x0000_t202" style="position:absolute;left:5217;top:10080;height:465;width:1488;" filled="f" coordsize="21600,21600">
              <v:path/>
              <v:fill on="f" focussize="0,0"/>
              <v:stroke joinstyle="miter"/>
              <v:imagedata o:title=""/>
              <o:lock v:ext="edit"/>
              <v:textbox>
                <w:txbxContent>
                  <w:p>
                    <w:pPr>
                      <w:jc w:val="center"/>
                      <w:rPr>
                        <w:szCs w:val="21"/>
                      </w:rPr>
                    </w:pPr>
                    <w:r>
                      <w:rPr>
                        <w:rFonts w:hint="eastAsia"/>
                        <w:szCs w:val="21"/>
                      </w:rPr>
                      <w:t>调节池</w:t>
                    </w:r>
                  </w:p>
                </w:txbxContent>
              </v:textbox>
            </v:shape>
            <v:shape id="_x0000_s3911" o:spid="_x0000_s3911" o:spt="202" type="#_x0000_t202" style="position:absolute;left:5217;top:12056;height:466;width:1521;" filled="f" coordsize="21600,21600">
              <v:path/>
              <v:fill on="f" focussize="0,0"/>
              <v:stroke joinstyle="miter"/>
              <v:imagedata o:title=""/>
              <o:lock v:ext="edit"/>
              <v:textbox>
                <w:txbxContent>
                  <w:p>
                    <w:pPr>
                      <w:jc w:val="center"/>
                      <w:rPr>
                        <w:szCs w:val="21"/>
                      </w:rPr>
                    </w:pPr>
                    <w:r>
                      <w:rPr>
                        <w:rFonts w:hint="eastAsia"/>
                        <w:szCs w:val="21"/>
                      </w:rPr>
                      <w:t>水解酸化池</w:t>
                    </w:r>
                  </w:p>
                </w:txbxContent>
              </v:textbox>
            </v:shape>
            <v:shape id="_x0000_s3912" o:spid="_x0000_s3912" o:spt="202" type="#_x0000_t202" style="position:absolute;left:5098;top:13010;height:485;width:1840;" filled="f" coordsize="21600,21600">
              <v:path/>
              <v:fill on="f" focussize="0,0"/>
              <v:stroke joinstyle="miter"/>
              <v:imagedata o:title=""/>
              <o:lock v:ext="edit"/>
              <v:textbox>
                <w:txbxContent>
                  <w:p>
                    <w:pPr>
                      <w:jc w:val="center"/>
                      <w:rPr>
                        <w:szCs w:val="21"/>
                      </w:rPr>
                    </w:pPr>
                    <w:r>
                      <w:rPr>
                        <w:rFonts w:hint="eastAsia"/>
                        <w:szCs w:val="21"/>
                      </w:rPr>
                      <w:t>生物接触氧化池</w:t>
                    </w:r>
                  </w:p>
                </w:txbxContent>
              </v:textbox>
            </v:shape>
            <v:shape id="_x0000_s3913" o:spid="_x0000_s3913" o:spt="202" type="#_x0000_t202" style="position:absolute;left:5217;top:13985;height:465;width:1521;" filled="f" coordsize="21600,21600">
              <v:path/>
              <v:fill on="f" focussize="0,0"/>
              <v:stroke joinstyle="miter"/>
              <v:imagedata o:title=""/>
              <o:lock v:ext="edit"/>
              <v:textbox>
                <w:txbxContent>
                  <w:p>
                    <w:pPr>
                      <w:jc w:val="center"/>
                      <w:rPr>
                        <w:szCs w:val="21"/>
                      </w:rPr>
                    </w:pPr>
                    <w:r>
                      <w:rPr>
                        <w:rFonts w:hint="eastAsia"/>
                        <w:szCs w:val="21"/>
                      </w:rPr>
                      <w:t>二沉池</w:t>
                    </w:r>
                  </w:p>
                </w:txbxContent>
              </v:textbox>
            </v:shape>
            <v:shape id="_x0000_s3914" o:spid="_x0000_s3914" o:spt="202" type="#_x0000_t202" style="position:absolute;left:5217;top:14960;height:465;width:1633;" filled="f" coordsize="21600,21600">
              <v:path/>
              <v:fill on="f" focussize="0,0"/>
              <v:stroke joinstyle="miter"/>
              <v:imagedata o:title=""/>
              <o:lock v:ext="edit"/>
              <v:textbox>
                <w:txbxContent>
                  <w:p>
                    <w:pPr>
                      <w:jc w:val="center"/>
                      <w:rPr>
                        <w:szCs w:val="21"/>
                      </w:rPr>
                    </w:pPr>
                    <w:r>
                      <w:rPr>
                        <w:rFonts w:hint="eastAsia"/>
                        <w:szCs w:val="21"/>
                      </w:rPr>
                      <w:t>消毒池</w:t>
                    </w:r>
                  </w:p>
                </w:txbxContent>
              </v:textbox>
            </v:shape>
            <v:shape id="_x0000_s3915" o:spid="_x0000_s3915" o:spt="202" type="#_x0000_t202" style="position:absolute;left:5217;top:15935;height:465;width:1633;" filled="f" coordsize="21600,21600">
              <v:path/>
              <v:fill on="f" focussize="0,0"/>
              <v:stroke joinstyle="miter"/>
              <v:imagedata o:title=""/>
              <o:lock v:ext="edit"/>
              <v:textbox>
                <w:txbxContent>
                  <w:p>
                    <w:pPr>
                      <w:jc w:val="center"/>
                      <w:rPr>
                        <w:szCs w:val="21"/>
                      </w:rPr>
                    </w:pPr>
                    <w:r>
                      <w:rPr>
                        <w:rFonts w:hint="eastAsia"/>
                        <w:szCs w:val="21"/>
                      </w:rPr>
                      <w:t>贮水池</w:t>
                    </w:r>
                  </w:p>
                </w:txbxContent>
              </v:textbox>
            </v:shape>
            <v:shape id="_x0000_s3917" o:spid="_x0000_s3917" o:spt="32" type="#_x0000_t32" style="position:absolute;left:5951;top:8665;height:501;width:1;" o:connectortype="straight" filled="f" coordsize="21600,21600">
              <v:path arrowok="t"/>
              <v:fill on="f" focussize="0,0"/>
              <v:stroke endarrow="block"/>
              <v:imagedata o:title=""/>
              <o:lock v:ext="edit"/>
            </v:shape>
            <v:shape id="_x0000_s3918" o:spid="_x0000_s3918" o:spt="32" type="#_x0000_t32" style="position:absolute;left:5950;top:9631;height:449;width:1;" o:connectortype="straight" filled="f" coordsize="21600,21600">
              <v:path arrowok="t"/>
              <v:fill on="f" focussize="0,0"/>
              <v:stroke endarrow="block"/>
              <v:imagedata o:title=""/>
              <o:lock v:ext="edit"/>
            </v:shape>
            <v:shape id="_x0000_s3919" o:spid="_x0000_s3919" o:spt="32" type="#_x0000_t32" style="position:absolute;left:5949;top:10545;height:523;width:1;" o:connectortype="straight" filled="f" coordsize="21600,21600">
              <v:path arrowok="t"/>
              <v:fill on="f" focussize="0,0"/>
              <v:stroke endarrow="block"/>
              <v:imagedata o:title=""/>
              <o:lock v:ext="edit"/>
            </v:shape>
            <v:shape id="_x0000_s3920" o:spid="_x0000_s3920" o:spt="32" type="#_x0000_t32" style="position:absolute;left:5978;top:12522;height:488;width:1;" o:connectortype="straight" filled="f" coordsize="21600,21600">
              <v:path arrowok="t"/>
              <v:fill on="f" focussize="0,0"/>
              <v:stroke endarrow="block"/>
              <v:imagedata o:title=""/>
              <o:lock v:ext="edit"/>
            </v:shape>
            <v:shape id="_x0000_s3921" o:spid="_x0000_s3921" o:spt="32" type="#_x0000_t32" style="position:absolute;left:5978;top:13495;height:490;width:1;" o:connectortype="straight" filled="f" coordsize="21600,21600">
              <v:path arrowok="t"/>
              <v:fill on="f" focussize="0,0"/>
              <v:stroke endarrow="block"/>
              <v:imagedata o:title=""/>
              <o:lock v:ext="edit"/>
            </v:shape>
            <v:shape id="_x0000_s3922" o:spid="_x0000_s3922" o:spt="32" type="#_x0000_t32" style="position:absolute;left:5978;top:14450;height:510;width:1;" o:connectortype="straight" filled="f" coordsize="21600,21600">
              <v:path arrowok="t"/>
              <v:fill on="f" focussize="0,0"/>
              <v:stroke endarrow="block"/>
              <v:imagedata o:title=""/>
              <o:lock v:ext="edit"/>
            </v:shape>
            <v:shape id="_x0000_s3923" o:spid="_x0000_s3923" o:spt="32" type="#_x0000_t32" style="position:absolute;left:5978;top:15425;height:510;width:1;" o:connectortype="straight" filled="f" coordsize="21600,21600">
              <v:path arrowok="t"/>
              <v:fill on="f" focussize="0,0"/>
              <v:stroke endarrow="block"/>
              <v:imagedata o:title=""/>
              <o:lock v:ext="edit"/>
            </v:shape>
            <v:shape id="_x0000_s3924" o:spid="_x0000_s3924" o:spt="202" type="#_x0000_t202" style="position:absolute;left:7822;top:14699;height:459;width:1355;" filled="f" coordsize="21600,21600">
              <v:path/>
              <v:fill on="f" focussize="0,0"/>
              <v:stroke joinstyle="miter"/>
              <v:imagedata o:title=""/>
              <o:lock v:ext="edit"/>
              <v:textbox>
                <w:txbxContent>
                  <w:p>
                    <w:pPr>
                      <w:jc w:val="center"/>
                      <w:rPr>
                        <w:szCs w:val="21"/>
                      </w:rPr>
                    </w:pPr>
                    <w:r>
                      <w:rPr>
                        <w:rFonts w:hint="eastAsia"/>
                        <w:szCs w:val="21"/>
                      </w:rPr>
                      <w:t>污泥暂存池</w:t>
                    </w:r>
                  </w:p>
                </w:txbxContent>
              </v:textbox>
            </v:shape>
            <v:shape id="_x0000_s3925" o:spid="_x0000_s3925" o:spt="202" type="#_x0000_t202" style="position:absolute;left:7822;top:15674;height:459;width:1355;" filled="f" coordsize="21600,21600">
              <v:path/>
              <v:fill on="f" focussize="0,0"/>
              <v:stroke joinstyle="miter"/>
              <v:imagedata o:title=""/>
              <o:lock v:ext="edit"/>
              <v:textbox>
                <w:txbxContent>
                  <w:p>
                    <w:pPr>
                      <w:jc w:val="center"/>
                      <w:rPr>
                        <w:szCs w:val="21"/>
                      </w:rPr>
                    </w:pPr>
                    <w:r>
                      <w:rPr>
                        <w:rFonts w:hint="eastAsia"/>
                        <w:szCs w:val="21"/>
                      </w:rPr>
                      <w:t>污泥脱水</w:t>
                    </w:r>
                  </w:p>
                </w:txbxContent>
              </v:textbox>
            </v:shape>
            <v:shape id="_x0000_s3926" o:spid="_x0000_s3926" o:spt="202" type="#_x0000_t202" style="position:absolute;left:7602;top:16649;height:459;width:1674;" filled="f" stroked="f" coordsize="21600,21600">
              <v:path/>
              <v:fill on="f" focussize="0,0"/>
              <v:stroke on="f" joinstyle="miter"/>
              <v:imagedata o:title=""/>
              <o:lock v:ext="edit"/>
              <v:textbox>
                <w:txbxContent>
                  <w:p>
                    <w:pPr>
                      <w:jc w:val="center"/>
                      <w:rPr>
                        <w:szCs w:val="21"/>
                      </w:rPr>
                    </w:pPr>
                    <w:r>
                      <w:rPr>
                        <w:rFonts w:hint="eastAsia"/>
                        <w:szCs w:val="21"/>
                      </w:rPr>
                      <w:t>外运委托处置</w:t>
                    </w:r>
                  </w:p>
                </w:txbxContent>
              </v:textbox>
            </v:shape>
            <v:shape id="_x0000_s3928" o:spid="_x0000_s3928" o:spt="32" type="#_x0000_t32" style="position:absolute;left:6938;top:13253;height:1;width:1562;" o:connectortype="straight" filled="f" coordsize="21600,21600">
              <v:path arrowok="t"/>
              <v:fill on="f" focussize="0,0"/>
              <v:stroke dashstyle="dash"/>
              <v:imagedata o:title=""/>
              <o:lock v:ext="edit"/>
            </v:shape>
            <v:shape id="_x0000_s3929" o:spid="_x0000_s3929" o:spt="32" type="#_x0000_t32" style="position:absolute;left:6738;top:14218;height:1;width:1762;" o:connectortype="straight" filled="f" coordsize="21600,21600">
              <v:path arrowok="t"/>
              <v:fill on="f" focussize="0,0"/>
              <v:stroke dashstyle="dash"/>
              <v:imagedata o:title=""/>
              <o:lock v:ext="edit"/>
            </v:shape>
            <v:shape id="_x0000_s3930" o:spid="_x0000_s3930" o:spt="202" type="#_x0000_t202" style="position:absolute;left:8501;top:12522;height:1364;width:559;" filled="f" stroked="f" coordsize="21600,21600">
              <v:path/>
              <v:fill on="f" focussize="0,0"/>
              <v:stroke on="f" joinstyle="miter"/>
              <v:imagedata o:title=""/>
              <o:lock v:ext="edit"/>
              <v:textbox>
                <w:txbxContent>
                  <w:p>
                    <w:pPr>
                      <w:jc w:val="center"/>
                      <w:rPr>
                        <w:szCs w:val="21"/>
                      </w:rPr>
                    </w:pPr>
                    <w:r>
                      <w:rPr>
                        <w:rFonts w:hint="eastAsia"/>
                        <w:szCs w:val="21"/>
                      </w:rPr>
                      <w:t>剩余污泥</w:t>
                    </w:r>
                  </w:p>
                </w:txbxContent>
              </v:textbox>
            </v:shape>
            <v:shape id="_x0000_s3931" o:spid="_x0000_s3931" o:spt="32" type="#_x0000_t32" style="position:absolute;left:8500;top:15158;height:516;width:1;" o:connectortype="straight" filled="f" coordsize="21600,21600">
              <v:path arrowok="t"/>
              <v:fill on="f" focussize="0,0"/>
              <v:stroke dashstyle="dash" endarrow="block"/>
              <v:imagedata o:title=""/>
              <o:lock v:ext="edit"/>
            </v:shape>
            <v:shape id="_x0000_s3933" o:spid="_x0000_s3933" o:spt="202" type="#_x0000_t202" style="position:absolute;left:7100;top:8199;height:564;width:871;" filled="f" stroked="f" coordsize="21600,21600">
              <v:path/>
              <v:fill on="f" focussize="0,0"/>
              <v:stroke on="f" joinstyle="miter"/>
              <v:imagedata o:title=""/>
              <o:lock v:ext="edit"/>
              <v:textbox>
                <w:txbxContent>
                  <w:p>
                    <w:pPr>
                      <w:jc w:val="center"/>
                      <w:rPr>
                        <w:szCs w:val="21"/>
                      </w:rPr>
                    </w:pPr>
                    <w:r>
                      <w:rPr>
                        <w:rFonts w:hint="eastAsia"/>
                        <w:szCs w:val="21"/>
                      </w:rPr>
                      <w:t>固废</w:t>
                    </w:r>
                  </w:p>
                </w:txbxContent>
              </v:textbox>
            </v:shape>
            <v:shape id="_x0000_s3934" o:spid="_x0000_s3934" o:spt="32" type="#_x0000_t32" style="position:absolute;left:6705;top:8454;height:1;width:466;" o:connectortype="straight" filled="f" coordsize="21600,21600">
              <v:path arrowok="t"/>
              <v:fill on="f" focussize="0,0"/>
              <v:stroke dashstyle="dash" endarrow="block"/>
              <v:imagedata o:title=""/>
              <o:lock v:ext="edit"/>
            </v:shape>
            <v:shape id="_x0000_s3916" o:spid="_x0000_s3916" o:spt="32" type="#_x0000_t32" style="position:absolute;left:5950;top:7706;height:493;width:1;" o:connectortype="straight" filled="f" coordsize="21600,21600">
              <v:path arrowok="t"/>
              <v:fill on="f" focussize="0,0"/>
              <v:stroke endarrow="block"/>
              <v:imagedata o:title=""/>
              <o:lock v:ext="edit"/>
            </v:shape>
            <v:shape id="_x0000_s4043" o:spid="_x0000_s4043" o:spt="202" type="#_x0000_t202" style="position:absolute;left:5217;top:11068;height:465;width:1488;" filled="f" coordsize="21600,21600">
              <v:path/>
              <v:fill on="f" focussize="0,0"/>
              <v:stroke joinstyle="miter"/>
              <v:imagedata o:title=""/>
              <o:lock v:ext="edit"/>
              <v:textbox>
                <w:txbxContent>
                  <w:p>
                    <w:pPr>
                      <w:jc w:val="center"/>
                      <w:rPr>
                        <w:szCs w:val="21"/>
                      </w:rPr>
                    </w:pPr>
                    <w:r>
                      <w:rPr>
                        <w:rFonts w:hint="eastAsia"/>
                        <w:szCs w:val="21"/>
                      </w:rPr>
                      <w:t>气浮系统</w:t>
                    </w:r>
                  </w:p>
                </w:txbxContent>
              </v:textbox>
            </v:shape>
            <v:shape id="_x0000_s4044" o:spid="_x0000_s4044" o:spt="32" type="#_x0000_t32" style="position:absolute;left:5948;top:11533;height:523;width:1;" o:connectortype="straight" filled="f" coordsize="21600,21600">
              <v:path arrowok="t"/>
              <v:fill on="f" focussize="0,0"/>
              <v:stroke endarrow="block"/>
              <v:imagedata o:title=""/>
              <o:lock v:ext="edit"/>
            </v:shape>
            <v:shape id="_x0000_s4045" o:spid="_x0000_s4045" o:spt="32" type="#_x0000_t32" style="position:absolute;left:6738;top:12299;height:1;width:1762;" o:connectortype="straight" filled="f" coordsize="21600,21600">
              <v:path arrowok="t"/>
              <v:fill on="f" focussize="0,0"/>
              <v:stroke dashstyle="dash"/>
              <v:imagedata o:title=""/>
              <o:lock v:ext="edit"/>
            </v:shape>
            <v:shape id="_x0000_s4046" o:spid="_x0000_s4046" o:spt="32" type="#_x0000_t32" style="position:absolute;left:8500;top:12300;height:2399;width:1;" o:connectortype="straight" filled="f" coordsize="21600,21600">
              <v:path arrowok="t"/>
              <v:fill on="f" focussize="0,0"/>
              <v:stroke dashstyle="dash" endarrow="block"/>
              <v:imagedata o:title=""/>
              <o:lock v:ext="edit"/>
            </v:shape>
            <v:shape id="_x0000_s4047" o:spid="_x0000_s4047" o:spt="32" type="#_x0000_t32" style="position:absolute;left:8499;top:16133;height:516;width:1;" o:connectortype="straight" filled="f" coordsize="21600,21600">
              <v:path arrowok="t"/>
              <v:fill on="f" focussize="0,0"/>
              <v:stroke dashstyle="dash" endarrow="block"/>
              <v:imagedata o:title=""/>
              <o:lock v:ext="edit"/>
            </v:shape>
            <v:shape id="_x0000_s4048" o:spid="_x0000_s4048" o:spt="32" type="#_x0000_t32" style="position:absolute;left:5948;top:16400;height:510;width:1;" o:connectortype="straight" filled="f" coordsize="21600,21600">
              <v:path arrowok="t"/>
              <v:fill on="f" focussize="0,0"/>
              <v:stroke endarrow="block"/>
              <v:imagedata o:title=""/>
              <o:lock v:ext="edit"/>
            </v:shape>
            <v:shape id="_x0000_s4049" o:spid="_x0000_s4049" o:spt="202" type="#_x0000_t202" style="position:absolute;left:5018;top:16910;height:459;width:1995;" filled="f" stroked="f" coordsize="21600,21600">
              <v:path/>
              <v:fill on="f" focussize="0,0"/>
              <v:stroke on="f" joinstyle="miter"/>
              <v:imagedata o:title=""/>
              <o:lock v:ext="edit"/>
              <v:textbox>
                <w:txbxContent>
                  <w:p>
                    <w:pPr>
                      <w:jc w:val="center"/>
                      <w:rPr>
                        <w:rFonts w:hint="eastAsia" w:eastAsia="宋体"/>
                        <w:szCs w:val="21"/>
                        <w:lang w:eastAsia="zh-CN"/>
                      </w:rPr>
                    </w:pPr>
                    <w:r>
                      <w:rPr>
                        <w:rFonts w:hint="eastAsia"/>
                        <w:szCs w:val="21"/>
                        <w:lang w:eastAsia="zh-CN"/>
                      </w:rPr>
                      <w:t>尚志污水处理厂</w:t>
                    </w:r>
                  </w:p>
                </w:txbxContent>
              </v:textbox>
            </v:shape>
            <w10:wrap type="none"/>
            <w10:anchorlock/>
          </v:group>
        </w:pict>
      </w:r>
    </w:p>
    <w:p>
      <w:pPr>
        <w:spacing w:line="360" w:lineRule="auto"/>
        <w:jc w:val="center"/>
        <w:rPr>
          <w:rFonts w:hAnsiTheme="minorEastAsia" w:eastAsiaTheme="minorEastAsia"/>
          <w:b/>
          <w:color w:val="auto"/>
          <w:sz w:val="24"/>
        </w:rPr>
      </w:pPr>
      <w:r>
        <w:rPr>
          <w:rFonts w:hint="eastAsia" w:hAnsiTheme="minorEastAsia" w:eastAsiaTheme="minorEastAsia"/>
          <w:b/>
          <w:color w:val="auto"/>
          <w:sz w:val="24"/>
        </w:rPr>
        <w:t>图6-2-1 污水处理工艺流程图</w:t>
      </w:r>
    </w:p>
    <w:p>
      <w:pPr>
        <w:spacing w:line="360" w:lineRule="auto"/>
        <w:ind w:firstLine="480" w:firstLineChars="200"/>
        <w:rPr>
          <w:rFonts w:eastAsiaTheme="minorEastAsia"/>
          <w:color w:val="auto"/>
          <w:sz w:val="24"/>
        </w:rPr>
      </w:pPr>
      <w:r>
        <w:rPr>
          <w:rFonts w:eastAsiaTheme="minorEastAsia"/>
          <w:color w:val="auto"/>
          <w:sz w:val="24"/>
        </w:rPr>
        <w:t>2、工艺说明：</w:t>
      </w:r>
    </w:p>
    <w:p>
      <w:pPr>
        <w:spacing w:line="360" w:lineRule="auto"/>
        <w:ind w:firstLine="480" w:firstLineChars="200"/>
        <w:rPr>
          <w:rFonts w:eastAsiaTheme="minorEastAsia"/>
          <w:color w:val="auto"/>
          <w:sz w:val="24"/>
        </w:rPr>
      </w:pPr>
      <w:r>
        <w:rPr>
          <w:rFonts w:eastAsiaTheme="minorEastAsia"/>
          <w:color w:val="auto"/>
          <w:sz w:val="24"/>
        </w:rPr>
        <w:t>①格栅：去除水中漂浮物、细小的颗粒及悬浮物，防止漂浮物经进入后续设备而影响处理效果。</w:t>
      </w:r>
    </w:p>
    <w:p>
      <w:pPr>
        <w:spacing w:line="360" w:lineRule="auto"/>
        <w:ind w:firstLine="480" w:firstLineChars="200"/>
        <w:rPr>
          <w:rFonts w:eastAsiaTheme="minorEastAsia"/>
          <w:color w:val="auto"/>
          <w:sz w:val="24"/>
        </w:rPr>
      </w:pPr>
      <w:r>
        <w:rPr>
          <w:rFonts w:eastAsiaTheme="minorEastAsia"/>
          <w:color w:val="auto"/>
          <w:sz w:val="24"/>
        </w:rPr>
        <w:t>②隔油沉砂池：采用三级隔油工艺，去除大部分漂浮油脂及密度较重的砂。废水从池的一端流入，以较小的流速流经池体，在流动过程中，密度小于水的油粒上升至水面，水从池的另一端流出。在池体上部设置集油管，收集浮油并将其导出收集，</w:t>
      </w:r>
      <w:r>
        <w:rPr>
          <w:rFonts w:hint="eastAsia" w:eastAsiaTheme="minorEastAsia"/>
          <w:color w:val="auto"/>
          <w:sz w:val="24"/>
        </w:rPr>
        <w:t>委托处置</w:t>
      </w:r>
      <w:r>
        <w:rPr>
          <w:rFonts w:eastAsiaTheme="minorEastAsia"/>
          <w:color w:val="auto"/>
          <w:sz w:val="24"/>
        </w:rPr>
        <w:t>。</w:t>
      </w:r>
    </w:p>
    <w:p>
      <w:pPr>
        <w:spacing w:line="360" w:lineRule="auto"/>
        <w:ind w:firstLine="480" w:firstLineChars="200"/>
        <w:rPr>
          <w:rFonts w:eastAsiaTheme="minorEastAsia"/>
          <w:color w:val="auto"/>
          <w:sz w:val="24"/>
        </w:rPr>
      </w:pPr>
      <w:r>
        <w:rPr>
          <w:rFonts w:eastAsiaTheme="minorEastAsia"/>
          <w:color w:val="auto"/>
          <w:sz w:val="24"/>
        </w:rPr>
        <w:t>③调节池：对项目废水水量、水质进行调节，使废水稳定进入后续生化处理阶段，降低对生化处理的冲击影响。</w:t>
      </w:r>
    </w:p>
    <w:p>
      <w:pPr>
        <w:spacing w:line="360" w:lineRule="auto"/>
        <w:ind w:firstLine="480" w:firstLineChars="200"/>
        <w:rPr>
          <w:rFonts w:eastAsiaTheme="minorEastAsia"/>
          <w:color w:val="auto"/>
          <w:sz w:val="24"/>
        </w:rPr>
      </w:pPr>
      <w:r>
        <w:rPr>
          <w:rFonts w:eastAsiaTheme="minorEastAsia"/>
          <w:color w:val="auto"/>
          <w:sz w:val="24"/>
        </w:rPr>
        <w:t>④气浮系统：用于去除废水中的油脂采用浅层气浮。</w:t>
      </w:r>
    </w:p>
    <w:p>
      <w:pPr>
        <w:spacing w:line="360" w:lineRule="auto"/>
        <w:ind w:firstLine="480" w:firstLineChars="200"/>
        <w:rPr>
          <w:rFonts w:eastAsiaTheme="minorEastAsia"/>
          <w:color w:val="auto"/>
          <w:sz w:val="24"/>
        </w:rPr>
      </w:pPr>
      <w:r>
        <w:rPr>
          <w:rFonts w:eastAsiaTheme="minorEastAsia"/>
          <w:color w:val="auto"/>
          <w:sz w:val="24"/>
        </w:rPr>
        <w:t>⑤水解酸化：利用水中的厌氧或兼性菌在水解和酸化阶段的作用，将污水中悬浮性有机固体和难生物降解的大分子物质水解成溶解性有机物和易生物降解的小分子物质，小分子有机物再在酸化菌作用下转化成挥发性脂肪酸。</w:t>
      </w:r>
    </w:p>
    <w:p>
      <w:pPr>
        <w:spacing w:line="360" w:lineRule="auto"/>
        <w:ind w:firstLine="480" w:firstLineChars="200"/>
        <w:rPr>
          <w:rFonts w:eastAsiaTheme="minorEastAsia"/>
          <w:color w:val="auto"/>
          <w:sz w:val="24"/>
        </w:rPr>
      </w:pPr>
      <w:r>
        <w:rPr>
          <w:rFonts w:eastAsiaTheme="minorEastAsia"/>
          <w:color w:val="auto"/>
          <w:sz w:val="24"/>
        </w:rPr>
        <w:t>⑥生物接触氧化：在有氧条件下，污水与固着在填料表面的生物膜充分接触，通过生物降解作用使有机物在好氧菌胞外酶的作用下，转变成为CO</w:t>
      </w:r>
      <w:r>
        <w:rPr>
          <w:rFonts w:eastAsiaTheme="minorEastAsia"/>
          <w:color w:val="auto"/>
          <w:sz w:val="24"/>
          <w:vertAlign w:val="subscript"/>
        </w:rPr>
        <w:t>2</w:t>
      </w:r>
      <w:r>
        <w:rPr>
          <w:rFonts w:eastAsiaTheme="minorEastAsia"/>
          <w:color w:val="auto"/>
          <w:sz w:val="24"/>
        </w:rPr>
        <w:t>和H</w:t>
      </w:r>
      <w:r>
        <w:rPr>
          <w:rFonts w:eastAsiaTheme="minorEastAsia"/>
          <w:color w:val="auto"/>
          <w:sz w:val="24"/>
          <w:vertAlign w:val="subscript"/>
        </w:rPr>
        <w:t>2</w:t>
      </w:r>
      <w:r>
        <w:rPr>
          <w:rFonts w:eastAsiaTheme="minorEastAsia"/>
          <w:color w:val="auto"/>
          <w:sz w:val="24"/>
        </w:rPr>
        <w:t>O，达到无机化的目的。</w:t>
      </w:r>
    </w:p>
    <w:p>
      <w:pPr>
        <w:spacing w:line="360" w:lineRule="auto"/>
        <w:ind w:firstLine="480" w:firstLineChars="200"/>
        <w:rPr>
          <w:rFonts w:eastAsiaTheme="minorEastAsia"/>
          <w:color w:val="auto"/>
          <w:sz w:val="24"/>
        </w:rPr>
      </w:pPr>
      <w:r>
        <w:rPr>
          <w:rFonts w:eastAsiaTheme="minorEastAsia"/>
          <w:color w:val="auto"/>
          <w:sz w:val="24"/>
        </w:rPr>
        <w:t>⑦二沉池：污水中的细小颗粒物及胶状物质在菌胶团的絮凝及吸附作用下，在二沉池中得到污泥，污泥部分回流至水解酸化池和接触氧化池，剩余污泥经过污泥池后经过螺杆泵抽至压滤机</w:t>
      </w:r>
      <w:r>
        <w:rPr>
          <w:rFonts w:hint="eastAsia" w:eastAsiaTheme="minorEastAsia"/>
          <w:color w:val="auto"/>
          <w:sz w:val="24"/>
        </w:rPr>
        <w:t>脱水</w:t>
      </w:r>
      <w:r>
        <w:rPr>
          <w:rFonts w:eastAsiaTheme="minorEastAsia"/>
          <w:color w:val="auto"/>
          <w:sz w:val="24"/>
        </w:rPr>
        <w:t>后外运委托处置。</w:t>
      </w:r>
    </w:p>
    <w:p>
      <w:pPr>
        <w:spacing w:line="360" w:lineRule="auto"/>
        <w:ind w:firstLine="480" w:firstLineChars="200"/>
        <w:rPr>
          <w:rFonts w:eastAsiaTheme="minorEastAsia"/>
          <w:color w:val="auto"/>
          <w:sz w:val="24"/>
        </w:rPr>
      </w:pPr>
      <w:r>
        <w:rPr>
          <w:rFonts w:eastAsiaTheme="minorEastAsia"/>
          <w:color w:val="auto"/>
          <w:sz w:val="24"/>
        </w:rPr>
        <w:t>⑧消毒池：本项目采用次氯酸钠作为消毒剂进行消毒，次氯酸钠采用10%浓度的水溶液在污水设备操作间内投药器自动配置并投加到消毒池中。</w:t>
      </w:r>
    </w:p>
    <w:p>
      <w:pPr>
        <w:spacing w:line="360" w:lineRule="auto"/>
        <w:ind w:firstLine="480" w:firstLineChars="200"/>
        <w:rPr>
          <w:rFonts w:eastAsiaTheme="minorEastAsia"/>
          <w:color w:val="auto"/>
          <w:sz w:val="24"/>
        </w:rPr>
      </w:pPr>
      <w:r>
        <w:rPr>
          <w:rFonts w:eastAsiaTheme="minorEastAsia"/>
          <w:color w:val="auto"/>
          <w:sz w:val="24"/>
        </w:rPr>
        <w:t>⑨污泥脱水：污泥经管道进入污泥池暂存，达到一定量后采用压滤机压滤进行脱水，然后外运委托处置。</w:t>
      </w:r>
    </w:p>
    <w:p>
      <w:pPr>
        <w:spacing w:line="480" w:lineRule="exact"/>
        <w:ind w:firstLine="528" w:firstLineChars="200"/>
        <w:rPr>
          <w:color w:val="auto"/>
          <w:spacing w:val="12"/>
          <w:sz w:val="24"/>
        </w:rPr>
      </w:pPr>
      <w:r>
        <w:rPr>
          <w:color w:val="auto"/>
          <w:spacing w:val="12"/>
          <w:sz w:val="24"/>
        </w:rPr>
        <w:t>污水处理站处理效果见下表。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sz w:val="24"/>
        </w:rPr>
      </w:pPr>
      <w:r>
        <w:rPr>
          <w:b/>
          <w:color w:val="auto"/>
          <w:sz w:val="24"/>
        </w:rPr>
        <w:t>表6-2-</w:t>
      </w:r>
      <w:r>
        <w:rPr>
          <w:rFonts w:hint="eastAsia"/>
          <w:b/>
          <w:color w:val="auto"/>
          <w:sz w:val="24"/>
        </w:rPr>
        <w:t>3</w:t>
      </w:r>
      <w:r>
        <w:rPr>
          <w:b/>
          <w:color w:val="auto"/>
          <w:sz w:val="24"/>
        </w:rPr>
        <w:t>全厂污水处理效果一览表</w:t>
      </w:r>
    </w:p>
    <w:tbl>
      <w:tblPr>
        <w:tblStyle w:val="46"/>
        <w:tblW w:w="93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0"/>
        <w:gridCol w:w="1309"/>
        <w:gridCol w:w="791"/>
        <w:gridCol w:w="698"/>
        <w:gridCol w:w="1020"/>
        <w:gridCol w:w="1035"/>
        <w:gridCol w:w="1020"/>
        <w:gridCol w:w="990"/>
        <w:gridCol w:w="1080"/>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9" w:type="dxa"/>
            <w:gridSpan w:val="2"/>
            <w:tcBorders>
              <w:top w:val="single" w:color="auto" w:sz="12" w:space="0"/>
              <w:left w:val="nil"/>
              <w:right w:val="single" w:color="auto" w:sz="6" w:space="0"/>
            </w:tcBorders>
            <w:vAlign w:val="center"/>
          </w:tcPr>
          <w:p>
            <w:pPr>
              <w:jc w:val="center"/>
              <w:rPr>
                <w:color w:val="auto"/>
                <w:szCs w:val="21"/>
              </w:rPr>
            </w:pPr>
            <w:r>
              <w:rPr>
                <w:color w:val="auto"/>
                <w:szCs w:val="21"/>
              </w:rPr>
              <w:t>指标</w:t>
            </w:r>
          </w:p>
        </w:tc>
        <w:tc>
          <w:tcPr>
            <w:tcW w:w="791" w:type="dxa"/>
            <w:tcBorders>
              <w:top w:val="single" w:color="auto" w:sz="12" w:space="0"/>
              <w:left w:val="single" w:color="auto" w:sz="6" w:space="0"/>
              <w:right w:val="single" w:color="auto" w:sz="6" w:space="0"/>
            </w:tcBorders>
            <w:vAlign w:val="center"/>
          </w:tcPr>
          <w:p>
            <w:pPr>
              <w:jc w:val="center"/>
              <w:rPr>
                <w:color w:val="auto"/>
                <w:szCs w:val="21"/>
              </w:rPr>
            </w:pPr>
            <w:r>
              <w:rPr>
                <w:color w:val="auto"/>
                <w:szCs w:val="21"/>
              </w:rPr>
              <w:t>水量</w:t>
            </w:r>
          </w:p>
          <w:p>
            <w:pPr>
              <w:jc w:val="center"/>
              <w:rPr>
                <w:color w:val="auto"/>
                <w:szCs w:val="21"/>
              </w:rPr>
            </w:pPr>
            <w:r>
              <w:rPr>
                <w:color w:val="auto"/>
                <w:szCs w:val="21"/>
              </w:rPr>
              <w:t>（</w:t>
            </w:r>
            <w:r>
              <w:rPr>
                <w:rFonts w:hint="eastAsia"/>
                <w:color w:val="auto"/>
                <w:szCs w:val="21"/>
              </w:rPr>
              <w:t>t</w:t>
            </w:r>
            <w:r>
              <w:rPr>
                <w:color w:val="auto"/>
                <w:szCs w:val="21"/>
              </w:rPr>
              <w:t>/a）</w:t>
            </w:r>
          </w:p>
        </w:tc>
        <w:tc>
          <w:tcPr>
            <w:tcW w:w="698" w:type="dxa"/>
            <w:tcBorders>
              <w:top w:val="single" w:color="auto" w:sz="12" w:space="0"/>
              <w:left w:val="single" w:color="auto" w:sz="6" w:space="0"/>
              <w:right w:val="single" w:color="auto" w:sz="6" w:space="0"/>
            </w:tcBorders>
            <w:vAlign w:val="center"/>
          </w:tcPr>
          <w:p>
            <w:pPr>
              <w:jc w:val="center"/>
              <w:rPr>
                <w:color w:val="auto"/>
                <w:szCs w:val="21"/>
              </w:rPr>
            </w:pPr>
            <w:r>
              <w:rPr>
                <w:color w:val="auto"/>
                <w:szCs w:val="21"/>
              </w:rPr>
              <w:t>pH</w:t>
            </w:r>
          </w:p>
        </w:tc>
        <w:tc>
          <w:tcPr>
            <w:tcW w:w="1020" w:type="dxa"/>
            <w:tcBorders>
              <w:top w:val="single" w:color="auto" w:sz="12" w:space="0"/>
              <w:left w:val="single" w:color="auto" w:sz="6" w:space="0"/>
              <w:right w:val="single" w:color="auto" w:sz="6" w:space="0"/>
            </w:tcBorders>
            <w:vAlign w:val="center"/>
          </w:tcPr>
          <w:p>
            <w:pPr>
              <w:jc w:val="center"/>
              <w:rPr>
                <w:color w:val="auto"/>
                <w:szCs w:val="21"/>
              </w:rPr>
            </w:pPr>
            <w:r>
              <w:rPr>
                <w:color w:val="auto"/>
                <w:szCs w:val="21"/>
              </w:rPr>
              <w:t>COD</w:t>
            </w:r>
          </w:p>
          <w:p>
            <w:pPr>
              <w:jc w:val="center"/>
              <w:rPr>
                <w:color w:val="auto"/>
                <w:szCs w:val="21"/>
              </w:rPr>
            </w:pPr>
            <w:r>
              <w:rPr>
                <w:color w:val="auto"/>
                <w:szCs w:val="21"/>
              </w:rPr>
              <w:t>（mg/L）</w:t>
            </w:r>
          </w:p>
        </w:tc>
        <w:tc>
          <w:tcPr>
            <w:tcW w:w="1035" w:type="dxa"/>
            <w:tcBorders>
              <w:top w:val="single" w:color="auto" w:sz="12" w:space="0"/>
              <w:left w:val="single" w:color="auto" w:sz="6" w:space="0"/>
              <w:right w:val="single" w:color="auto" w:sz="6" w:space="0"/>
            </w:tcBorders>
            <w:vAlign w:val="center"/>
          </w:tcPr>
          <w:p>
            <w:pPr>
              <w:jc w:val="center"/>
              <w:rPr>
                <w:color w:val="auto"/>
                <w:szCs w:val="21"/>
              </w:rPr>
            </w:pPr>
            <w:r>
              <w:rPr>
                <w:color w:val="auto"/>
                <w:szCs w:val="21"/>
              </w:rPr>
              <w:t>BOD</w:t>
            </w:r>
            <w:r>
              <w:rPr>
                <w:color w:val="auto"/>
                <w:szCs w:val="21"/>
                <w:vertAlign w:val="subscript"/>
              </w:rPr>
              <w:t>5</w:t>
            </w:r>
          </w:p>
          <w:p>
            <w:pPr>
              <w:jc w:val="center"/>
              <w:rPr>
                <w:color w:val="auto"/>
                <w:szCs w:val="21"/>
              </w:rPr>
            </w:pPr>
            <w:r>
              <w:rPr>
                <w:color w:val="auto"/>
                <w:szCs w:val="21"/>
              </w:rPr>
              <w:t>（mg/L）</w:t>
            </w:r>
          </w:p>
        </w:tc>
        <w:tc>
          <w:tcPr>
            <w:tcW w:w="1020" w:type="dxa"/>
            <w:tcBorders>
              <w:top w:val="single" w:color="auto" w:sz="12" w:space="0"/>
              <w:left w:val="single" w:color="auto" w:sz="6" w:space="0"/>
              <w:right w:val="single" w:color="auto" w:sz="6" w:space="0"/>
            </w:tcBorders>
            <w:vAlign w:val="center"/>
          </w:tcPr>
          <w:p>
            <w:pPr>
              <w:jc w:val="center"/>
              <w:rPr>
                <w:color w:val="auto"/>
                <w:szCs w:val="21"/>
              </w:rPr>
            </w:pPr>
            <w:r>
              <w:rPr>
                <w:color w:val="auto"/>
                <w:szCs w:val="21"/>
              </w:rPr>
              <w:t>SS</w:t>
            </w:r>
          </w:p>
          <w:p>
            <w:pPr>
              <w:jc w:val="center"/>
              <w:rPr>
                <w:color w:val="auto"/>
                <w:szCs w:val="21"/>
              </w:rPr>
            </w:pPr>
            <w:r>
              <w:rPr>
                <w:color w:val="auto"/>
                <w:szCs w:val="21"/>
              </w:rPr>
              <w:t>（mg/L）</w:t>
            </w:r>
          </w:p>
        </w:tc>
        <w:tc>
          <w:tcPr>
            <w:tcW w:w="990" w:type="dxa"/>
            <w:tcBorders>
              <w:top w:val="single" w:color="auto" w:sz="12" w:space="0"/>
              <w:left w:val="single" w:color="auto" w:sz="6" w:space="0"/>
              <w:right w:val="single" w:color="auto" w:sz="6" w:space="0"/>
            </w:tcBorders>
            <w:vAlign w:val="center"/>
          </w:tcPr>
          <w:p>
            <w:pPr>
              <w:jc w:val="center"/>
              <w:rPr>
                <w:color w:val="auto"/>
                <w:szCs w:val="21"/>
              </w:rPr>
            </w:pPr>
            <w:r>
              <w:rPr>
                <w:color w:val="auto"/>
                <w:szCs w:val="21"/>
              </w:rPr>
              <w:t>氨氮</w:t>
            </w:r>
          </w:p>
          <w:p>
            <w:pPr>
              <w:jc w:val="center"/>
              <w:rPr>
                <w:color w:val="auto"/>
                <w:szCs w:val="21"/>
              </w:rPr>
            </w:pPr>
            <w:r>
              <w:rPr>
                <w:color w:val="auto"/>
                <w:szCs w:val="21"/>
              </w:rPr>
              <w:t>（mg/L）</w:t>
            </w:r>
          </w:p>
        </w:tc>
        <w:tc>
          <w:tcPr>
            <w:tcW w:w="1080" w:type="dxa"/>
            <w:tcBorders>
              <w:top w:val="single" w:color="auto" w:sz="12" w:space="0"/>
              <w:left w:val="single" w:color="auto" w:sz="6" w:space="0"/>
              <w:right w:val="single" w:color="auto" w:sz="6" w:space="0"/>
            </w:tcBorders>
            <w:vAlign w:val="center"/>
          </w:tcPr>
          <w:p>
            <w:pPr>
              <w:jc w:val="center"/>
              <w:rPr>
                <w:color w:val="auto"/>
                <w:szCs w:val="21"/>
              </w:rPr>
            </w:pPr>
            <w:r>
              <w:rPr>
                <w:color w:val="auto"/>
                <w:szCs w:val="21"/>
              </w:rPr>
              <w:t>动植物油</w:t>
            </w:r>
          </w:p>
          <w:p>
            <w:pPr>
              <w:jc w:val="center"/>
              <w:rPr>
                <w:color w:val="auto"/>
                <w:szCs w:val="21"/>
              </w:rPr>
            </w:pPr>
            <w:r>
              <w:rPr>
                <w:color w:val="auto"/>
                <w:szCs w:val="21"/>
              </w:rPr>
              <w:t>（mg/L）</w:t>
            </w:r>
          </w:p>
        </w:tc>
        <w:tc>
          <w:tcPr>
            <w:tcW w:w="1060" w:type="dxa"/>
            <w:tcBorders>
              <w:top w:val="single" w:color="auto" w:sz="12" w:space="0"/>
              <w:left w:val="single" w:color="auto" w:sz="6" w:space="0"/>
              <w:right w:val="nil"/>
            </w:tcBorders>
            <w:vAlign w:val="center"/>
          </w:tcPr>
          <w:p>
            <w:pPr>
              <w:jc w:val="left"/>
              <w:rPr>
                <w:color w:val="auto"/>
                <w:szCs w:val="21"/>
              </w:rPr>
            </w:pPr>
            <w:r>
              <w:rPr>
                <w:color w:val="auto"/>
                <w:szCs w:val="21"/>
              </w:rPr>
              <w:t>大肠菌群数（个/L）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9" w:type="dxa"/>
            <w:gridSpan w:val="2"/>
            <w:tcBorders>
              <w:left w:val="nil"/>
              <w:right w:val="single" w:color="auto" w:sz="6" w:space="0"/>
            </w:tcBorders>
            <w:vAlign w:val="center"/>
          </w:tcPr>
          <w:p>
            <w:pPr>
              <w:jc w:val="center"/>
              <w:rPr>
                <w:color w:val="auto"/>
                <w:szCs w:val="21"/>
              </w:rPr>
            </w:pPr>
            <w:r>
              <w:rPr>
                <w:color w:val="auto"/>
                <w:szCs w:val="21"/>
              </w:rPr>
              <w:t>进水</w:t>
            </w:r>
          </w:p>
        </w:tc>
        <w:tc>
          <w:tcPr>
            <w:tcW w:w="791" w:type="dxa"/>
            <w:tcBorders>
              <w:left w:val="single" w:color="auto" w:sz="6" w:space="0"/>
              <w:right w:val="single" w:color="auto" w:sz="6" w:space="0"/>
            </w:tcBorders>
            <w:vAlign w:val="center"/>
          </w:tcPr>
          <w:p>
            <w:pPr>
              <w:jc w:val="center"/>
              <w:rPr>
                <w:rFonts w:hint="eastAsia" w:eastAsia="宋体"/>
                <w:color w:val="auto"/>
                <w:szCs w:val="21"/>
                <w:lang w:eastAsia="zh-CN"/>
              </w:rPr>
            </w:pPr>
            <w:r>
              <w:rPr>
                <w:rFonts w:hint="eastAsia"/>
                <w:color w:val="auto"/>
                <w:spacing w:val="12"/>
                <w:szCs w:val="21"/>
                <w:lang w:eastAsia="zh-CN"/>
              </w:rPr>
              <w:t>17518.608</w:t>
            </w:r>
          </w:p>
        </w:tc>
        <w:tc>
          <w:tcPr>
            <w:tcW w:w="698" w:type="dxa"/>
            <w:tcBorders>
              <w:left w:val="single" w:color="auto" w:sz="6" w:space="0"/>
              <w:right w:val="single" w:color="auto" w:sz="6" w:space="0"/>
            </w:tcBorders>
            <w:vAlign w:val="center"/>
          </w:tcPr>
          <w:p>
            <w:pPr>
              <w:widowControl/>
              <w:jc w:val="center"/>
              <w:rPr>
                <w:color w:val="auto"/>
                <w:szCs w:val="21"/>
              </w:rPr>
            </w:pPr>
            <w:r>
              <w:rPr>
                <w:color w:val="auto"/>
                <w:szCs w:val="21"/>
              </w:rPr>
              <w:t>6.5～7.5</w:t>
            </w:r>
          </w:p>
        </w:tc>
        <w:tc>
          <w:tcPr>
            <w:tcW w:w="1020" w:type="dxa"/>
            <w:tcBorders>
              <w:left w:val="single" w:color="auto" w:sz="6" w:space="0"/>
              <w:right w:val="single" w:color="auto" w:sz="6" w:space="0"/>
            </w:tcBorders>
            <w:vAlign w:val="center"/>
          </w:tcPr>
          <w:p>
            <w:pPr>
              <w:jc w:val="center"/>
              <w:rPr>
                <w:color w:val="auto"/>
                <w:szCs w:val="21"/>
              </w:rPr>
            </w:pPr>
            <w:r>
              <w:rPr>
                <w:rFonts w:hint="eastAsia"/>
                <w:color w:val="auto"/>
                <w:szCs w:val="21"/>
                <w:lang w:val="en-US" w:eastAsia="zh-CN"/>
              </w:rPr>
              <w:t>1891.13</w:t>
            </w:r>
          </w:p>
        </w:tc>
        <w:tc>
          <w:tcPr>
            <w:tcW w:w="1035" w:type="dxa"/>
            <w:tcBorders>
              <w:left w:val="single" w:color="auto" w:sz="6" w:space="0"/>
              <w:right w:val="single" w:color="auto" w:sz="6" w:space="0"/>
            </w:tcBorders>
            <w:vAlign w:val="center"/>
          </w:tcPr>
          <w:p>
            <w:pPr>
              <w:jc w:val="center"/>
              <w:rPr>
                <w:color w:val="auto"/>
                <w:szCs w:val="21"/>
              </w:rPr>
            </w:pPr>
            <w:r>
              <w:rPr>
                <w:rFonts w:hint="eastAsia"/>
                <w:color w:val="auto"/>
                <w:szCs w:val="21"/>
                <w:lang w:val="en-US" w:eastAsia="zh-CN"/>
              </w:rPr>
              <w:t>946.42</w:t>
            </w:r>
          </w:p>
        </w:tc>
        <w:tc>
          <w:tcPr>
            <w:tcW w:w="1020" w:type="dxa"/>
            <w:tcBorders>
              <w:left w:val="single" w:color="auto" w:sz="6" w:space="0"/>
              <w:right w:val="single" w:color="auto" w:sz="6" w:space="0"/>
            </w:tcBorders>
            <w:vAlign w:val="center"/>
          </w:tcPr>
          <w:p>
            <w:pPr>
              <w:jc w:val="center"/>
              <w:rPr>
                <w:color w:val="auto"/>
                <w:szCs w:val="21"/>
              </w:rPr>
            </w:pPr>
            <w:r>
              <w:rPr>
                <w:rFonts w:hint="eastAsia"/>
                <w:color w:val="auto"/>
                <w:szCs w:val="21"/>
                <w:lang w:val="en-US" w:eastAsia="zh-CN"/>
              </w:rPr>
              <w:t>947.56</w:t>
            </w:r>
          </w:p>
        </w:tc>
        <w:tc>
          <w:tcPr>
            <w:tcW w:w="990" w:type="dxa"/>
            <w:tcBorders>
              <w:left w:val="single" w:color="auto" w:sz="6" w:space="0"/>
              <w:right w:val="single" w:color="auto" w:sz="6" w:space="0"/>
            </w:tcBorders>
            <w:vAlign w:val="center"/>
          </w:tcPr>
          <w:p>
            <w:pPr>
              <w:jc w:val="center"/>
              <w:rPr>
                <w:color w:val="auto"/>
                <w:szCs w:val="21"/>
              </w:rPr>
            </w:pPr>
            <w:r>
              <w:rPr>
                <w:rFonts w:hint="eastAsia"/>
                <w:color w:val="auto"/>
                <w:szCs w:val="21"/>
                <w:lang w:val="en-US" w:eastAsia="zh-CN"/>
              </w:rPr>
              <w:t>142.13</w:t>
            </w:r>
          </w:p>
        </w:tc>
        <w:tc>
          <w:tcPr>
            <w:tcW w:w="1080" w:type="dxa"/>
            <w:tcBorders>
              <w:left w:val="single" w:color="auto" w:sz="6" w:space="0"/>
              <w:right w:val="single" w:color="auto" w:sz="6" w:space="0"/>
            </w:tcBorders>
            <w:vAlign w:val="center"/>
          </w:tcPr>
          <w:p>
            <w:pPr>
              <w:jc w:val="center"/>
              <w:rPr>
                <w:color w:val="auto"/>
                <w:szCs w:val="21"/>
              </w:rPr>
            </w:pPr>
            <w:r>
              <w:rPr>
                <w:rFonts w:hint="eastAsia"/>
                <w:color w:val="auto"/>
                <w:szCs w:val="21"/>
                <w:lang w:val="en-US" w:eastAsia="zh-CN"/>
              </w:rPr>
              <w:t>186.66</w:t>
            </w:r>
          </w:p>
        </w:tc>
        <w:tc>
          <w:tcPr>
            <w:tcW w:w="1060" w:type="dxa"/>
            <w:tcBorders>
              <w:left w:val="single" w:color="auto" w:sz="6" w:space="0"/>
              <w:right w:val="nil"/>
            </w:tcBorders>
            <w:vAlign w:val="center"/>
          </w:tcPr>
          <w:p>
            <w:pPr>
              <w:widowControl/>
              <w:jc w:val="center"/>
              <w:textAlignment w:val="center"/>
              <w:rPr>
                <w:color w:val="auto"/>
                <w:szCs w:val="21"/>
              </w:rPr>
            </w:pPr>
            <w:r>
              <w:rPr>
                <w:rFonts w:hint="eastAsia"/>
                <w:color w:val="auto"/>
                <w:szCs w:val="21"/>
                <w:lang w:val="en-US" w:eastAsia="zh-CN"/>
              </w:rPr>
              <w:t>3.58</w:t>
            </w:r>
            <w:r>
              <w:rPr>
                <w:rFonts w:hint="eastAsia"/>
                <w:bCs/>
                <w:color w:val="auto"/>
                <w:szCs w:val="21"/>
              </w:rPr>
              <w:t>×10</w:t>
            </w:r>
            <w:r>
              <w:rPr>
                <w:rFonts w:hint="eastAsia"/>
                <w:bCs/>
                <w:color w:val="auto"/>
                <w:szCs w:val="21"/>
                <w:vertAlign w:val="superscript"/>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9" w:type="dxa"/>
            <w:gridSpan w:val="2"/>
            <w:tcBorders>
              <w:left w:val="nil"/>
              <w:right w:val="single" w:color="auto" w:sz="6" w:space="0"/>
            </w:tcBorders>
            <w:vAlign w:val="center"/>
          </w:tcPr>
          <w:p>
            <w:pPr>
              <w:jc w:val="center"/>
              <w:rPr>
                <w:color w:val="auto"/>
                <w:szCs w:val="21"/>
              </w:rPr>
            </w:pPr>
            <w:r>
              <w:rPr>
                <w:color w:val="auto"/>
                <w:szCs w:val="21"/>
              </w:rPr>
              <w:t>出水</w:t>
            </w:r>
          </w:p>
        </w:tc>
        <w:tc>
          <w:tcPr>
            <w:tcW w:w="791" w:type="dxa"/>
            <w:tcBorders>
              <w:left w:val="single" w:color="auto" w:sz="6" w:space="0"/>
              <w:right w:val="single" w:color="auto" w:sz="6" w:space="0"/>
            </w:tcBorders>
            <w:vAlign w:val="center"/>
          </w:tcPr>
          <w:p>
            <w:pPr>
              <w:jc w:val="center"/>
              <w:rPr>
                <w:rFonts w:hint="eastAsia" w:eastAsia="宋体"/>
                <w:color w:val="auto"/>
                <w:szCs w:val="21"/>
                <w:lang w:eastAsia="zh-CN"/>
              </w:rPr>
            </w:pPr>
            <w:r>
              <w:rPr>
                <w:rFonts w:hint="eastAsia"/>
                <w:color w:val="auto"/>
                <w:spacing w:val="12"/>
                <w:szCs w:val="21"/>
                <w:lang w:eastAsia="zh-CN"/>
              </w:rPr>
              <w:t>17518.608</w:t>
            </w:r>
          </w:p>
        </w:tc>
        <w:tc>
          <w:tcPr>
            <w:tcW w:w="698" w:type="dxa"/>
            <w:tcBorders>
              <w:left w:val="single" w:color="auto" w:sz="6" w:space="0"/>
              <w:right w:val="single" w:color="auto" w:sz="6" w:space="0"/>
            </w:tcBorders>
            <w:vAlign w:val="center"/>
          </w:tcPr>
          <w:p>
            <w:pPr>
              <w:jc w:val="center"/>
              <w:rPr>
                <w:color w:val="auto"/>
                <w:szCs w:val="21"/>
              </w:rPr>
            </w:pPr>
            <w:r>
              <w:rPr>
                <w:color w:val="auto"/>
                <w:szCs w:val="21"/>
              </w:rPr>
              <w:t>6.5～7.5</w:t>
            </w:r>
          </w:p>
        </w:tc>
        <w:tc>
          <w:tcPr>
            <w:tcW w:w="1020" w:type="dxa"/>
            <w:tcBorders>
              <w:left w:val="single" w:color="auto" w:sz="6" w:space="0"/>
              <w:right w:val="single" w:color="auto" w:sz="6" w:space="0"/>
            </w:tcBorders>
            <w:vAlign w:val="center"/>
          </w:tcPr>
          <w:p>
            <w:pPr>
              <w:widowControl/>
              <w:jc w:val="center"/>
              <w:rPr>
                <w:rFonts w:hint="default" w:eastAsia="宋体"/>
                <w:color w:val="auto"/>
                <w:szCs w:val="21"/>
                <w:lang w:val="en-US" w:eastAsia="zh-CN"/>
              </w:rPr>
            </w:pPr>
            <w:r>
              <w:rPr>
                <w:rFonts w:hint="eastAsia"/>
                <w:color w:val="auto"/>
                <w:szCs w:val="21"/>
                <w:lang w:val="en-US" w:eastAsia="zh-CN"/>
              </w:rPr>
              <w:t>189.11</w:t>
            </w:r>
          </w:p>
        </w:tc>
        <w:tc>
          <w:tcPr>
            <w:tcW w:w="1035" w:type="dxa"/>
            <w:tcBorders>
              <w:left w:val="single" w:color="auto" w:sz="6" w:space="0"/>
              <w:right w:val="single" w:color="auto" w:sz="6" w:space="0"/>
            </w:tcBorders>
            <w:vAlign w:val="center"/>
          </w:tcPr>
          <w:p>
            <w:pPr>
              <w:widowControl/>
              <w:jc w:val="center"/>
              <w:rPr>
                <w:rFonts w:hint="default" w:eastAsia="宋体"/>
                <w:color w:val="auto"/>
                <w:szCs w:val="21"/>
                <w:lang w:val="en-US" w:eastAsia="zh-CN"/>
              </w:rPr>
            </w:pPr>
            <w:r>
              <w:rPr>
                <w:rFonts w:hint="eastAsia"/>
                <w:color w:val="auto"/>
                <w:szCs w:val="21"/>
                <w:lang w:val="en-US" w:eastAsia="zh-CN"/>
              </w:rPr>
              <w:t>94.64</w:t>
            </w:r>
          </w:p>
        </w:tc>
        <w:tc>
          <w:tcPr>
            <w:tcW w:w="1020" w:type="dxa"/>
            <w:tcBorders>
              <w:left w:val="single" w:color="auto" w:sz="6" w:space="0"/>
              <w:right w:val="single" w:color="auto" w:sz="6" w:space="0"/>
            </w:tcBorders>
            <w:vAlign w:val="center"/>
          </w:tcPr>
          <w:p>
            <w:pPr>
              <w:widowControl/>
              <w:jc w:val="center"/>
              <w:rPr>
                <w:rFonts w:hint="default" w:eastAsia="宋体"/>
                <w:color w:val="auto"/>
                <w:szCs w:val="21"/>
                <w:lang w:val="en-US" w:eastAsia="zh-CN"/>
              </w:rPr>
            </w:pPr>
            <w:r>
              <w:rPr>
                <w:rFonts w:hint="eastAsia"/>
                <w:color w:val="auto"/>
                <w:szCs w:val="21"/>
                <w:lang w:val="en-US" w:eastAsia="zh-CN"/>
              </w:rPr>
              <w:t>94.76</w:t>
            </w:r>
          </w:p>
        </w:tc>
        <w:tc>
          <w:tcPr>
            <w:tcW w:w="990" w:type="dxa"/>
            <w:tcBorders>
              <w:left w:val="single" w:color="auto" w:sz="6" w:space="0"/>
              <w:right w:val="single" w:color="auto" w:sz="6" w:space="0"/>
            </w:tcBorders>
            <w:vAlign w:val="center"/>
          </w:tcPr>
          <w:p>
            <w:pPr>
              <w:widowControl/>
              <w:jc w:val="center"/>
              <w:rPr>
                <w:rFonts w:hint="default" w:eastAsia="宋体"/>
                <w:color w:val="auto"/>
                <w:szCs w:val="21"/>
                <w:lang w:val="en-US" w:eastAsia="zh-CN"/>
              </w:rPr>
            </w:pPr>
            <w:r>
              <w:rPr>
                <w:rFonts w:hint="eastAsia"/>
                <w:color w:val="auto"/>
                <w:szCs w:val="21"/>
                <w:lang w:val="en-US" w:eastAsia="zh-CN"/>
              </w:rPr>
              <w:t>31.27</w:t>
            </w:r>
          </w:p>
        </w:tc>
        <w:tc>
          <w:tcPr>
            <w:tcW w:w="1080" w:type="dxa"/>
            <w:tcBorders>
              <w:left w:val="single" w:color="auto" w:sz="6" w:space="0"/>
              <w:right w:val="single" w:color="auto" w:sz="6" w:space="0"/>
            </w:tcBorders>
            <w:vAlign w:val="center"/>
          </w:tcPr>
          <w:p>
            <w:pPr>
              <w:widowControl/>
              <w:jc w:val="center"/>
              <w:rPr>
                <w:rFonts w:hint="default" w:eastAsia="宋体"/>
                <w:color w:val="auto"/>
                <w:szCs w:val="21"/>
                <w:lang w:val="en-US" w:eastAsia="zh-CN"/>
              </w:rPr>
            </w:pPr>
            <w:r>
              <w:rPr>
                <w:rFonts w:hint="eastAsia"/>
                <w:color w:val="auto"/>
                <w:szCs w:val="21"/>
                <w:lang w:val="en-US" w:eastAsia="zh-CN"/>
              </w:rPr>
              <w:t>13.07</w:t>
            </w:r>
          </w:p>
        </w:tc>
        <w:tc>
          <w:tcPr>
            <w:tcW w:w="1060" w:type="dxa"/>
            <w:tcBorders>
              <w:left w:val="single" w:color="auto" w:sz="6" w:space="0"/>
              <w:right w:val="nil"/>
            </w:tcBorders>
            <w:vAlign w:val="center"/>
          </w:tcPr>
          <w:p>
            <w:pPr>
              <w:widowControl/>
              <w:jc w:val="center"/>
              <w:rPr>
                <w:rFonts w:hint="default" w:eastAsia="宋体"/>
                <w:color w:val="auto"/>
                <w:szCs w:val="21"/>
                <w:lang w:val="en-US" w:eastAsia="zh-CN"/>
              </w:rPr>
            </w:pPr>
            <w:r>
              <w:rPr>
                <w:rFonts w:hint="eastAsia"/>
                <w:color w:val="auto"/>
                <w:szCs w:val="21"/>
                <w:lang w:val="en-US" w:eastAsia="zh-CN"/>
              </w:rPr>
              <w:t>19150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dxa"/>
            <w:vMerge w:val="restart"/>
            <w:tcBorders>
              <w:left w:val="nil"/>
              <w:right w:val="single" w:color="auto" w:sz="6" w:space="0"/>
            </w:tcBorders>
            <w:vAlign w:val="center"/>
          </w:tcPr>
          <w:p>
            <w:pPr>
              <w:jc w:val="center"/>
              <w:rPr>
                <w:color w:val="auto"/>
                <w:szCs w:val="21"/>
              </w:rPr>
            </w:pPr>
            <w:r>
              <w:rPr>
                <w:color w:val="auto"/>
                <w:szCs w:val="21"/>
              </w:rPr>
              <w:t>去除率%</w:t>
            </w:r>
          </w:p>
        </w:tc>
        <w:tc>
          <w:tcPr>
            <w:tcW w:w="1309" w:type="dxa"/>
            <w:tcBorders>
              <w:left w:val="single" w:color="auto" w:sz="6" w:space="0"/>
              <w:right w:val="single" w:color="auto" w:sz="6" w:space="0"/>
            </w:tcBorders>
            <w:vAlign w:val="center"/>
          </w:tcPr>
          <w:p>
            <w:pPr>
              <w:jc w:val="center"/>
              <w:rPr>
                <w:color w:val="auto"/>
                <w:szCs w:val="21"/>
              </w:rPr>
            </w:pPr>
            <w:r>
              <w:rPr>
                <w:color w:val="auto"/>
                <w:szCs w:val="21"/>
              </w:rPr>
              <w:t>格栅</w:t>
            </w:r>
          </w:p>
        </w:tc>
        <w:tc>
          <w:tcPr>
            <w:tcW w:w="791"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698"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1020" w:type="dxa"/>
            <w:tcBorders>
              <w:left w:val="single" w:color="auto" w:sz="6" w:space="0"/>
              <w:right w:val="single" w:color="auto" w:sz="6" w:space="0"/>
            </w:tcBorders>
            <w:vAlign w:val="center"/>
          </w:tcPr>
          <w:p>
            <w:pPr>
              <w:widowControl/>
              <w:jc w:val="center"/>
              <w:rPr>
                <w:color w:val="auto"/>
                <w:szCs w:val="21"/>
              </w:rPr>
            </w:pPr>
            <w:r>
              <w:rPr>
                <w:color w:val="auto"/>
                <w:szCs w:val="21"/>
              </w:rPr>
              <w:t>--</w:t>
            </w:r>
          </w:p>
        </w:tc>
        <w:tc>
          <w:tcPr>
            <w:tcW w:w="1035" w:type="dxa"/>
            <w:tcBorders>
              <w:left w:val="single" w:color="auto" w:sz="6" w:space="0"/>
              <w:right w:val="single" w:color="auto" w:sz="6" w:space="0"/>
            </w:tcBorders>
            <w:vAlign w:val="center"/>
          </w:tcPr>
          <w:p>
            <w:pPr>
              <w:widowControl/>
              <w:jc w:val="center"/>
              <w:rPr>
                <w:color w:val="auto"/>
                <w:szCs w:val="21"/>
              </w:rPr>
            </w:pPr>
            <w:r>
              <w:rPr>
                <w:color w:val="auto"/>
                <w:szCs w:val="21"/>
              </w:rPr>
              <w:t>--</w:t>
            </w:r>
          </w:p>
        </w:tc>
        <w:tc>
          <w:tcPr>
            <w:tcW w:w="1020" w:type="dxa"/>
            <w:tcBorders>
              <w:left w:val="single" w:color="auto" w:sz="6" w:space="0"/>
              <w:right w:val="single" w:color="auto" w:sz="6" w:space="0"/>
            </w:tcBorders>
            <w:vAlign w:val="center"/>
          </w:tcPr>
          <w:p>
            <w:pPr>
              <w:widowControl/>
              <w:jc w:val="center"/>
              <w:rPr>
                <w:color w:val="auto"/>
                <w:szCs w:val="21"/>
              </w:rPr>
            </w:pPr>
            <w:r>
              <w:rPr>
                <w:color w:val="auto"/>
                <w:szCs w:val="21"/>
              </w:rPr>
              <w:t>8</w:t>
            </w:r>
            <w:r>
              <w:rPr>
                <w:rFonts w:hint="eastAsia"/>
                <w:color w:val="auto"/>
                <w:szCs w:val="21"/>
              </w:rPr>
              <w:t>0</w:t>
            </w:r>
            <w:r>
              <w:rPr>
                <w:color w:val="auto"/>
                <w:szCs w:val="21"/>
              </w:rPr>
              <w:t>%</w:t>
            </w:r>
          </w:p>
        </w:tc>
        <w:tc>
          <w:tcPr>
            <w:tcW w:w="990" w:type="dxa"/>
            <w:tcBorders>
              <w:left w:val="single" w:color="auto" w:sz="6" w:space="0"/>
              <w:right w:val="single" w:color="auto" w:sz="6" w:space="0"/>
            </w:tcBorders>
            <w:vAlign w:val="center"/>
          </w:tcPr>
          <w:p>
            <w:pPr>
              <w:widowControl/>
              <w:jc w:val="center"/>
              <w:rPr>
                <w:color w:val="auto"/>
                <w:szCs w:val="21"/>
              </w:rPr>
            </w:pPr>
            <w:r>
              <w:rPr>
                <w:color w:val="auto"/>
                <w:szCs w:val="21"/>
              </w:rPr>
              <w:t>--</w:t>
            </w:r>
          </w:p>
        </w:tc>
        <w:tc>
          <w:tcPr>
            <w:tcW w:w="1080"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rPr>
              <w:t>15</w:t>
            </w:r>
            <w:r>
              <w:rPr>
                <w:color w:val="auto"/>
                <w:szCs w:val="21"/>
              </w:rPr>
              <w:t>%</w:t>
            </w:r>
          </w:p>
        </w:tc>
        <w:tc>
          <w:tcPr>
            <w:tcW w:w="1060" w:type="dxa"/>
            <w:tcBorders>
              <w:left w:val="single" w:color="auto" w:sz="6" w:space="0"/>
              <w:right w:val="nil"/>
            </w:tcBorders>
            <w:vAlign w:val="center"/>
          </w:tcPr>
          <w:p>
            <w:pPr>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320" w:type="dxa"/>
            <w:vMerge w:val="continue"/>
            <w:tcBorders>
              <w:left w:val="nil"/>
              <w:right w:val="single" w:color="auto" w:sz="6" w:space="0"/>
            </w:tcBorders>
            <w:vAlign w:val="center"/>
          </w:tcPr>
          <w:p>
            <w:pPr>
              <w:jc w:val="center"/>
              <w:rPr>
                <w:color w:val="auto"/>
                <w:szCs w:val="21"/>
              </w:rPr>
            </w:pPr>
          </w:p>
        </w:tc>
        <w:tc>
          <w:tcPr>
            <w:tcW w:w="1309" w:type="dxa"/>
            <w:tcBorders>
              <w:left w:val="single" w:color="auto" w:sz="6" w:space="0"/>
              <w:right w:val="single" w:color="auto" w:sz="6" w:space="0"/>
            </w:tcBorders>
            <w:vAlign w:val="center"/>
          </w:tcPr>
          <w:p>
            <w:pPr>
              <w:jc w:val="center"/>
              <w:rPr>
                <w:color w:val="auto"/>
                <w:szCs w:val="21"/>
              </w:rPr>
            </w:pPr>
            <w:r>
              <w:rPr>
                <w:color w:val="auto"/>
                <w:szCs w:val="21"/>
              </w:rPr>
              <w:t>隔油池</w:t>
            </w:r>
          </w:p>
        </w:tc>
        <w:tc>
          <w:tcPr>
            <w:tcW w:w="791"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698"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1020" w:type="dxa"/>
            <w:tcBorders>
              <w:left w:val="single" w:color="auto" w:sz="6" w:space="0"/>
              <w:right w:val="single" w:color="auto" w:sz="6" w:space="0"/>
            </w:tcBorders>
            <w:vAlign w:val="center"/>
          </w:tcPr>
          <w:p>
            <w:pPr>
              <w:widowControl/>
              <w:jc w:val="center"/>
              <w:rPr>
                <w:color w:val="auto"/>
                <w:szCs w:val="21"/>
              </w:rPr>
            </w:pPr>
            <w:r>
              <w:rPr>
                <w:color w:val="auto"/>
                <w:szCs w:val="21"/>
              </w:rPr>
              <w:t>--</w:t>
            </w:r>
          </w:p>
        </w:tc>
        <w:tc>
          <w:tcPr>
            <w:tcW w:w="1035" w:type="dxa"/>
            <w:tcBorders>
              <w:left w:val="single" w:color="auto" w:sz="6" w:space="0"/>
              <w:right w:val="single" w:color="auto" w:sz="6" w:space="0"/>
            </w:tcBorders>
            <w:vAlign w:val="center"/>
          </w:tcPr>
          <w:p>
            <w:pPr>
              <w:widowControl/>
              <w:jc w:val="center"/>
              <w:rPr>
                <w:color w:val="auto"/>
                <w:szCs w:val="21"/>
              </w:rPr>
            </w:pPr>
            <w:r>
              <w:rPr>
                <w:color w:val="auto"/>
                <w:szCs w:val="21"/>
              </w:rPr>
              <w:t>--</w:t>
            </w:r>
          </w:p>
        </w:tc>
        <w:tc>
          <w:tcPr>
            <w:tcW w:w="1020" w:type="dxa"/>
            <w:tcBorders>
              <w:left w:val="single" w:color="auto" w:sz="6" w:space="0"/>
              <w:right w:val="single" w:color="auto" w:sz="6" w:space="0"/>
            </w:tcBorders>
            <w:vAlign w:val="center"/>
          </w:tcPr>
          <w:p>
            <w:pPr>
              <w:widowControl/>
              <w:jc w:val="center"/>
              <w:rPr>
                <w:color w:val="auto"/>
                <w:szCs w:val="21"/>
              </w:rPr>
            </w:pPr>
            <w:r>
              <w:rPr>
                <w:color w:val="auto"/>
                <w:szCs w:val="21"/>
              </w:rPr>
              <w:t>--</w:t>
            </w:r>
          </w:p>
        </w:tc>
        <w:tc>
          <w:tcPr>
            <w:tcW w:w="990" w:type="dxa"/>
            <w:tcBorders>
              <w:left w:val="single" w:color="auto" w:sz="6" w:space="0"/>
              <w:right w:val="single" w:color="auto" w:sz="6" w:space="0"/>
            </w:tcBorders>
            <w:vAlign w:val="center"/>
          </w:tcPr>
          <w:p>
            <w:pPr>
              <w:widowControl/>
              <w:jc w:val="center"/>
              <w:rPr>
                <w:color w:val="auto"/>
                <w:szCs w:val="21"/>
              </w:rPr>
            </w:pPr>
            <w:r>
              <w:rPr>
                <w:color w:val="auto"/>
                <w:szCs w:val="21"/>
              </w:rPr>
              <w:t>--</w:t>
            </w:r>
          </w:p>
        </w:tc>
        <w:tc>
          <w:tcPr>
            <w:tcW w:w="1080"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rPr>
              <w:t>90.36</w:t>
            </w:r>
            <w:r>
              <w:rPr>
                <w:color w:val="auto"/>
                <w:szCs w:val="21"/>
              </w:rPr>
              <w:t>%</w:t>
            </w:r>
          </w:p>
        </w:tc>
        <w:tc>
          <w:tcPr>
            <w:tcW w:w="1060" w:type="dxa"/>
            <w:tcBorders>
              <w:left w:val="single" w:color="auto" w:sz="6" w:space="0"/>
              <w:right w:val="nil"/>
            </w:tcBorders>
            <w:vAlign w:val="center"/>
          </w:tcPr>
          <w:p>
            <w:pPr>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dxa"/>
            <w:vMerge w:val="continue"/>
            <w:tcBorders>
              <w:left w:val="nil"/>
              <w:right w:val="single" w:color="auto" w:sz="6" w:space="0"/>
            </w:tcBorders>
            <w:vAlign w:val="center"/>
          </w:tcPr>
          <w:p>
            <w:pPr>
              <w:jc w:val="center"/>
              <w:rPr>
                <w:color w:val="auto"/>
                <w:szCs w:val="21"/>
              </w:rPr>
            </w:pPr>
          </w:p>
        </w:tc>
        <w:tc>
          <w:tcPr>
            <w:tcW w:w="1309" w:type="dxa"/>
            <w:tcBorders>
              <w:left w:val="single" w:color="auto" w:sz="6" w:space="0"/>
              <w:right w:val="single" w:color="auto" w:sz="6" w:space="0"/>
            </w:tcBorders>
            <w:vAlign w:val="center"/>
          </w:tcPr>
          <w:p>
            <w:pPr>
              <w:jc w:val="center"/>
              <w:rPr>
                <w:color w:val="auto"/>
                <w:szCs w:val="21"/>
              </w:rPr>
            </w:pPr>
            <w:r>
              <w:rPr>
                <w:color w:val="auto"/>
                <w:szCs w:val="21"/>
              </w:rPr>
              <w:t>水解酸化池</w:t>
            </w:r>
          </w:p>
        </w:tc>
        <w:tc>
          <w:tcPr>
            <w:tcW w:w="791"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698"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1020"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rPr>
              <w:t>30</w:t>
            </w:r>
            <w:r>
              <w:rPr>
                <w:color w:val="auto"/>
                <w:szCs w:val="21"/>
              </w:rPr>
              <w:t>%</w:t>
            </w:r>
          </w:p>
        </w:tc>
        <w:tc>
          <w:tcPr>
            <w:tcW w:w="1035"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rPr>
              <w:t>20</w:t>
            </w:r>
            <w:r>
              <w:rPr>
                <w:color w:val="auto"/>
                <w:szCs w:val="21"/>
              </w:rPr>
              <w:t>%</w:t>
            </w:r>
          </w:p>
        </w:tc>
        <w:tc>
          <w:tcPr>
            <w:tcW w:w="1020"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rPr>
              <w:t>30</w:t>
            </w:r>
            <w:r>
              <w:rPr>
                <w:color w:val="auto"/>
                <w:szCs w:val="21"/>
              </w:rPr>
              <w:t>%</w:t>
            </w:r>
          </w:p>
        </w:tc>
        <w:tc>
          <w:tcPr>
            <w:tcW w:w="990"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rPr>
              <w:t>26</w:t>
            </w:r>
            <w:r>
              <w:rPr>
                <w:color w:val="auto"/>
                <w:szCs w:val="21"/>
              </w:rPr>
              <w:t>%</w:t>
            </w:r>
          </w:p>
        </w:tc>
        <w:tc>
          <w:tcPr>
            <w:tcW w:w="1080" w:type="dxa"/>
            <w:tcBorders>
              <w:left w:val="single" w:color="auto" w:sz="6" w:space="0"/>
              <w:right w:val="single" w:color="auto" w:sz="6" w:space="0"/>
            </w:tcBorders>
            <w:vAlign w:val="center"/>
          </w:tcPr>
          <w:p>
            <w:pPr>
              <w:widowControl/>
              <w:jc w:val="center"/>
              <w:rPr>
                <w:color w:val="auto"/>
                <w:szCs w:val="21"/>
              </w:rPr>
            </w:pPr>
            <w:r>
              <w:rPr>
                <w:color w:val="auto"/>
                <w:szCs w:val="21"/>
              </w:rPr>
              <w:t>1</w:t>
            </w:r>
            <w:r>
              <w:rPr>
                <w:rFonts w:hint="eastAsia"/>
                <w:color w:val="auto"/>
                <w:szCs w:val="21"/>
              </w:rPr>
              <w:t>0</w:t>
            </w:r>
            <w:r>
              <w:rPr>
                <w:color w:val="auto"/>
                <w:szCs w:val="21"/>
              </w:rPr>
              <w:t>%</w:t>
            </w:r>
          </w:p>
        </w:tc>
        <w:tc>
          <w:tcPr>
            <w:tcW w:w="1060" w:type="dxa"/>
            <w:tcBorders>
              <w:left w:val="single" w:color="auto" w:sz="6" w:space="0"/>
              <w:right w:val="nil"/>
            </w:tcBorders>
            <w:vAlign w:val="center"/>
          </w:tcPr>
          <w:p>
            <w:pPr>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dxa"/>
            <w:vMerge w:val="continue"/>
            <w:tcBorders>
              <w:left w:val="nil"/>
              <w:right w:val="single" w:color="auto" w:sz="6" w:space="0"/>
            </w:tcBorders>
            <w:vAlign w:val="center"/>
          </w:tcPr>
          <w:p>
            <w:pPr>
              <w:jc w:val="center"/>
              <w:rPr>
                <w:color w:val="auto"/>
                <w:szCs w:val="21"/>
              </w:rPr>
            </w:pPr>
          </w:p>
        </w:tc>
        <w:tc>
          <w:tcPr>
            <w:tcW w:w="1309" w:type="dxa"/>
            <w:tcBorders>
              <w:left w:val="single" w:color="auto" w:sz="6" w:space="0"/>
              <w:right w:val="single" w:color="auto" w:sz="6" w:space="0"/>
            </w:tcBorders>
            <w:vAlign w:val="center"/>
          </w:tcPr>
          <w:p>
            <w:pPr>
              <w:jc w:val="center"/>
              <w:rPr>
                <w:color w:val="auto"/>
                <w:szCs w:val="21"/>
              </w:rPr>
            </w:pPr>
            <w:r>
              <w:rPr>
                <w:color w:val="auto"/>
                <w:szCs w:val="21"/>
              </w:rPr>
              <w:t>生物接触氧化池+二沉池</w:t>
            </w:r>
          </w:p>
        </w:tc>
        <w:tc>
          <w:tcPr>
            <w:tcW w:w="791"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698"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1020"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rPr>
              <w:t>85.71</w:t>
            </w:r>
            <w:r>
              <w:rPr>
                <w:color w:val="auto"/>
                <w:szCs w:val="21"/>
              </w:rPr>
              <w:t>%</w:t>
            </w:r>
          </w:p>
        </w:tc>
        <w:tc>
          <w:tcPr>
            <w:tcW w:w="1035"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rPr>
              <w:t>87.5</w:t>
            </w:r>
            <w:r>
              <w:rPr>
                <w:color w:val="auto"/>
                <w:szCs w:val="21"/>
              </w:rPr>
              <w:t>%</w:t>
            </w:r>
          </w:p>
        </w:tc>
        <w:tc>
          <w:tcPr>
            <w:tcW w:w="1020"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rPr>
              <w:t>28.57</w:t>
            </w:r>
            <w:r>
              <w:rPr>
                <w:color w:val="auto"/>
                <w:szCs w:val="21"/>
              </w:rPr>
              <w:t>%</w:t>
            </w:r>
          </w:p>
        </w:tc>
        <w:tc>
          <w:tcPr>
            <w:tcW w:w="990"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rPr>
              <w:t>70.27</w:t>
            </w:r>
            <w:r>
              <w:rPr>
                <w:color w:val="auto"/>
                <w:szCs w:val="21"/>
              </w:rPr>
              <w:t>%</w:t>
            </w:r>
          </w:p>
        </w:tc>
        <w:tc>
          <w:tcPr>
            <w:tcW w:w="1080" w:type="dxa"/>
            <w:tcBorders>
              <w:left w:val="single" w:color="auto" w:sz="6" w:space="0"/>
              <w:right w:val="single" w:color="auto" w:sz="6" w:space="0"/>
            </w:tcBorders>
            <w:vAlign w:val="center"/>
          </w:tcPr>
          <w:p>
            <w:pPr>
              <w:widowControl/>
              <w:jc w:val="center"/>
              <w:rPr>
                <w:color w:val="auto"/>
                <w:szCs w:val="21"/>
              </w:rPr>
            </w:pPr>
            <w:r>
              <w:rPr>
                <w:rFonts w:hint="eastAsia"/>
                <w:color w:val="auto"/>
                <w:szCs w:val="21"/>
              </w:rPr>
              <w:t>5</w:t>
            </w:r>
            <w:r>
              <w:rPr>
                <w:color w:val="auto"/>
                <w:szCs w:val="21"/>
              </w:rPr>
              <w:t>%</w:t>
            </w:r>
          </w:p>
        </w:tc>
        <w:tc>
          <w:tcPr>
            <w:tcW w:w="1060" w:type="dxa"/>
            <w:tcBorders>
              <w:left w:val="single" w:color="auto" w:sz="6" w:space="0"/>
              <w:right w:val="nil"/>
            </w:tcBorders>
            <w:vAlign w:val="center"/>
          </w:tcPr>
          <w:p>
            <w:pPr>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dxa"/>
            <w:vMerge w:val="continue"/>
            <w:tcBorders>
              <w:left w:val="nil"/>
              <w:right w:val="single" w:color="auto" w:sz="6" w:space="0"/>
            </w:tcBorders>
            <w:vAlign w:val="center"/>
          </w:tcPr>
          <w:p>
            <w:pPr>
              <w:jc w:val="center"/>
              <w:rPr>
                <w:color w:val="auto"/>
                <w:szCs w:val="21"/>
              </w:rPr>
            </w:pPr>
          </w:p>
        </w:tc>
        <w:tc>
          <w:tcPr>
            <w:tcW w:w="1309" w:type="dxa"/>
            <w:tcBorders>
              <w:left w:val="single" w:color="auto" w:sz="6" w:space="0"/>
              <w:right w:val="single" w:color="auto" w:sz="6" w:space="0"/>
            </w:tcBorders>
            <w:vAlign w:val="center"/>
          </w:tcPr>
          <w:p>
            <w:pPr>
              <w:jc w:val="center"/>
              <w:rPr>
                <w:color w:val="auto"/>
                <w:szCs w:val="21"/>
              </w:rPr>
            </w:pPr>
            <w:r>
              <w:rPr>
                <w:color w:val="auto"/>
                <w:szCs w:val="21"/>
              </w:rPr>
              <w:t>消毒</w:t>
            </w:r>
          </w:p>
        </w:tc>
        <w:tc>
          <w:tcPr>
            <w:tcW w:w="791"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698"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1020"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1035"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1020"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990"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1080"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1060" w:type="dxa"/>
            <w:tcBorders>
              <w:left w:val="single" w:color="auto" w:sz="6" w:space="0"/>
              <w:right w:val="nil"/>
            </w:tcBorders>
            <w:vAlign w:val="center"/>
          </w:tcPr>
          <w:p>
            <w:pPr>
              <w:jc w:val="center"/>
              <w:rPr>
                <w:color w:val="auto"/>
                <w:szCs w:val="21"/>
              </w:rPr>
            </w:pPr>
            <w:r>
              <w:rPr>
                <w:color w:val="auto"/>
                <w:szCs w:val="21"/>
              </w:rPr>
              <w:t>9</w:t>
            </w:r>
            <w:r>
              <w:rPr>
                <w:rFonts w:hint="eastAsia"/>
                <w:color w:val="auto"/>
                <w:szCs w:val="21"/>
              </w:rPr>
              <w:t>5</w:t>
            </w: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9" w:type="dxa"/>
            <w:gridSpan w:val="2"/>
            <w:tcBorders>
              <w:left w:val="nil"/>
              <w:right w:val="single" w:color="auto" w:sz="6" w:space="0"/>
            </w:tcBorders>
            <w:vAlign w:val="center"/>
          </w:tcPr>
          <w:p>
            <w:pPr>
              <w:jc w:val="center"/>
              <w:rPr>
                <w:color w:val="auto"/>
                <w:szCs w:val="21"/>
              </w:rPr>
            </w:pPr>
            <w:r>
              <w:rPr>
                <w:color w:val="auto"/>
                <w:szCs w:val="21"/>
              </w:rPr>
              <w:t>总去除率%</w:t>
            </w:r>
          </w:p>
        </w:tc>
        <w:tc>
          <w:tcPr>
            <w:tcW w:w="791"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698"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1020" w:type="dxa"/>
            <w:tcBorders>
              <w:left w:val="single" w:color="auto" w:sz="6" w:space="0"/>
              <w:right w:val="single" w:color="auto" w:sz="6" w:space="0"/>
            </w:tcBorders>
            <w:vAlign w:val="center"/>
          </w:tcPr>
          <w:p>
            <w:pPr>
              <w:jc w:val="center"/>
              <w:rPr>
                <w:color w:val="auto"/>
                <w:szCs w:val="21"/>
              </w:rPr>
            </w:pPr>
            <w:r>
              <w:rPr>
                <w:color w:val="auto"/>
                <w:szCs w:val="21"/>
              </w:rPr>
              <w:t>9</w:t>
            </w:r>
            <w:r>
              <w:rPr>
                <w:rFonts w:hint="eastAsia"/>
                <w:color w:val="auto"/>
                <w:szCs w:val="21"/>
              </w:rPr>
              <w:t>0</w:t>
            </w:r>
            <w:r>
              <w:rPr>
                <w:color w:val="auto"/>
                <w:szCs w:val="21"/>
              </w:rPr>
              <w:t>%</w:t>
            </w:r>
          </w:p>
        </w:tc>
        <w:tc>
          <w:tcPr>
            <w:tcW w:w="1035" w:type="dxa"/>
            <w:tcBorders>
              <w:left w:val="single" w:color="auto" w:sz="6" w:space="0"/>
              <w:right w:val="single" w:color="auto" w:sz="6" w:space="0"/>
            </w:tcBorders>
            <w:vAlign w:val="center"/>
          </w:tcPr>
          <w:p>
            <w:pPr>
              <w:jc w:val="center"/>
              <w:rPr>
                <w:color w:val="auto"/>
                <w:szCs w:val="21"/>
              </w:rPr>
            </w:pPr>
            <w:r>
              <w:rPr>
                <w:rFonts w:hint="eastAsia"/>
                <w:color w:val="auto"/>
                <w:szCs w:val="21"/>
              </w:rPr>
              <w:t>90</w:t>
            </w:r>
            <w:r>
              <w:rPr>
                <w:color w:val="auto"/>
                <w:szCs w:val="21"/>
              </w:rPr>
              <w:t>%</w:t>
            </w:r>
          </w:p>
        </w:tc>
        <w:tc>
          <w:tcPr>
            <w:tcW w:w="1020" w:type="dxa"/>
            <w:tcBorders>
              <w:left w:val="single" w:color="auto" w:sz="6" w:space="0"/>
              <w:right w:val="single" w:color="auto" w:sz="6" w:space="0"/>
            </w:tcBorders>
            <w:vAlign w:val="center"/>
          </w:tcPr>
          <w:p>
            <w:pPr>
              <w:jc w:val="center"/>
              <w:rPr>
                <w:color w:val="auto"/>
                <w:szCs w:val="21"/>
              </w:rPr>
            </w:pPr>
            <w:r>
              <w:rPr>
                <w:rFonts w:hint="eastAsia"/>
                <w:color w:val="auto"/>
                <w:szCs w:val="21"/>
              </w:rPr>
              <w:t>90</w:t>
            </w:r>
            <w:r>
              <w:rPr>
                <w:color w:val="auto"/>
                <w:szCs w:val="21"/>
              </w:rPr>
              <w:t>%</w:t>
            </w:r>
          </w:p>
        </w:tc>
        <w:tc>
          <w:tcPr>
            <w:tcW w:w="990" w:type="dxa"/>
            <w:tcBorders>
              <w:left w:val="single" w:color="auto" w:sz="6" w:space="0"/>
              <w:right w:val="single" w:color="auto" w:sz="6" w:space="0"/>
            </w:tcBorders>
            <w:vAlign w:val="center"/>
          </w:tcPr>
          <w:p>
            <w:pPr>
              <w:jc w:val="center"/>
              <w:rPr>
                <w:color w:val="auto"/>
                <w:szCs w:val="21"/>
              </w:rPr>
            </w:pPr>
            <w:r>
              <w:rPr>
                <w:rFonts w:hint="eastAsia"/>
                <w:color w:val="auto"/>
                <w:szCs w:val="21"/>
              </w:rPr>
              <w:t>78</w:t>
            </w:r>
            <w:r>
              <w:rPr>
                <w:color w:val="auto"/>
                <w:szCs w:val="21"/>
              </w:rPr>
              <w:t>%</w:t>
            </w:r>
          </w:p>
        </w:tc>
        <w:tc>
          <w:tcPr>
            <w:tcW w:w="1080" w:type="dxa"/>
            <w:tcBorders>
              <w:left w:val="single" w:color="auto" w:sz="6" w:space="0"/>
              <w:right w:val="single" w:color="auto" w:sz="6" w:space="0"/>
            </w:tcBorders>
            <w:vAlign w:val="center"/>
          </w:tcPr>
          <w:p>
            <w:pPr>
              <w:jc w:val="center"/>
              <w:rPr>
                <w:color w:val="auto"/>
                <w:szCs w:val="21"/>
              </w:rPr>
            </w:pPr>
            <w:r>
              <w:rPr>
                <w:rFonts w:hint="eastAsia"/>
                <w:color w:val="auto"/>
                <w:szCs w:val="21"/>
              </w:rPr>
              <w:t>93</w:t>
            </w:r>
            <w:r>
              <w:rPr>
                <w:color w:val="auto"/>
                <w:szCs w:val="21"/>
              </w:rPr>
              <w:t>%</w:t>
            </w:r>
          </w:p>
        </w:tc>
        <w:tc>
          <w:tcPr>
            <w:tcW w:w="1060" w:type="dxa"/>
            <w:tcBorders>
              <w:left w:val="single" w:color="auto" w:sz="6" w:space="0"/>
              <w:right w:val="nil"/>
            </w:tcBorders>
            <w:vAlign w:val="center"/>
          </w:tcPr>
          <w:p>
            <w:pPr>
              <w:jc w:val="center"/>
              <w:rPr>
                <w:color w:val="auto"/>
                <w:szCs w:val="21"/>
              </w:rPr>
            </w:pPr>
            <w:r>
              <w:rPr>
                <w:color w:val="auto"/>
                <w:szCs w:val="21"/>
              </w:rPr>
              <w:t>9</w:t>
            </w:r>
            <w:r>
              <w:rPr>
                <w:rFonts w:hint="eastAsia"/>
                <w:color w:val="auto"/>
                <w:szCs w:val="21"/>
              </w:rPr>
              <w:t>5</w:t>
            </w: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20" w:type="dxa"/>
            <w:gridSpan w:val="3"/>
            <w:tcBorders>
              <w:left w:val="nil"/>
              <w:right w:val="single" w:color="auto" w:sz="6" w:space="0"/>
            </w:tcBorders>
            <w:vAlign w:val="center"/>
          </w:tcPr>
          <w:p>
            <w:pPr>
              <w:jc w:val="center"/>
              <w:rPr>
                <w:color w:val="auto"/>
                <w:szCs w:val="21"/>
              </w:rPr>
            </w:pPr>
            <w:r>
              <w:rPr>
                <w:color w:val="auto"/>
                <w:szCs w:val="21"/>
              </w:rPr>
              <w:t>《肉类加工工业水污染物排放标准》（GB13457-92）畜类屠宰加工三级标准</w:t>
            </w:r>
          </w:p>
        </w:tc>
        <w:tc>
          <w:tcPr>
            <w:tcW w:w="698" w:type="dxa"/>
            <w:tcBorders>
              <w:left w:val="single" w:color="auto" w:sz="6" w:space="0"/>
              <w:right w:val="single" w:color="auto" w:sz="6" w:space="0"/>
            </w:tcBorders>
            <w:vAlign w:val="center"/>
          </w:tcPr>
          <w:p>
            <w:pPr>
              <w:jc w:val="center"/>
              <w:rPr>
                <w:color w:val="auto"/>
                <w:szCs w:val="21"/>
              </w:rPr>
            </w:pPr>
            <w:r>
              <w:rPr>
                <w:color w:val="auto"/>
                <w:szCs w:val="21"/>
              </w:rPr>
              <w:t>6.</w:t>
            </w:r>
            <w:r>
              <w:rPr>
                <w:rFonts w:hint="eastAsia"/>
                <w:color w:val="auto"/>
                <w:szCs w:val="21"/>
              </w:rPr>
              <w:t>0</w:t>
            </w:r>
            <w:r>
              <w:rPr>
                <w:color w:val="auto"/>
                <w:szCs w:val="21"/>
              </w:rPr>
              <w:t>～8.5</w:t>
            </w:r>
          </w:p>
        </w:tc>
        <w:tc>
          <w:tcPr>
            <w:tcW w:w="1020" w:type="dxa"/>
            <w:tcBorders>
              <w:left w:val="single" w:color="auto" w:sz="6" w:space="0"/>
              <w:right w:val="single" w:color="auto" w:sz="6" w:space="0"/>
            </w:tcBorders>
            <w:vAlign w:val="center"/>
          </w:tcPr>
          <w:p>
            <w:pPr>
              <w:jc w:val="center"/>
              <w:rPr>
                <w:color w:val="auto"/>
                <w:szCs w:val="21"/>
              </w:rPr>
            </w:pPr>
            <w:r>
              <w:rPr>
                <w:color w:val="auto"/>
                <w:spacing w:val="-6"/>
                <w:szCs w:val="21"/>
              </w:rPr>
              <w:t>500</w:t>
            </w:r>
          </w:p>
        </w:tc>
        <w:tc>
          <w:tcPr>
            <w:tcW w:w="1035" w:type="dxa"/>
            <w:tcBorders>
              <w:left w:val="single" w:color="auto" w:sz="6" w:space="0"/>
              <w:right w:val="single" w:color="auto" w:sz="6" w:space="0"/>
            </w:tcBorders>
            <w:vAlign w:val="center"/>
          </w:tcPr>
          <w:p>
            <w:pPr>
              <w:jc w:val="center"/>
              <w:rPr>
                <w:color w:val="auto"/>
                <w:szCs w:val="21"/>
              </w:rPr>
            </w:pPr>
            <w:r>
              <w:rPr>
                <w:color w:val="auto"/>
                <w:szCs w:val="21"/>
              </w:rPr>
              <w:t>300</w:t>
            </w:r>
          </w:p>
        </w:tc>
        <w:tc>
          <w:tcPr>
            <w:tcW w:w="1020" w:type="dxa"/>
            <w:tcBorders>
              <w:left w:val="single" w:color="auto" w:sz="6" w:space="0"/>
              <w:right w:val="single" w:color="auto" w:sz="6" w:space="0"/>
            </w:tcBorders>
            <w:vAlign w:val="center"/>
          </w:tcPr>
          <w:p>
            <w:pPr>
              <w:jc w:val="center"/>
              <w:rPr>
                <w:color w:val="auto"/>
                <w:szCs w:val="21"/>
              </w:rPr>
            </w:pPr>
            <w:r>
              <w:rPr>
                <w:color w:val="auto"/>
                <w:szCs w:val="21"/>
              </w:rPr>
              <w:t>400</w:t>
            </w:r>
          </w:p>
        </w:tc>
        <w:tc>
          <w:tcPr>
            <w:tcW w:w="990" w:type="dxa"/>
            <w:tcBorders>
              <w:left w:val="single" w:color="auto" w:sz="6" w:space="0"/>
              <w:right w:val="single" w:color="auto" w:sz="6" w:space="0"/>
            </w:tcBorders>
            <w:vAlign w:val="center"/>
          </w:tcPr>
          <w:p>
            <w:pPr>
              <w:jc w:val="center"/>
              <w:rPr>
                <w:color w:val="auto"/>
                <w:szCs w:val="21"/>
              </w:rPr>
            </w:pPr>
            <w:r>
              <w:rPr>
                <w:color w:val="auto"/>
                <w:szCs w:val="21"/>
              </w:rPr>
              <w:t>/</w:t>
            </w:r>
          </w:p>
        </w:tc>
        <w:tc>
          <w:tcPr>
            <w:tcW w:w="1080" w:type="dxa"/>
            <w:tcBorders>
              <w:left w:val="single" w:color="auto" w:sz="6" w:space="0"/>
              <w:right w:val="single" w:color="auto" w:sz="6" w:space="0"/>
            </w:tcBorders>
            <w:vAlign w:val="center"/>
          </w:tcPr>
          <w:p>
            <w:pPr>
              <w:jc w:val="center"/>
              <w:rPr>
                <w:color w:val="auto"/>
                <w:szCs w:val="21"/>
              </w:rPr>
            </w:pPr>
            <w:r>
              <w:rPr>
                <w:color w:val="auto"/>
                <w:szCs w:val="21"/>
              </w:rPr>
              <w:t>60</w:t>
            </w:r>
          </w:p>
        </w:tc>
        <w:tc>
          <w:tcPr>
            <w:tcW w:w="1060" w:type="dxa"/>
            <w:tcBorders>
              <w:left w:val="single" w:color="auto" w:sz="6" w:space="0"/>
              <w:right w:val="nil"/>
            </w:tcBorders>
            <w:vAlign w:val="center"/>
          </w:tcPr>
          <w:p>
            <w:pPr>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20" w:type="dxa"/>
            <w:gridSpan w:val="3"/>
            <w:tcBorders>
              <w:left w:val="nil"/>
              <w:right w:val="single" w:color="auto" w:sz="6" w:space="0"/>
            </w:tcBorders>
            <w:vAlign w:val="center"/>
          </w:tcPr>
          <w:p>
            <w:pPr>
              <w:jc w:val="center"/>
              <w:rPr>
                <w:color w:val="auto"/>
                <w:szCs w:val="21"/>
              </w:rPr>
            </w:pPr>
            <w:r>
              <w:rPr>
                <w:rFonts w:hint="eastAsia"/>
                <w:color w:val="auto"/>
                <w:kern w:val="0"/>
                <w:szCs w:val="21"/>
                <w:lang w:eastAsia="zh-CN"/>
              </w:rPr>
              <w:t>尚志污水处理厂</w:t>
            </w:r>
            <w:r>
              <w:rPr>
                <w:color w:val="auto"/>
                <w:kern w:val="0"/>
                <w:szCs w:val="21"/>
              </w:rPr>
              <w:t>设计进水水质指标</w:t>
            </w:r>
          </w:p>
        </w:tc>
        <w:tc>
          <w:tcPr>
            <w:tcW w:w="698" w:type="dxa"/>
            <w:tcBorders>
              <w:left w:val="single" w:color="auto" w:sz="6" w:space="0"/>
              <w:right w:val="single" w:color="auto" w:sz="6" w:space="0"/>
            </w:tcBorders>
            <w:vAlign w:val="center"/>
          </w:tcPr>
          <w:p>
            <w:pPr>
              <w:jc w:val="center"/>
              <w:rPr>
                <w:rFonts w:hint="eastAsia" w:eastAsia="宋体"/>
                <w:color w:val="auto"/>
                <w:szCs w:val="21"/>
                <w:lang w:eastAsia="zh-CN"/>
              </w:rPr>
            </w:pPr>
            <w:r>
              <w:rPr>
                <w:color w:val="auto"/>
                <w:szCs w:val="21"/>
              </w:rPr>
              <w:t>6～</w:t>
            </w:r>
            <w:r>
              <w:rPr>
                <w:rFonts w:hint="eastAsia"/>
                <w:color w:val="auto"/>
                <w:szCs w:val="21"/>
                <w:lang w:val="en-US" w:eastAsia="zh-CN"/>
              </w:rPr>
              <w:t>9</w:t>
            </w:r>
          </w:p>
        </w:tc>
        <w:tc>
          <w:tcPr>
            <w:tcW w:w="1020" w:type="dxa"/>
            <w:tcBorders>
              <w:left w:val="single" w:color="auto" w:sz="6" w:space="0"/>
              <w:right w:val="single" w:color="auto" w:sz="6" w:space="0"/>
            </w:tcBorders>
            <w:vAlign w:val="center"/>
          </w:tcPr>
          <w:p>
            <w:pPr>
              <w:jc w:val="center"/>
              <w:rPr>
                <w:rFonts w:hint="default" w:eastAsia="宋体"/>
                <w:color w:val="auto"/>
                <w:szCs w:val="21"/>
                <w:lang w:val="en-US" w:eastAsia="zh-CN"/>
              </w:rPr>
            </w:pPr>
            <w:r>
              <w:rPr>
                <w:rFonts w:hint="eastAsia"/>
                <w:color w:val="auto"/>
                <w:spacing w:val="-6"/>
                <w:szCs w:val="21"/>
                <w:lang w:val="en-US" w:eastAsia="zh-CN"/>
              </w:rPr>
              <w:t>500</w:t>
            </w:r>
          </w:p>
        </w:tc>
        <w:tc>
          <w:tcPr>
            <w:tcW w:w="1035" w:type="dxa"/>
            <w:tcBorders>
              <w:left w:val="single" w:color="auto" w:sz="6" w:space="0"/>
              <w:right w:val="single" w:color="auto" w:sz="6" w:space="0"/>
            </w:tcBorders>
            <w:vAlign w:val="center"/>
          </w:tcPr>
          <w:p>
            <w:pPr>
              <w:jc w:val="center"/>
              <w:rPr>
                <w:rFonts w:hint="default" w:eastAsia="宋体"/>
                <w:color w:val="auto"/>
                <w:szCs w:val="21"/>
                <w:lang w:val="en-US" w:eastAsia="zh-CN"/>
              </w:rPr>
            </w:pPr>
            <w:r>
              <w:rPr>
                <w:rFonts w:hint="eastAsia"/>
                <w:color w:val="auto"/>
                <w:szCs w:val="21"/>
                <w:lang w:val="en-US" w:eastAsia="zh-CN"/>
              </w:rPr>
              <w:t>300</w:t>
            </w:r>
          </w:p>
        </w:tc>
        <w:tc>
          <w:tcPr>
            <w:tcW w:w="1020" w:type="dxa"/>
            <w:tcBorders>
              <w:left w:val="single" w:color="auto" w:sz="6" w:space="0"/>
              <w:right w:val="single" w:color="auto" w:sz="6" w:space="0"/>
            </w:tcBorders>
            <w:vAlign w:val="center"/>
          </w:tcPr>
          <w:p>
            <w:pPr>
              <w:jc w:val="center"/>
              <w:rPr>
                <w:rFonts w:hint="default" w:eastAsia="宋体"/>
                <w:color w:val="auto"/>
                <w:szCs w:val="21"/>
                <w:lang w:val="en-US" w:eastAsia="zh-CN"/>
              </w:rPr>
            </w:pPr>
            <w:r>
              <w:rPr>
                <w:rFonts w:hint="eastAsia"/>
                <w:color w:val="auto"/>
                <w:szCs w:val="21"/>
                <w:lang w:val="en-US" w:eastAsia="zh-CN"/>
              </w:rPr>
              <w:t>400</w:t>
            </w:r>
          </w:p>
        </w:tc>
        <w:tc>
          <w:tcPr>
            <w:tcW w:w="990" w:type="dxa"/>
            <w:tcBorders>
              <w:left w:val="single" w:color="auto" w:sz="6" w:space="0"/>
              <w:right w:val="single" w:color="auto" w:sz="6" w:space="0"/>
            </w:tcBorders>
            <w:vAlign w:val="center"/>
          </w:tcPr>
          <w:p>
            <w:pPr>
              <w:jc w:val="center"/>
              <w:rPr>
                <w:rFonts w:hint="default" w:eastAsia="宋体"/>
                <w:color w:val="auto"/>
                <w:szCs w:val="21"/>
                <w:lang w:val="en-US" w:eastAsia="zh-CN"/>
              </w:rPr>
            </w:pPr>
            <w:r>
              <w:rPr>
                <w:rFonts w:hint="eastAsia"/>
                <w:color w:val="auto"/>
                <w:szCs w:val="21"/>
                <w:lang w:val="en-US" w:eastAsia="zh-CN"/>
              </w:rPr>
              <w:t>/</w:t>
            </w:r>
          </w:p>
        </w:tc>
        <w:tc>
          <w:tcPr>
            <w:tcW w:w="1080" w:type="dxa"/>
            <w:tcBorders>
              <w:left w:val="single" w:color="auto" w:sz="6" w:space="0"/>
              <w:right w:val="single" w:color="auto" w:sz="6" w:space="0"/>
            </w:tcBorders>
            <w:vAlign w:val="center"/>
          </w:tcPr>
          <w:p>
            <w:pPr>
              <w:jc w:val="center"/>
              <w:rPr>
                <w:rFonts w:hint="default" w:eastAsia="宋体"/>
                <w:color w:val="auto"/>
                <w:szCs w:val="21"/>
                <w:lang w:val="en-US" w:eastAsia="zh-CN"/>
              </w:rPr>
            </w:pPr>
            <w:r>
              <w:rPr>
                <w:rFonts w:hint="eastAsia"/>
                <w:color w:val="auto"/>
                <w:szCs w:val="21"/>
                <w:lang w:val="en-US" w:eastAsia="zh-CN"/>
              </w:rPr>
              <w:t>100</w:t>
            </w:r>
          </w:p>
        </w:tc>
        <w:tc>
          <w:tcPr>
            <w:tcW w:w="1060" w:type="dxa"/>
            <w:tcBorders>
              <w:left w:val="single" w:color="auto" w:sz="6" w:space="0"/>
              <w:right w:val="nil"/>
            </w:tcBorders>
            <w:vAlign w:val="center"/>
          </w:tcPr>
          <w:p>
            <w:pPr>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20" w:type="dxa"/>
            <w:gridSpan w:val="3"/>
            <w:tcBorders>
              <w:left w:val="nil"/>
              <w:bottom w:val="single" w:color="auto" w:sz="12" w:space="0"/>
              <w:right w:val="single" w:color="auto" w:sz="6" w:space="0"/>
            </w:tcBorders>
            <w:vAlign w:val="center"/>
          </w:tcPr>
          <w:p>
            <w:pPr>
              <w:jc w:val="center"/>
              <w:rPr>
                <w:color w:val="auto"/>
                <w:spacing w:val="-6"/>
                <w:szCs w:val="21"/>
              </w:rPr>
            </w:pPr>
            <w:r>
              <w:rPr>
                <w:color w:val="auto"/>
                <w:kern w:val="0"/>
                <w:szCs w:val="21"/>
              </w:rPr>
              <w:t>排放标准</w:t>
            </w:r>
          </w:p>
        </w:tc>
        <w:tc>
          <w:tcPr>
            <w:tcW w:w="698" w:type="dxa"/>
            <w:tcBorders>
              <w:left w:val="single" w:color="auto" w:sz="6" w:space="0"/>
              <w:bottom w:val="single" w:color="auto" w:sz="12" w:space="0"/>
              <w:right w:val="single" w:color="auto" w:sz="6" w:space="0"/>
            </w:tcBorders>
            <w:vAlign w:val="center"/>
          </w:tcPr>
          <w:p>
            <w:pPr>
              <w:jc w:val="center"/>
              <w:rPr>
                <w:color w:val="auto"/>
                <w:spacing w:val="-6"/>
                <w:szCs w:val="21"/>
              </w:rPr>
            </w:pPr>
            <w:r>
              <w:rPr>
                <w:color w:val="auto"/>
                <w:szCs w:val="21"/>
              </w:rPr>
              <w:t>6.5～8.5</w:t>
            </w:r>
          </w:p>
        </w:tc>
        <w:tc>
          <w:tcPr>
            <w:tcW w:w="1020" w:type="dxa"/>
            <w:tcBorders>
              <w:left w:val="single" w:color="auto" w:sz="6" w:space="0"/>
              <w:bottom w:val="single" w:color="auto" w:sz="12" w:space="0"/>
              <w:right w:val="single" w:color="auto" w:sz="6" w:space="0"/>
            </w:tcBorders>
            <w:vAlign w:val="center"/>
          </w:tcPr>
          <w:p>
            <w:pPr>
              <w:jc w:val="center"/>
              <w:rPr>
                <w:rFonts w:hint="default" w:eastAsia="宋体"/>
                <w:color w:val="auto"/>
                <w:spacing w:val="-6"/>
                <w:szCs w:val="21"/>
                <w:lang w:val="en-US" w:eastAsia="zh-CN"/>
              </w:rPr>
            </w:pPr>
            <w:r>
              <w:rPr>
                <w:rFonts w:hint="eastAsia"/>
                <w:color w:val="auto"/>
                <w:spacing w:val="-6"/>
                <w:szCs w:val="21"/>
                <w:lang w:val="en-US" w:eastAsia="zh-CN"/>
              </w:rPr>
              <w:t>500</w:t>
            </w:r>
          </w:p>
        </w:tc>
        <w:tc>
          <w:tcPr>
            <w:tcW w:w="1035" w:type="dxa"/>
            <w:tcBorders>
              <w:left w:val="single" w:color="auto" w:sz="6" w:space="0"/>
              <w:bottom w:val="single" w:color="auto" w:sz="12" w:space="0"/>
              <w:right w:val="single" w:color="auto" w:sz="6" w:space="0"/>
            </w:tcBorders>
            <w:vAlign w:val="center"/>
          </w:tcPr>
          <w:p>
            <w:pPr>
              <w:jc w:val="center"/>
              <w:rPr>
                <w:rFonts w:hint="default" w:eastAsia="宋体"/>
                <w:color w:val="auto"/>
                <w:szCs w:val="21"/>
                <w:lang w:val="en-US" w:eastAsia="zh-CN"/>
              </w:rPr>
            </w:pPr>
            <w:r>
              <w:rPr>
                <w:rFonts w:hint="eastAsia"/>
                <w:color w:val="auto"/>
                <w:szCs w:val="21"/>
                <w:lang w:val="en-US" w:eastAsia="zh-CN"/>
              </w:rPr>
              <w:t>300</w:t>
            </w:r>
          </w:p>
        </w:tc>
        <w:tc>
          <w:tcPr>
            <w:tcW w:w="1020" w:type="dxa"/>
            <w:tcBorders>
              <w:left w:val="single" w:color="auto" w:sz="6" w:space="0"/>
              <w:bottom w:val="single" w:color="auto" w:sz="12" w:space="0"/>
              <w:right w:val="single" w:color="auto" w:sz="6" w:space="0"/>
            </w:tcBorders>
            <w:vAlign w:val="center"/>
          </w:tcPr>
          <w:p>
            <w:pPr>
              <w:jc w:val="center"/>
              <w:rPr>
                <w:rFonts w:hint="default" w:eastAsia="宋体"/>
                <w:color w:val="auto"/>
                <w:szCs w:val="21"/>
                <w:lang w:val="en-US" w:eastAsia="zh-CN"/>
              </w:rPr>
            </w:pPr>
            <w:r>
              <w:rPr>
                <w:rFonts w:hint="eastAsia"/>
                <w:color w:val="auto"/>
                <w:szCs w:val="21"/>
                <w:lang w:val="en-US" w:eastAsia="zh-CN"/>
              </w:rPr>
              <w:t>400</w:t>
            </w:r>
          </w:p>
        </w:tc>
        <w:tc>
          <w:tcPr>
            <w:tcW w:w="990" w:type="dxa"/>
            <w:tcBorders>
              <w:left w:val="single" w:color="auto" w:sz="6" w:space="0"/>
              <w:bottom w:val="single" w:color="auto" w:sz="12" w:space="0"/>
              <w:right w:val="single" w:color="auto" w:sz="6" w:space="0"/>
            </w:tcBorders>
            <w:vAlign w:val="center"/>
          </w:tcPr>
          <w:p>
            <w:pPr>
              <w:jc w:val="center"/>
              <w:rPr>
                <w:rFonts w:hint="eastAsia" w:eastAsia="宋体"/>
                <w:color w:val="auto"/>
                <w:szCs w:val="21"/>
                <w:lang w:eastAsia="zh-CN"/>
              </w:rPr>
            </w:pPr>
            <w:r>
              <w:rPr>
                <w:rFonts w:hint="eastAsia"/>
                <w:color w:val="auto"/>
                <w:szCs w:val="21"/>
                <w:lang w:val="en-US" w:eastAsia="zh-CN"/>
              </w:rPr>
              <w:t>/</w:t>
            </w:r>
          </w:p>
        </w:tc>
        <w:tc>
          <w:tcPr>
            <w:tcW w:w="1080" w:type="dxa"/>
            <w:tcBorders>
              <w:left w:val="single" w:color="auto" w:sz="6" w:space="0"/>
              <w:bottom w:val="single" w:color="auto" w:sz="12" w:space="0"/>
              <w:right w:val="single" w:color="auto" w:sz="6" w:space="0"/>
            </w:tcBorders>
            <w:vAlign w:val="center"/>
          </w:tcPr>
          <w:p>
            <w:pPr>
              <w:jc w:val="center"/>
              <w:rPr>
                <w:color w:val="auto"/>
                <w:szCs w:val="21"/>
              </w:rPr>
            </w:pPr>
            <w:r>
              <w:rPr>
                <w:color w:val="auto"/>
                <w:szCs w:val="21"/>
              </w:rPr>
              <w:t>60</w:t>
            </w:r>
          </w:p>
        </w:tc>
        <w:tc>
          <w:tcPr>
            <w:tcW w:w="1060" w:type="dxa"/>
            <w:tcBorders>
              <w:left w:val="single" w:color="auto" w:sz="6" w:space="0"/>
              <w:bottom w:val="single" w:color="auto" w:sz="12" w:space="0"/>
              <w:right w:val="nil"/>
            </w:tcBorders>
            <w:vAlign w:val="center"/>
          </w:tcPr>
          <w:p>
            <w:pPr>
              <w:jc w:val="center"/>
              <w:rPr>
                <w:color w:val="auto"/>
                <w:kern w:val="0"/>
                <w:szCs w:val="21"/>
              </w:rPr>
            </w:pPr>
            <w:r>
              <w:rPr>
                <w:color w:val="auto"/>
                <w:kern w:val="0"/>
                <w:szCs w:val="21"/>
              </w:rPr>
              <w:t>/</w:t>
            </w:r>
          </w:p>
        </w:tc>
      </w:tr>
    </w:tbl>
    <w:p>
      <w:pPr>
        <w:spacing w:line="360" w:lineRule="auto"/>
        <w:ind w:firstLine="480" w:firstLineChars="200"/>
        <w:rPr>
          <w:rFonts w:eastAsiaTheme="minorEastAsia"/>
          <w:color w:val="auto"/>
          <w:sz w:val="24"/>
        </w:rPr>
      </w:pPr>
      <w:r>
        <w:rPr>
          <w:rFonts w:hint="eastAsia" w:eastAsiaTheme="minorEastAsia"/>
          <w:color w:val="auto"/>
          <w:sz w:val="24"/>
        </w:rPr>
        <w:t>综上所述，</w:t>
      </w:r>
      <w:r>
        <w:rPr>
          <w:rFonts w:eastAsiaTheme="minorEastAsia"/>
          <w:color w:val="auto"/>
          <w:sz w:val="24"/>
        </w:rPr>
        <w:t>本项目</w:t>
      </w:r>
      <w:r>
        <w:rPr>
          <w:rFonts w:hint="eastAsia" w:eastAsiaTheme="minorEastAsia"/>
          <w:color w:val="auto"/>
          <w:sz w:val="24"/>
        </w:rPr>
        <w:t>采用“</w:t>
      </w:r>
      <w:r>
        <w:rPr>
          <w:rFonts w:eastAsiaTheme="minorEastAsia"/>
          <w:bCs/>
          <w:color w:val="auto"/>
          <w:sz w:val="24"/>
        </w:rPr>
        <w:t>格栅+</w:t>
      </w:r>
      <w:r>
        <w:rPr>
          <w:rFonts w:eastAsiaTheme="minorEastAsia"/>
          <w:color w:val="auto"/>
          <w:sz w:val="24"/>
        </w:rPr>
        <w:t>隔油沉砂+气浮+水解酸化+生物接触氧化+二沉池+消毒</w:t>
      </w:r>
      <w:r>
        <w:rPr>
          <w:rFonts w:hint="eastAsia" w:eastAsiaTheme="minorEastAsia"/>
          <w:color w:val="auto"/>
          <w:sz w:val="24"/>
        </w:rPr>
        <w:t>”工艺处理污水，</w:t>
      </w:r>
      <w:r>
        <w:rPr>
          <w:rFonts w:eastAsiaTheme="minorEastAsia"/>
          <w:color w:val="auto"/>
          <w:sz w:val="24"/>
        </w:rPr>
        <w:t>水质可达到</w:t>
      </w:r>
      <w:r>
        <w:rPr>
          <w:rFonts w:eastAsiaTheme="minorEastAsia"/>
          <w:bCs/>
          <w:color w:val="auto"/>
          <w:sz w:val="24"/>
        </w:rPr>
        <w:t>《肉类加工工业水污染物排放标准》（GB13457-92）表3三级畜类屠宰加工标准限值</w:t>
      </w:r>
      <w:r>
        <w:rPr>
          <w:rFonts w:eastAsiaTheme="minorEastAsia"/>
          <w:color w:val="auto"/>
          <w:sz w:val="24"/>
        </w:rPr>
        <w:t>，</w:t>
      </w:r>
      <w:r>
        <w:rPr>
          <w:rFonts w:hint="eastAsia" w:eastAsiaTheme="minorEastAsia"/>
          <w:color w:val="auto"/>
          <w:sz w:val="24"/>
        </w:rPr>
        <w:t>因此本</w:t>
      </w:r>
      <w:r>
        <w:rPr>
          <w:rFonts w:eastAsiaTheme="minorEastAsia"/>
          <w:color w:val="auto"/>
          <w:sz w:val="24"/>
        </w:rPr>
        <w:t>污水处理方案可行。</w:t>
      </w:r>
    </w:p>
    <w:p>
      <w:pPr>
        <w:spacing w:line="360" w:lineRule="auto"/>
        <w:ind w:firstLine="480" w:firstLineChars="200"/>
        <w:rPr>
          <w:rFonts w:eastAsiaTheme="minorEastAsia"/>
          <w:color w:val="auto"/>
          <w:sz w:val="24"/>
        </w:rPr>
      </w:pPr>
      <w:r>
        <w:rPr>
          <w:rFonts w:hint="eastAsia" w:eastAsiaTheme="minorEastAsia"/>
          <w:color w:val="auto"/>
          <w:sz w:val="24"/>
        </w:rPr>
        <w:t>3、废水排入</w:t>
      </w:r>
      <w:r>
        <w:rPr>
          <w:rFonts w:hint="eastAsia" w:eastAsiaTheme="minorEastAsia"/>
          <w:color w:val="auto"/>
          <w:sz w:val="24"/>
          <w:lang w:eastAsia="zh-CN"/>
        </w:rPr>
        <w:t>尚志污水处理厂</w:t>
      </w:r>
      <w:r>
        <w:rPr>
          <w:rFonts w:hint="eastAsia" w:eastAsiaTheme="minorEastAsia"/>
          <w:color w:val="auto"/>
          <w:sz w:val="24"/>
        </w:rPr>
        <w:t>可行性分析</w:t>
      </w:r>
    </w:p>
    <w:p>
      <w:pPr>
        <w:spacing w:line="360" w:lineRule="auto"/>
        <w:ind w:firstLine="480" w:firstLineChars="200"/>
        <w:rPr>
          <w:rFonts w:hint="eastAsia" w:eastAsia="宋体"/>
          <w:color w:val="FF0000"/>
          <w:sz w:val="24"/>
          <w:lang w:eastAsia="zh-CN"/>
        </w:rPr>
      </w:pPr>
      <w:r>
        <w:rPr>
          <w:rFonts w:hint="eastAsia"/>
          <w:sz w:val="24"/>
        </w:rPr>
        <w:t>尚志污水处理厂</w:t>
      </w:r>
      <w:r>
        <w:rPr>
          <w:sz w:val="24"/>
        </w:rPr>
        <w:t>，其厂址位于</w:t>
      </w:r>
      <w:r>
        <w:rPr>
          <w:rFonts w:hint="eastAsia"/>
          <w:sz w:val="24"/>
        </w:rPr>
        <w:t>尚志市尚志镇红光村</w:t>
      </w:r>
      <w:r>
        <w:rPr>
          <w:sz w:val="24"/>
        </w:rPr>
        <w:t>，</w:t>
      </w:r>
      <w:r>
        <w:rPr>
          <w:rFonts w:hint="eastAsia"/>
          <w:sz w:val="24"/>
        </w:rPr>
        <w:t>蚂蚁河</w:t>
      </w:r>
      <w:r>
        <w:rPr>
          <w:sz w:val="24"/>
        </w:rPr>
        <w:t>西岸，距离本项</w:t>
      </w:r>
      <w:r>
        <w:rPr>
          <w:color w:val="auto"/>
          <w:sz w:val="24"/>
        </w:rPr>
        <w:t>目</w:t>
      </w:r>
      <w:r>
        <w:rPr>
          <w:rFonts w:hint="eastAsia"/>
          <w:color w:val="auto"/>
          <w:sz w:val="24"/>
          <w:lang w:val="en-US" w:eastAsia="zh-CN"/>
        </w:rPr>
        <w:t>15.3</w:t>
      </w:r>
      <w:r>
        <w:rPr>
          <w:color w:val="auto"/>
          <w:sz w:val="24"/>
        </w:rPr>
        <w:t>km。该</w:t>
      </w:r>
      <w:r>
        <w:rPr>
          <w:sz w:val="24"/>
        </w:rPr>
        <w:t>污水处理厂设计规模日处理量：</w:t>
      </w:r>
      <w:r>
        <w:rPr>
          <w:rFonts w:hint="eastAsia"/>
          <w:sz w:val="24"/>
        </w:rPr>
        <w:t>4万</w:t>
      </w:r>
      <w:r>
        <w:rPr>
          <w:sz w:val="24"/>
        </w:rPr>
        <w:t>t/d，目前处理量为</w:t>
      </w:r>
      <w:r>
        <w:rPr>
          <w:rFonts w:hint="eastAsia"/>
          <w:sz w:val="24"/>
        </w:rPr>
        <w:t>3.57万</w:t>
      </w:r>
      <w:r>
        <w:rPr>
          <w:sz w:val="24"/>
        </w:rPr>
        <w:t>t/d，剩余处理量为</w:t>
      </w:r>
      <w:r>
        <w:rPr>
          <w:rFonts w:hint="eastAsia"/>
          <w:sz w:val="24"/>
        </w:rPr>
        <w:t>0.43万</w:t>
      </w:r>
      <w:r>
        <w:rPr>
          <w:sz w:val="24"/>
        </w:rPr>
        <w:t>t/d。采用</w:t>
      </w:r>
      <w:r>
        <w:rPr>
          <w:rFonts w:hint="eastAsia"/>
          <w:sz w:val="24"/>
        </w:rPr>
        <w:t>A</w:t>
      </w:r>
      <w:r>
        <w:rPr>
          <w:rFonts w:hint="eastAsia"/>
          <w:sz w:val="24"/>
          <w:vertAlign w:val="superscript"/>
        </w:rPr>
        <w:t>2</w:t>
      </w:r>
      <w:r>
        <w:rPr>
          <w:rFonts w:hint="eastAsia"/>
          <w:sz w:val="24"/>
        </w:rPr>
        <w:t>O</w:t>
      </w:r>
      <w:r>
        <w:rPr>
          <w:sz w:val="24"/>
        </w:rPr>
        <w:t>工艺。设计处理进水标准达到《污水综合排放标准》（GB8978-1996）表4中三级标准，排水标准达《城镇污水处理厂污染物排放标准》（GB18918-2002）一级A标准，排入</w:t>
      </w:r>
      <w:r>
        <w:rPr>
          <w:rFonts w:hint="eastAsia"/>
          <w:sz w:val="24"/>
        </w:rPr>
        <w:t>乌珠河，最终汇入蚂蚁河</w:t>
      </w:r>
      <w:r>
        <w:rPr>
          <w:sz w:val="24"/>
        </w:rPr>
        <w:t>。</w:t>
      </w:r>
      <w:r>
        <w:rPr>
          <w:bCs/>
          <w:color w:val="auto"/>
          <w:sz w:val="24"/>
        </w:rPr>
        <w:t>本项目</w:t>
      </w:r>
      <w:r>
        <w:rPr>
          <w:rFonts w:hint="eastAsia"/>
          <w:bCs/>
          <w:color w:val="auto"/>
          <w:sz w:val="24"/>
          <w:lang w:val="en-US" w:eastAsia="zh-CN"/>
        </w:rPr>
        <w:t>处理后</w:t>
      </w:r>
      <w:r>
        <w:rPr>
          <w:bCs/>
          <w:color w:val="auto"/>
          <w:sz w:val="24"/>
        </w:rPr>
        <w:t>污水</w:t>
      </w:r>
      <w:r>
        <w:rPr>
          <w:rFonts w:hint="eastAsia"/>
          <w:bCs/>
          <w:color w:val="auto"/>
          <w:sz w:val="24"/>
        </w:rPr>
        <w:t>每天</w:t>
      </w:r>
      <w:r>
        <w:rPr>
          <w:bCs/>
          <w:color w:val="auto"/>
          <w:sz w:val="24"/>
        </w:rPr>
        <w:t>拉运至</w:t>
      </w:r>
      <w:r>
        <w:rPr>
          <w:rFonts w:hint="eastAsia"/>
          <w:bCs/>
          <w:color w:val="auto"/>
          <w:sz w:val="24"/>
          <w:lang w:eastAsia="zh-CN"/>
        </w:rPr>
        <w:t>尚志污水处理厂</w:t>
      </w:r>
      <w:r>
        <w:rPr>
          <w:bCs/>
          <w:color w:val="auto"/>
          <w:sz w:val="24"/>
        </w:rPr>
        <w:t>处理，</w:t>
      </w:r>
      <w:r>
        <w:rPr>
          <w:rFonts w:hint="eastAsia"/>
          <w:bCs/>
          <w:color w:val="auto"/>
          <w:sz w:val="24"/>
        </w:rPr>
        <w:t>每天</w:t>
      </w:r>
      <w:r>
        <w:rPr>
          <w:bCs/>
          <w:color w:val="auto"/>
          <w:sz w:val="24"/>
        </w:rPr>
        <w:t>废水运载量为</w:t>
      </w:r>
      <w:r>
        <w:rPr>
          <w:rFonts w:hint="eastAsia"/>
          <w:bCs/>
          <w:color w:val="auto"/>
          <w:sz w:val="24"/>
          <w:lang w:eastAsia="zh-CN"/>
        </w:rPr>
        <w:t>59.0356</w:t>
      </w:r>
      <w:r>
        <w:rPr>
          <w:bCs/>
          <w:color w:val="auto"/>
          <w:sz w:val="24"/>
        </w:rPr>
        <w:t>t/d，占污水处理厂处理能力的</w:t>
      </w:r>
      <w:r>
        <w:rPr>
          <w:rFonts w:hint="eastAsia"/>
          <w:bCs/>
          <w:color w:val="auto"/>
          <w:sz w:val="24"/>
          <w:lang w:val="en-US" w:eastAsia="zh-CN"/>
        </w:rPr>
        <w:t>0.15</w:t>
      </w:r>
      <w:r>
        <w:rPr>
          <w:bCs/>
          <w:color w:val="auto"/>
          <w:sz w:val="24"/>
        </w:rPr>
        <w:t>%</w:t>
      </w:r>
      <w:r>
        <w:rPr>
          <w:rFonts w:hint="eastAsia"/>
          <w:bCs/>
          <w:color w:val="auto"/>
          <w:sz w:val="24"/>
          <w:lang w:eastAsia="zh-CN"/>
        </w:rPr>
        <w:t>。</w:t>
      </w:r>
    </w:p>
    <w:p>
      <w:pPr>
        <w:spacing w:line="360" w:lineRule="auto"/>
        <w:ind w:firstLine="480" w:firstLineChars="200"/>
        <w:rPr>
          <w:rFonts w:eastAsiaTheme="minorEastAsia"/>
          <w:color w:val="auto"/>
          <w:sz w:val="24"/>
        </w:rPr>
      </w:pPr>
      <w:r>
        <w:rPr>
          <w:rFonts w:eastAsiaTheme="minorEastAsia"/>
          <w:color w:val="auto"/>
          <w:sz w:val="24"/>
        </w:rPr>
        <w:t>综上所述，依托</w:t>
      </w:r>
      <w:r>
        <w:rPr>
          <w:rFonts w:hint="eastAsia" w:eastAsiaTheme="minorEastAsia"/>
          <w:color w:val="auto"/>
          <w:sz w:val="24"/>
          <w:lang w:eastAsia="zh-CN"/>
        </w:rPr>
        <w:t>尚志污水处理厂</w:t>
      </w:r>
      <w:r>
        <w:rPr>
          <w:rFonts w:eastAsiaTheme="minorEastAsia"/>
          <w:color w:val="auto"/>
          <w:sz w:val="24"/>
        </w:rPr>
        <w:t>进一步处理本项目污水是可行的。因此，本项目废水在达标排放的情况下基本上不会对</w:t>
      </w:r>
      <w:r>
        <w:rPr>
          <w:rFonts w:hint="eastAsia" w:eastAsiaTheme="minorEastAsia"/>
          <w:color w:val="auto"/>
          <w:sz w:val="24"/>
          <w:lang w:eastAsia="zh-CN"/>
        </w:rPr>
        <w:t>尚志污水处理厂</w:t>
      </w:r>
      <w:r>
        <w:rPr>
          <w:rFonts w:eastAsiaTheme="minorEastAsia"/>
          <w:color w:val="auto"/>
          <w:sz w:val="24"/>
        </w:rPr>
        <w:t>产生大的影响，经</w:t>
      </w:r>
      <w:r>
        <w:rPr>
          <w:rFonts w:hint="eastAsia" w:eastAsiaTheme="minorEastAsia"/>
          <w:color w:val="auto"/>
          <w:sz w:val="24"/>
          <w:lang w:eastAsia="zh-CN"/>
        </w:rPr>
        <w:t>尚志污水处理厂</w:t>
      </w:r>
      <w:r>
        <w:rPr>
          <w:rFonts w:eastAsiaTheme="minorEastAsia"/>
          <w:color w:val="auto"/>
          <w:sz w:val="24"/>
        </w:rPr>
        <w:t>处理后排放对</w:t>
      </w:r>
      <w:r>
        <w:rPr>
          <w:rFonts w:hint="eastAsia" w:eastAsiaTheme="minorEastAsia"/>
          <w:color w:val="auto"/>
          <w:sz w:val="24"/>
          <w:lang w:eastAsia="zh-CN"/>
        </w:rPr>
        <w:t>乌珠河</w:t>
      </w:r>
      <w:r>
        <w:rPr>
          <w:rFonts w:eastAsiaTheme="minorEastAsia"/>
          <w:color w:val="auto"/>
          <w:sz w:val="24"/>
        </w:rPr>
        <w:t>水质影响不大。</w:t>
      </w:r>
    </w:p>
    <w:p>
      <w:pPr>
        <w:spacing w:line="360" w:lineRule="auto"/>
        <w:contextualSpacing/>
        <w:outlineLvl w:val="3"/>
        <w:rPr>
          <w:b/>
          <w:color w:val="auto"/>
          <w:sz w:val="24"/>
        </w:rPr>
      </w:pPr>
      <w:r>
        <w:rPr>
          <w:b/>
          <w:color w:val="auto"/>
          <w:sz w:val="24"/>
        </w:rPr>
        <w:t>6.2.</w:t>
      </w:r>
      <w:r>
        <w:rPr>
          <w:rFonts w:hint="eastAsia"/>
          <w:b/>
          <w:color w:val="auto"/>
          <w:sz w:val="24"/>
        </w:rPr>
        <w:t>2</w:t>
      </w:r>
      <w:r>
        <w:rPr>
          <w:b/>
          <w:color w:val="auto"/>
          <w:sz w:val="24"/>
        </w:rPr>
        <w:t>.2地下水污染分区染防治措施</w:t>
      </w:r>
    </w:p>
    <w:p>
      <w:pPr>
        <w:pStyle w:val="74"/>
        <w:adjustRightInd/>
        <w:snapToGrid/>
        <w:contextualSpacing/>
        <w:jc w:val="both"/>
        <w:rPr>
          <w:rFonts w:ascii="Times New Roman" w:hAnsi="Times New Roman" w:eastAsia="宋体" w:cs="Times New Roman"/>
          <w:color w:val="auto"/>
        </w:rPr>
      </w:pPr>
      <w:r>
        <w:rPr>
          <w:rFonts w:hint="eastAsia" w:ascii="Times New Roman" w:hAnsi="Times New Roman" w:eastAsia="宋体" w:cs="Times New Roman"/>
          <w:color w:val="auto"/>
        </w:rPr>
        <w:t>1、</w:t>
      </w:r>
      <w:r>
        <w:rPr>
          <w:rFonts w:ascii="Times New Roman" w:hAnsi="Times New Roman" w:eastAsia="宋体" w:cs="Times New Roman"/>
          <w:color w:val="auto"/>
        </w:rPr>
        <w:t>防控措施</w:t>
      </w:r>
    </w:p>
    <w:p>
      <w:pPr>
        <w:spacing w:line="360" w:lineRule="auto"/>
        <w:ind w:firstLine="480" w:firstLineChars="200"/>
        <w:contextualSpacing/>
        <w:rPr>
          <w:rFonts w:hAnsiTheme="minorEastAsia" w:eastAsiaTheme="minorEastAsia"/>
          <w:color w:val="auto"/>
          <w:sz w:val="24"/>
        </w:rPr>
      </w:pPr>
      <w:r>
        <w:rPr>
          <w:rFonts w:hAnsiTheme="minorEastAsia" w:eastAsiaTheme="minorEastAsia"/>
          <w:color w:val="auto"/>
          <w:sz w:val="24"/>
        </w:rPr>
        <w:t>为了进一步保护地下水资源，本工程对</w:t>
      </w:r>
      <w:r>
        <w:rPr>
          <w:rFonts w:hint="eastAsia" w:hAnsiTheme="minorEastAsia" w:eastAsiaTheme="minorEastAsia"/>
          <w:color w:val="auto"/>
          <w:sz w:val="24"/>
          <w:lang w:val="en-US" w:eastAsia="zh-CN"/>
        </w:rPr>
        <w:t>急宰间、</w:t>
      </w:r>
      <w:r>
        <w:rPr>
          <w:rFonts w:hint="eastAsia" w:hAnsiTheme="minorEastAsia" w:eastAsiaTheme="minorEastAsia"/>
          <w:color w:val="auto"/>
          <w:sz w:val="24"/>
        </w:rPr>
        <w:t>待宰间、屠宰车间、</w:t>
      </w:r>
      <w:r>
        <w:rPr>
          <w:rFonts w:hAnsiTheme="minorEastAsia" w:eastAsiaTheme="minorEastAsia"/>
          <w:color w:val="auto"/>
          <w:sz w:val="24"/>
        </w:rPr>
        <w:t>污水处理站、贮水池、事故池及</w:t>
      </w:r>
      <w:r>
        <w:rPr>
          <w:rFonts w:hint="eastAsia" w:hAnsiTheme="minorEastAsia" w:eastAsiaTheme="minorEastAsia"/>
          <w:color w:val="auto"/>
          <w:sz w:val="24"/>
          <w:lang w:eastAsia="zh-CN"/>
        </w:rPr>
        <w:t>危险废物贮存点</w:t>
      </w:r>
      <w:r>
        <w:rPr>
          <w:rFonts w:hAnsiTheme="minorEastAsia" w:eastAsiaTheme="minorEastAsia"/>
          <w:color w:val="auto"/>
          <w:sz w:val="24"/>
        </w:rPr>
        <w:t>等</w:t>
      </w:r>
      <w:r>
        <w:rPr>
          <w:rFonts w:hAnsiTheme="minorEastAsia" w:eastAsiaTheme="minorEastAsia"/>
          <w:color w:val="auto"/>
          <w:sz w:val="24"/>
          <w:lang w:val="en-GB"/>
        </w:rPr>
        <w:t>采取</w:t>
      </w:r>
      <w:r>
        <w:rPr>
          <w:rFonts w:hint="eastAsia" w:hAnsiTheme="minorEastAsia" w:eastAsiaTheme="minorEastAsia"/>
          <w:color w:val="auto"/>
          <w:sz w:val="24"/>
          <w:lang w:val="en-GB"/>
        </w:rPr>
        <w:t>分区防渗</w:t>
      </w:r>
      <w:r>
        <w:rPr>
          <w:rFonts w:hAnsiTheme="minorEastAsia" w:eastAsiaTheme="minorEastAsia"/>
          <w:color w:val="auto"/>
          <w:sz w:val="24"/>
          <w:lang w:val="en-GB"/>
        </w:rPr>
        <w:t>措施</w:t>
      </w:r>
      <w:r>
        <w:rPr>
          <w:rFonts w:hAnsiTheme="minorEastAsia" w:eastAsiaTheme="minorEastAsia"/>
          <w:color w:val="auto"/>
          <w:sz w:val="24"/>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eastAsiaTheme="minorEastAsia"/>
          <w:b/>
          <w:color w:val="auto"/>
          <w:sz w:val="24"/>
        </w:rPr>
      </w:pPr>
      <w:r>
        <w:rPr>
          <w:rFonts w:hint="eastAsia" w:eastAsiaTheme="minorEastAsia"/>
          <w:b/>
          <w:color w:val="auto"/>
          <w:sz w:val="24"/>
        </w:rPr>
        <w:t>表6-2-4污染控制难易程度分级参照表</w:t>
      </w:r>
    </w:p>
    <w:tbl>
      <w:tblPr>
        <w:tblStyle w:val="4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80"/>
        <w:gridCol w:w="63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279" w:type="pct"/>
            <w:vAlign w:val="center"/>
          </w:tcPr>
          <w:p>
            <w:pPr>
              <w:rPr>
                <w:color w:val="auto"/>
                <w:kern w:val="0"/>
                <w:sz w:val="21"/>
                <w:szCs w:val="21"/>
              </w:rPr>
            </w:pPr>
            <w:r>
              <w:rPr>
                <w:rFonts w:hint="eastAsia"/>
                <w:color w:val="auto"/>
                <w:kern w:val="0"/>
                <w:sz w:val="21"/>
                <w:szCs w:val="21"/>
              </w:rPr>
              <w:t>污染控制难易程度</w:t>
            </w:r>
          </w:p>
        </w:tc>
        <w:tc>
          <w:tcPr>
            <w:tcW w:w="3721" w:type="pct"/>
            <w:vAlign w:val="center"/>
          </w:tcPr>
          <w:p>
            <w:pPr>
              <w:ind w:firstLine="373"/>
              <w:jc w:val="center"/>
              <w:rPr>
                <w:color w:val="auto"/>
                <w:kern w:val="0"/>
                <w:sz w:val="21"/>
                <w:szCs w:val="21"/>
              </w:rPr>
            </w:pPr>
            <w:r>
              <w:rPr>
                <w:rFonts w:hint="eastAsia"/>
                <w:color w:val="auto"/>
                <w:kern w:val="0"/>
                <w:sz w:val="21"/>
                <w:szCs w:val="21"/>
              </w:rPr>
              <w:t>主要特征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 w:hRule="atLeast"/>
        </w:trPr>
        <w:tc>
          <w:tcPr>
            <w:tcW w:w="1279" w:type="pct"/>
            <w:vAlign w:val="center"/>
          </w:tcPr>
          <w:p>
            <w:pPr>
              <w:jc w:val="center"/>
              <w:rPr>
                <w:color w:val="auto"/>
                <w:kern w:val="0"/>
                <w:sz w:val="21"/>
                <w:szCs w:val="21"/>
              </w:rPr>
            </w:pPr>
            <w:r>
              <w:rPr>
                <w:rFonts w:hint="eastAsia"/>
                <w:color w:val="auto"/>
                <w:kern w:val="0"/>
                <w:sz w:val="21"/>
                <w:szCs w:val="21"/>
              </w:rPr>
              <w:t>难</w:t>
            </w:r>
          </w:p>
        </w:tc>
        <w:tc>
          <w:tcPr>
            <w:tcW w:w="3721" w:type="pct"/>
            <w:vAlign w:val="center"/>
          </w:tcPr>
          <w:p>
            <w:pPr>
              <w:jc w:val="center"/>
              <w:rPr>
                <w:color w:val="auto"/>
                <w:kern w:val="0"/>
                <w:sz w:val="21"/>
                <w:szCs w:val="21"/>
              </w:rPr>
            </w:pPr>
            <w:r>
              <w:rPr>
                <w:rFonts w:hint="eastAsia"/>
                <w:color w:val="auto"/>
                <w:kern w:val="0"/>
                <w:sz w:val="21"/>
                <w:szCs w:val="21"/>
              </w:rPr>
              <w:t>对地下水环境有污染的物料或污染物泄漏后，不能及时发现和处理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vAlign w:val="center"/>
          </w:tcPr>
          <w:p>
            <w:pPr>
              <w:jc w:val="center"/>
              <w:rPr>
                <w:color w:val="auto"/>
                <w:kern w:val="0"/>
                <w:sz w:val="21"/>
                <w:szCs w:val="21"/>
              </w:rPr>
            </w:pPr>
            <w:r>
              <w:rPr>
                <w:rFonts w:hint="eastAsia"/>
                <w:color w:val="auto"/>
                <w:kern w:val="0"/>
                <w:sz w:val="21"/>
                <w:szCs w:val="21"/>
              </w:rPr>
              <w:t>易</w:t>
            </w:r>
          </w:p>
        </w:tc>
        <w:tc>
          <w:tcPr>
            <w:tcW w:w="3721" w:type="pct"/>
            <w:vAlign w:val="center"/>
          </w:tcPr>
          <w:p>
            <w:pPr>
              <w:jc w:val="center"/>
              <w:rPr>
                <w:color w:val="auto"/>
                <w:kern w:val="0"/>
                <w:sz w:val="21"/>
                <w:szCs w:val="21"/>
              </w:rPr>
            </w:pPr>
            <w:r>
              <w:rPr>
                <w:rFonts w:hint="eastAsia"/>
                <w:color w:val="auto"/>
                <w:kern w:val="0"/>
                <w:sz w:val="21"/>
                <w:szCs w:val="21"/>
              </w:rPr>
              <w:t>对地下水环境有污染的物料或污染物泄漏后，可及时发现和处理</w:t>
            </w:r>
          </w:p>
        </w:tc>
      </w:tr>
    </w:tbl>
    <w:p>
      <w:pPr>
        <w:spacing w:line="360" w:lineRule="auto"/>
        <w:ind w:firstLine="482" w:firstLineChars="200"/>
        <w:contextualSpacing/>
        <w:jc w:val="center"/>
        <w:rPr>
          <w:rFonts w:eastAsiaTheme="minorEastAsia"/>
          <w:color w:val="auto"/>
          <w:sz w:val="24"/>
        </w:rPr>
      </w:pPr>
      <w:r>
        <w:rPr>
          <w:rFonts w:hint="eastAsia" w:eastAsiaTheme="minorEastAsia"/>
          <w:b/>
          <w:color w:val="auto"/>
          <w:sz w:val="24"/>
        </w:rPr>
        <w:t>表6-2-5地下水污染防渗分区参照表</w:t>
      </w:r>
    </w:p>
    <w:tbl>
      <w:tblPr>
        <w:tblStyle w:val="4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2126"/>
        <w:gridCol w:w="1701"/>
        <w:gridCol w:w="1276"/>
        <w:gridCol w:w="20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vAlign w:val="center"/>
          </w:tcPr>
          <w:p>
            <w:pPr>
              <w:jc w:val="center"/>
              <w:rPr>
                <w:color w:val="auto"/>
                <w:kern w:val="0"/>
                <w:sz w:val="21"/>
                <w:szCs w:val="21"/>
              </w:rPr>
            </w:pPr>
            <w:r>
              <w:rPr>
                <w:color w:val="auto"/>
                <w:kern w:val="0"/>
                <w:sz w:val="21"/>
                <w:szCs w:val="21"/>
              </w:rPr>
              <w:t>防渗分区</w:t>
            </w:r>
          </w:p>
        </w:tc>
        <w:tc>
          <w:tcPr>
            <w:tcW w:w="2126" w:type="dxa"/>
            <w:vAlign w:val="center"/>
          </w:tcPr>
          <w:p>
            <w:pPr>
              <w:jc w:val="center"/>
              <w:rPr>
                <w:color w:val="auto"/>
                <w:kern w:val="0"/>
                <w:sz w:val="21"/>
                <w:szCs w:val="21"/>
              </w:rPr>
            </w:pPr>
            <w:r>
              <w:rPr>
                <w:color w:val="auto"/>
                <w:kern w:val="0"/>
                <w:sz w:val="21"/>
                <w:szCs w:val="21"/>
              </w:rPr>
              <w:t>天然包气带防污性能</w:t>
            </w:r>
          </w:p>
        </w:tc>
        <w:tc>
          <w:tcPr>
            <w:tcW w:w="1701" w:type="dxa"/>
            <w:vAlign w:val="center"/>
          </w:tcPr>
          <w:p>
            <w:pPr>
              <w:jc w:val="center"/>
              <w:rPr>
                <w:color w:val="auto"/>
                <w:kern w:val="0"/>
                <w:sz w:val="21"/>
                <w:szCs w:val="21"/>
              </w:rPr>
            </w:pPr>
            <w:r>
              <w:rPr>
                <w:color w:val="auto"/>
                <w:kern w:val="0"/>
                <w:sz w:val="21"/>
                <w:szCs w:val="21"/>
              </w:rPr>
              <w:t>染控制难易程度</w:t>
            </w:r>
          </w:p>
        </w:tc>
        <w:tc>
          <w:tcPr>
            <w:tcW w:w="1276" w:type="dxa"/>
            <w:vAlign w:val="center"/>
          </w:tcPr>
          <w:p>
            <w:pPr>
              <w:jc w:val="center"/>
              <w:rPr>
                <w:color w:val="auto"/>
                <w:kern w:val="0"/>
                <w:sz w:val="21"/>
                <w:szCs w:val="21"/>
              </w:rPr>
            </w:pPr>
            <w:r>
              <w:rPr>
                <w:color w:val="auto"/>
                <w:kern w:val="0"/>
                <w:sz w:val="21"/>
                <w:szCs w:val="21"/>
              </w:rPr>
              <w:t>污染物类型</w:t>
            </w:r>
          </w:p>
        </w:tc>
        <w:tc>
          <w:tcPr>
            <w:tcW w:w="2035" w:type="dxa"/>
            <w:vAlign w:val="center"/>
          </w:tcPr>
          <w:p>
            <w:pPr>
              <w:jc w:val="center"/>
              <w:rPr>
                <w:color w:val="auto"/>
                <w:kern w:val="0"/>
                <w:sz w:val="21"/>
                <w:szCs w:val="21"/>
              </w:rPr>
            </w:pPr>
            <w:r>
              <w:rPr>
                <w:color w:val="auto"/>
                <w:kern w:val="0"/>
                <w:sz w:val="21"/>
                <w:szCs w:val="21"/>
              </w:rPr>
              <w:t>防渗技术要求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384" w:type="dxa"/>
            <w:vMerge w:val="restart"/>
            <w:vAlign w:val="center"/>
          </w:tcPr>
          <w:p>
            <w:pPr>
              <w:jc w:val="center"/>
              <w:rPr>
                <w:color w:val="auto"/>
                <w:kern w:val="0"/>
                <w:sz w:val="21"/>
                <w:szCs w:val="21"/>
              </w:rPr>
            </w:pPr>
            <w:r>
              <w:rPr>
                <w:color w:val="auto"/>
                <w:kern w:val="0"/>
                <w:sz w:val="21"/>
                <w:szCs w:val="21"/>
              </w:rPr>
              <w:t>重点防渗区</w:t>
            </w:r>
          </w:p>
        </w:tc>
        <w:tc>
          <w:tcPr>
            <w:tcW w:w="2126" w:type="dxa"/>
            <w:vAlign w:val="center"/>
          </w:tcPr>
          <w:p>
            <w:pPr>
              <w:jc w:val="center"/>
              <w:rPr>
                <w:color w:val="auto"/>
                <w:kern w:val="0"/>
                <w:sz w:val="21"/>
                <w:szCs w:val="21"/>
              </w:rPr>
            </w:pPr>
            <w:r>
              <w:rPr>
                <w:color w:val="auto"/>
                <w:kern w:val="0"/>
                <w:sz w:val="21"/>
                <w:szCs w:val="21"/>
              </w:rPr>
              <w:t>弱</w:t>
            </w:r>
          </w:p>
        </w:tc>
        <w:tc>
          <w:tcPr>
            <w:tcW w:w="1701" w:type="dxa"/>
            <w:vAlign w:val="center"/>
          </w:tcPr>
          <w:p>
            <w:pPr>
              <w:jc w:val="center"/>
              <w:rPr>
                <w:color w:val="auto"/>
                <w:kern w:val="0"/>
                <w:sz w:val="21"/>
                <w:szCs w:val="21"/>
              </w:rPr>
            </w:pPr>
            <w:r>
              <w:rPr>
                <w:color w:val="auto"/>
                <w:kern w:val="0"/>
                <w:sz w:val="21"/>
                <w:szCs w:val="21"/>
              </w:rPr>
              <w:t>难</w:t>
            </w:r>
          </w:p>
        </w:tc>
        <w:tc>
          <w:tcPr>
            <w:tcW w:w="1276" w:type="dxa"/>
            <w:vMerge w:val="restart"/>
            <w:vAlign w:val="center"/>
          </w:tcPr>
          <w:p>
            <w:pPr>
              <w:jc w:val="center"/>
              <w:rPr>
                <w:color w:val="auto"/>
                <w:kern w:val="0"/>
                <w:sz w:val="21"/>
                <w:szCs w:val="21"/>
              </w:rPr>
            </w:pPr>
            <w:r>
              <w:rPr>
                <w:color w:val="auto"/>
                <w:kern w:val="0"/>
                <w:sz w:val="21"/>
                <w:szCs w:val="21"/>
              </w:rPr>
              <w:t>重金属、持久性有机物污染</w:t>
            </w:r>
          </w:p>
        </w:tc>
        <w:tc>
          <w:tcPr>
            <w:tcW w:w="2035" w:type="dxa"/>
            <w:vMerge w:val="restart"/>
            <w:vAlign w:val="center"/>
          </w:tcPr>
          <w:p>
            <w:pPr>
              <w:jc w:val="center"/>
              <w:rPr>
                <w:color w:val="auto"/>
                <w:kern w:val="0"/>
                <w:sz w:val="21"/>
                <w:szCs w:val="21"/>
              </w:rPr>
            </w:pPr>
            <w:r>
              <w:rPr>
                <w:color w:val="auto"/>
                <w:kern w:val="0"/>
                <w:sz w:val="21"/>
                <w:szCs w:val="21"/>
              </w:rPr>
              <w:t>等效黏土防渗层Mb≥6.0m，K≤1×10</w:t>
            </w:r>
            <w:r>
              <w:rPr>
                <w:color w:val="auto"/>
                <w:kern w:val="0"/>
                <w:sz w:val="21"/>
                <w:szCs w:val="21"/>
                <w:vertAlign w:val="superscript"/>
              </w:rPr>
              <w:t>-7</w:t>
            </w:r>
            <w:r>
              <w:rPr>
                <w:color w:val="auto"/>
                <w:kern w:val="0"/>
                <w:sz w:val="21"/>
                <w:szCs w:val="21"/>
              </w:rPr>
              <w:t>cm/s；或参照GB18598执行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384" w:type="dxa"/>
            <w:vMerge w:val="continue"/>
            <w:vAlign w:val="center"/>
          </w:tcPr>
          <w:p>
            <w:pPr>
              <w:ind w:firstLine="373"/>
              <w:jc w:val="center"/>
              <w:rPr>
                <w:color w:val="auto"/>
                <w:kern w:val="0"/>
                <w:sz w:val="21"/>
                <w:szCs w:val="21"/>
              </w:rPr>
            </w:pPr>
          </w:p>
        </w:tc>
        <w:tc>
          <w:tcPr>
            <w:tcW w:w="2126" w:type="dxa"/>
            <w:vAlign w:val="center"/>
          </w:tcPr>
          <w:p>
            <w:pPr>
              <w:jc w:val="center"/>
              <w:rPr>
                <w:color w:val="auto"/>
                <w:kern w:val="0"/>
                <w:sz w:val="21"/>
                <w:szCs w:val="21"/>
              </w:rPr>
            </w:pPr>
            <w:r>
              <w:rPr>
                <w:color w:val="auto"/>
                <w:kern w:val="0"/>
                <w:sz w:val="21"/>
                <w:szCs w:val="21"/>
              </w:rPr>
              <w:t>中—强</w:t>
            </w:r>
          </w:p>
        </w:tc>
        <w:tc>
          <w:tcPr>
            <w:tcW w:w="1701" w:type="dxa"/>
            <w:vAlign w:val="center"/>
          </w:tcPr>
          <w:p>
            <w:pPr>
              <w:jc w:val="center"/>
              <w:rPr>
                <w:color w:val="auto"/>
                <w:kern w:val="0"/>
                <w:sz w:val="21"/>
                <w:szCs w:val="21"/>
              </w:rPr>
            </w:pPr>
            <w:r>
              <w:rPr>
                <w:color w:val="auto"/>
                <w:kern w:val="0"/>
                <w:sz w:val="21"/>
                <w:szCs w:val="21"/>
              </w:rPr>
              <w:t>难</w:t>
            </w:r>
          </w:p>
        </w:tc>
        <w:tc>
          <w:tcPr>
            <w:tcW w:w="1276" w:type="dxa"/>
            <w:vMerge w:val="continue"/>
            <w:vAlign w:val="center"/>
          </w:tcPr>
          <w:p>
            <w:pPr>
              <w:ind w:firstLine="373"/>
              <w:jc w:val="center"/>
              <w:rPr>
                <w:color w:val="auto"/>
                <w:kern w:val="0"/>
                <w:sz w:val="21"/>
                <w:szCs w:val="21"/>
              </w:rPr>
            </w:pPr>
          </w:p>
        </w:tc>
        <w:tc>
          <w:tcPr>
            <w:tcW w:w="2035" w:type="dxa"/>
            <w:vMerge w:val="continue"/>
            <w:vAlign w:val="center"/>
          </w:tcPr>
          <w:p>
            <w:pPr>
              <w:ind w:firstLine="373"/>
              <w:jc w:val="center"/>
              <w:rPr>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384" w:type="dxa"/>
            <w:vMerge w:val="continue"/>
            <w:vAlign w:val="center"/>
          </w:tcPr>
          <w:p>
            <w:pPr>
              <w:ind w:firstLine="373"/>
              <w:jc w:val="center"/>
              <w:rPr>
                <w:color w:val="auto"/>
                <w:kern w:val="0"/>
                <w:sz w:val="21"/>
                <w:szCs w:val="21"/>
              </w:rPr>
            </w:pPr>
          </w:p>
        </w:tc>
        <w:tc>
          <w:tcPr>
            <w:tcW w:w="2126" w:type="dxa"/>
            <w:vAlign w:val="center"/>
          </w:tcPr>
          <w:p>
            <w:pPr>
              <w:jc w:val="center"/>
              <w:rPr>
                <w:color w:val="auto"/>
                <w:kern w:val="0"/>
                <w:sz w:val="21"/>
                <w:szCs w:val="21"/>
              </w:rPr>
            </w:pPr>
            <w:r>
              <w:rPr>
                <w:color w:val="auto"/>
                <w:kern w:val="0"/>
                <w:sz w:val="21"/>
                <w:szCs w:val="21"/>
              </w:rPr>
              <w:t>弱</w:t>
            </w:r>
          </w:p>
        </w:tc>
        <w:tc>
          <w:tcPr>
            <w:tcW w:w="1701" w:type="dxa"/>
            <w:vAlign w:val="center"/>
          </w:tcPr>
          <w:p>
            <w:pPr>
              <w:jc w:val="center"/>
              <w:rPr>
                <w:color w:val="auto"/>
                <w:kern w:val="0"/>
                <w:sz w:val="21"/>
                <w:szCs w:val="21"/>
              </w:rPr>
            </w:pPr>
            <w:r>
              <w:rPr>
                <w:color w:val="auto"/>
                <w:kern w:val="0"/>
                <w:sz w:val="21"/>
                <w:szCs w:val="21"/>
              </w:rPr>
              <w:t>易</w:t>
            </w:r>
          </w:p>
        </w:tc>
        <w:tc>
          <w:tcPr>
            <w:tcW w:w="1276" w:type="dxa"/>
            <w:vMerge w:val="continue"/>
            <w:vAlign w:val="center"/>
          </w:tcPr>
          <w:p>
            <w:pPr>
              <w:ind w:firstLine="373"/>
              <w:jc w:val="center"/>
              <w:rPr>
                <w:color w:val="auto"/>
                <w:kern w:val="0"/>
                <w:sz w:val="21"/>
                <w:szCs w:val="21"/>
              </w:rPr>
            </w:pPr>
          </w:p>
        </w:tc>
        <w:tc>
          <w:tcPr>
            <w:tcW w:w="2035" w:type="dxa"/>
            <w:vMerge w:val="continue"/>
            <w:vAlign w:val="center"/>
          </w:tcPr>
          <w:p>
            <w:pPr>
              <w:ind w:firstLine="373"/>
              <w:jc w:val="center"/>
              <w:rPr>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1384" w:type="dxa"/>
            <w:vMerge w:val="restart"/>
            <w:vAlign w:val="center"/>
          </w:tcPr>
          <w:p>
            <w:pPr>
              <w:jc w:val="center"/>
              <w:rPr>
                <w:color w:val="auto"/>
                <w:kern w:val="0"/>
                <w:sz w:val="21"/>
                <w:szCs w:val="21"/>
              </w:rPr>
            </w:pPr>
            <w:r>
              <w:rPr>
                <w:color w:val="auto"/>
                <w:kern w:val="0"/>
                <w:sz w:val="21"/>
                <w:szCs w:val="21"/>
              </w:rPr>
              <w:t>一般防渗区</w:t>
            </w:r>
          </w:p>
        </w:tc>
        <w:tc>
          <w:tcPr>
            <w:tcW w:w="2126" w:type="dxa"/>
            <w:vAlign w:val="center"/>
          </w:tcPr>
          <w:p>
            <w:pPr>
              <w:jc w:val="center"/>
              <w:rPr>
                <w:color w:val="auto"/>
                <w:kern w:val="0"/>
                <w:sz w:val="21"/>
                <w:szCs w:val="21"/>
              </w:rPr>
            </w:pPr>
            <w:r>
              <w:rPr>
                <w:color w:val="auto"/>
                <w:kern w:val="0"/>
                <w:sz w:val="21"/>
                <w:szCs w:val="21"/>
              </w:rPr>
              <w:t>弱</w:t>
            </w:r>
          </w:p>
        </w:tc>
        <w:tc>
          <w:tcPr>
            <w:tcW w:w="1701" w:type="dxa"/>
            <w:vAlign w:val="center"/>
          </w:tcPr>
          <w:p>
            <w:pPr>
              <w:jc w:val="center"/>
              <w:rPr>
                <w:color w:val="auto"/>
                <w:kern w:val="0"/>
                <w:sz w:val="21"/>
                <w:szCs w:val="21"/>
              </w:rPr>
            </w:pPr>
            <w:r>
              <w:rPr>
                <w:color w:val="auto"/>
                <w:kern w:val="0"/>
                <w:sz w:val="21"/>
                <w:szCs w:val="21"/>
              </w:rPr>
              <w:t>易—难</w:t>
            </w:r>
          </w:p>
        </w:tc>
        <w:tc>
          <w:tcPr>
            <w:tcW w:w="1276" w:type="dxa"/>
            <w:vMerge w:val="restart"/>
            <w:vAlign w:val="center"/>
          </w:tcPr>
          <w:p>
            <w:pPr>
              <w:jc w:val="center"/>
              <w:rPr>
                <w:color w:val="auto"/>
                <w:kern w:val="0"/>
                <w:sz w:val="21"/>
                <w:szCs w:val="21"/>
              </w:rPr>
            </w:pPr>
            <w:r>
              <w:rPr>
                <w:color w:val="auto"/>
                <w:kern w:val="0"/>
                <w:sz w:val="21"/>
                <w:szCs w:val="21"/>
              </w:rPr>
              <w:t>其他类型</w:t>
            </w:r>
          </w:p>
        </w:tc>
        <w:tc>
          <w:tcPr>
            <w:tcW w:w="2035" w:type="dxa"/>
            <w:vMerge w:val="restart"/>
            <w:vAlign w:val="center"/>
          </w:tcPr>
          <w:p>
            <w:pPr>
              <w:jc w:val="center"/>
              <w:rPr>
                <w:color w:val="auto"/>
                <w:kern w:val="0"/>
                <w:sz w:val="21"/>
                <w:szCs w:val="21"/>
              </w:rPr>
            </w:pPr>
            <w:r>
              <w:rPr>
                <w:color w:val="auto"/>
                <w:kern w:val="0"/>
                <w:sz w:val="21"/>
                <w:szCs w:val="21"/>
              </w:rPr>
              <w:t>等效黏土防渗层Mb≥1.5m，K≤1×10</w:t>
            </w:r>
            <w:r>
              <w:rPr>
                <w:color w:val="auto"/>
                <w:kern w:val="0"/>
                <w:sz w:val="21"/>
                <w:szCs w:val="21"/>
                <w:vertAlign w:val="superscript"/>
              </w:rPr>
              <w:t>-7</w:t>
            </w:r>
            <w:r>
              <w:rPr>
                <w:color w:val="auto"/>
                <w:kern w:val="0"/>
                <w:sz w:val="21"/>
                <w:szCs w:val="21"/>
              </w:rPr>
              <w:t>cm/s；或参照GB16889执行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1384" w:type="dxa"/>
            <w:vMerge w:val="continue"/>
            <w:vAlign w:val="center"/>
          </w:tcPr>
          <w:p>
            <w:pPr>
              <w:ind w:firstLine="373"/>
              <w:jc w:val="center"/>
              <w:rPr>
                <w:color w:val="auto"/>
                <w:kern w:val="0"/>
                <w:sz w:val="21"/>
                <w:szCs w:val="21"/>
              </w:rPr>
            </w:pPr>
          </w:p>
        </w:tc>
        <w:tc>
          <w:tcPr>
            <w:tcW w:w="2126" w:type="dxa"/>
            <w:vAlign w:val="center"/>
          </w:tcPr>
          <w:p>
            <w:pPr>
              <w:jc w:val="center"/>
              <w:rPr>
                <w:color w:val="auto"/>
                <w:kern w:val="0"/>
                <w:sz w:val="21"/>
                <w:szCs w:val="21"/>
              </w:rPr>
            </w:pPr>
            <w:r>
              <w:rPr>
                <w:color w:val="auto"/>
                <w:kern w:val="0"/>
                <w:sz w:val="21"/>
                <w:szCs w:val="21"/>
              </w:rPr>
              <w:t>中—强</w:t>
            </w:r>
          </w:p>
        </w:tc>
        <w:tc>
          <w:tcPr>
            <w:tcW w:w="1701" w:type="dxa"/>
            <w:vAlign w:val="center"/>
          </w:tcPr>
          <w:p>
            <w:pPr>
              <w:jc w:val="center"/>
              <w:rPr>
                <w:color w:val="auto"/>
                <w:kern w:val="0"/>
                <w:sz w:val="21"/>
                <w:szCs w:val="21"/>
              </w:rPr>
            </w:pPr>
            <w:r>
              <w:rPr>
                <w:color w:val="auto"/>
                <w:kern w:val="0"/>
                <w:sz w:val="21"/>
                <w:szCs w:val="21"/>
              </w:rPr>
              <w:t>难</w:t>
            </w:r>
          </w:p>
        </w:tc>
        <w:tc>
          <w:tcPr>
            <w:tcW w:w="1276" w:type="dxa"/>
            <w:vMerge w:val="continue"/>
            <w:vAlign w:val="center"/>
          </w:tcPr>
          <w:p>
            <w:pPr>
              <w:ind w:firstLine="373"/>
              <w:jc w:val="center"/>
              <w:rPr>
                <w:color w:val="auto"/>
                <w:kern w:val="0"/>
                <w:sz w:val="21"/>
                <w:szCs w:val="21"/>
              </w:rPr>
            </w:pPr>
          </w:p>
        </w:tc>
        <w:tc>
          <w:tcPr>
            <w:tcW w:w="2035" w:type="dxa"/>
            <w:vMerge w:val="continue"/>
            <w:vAlign w:val="center"/>
          </w:tcPr>
          <w:p>
            <w:pPr>
              <w:ind w:firstLine="373"/>
              <w:jc w:val="center"/>
              <w:rPr>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1384" w:type="dxa"/>
            <w:vMerge w:val="continue"/>
            <w:vAlign w:val="center"/>
          </w:tcPr>
          <w:p>
            <w:pPr>
              <w:ind w:firstLine="373"/>
              <w:jc w:val="center"/>
              <w:rPr>
                <w:color w:val="auto"/>
                <w:kern w:val="0"/>
                <w:sz w:val="21"/>
                <w:szCs w:val="21"/>
              </w:rPr>
            </w:pPr>
          </w:p>
        </w:tc>
        <w:tc>
          <w:tcPr>
            <w:tcW w:w="2126" w:type="dxa"/>
            <w:vAlign w:val="center"/>
          </w:tcPr>
          <w:p>
            <w:pPr>
              <w:jc w:val="center"/>
              <w:rPr>
                <w:color w:val="auto"/>
                <w:kern w:val="0"/>
                <w:sz w:val="21"/>
                <w:szCs w:val="21"/>
              </w:rPr>
            </w:pPr>
            <w:r>
              <w:rPr>
                <w:color w:val="auto"/>
                <w:kern w:val="0"/>
                <w:sz w:val="21"/>
                <w:szCs w:val="21"/>
              </w:rPr>
              <w:t>中</w:t>
            </w:r>
          </w:p>
        </w:tc>
        <w:tc>
          <w:tcPr>
            <w:tcW w:w="1701" w:type="dxa"/>
            <w:vAlign w:val="center"/>
          </w:tcPr>
          <w:p>
            <w:pPr>
              <w:jc w:val="center"/>
              <w:rPr>
                <w:color w:val="auto"/>
                <w:kern w:val="0"/>
                <w:sz w:val="21"/>
                <w:szCs w:val="21"/>
              </w:rPr>
            </w:pPr>
            <w:r>
              <w:rPr>
                <w:color w:val="auto"/>
                <w:kern w:val="0"/>
                <w:sz w:val="21"/>
                <w:szCs w:val="21"/>
              </w:rPr>
              <w:t>易</w:t>
            </w:r>
          </w:p>
        </w:tc>
        <w:tc>
          <w:tcPr>
            <w:tcW w:w="1276" w:type="dxa"/>
            <w:vMerge w:val="restart"/>
            <w:vAlign w:val="center"/>
          </w:tcPr>
          <w:p>
            <w:pPr>
              <w:jc w:val="center"/>
              <w:rPr>
                <w:color w:val="auto"/>
                <w:kern w:val="0"/>
                <w:sz w:val="21"/>
                <w:szCs w:val="21"/>
              </w:rPr>
            </w:pPr>
            <w:r>
              <w:rPr>
                <w:color w:val="auto"/>
                <w:kern w:val="0"/>
                <w:sz w:val="21"/>
                <w:szCs w:val="21"/>
              </w:rPr>
              <w:t>重金属、持久性有机物污染物</w:t>
            </w:r>
          </w:p>
        </w:tc>
        <w:tc>
          <w:tcPr>
            <w:tcW w:w="2035" w:type="dxa"/>
            <w:vMerge w:val="continue"/>
            <w:vAlign w:val="center"/>
          </w:tcPr>
          <w:p>
            <w:pPr>
              <w:ind w:firstLine="373"/>
              <w:jc w:val="center"/>
              <w:rPr>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3" w:hRule="atLeast"/>
          <w:jc w:val="center"/>
        </w:trPr>
        <w:tc>
          <w:tcPr>
            <w:tcW w:w="1384" w:type="dxa"/>
            <w:vMerge w:val="continue"/>
            <w:vAlign w:val="center"/>
          </w:tcPr>
          <w:p>
            <w:pPr>
              <w:ind w:firstLine="373"/>
              <w:jc w:val="center"/>
              <w:rPr>
                <w:color w:val="auto"/>
                <w:kern w:val="0"/>
                <w:sz w:val="21"/>
                <w:szCs w:val="21"/>
              </w:rPr>
            </w:pPr>
          </w:p>
        </w:tc>
        <w:tc>
          <w:tcPr>
            <w:tcW w:w="2126" w:type="dxa"/>
            <w:vAlign w:val="center"/>
          </w:tcPr>
          <w:p>
            <w:pPr>
              <w:jc w:val="center"/>
              <w:rPr>
                <w:color w:val="auto"/>
                <w:kern w:val="0"/>
                <w:sz w:val="21"/>
                <w:szCs w:val="21"/>
              </w:rPr>
            </w:pPr>
            <w:r>
              <w:rPr>
                <w:color w:val="auto"/>
                <w:kern w:val="0"/>
                <w:sz w:val="21"/>
                <w:szCs w:val="21"/>
              </w:rPr>
              <w:t>强</w:t>
            </w:r>
          </w:p>
        </w:tc>
        <w:tc>
          <w:tcPr>
            <w:tcW w:w="1701" w:type="dxa"/>
            <w:vAlign w:val="center"/>
          </w:tcPr>
          <w:p>
            <w:pPr>
              <w:jc w:val="center"/>
              <w:rPr>
                <w:color w:val="auto"/>
                <w:kern w:val="0"/>
                <w:sz w:val="21"/>
                <w:szCs w:val="21"/>
              </w:rPr>
            </w:pPr>
            <w:r>
              <w:rPr>
                <w:color w:val="auto"/>
                <w:kern w:val="0"/>
                <w:sz w:val="21"/>
                <w:szCs w:val="21"/>
              </w:rPr>
              <w:t>易</w:t>
            </w:r>
          </w:p>
        </w:tc>
        <w:tc>
          <w:tcPr>
            <w:tcW w:w="1276" w:type="dxa"/>
            <w:vMerge w:val="continue"/>
            <w:vAlign w:val="center"/>
          </w:tcPr>
          <w:p>
            <w:pPr>
              <w:ind w:firstLine="373"/>
              <w:jc w:val="center"/>
              <w:rPr>
                <w:color w:val="auto"/>
                <w:kern w:val="0"/>
                <w:sz w:val="21"/>
                <w:szCs w:val="21"/>
              </w:rPr>
            </w:pPr>
          </w:p>
        </w:tc>
        <w:tc>
          <w:tcPr>
            <w:tcW w:w="2035" w:type="dxa"/>
            <w:vMerge w:val="continue"/>
            <w:vAlign w:val="center"/>
          </w:tcPr>
          <w:p>
            <w:pPr>
              <w:ind w:firstLine="373"/>
              <w:jc w:val="center"/>
              <w:rPr>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384" w:type="dxa"/>
            <w:vAlign w:val="center"/>
          </w:tcPr>
          <w:p>
            <w:pPr>
              <w:jc w:val="center"/>
              <w:rPr>
                <w:color w:val="auto"/>
                <w:kern w:val="0"/>
                <w:sz w:val="21"/>
                <w:szCs w:val="21"/>
              </w:rPr>
            </w:pPr>
            <w:r>
              <w:rPr>
                <w:color w:val="auto"/>
                <w:kern w:val="0"/>
                <w:sz w:val="21"/>
                <w:szCs w:val="21"/>
              </w:rPr>
              <w:t>简单防渗区</w:t>
            </w:r>
          </w:p>
        </w:tc>
        <w:tc>
          <w:tcPr>
            <w:tcW w:w="2126" w:type="dxa"/>
            <w:vAlign w:val="center"/>
          </w:tcPr>
          <w:p>
            <w:pPr>
              <w:jc w:val="center"/>
              <w:rPr>
                <w:color w:val="auto"/>
                <w:kern w:val="0"/>
                <w:sz w:val="21"/>
                <w:szCs w:val="21"/>
              </w:rPr>
            </w:pPr>
            <w:r>
              <w:rPr>
                <w:color w:val="auto"/>
                <w:kern w:val="0"/>
                <w:sz w:val="21"/>
                <w:szCs w:val="21"/>
              </w:rPr>
              <w:t>中—强</w:t>
            </w:r>
          </w:p>
        </w:tc>
        <w:tc>
          <w:tcPr>
            <w:tcW w:w="1701" w:type="dxa"/>
            <w:vAlign w:val="center"/>
          </w:tcPr>
          <w:p>
            <w:pPr>
              <w:jc w:val="center"/>
              <w:rPr>
                <w:color w:val="auto"/>
                <w:kern w:val="0"/>
                <w:sz w:val="21"/>
                <w:szCs w:val="21"/>
              </w:rPr>
            </w:pPr>
            <w:r>
              <w:rPr>
                <w:color w:val="auto"/>
                <w:kern w:val="0"/>
                <w:sz w:val="21"/>
                <w:szCs w:val="21"/>
              </w:rPr>
              <w:t>易</w:t>
            </w:r>
          </w:p>
        </w:tc>
        <w:tc>
          <w:tcPr>
            <w:tcW w:w="1276" w:type="dxa"/>
            <w:vAlign w:val="center"/>
          </w:tcPr>
          <w:p>
            <w:pPr>
              <w:jc w:val="center"/>
              <w:rPr>
                <w:color w:val="auto"/>
                <w:kern w:val="0"/>
                <w:sz w:val="21"/>
                <w:szCs w:val="21"/>
              </w:rPr>
            </w:pPr>
            <w:r>
              <w:rPr>
                <w:color w:val="auto"/>
                <w:kern w:val="0"/>
                <w:sz w:val="21"/>
                <w:szCs w:val="21"/>
              </w:rPr>
              <w:t>其他类型</w:t>
            </w:r>
          </w:p>
        </w:tc>
        <w:tc>
          <w:tcPr>
            <w:tcW w:w="2035" w:type="dxa"/>
            <w:vAlign w:val="center"/>
          </w:tcPr>
          <w:p>
            <w:pPr>
              <w:jc w:val="center"/>
              <w:rPr>
                <w:color w:val="auto"/>
                <w:kern w:val="0"/>
                <w:sz w:val="21"/>
                <w:szCs w:val="21"/>
              </w:rPr>
            </w:pPr>
            <w:r>
              <w:rPr>
                <w:color w:val="auto"/>
                <w:kern w:val="0"/>
                <w:sz w:val="21"/>
                <w:szCs w:val="21"/>
              </w:rPr>
              <w:t>一般地面硬化</w:t>
            </w:r>
          </w:p>
        </w:tc>
      </w:tr>
    </w:tbl>
    <w:p>
      <w:pPr>
        <w:spacing w:line="360" w:lineRule="auto"/>
        <w:ind w:firstLine="480" w:firstLineChars="200"/>
        <w:contextualSpacing/>
        <w:rPr>
          <w:rFonts w:eastAsiaTheme="minorEastAsia"/>
          <w:color w:val="auto"/>
          <w:sz w:val="24"/>
        </w:rPr>
      </w:pPr>
      <w:r>
        <w:rPr>
          <w:rFonts w:hint="eastAsia" w:eastAsiaTheme="minorEastAsia"/>
          <w:color w:val="auto"/>
          <w:sz w:val="24"/>
        </w:rPr>
        <w:t>根据项目区水文地质条件判定本项目天然包气带防污性能等级为“弱”，本项目</w:t>
      </w:r>
      <w:r>
        <w:rPr>
          <w:rFonts w:eastAsiaTheme="minorEastAsia"/>
          <w:color w:val="auto"/>
          <w:sz w:val="24"/>
        </w:rPr>
        <w:t>污染物类型不属于重金属、持久性有机物污染物</w:t>
      </w:r>
      <w:r>
        <w:rPr>
          <w:rFonts w:hint="eastAsia" w:eastAsiaTheme="minorEastAsia"/>
          <w:color w:val="auto"/>
          <w:sz w:val="24"/>
        </w:rPr>
        <w:t>。因此，本项目</w:t>
      </w:r>
      <w:r>
        <w:rPr>
          <w:rFonts w:hint="eastAsia" w:eastAsiaTheme="minorEastAsia"/>
          <w:color w:val="auto"/>
          <w:sz w:val="24"/>
          <w:lang w:val="en-GB" w:eastAsia="zh-CN"/>
        </w:rPr>
        <w:t>办公楼</w:t>
      </w:r>
      <w:r>
        <w:rPr>
          <w:rFonts w:eastAsiaTheme="minorEastAsia"/>
          <w:color w:val="auto"/>
          <w:sz w:val="24"/>
          <w:lang w:val="en-GB"/>
        </w:rPr>
        <w:t>、库房等采取简单防渗，</w:t>
      </w:r>
      <w:r>
        <w:rPr>
          <w:rFonts w:eastAsiaTheme="minorEastAsia"/>
          <w:color w:val="auto"/>
          <w:sz w:val="24"/>
        </w:rPr>
        <w:t>对其地面采用混凝土进行一般地面硬化。</w:t>
      </w:r>
      <w:r>
        <w:rPr>
          <w:rFonts w:hint="eastAsia" w:eastAsiaTheme="minorEastAsia"/>
          <w:color w:val="auto"/>
          <w:sz w:val="24"/>
          <w:lang w:val="en-US" w:eastAsia="zh-CN"/>
        </w:rPr>
        <w:t>急宰间、</w:t>
      </w:r>
      <w:r>
        <w:rPr>
          <w:rFonts w:hint="eastAsia" w:eastAsiaTheme="minorEastAsia"/>
          <w:color w:val="auto"/>
          <w:sz w:val="24"/>
        </w:rPr>
        <w:t>待宰间、屠宰车间、</w:t>
      </w:r>
      <w:r>
        <w:rPr>
          <w:rFonts w:eastAsiaTheme="minorEastAsia"/>
          <w:color w:val="auto"/>
          <w:sz w:val="24"/>
          <w:lang w:val="en-GB"/>
        </w:rPr>
        <w:t>冷库、</w:t>
      </w:r>
      <w:r>
        <w:rPr>
          <w:rFonts w:eastAsiaTheme="minorEastAsia"/>
          <w:color w:val="auto"/>
          <w:sz w:val="24"/>
        </w:rPr>
        <w:t>污水处理站、贮水池、事故池采取一般防渗，池体</w:t>
      </w:r>
      <w:r>
        <w:rPr>
          <w:rFonts w:hint="eastAsia" w:eastAsiaTheme="minorEastAsia"/>
          <w:color w:val="auto"/>
          <w:sz w:val="24"/>
        </w:rPr>
        <w:t>及</w:t>
      </w:r>
      <w:r>
        <w:rPr>
          <w:rFonts w:eastAsiaTheme="minorEastAsia"/>
          <w:color w:val="auto"/>
          <w:sz w:val="24"/>
          <w:lang w:val="en-GB"/>
        </w:rPr>
        <w:t>地面基础防渗，防渗层为至少1m厚粘土层或2mm厚高密度聚乙烯，需满足等效黏土防渗层Mb≥1.5m，K≤1×10</w:t>
      </w:r>
      <w:r>
        <w:rPr>
          <w:rFonts w:eastAsiaTheme="minorEastAsia"/>
          <w:color w:val="auto"/>
          <w:sz w:val="24"/>
          <w:vertAlign w:val="superscript"/>
          <w:lang w:val="en-GB"/>
        </w:rPr>
        <w:t>-7</w:t>
      </w:r>
      <w:r>
        <w:rPr>
          <w:rFonts w:eastAsiaTheme="minorEastAsia"/>
          <w:color w:val="auto"/>
          <w:sz w:val="24"/>
          <w:lang w:val="en-GB"/>
        </w:rPr>
        <w:t>cm/s的要求。</w:t>
      </w:r>
      <w:r>
        <w:rPr>
          <w:rFonts w:hint="eastAsia" w:eastAsiaTheme="minorEastAsia"/>
          <w:color w:val="auto"/>
          <w:sz w:val="24"/>
          <w:lang w:val="en-GB" w:eastAsia="zh-CN"/>
        </w:rPr>
        <w:t>危险废物贮存点</w:t>
      </w:r>
      <w:r>
        <w:rPr>
          <w:rFonts w:eastAsiaTheme="minorEastAsia"/>
          <w:color w:val="auto"/>
          <w:sz w:val="24"/>
          <w:lang w:val="en-GB"/>
        </w:rPr>
        <w:t>采取重点防渗</w:t>
      </w:r>
      <w:r>
        <w:rPr>
          <w:rFonts w:hint="eastAsia" w:eastAsiaTheme="minorEastAsia"/>
          <w:color w:val="auto"/>
          <w:sz w:val="24"/>
          <w:lang w:val="en-GB"/>
        </w:rPr>
        <w:t>，地面和墙裙</w:t>
      </w:r>
      <w:r>
        <w:rPr>
          <w:rFonts w:eastAsiaTheme="minorEastAsia"/>
          <w:color w:val="auto"/>
          <w:sz w:val="24"/>
        </w:rPr>
        <w:t>采用至少1m厚粘土层（渗透系数K≤10</w:t>
      </w:r>
      <w:r>
        <w:rPr>
          <w:rFonts w:eastAsiaTheme="minorEastAsia"/>
          <w:color w:val="auto"/>
          <w:sz w:val="24"/>
          <w:vertAlign w:val="superscript"/>
        </w:rPr>
        <w:t>-7</w:t>
      </w:r>
      <w:r>
        <w:rPr>
          <w:rFonts w:eastAsiaTheme="minorEastAsia"/>
          <w:color w:val="auto"/>
          <w:sz w:val="24"/>
        </w:rPr>
        <w:t>cm/s）或2mm厚高密度聚乙烯或至少2mm厚的其他人工材料（渗透系数K≤10</w:t>
      </w:r>
      <w:r>
        <w:rPr>
          <w:rFonts w:eastAsiaTheme="minorEastAsia"/>
          <w:color w:val="auto"/>
          <w:sz w:val="24"/>
          <w:vertAlign w:val="superscript"/>
        </w:rPr>
        <w:t>-10</w:t>
      </w:r>
      <w:r>
        <w:rPr>
          <w:rFonts w:eastAsiaTheme="minorEastAsia"/>
          <w:color w:val="auto"/>
          <w:sz w:val="24"/>
        </w:rPr>
        <w:t>cm/s）。</w:t>
      </w:r>
      <w:r>
        <w:rPr>
          <w:rFonts w:hint="eastAsia" w:eastAsiaTheme="minorEastAsia"/>
          <w:color w:val="auto"/>
          <w:sz w:val="24"/>
        </w:rPr>
        <w:t>分区防渗示意见图6</w:t>
      </w:r>
      <w:r>
        <w:rPr>
          <w:rFonts w:eastAsiaTheme="minorEastAsia"/>
          <w:color w:val="auto"/>
          <w:sz w:val="24"/>
        </w:rPr>
        <w:t>-</w:t>
      </w:r>
      <w:r>
        <w:rPr>
          <w:rFonts w:hint="eastAsia" w:eastAsiaTheme="minorEastAsia"/>
          <w:color w:val="auto"/>
          <w:sz w:val="24"/>
        </w:rPr>
        <w:t>2</w:t>
      </w:r>
      <w:r>
        <w:rPr>
          <w:rFonts w:eastAsiaTheme="minorEastAsia"/>
          <w:color w:val="auto"/>
          <w:sz w:val="24"/>
        </w:rPr>
        <w:t>-</w:t>
      </w:r>
      <w:r>
        <w:rPr>
          <w:rFonts w:hint="eastAsia" w:eastAsiaTheme="minorEastAsia"/>
          <w:color w:val="auto"/>
          <w:sz w:val="24"/>
        </w:rPr>
        <w:t>2。</w:t>
      </w:r>
    </w:p>
    <w:p>
      <w:pPr>
        <w:pStyle w:val="76"/>
        <w:spacing w:line="240" w:lineRule="auto"/>
        <w:ind w:firstLine="0" w:firstLineChars="0"/>
        <w:rPr>
          <w:rFonts w:ascii="Times New Roman" w:hAnsi="Times New Roman" w:cs="Times New Roman"/>
          <w:color w:val="auto"/>
          <w:sz w:val="24"/>
          <w:szCs w:val="24"/>
          <w:u w:color="000000"/>
        </w:rPr>
      </w:pPr>
      <w:r>
        <w:rPr>
          <w:rFonts w:ascii="Times New Roman" w:hAnsi="Times New Roman" w:cs="Times New Roman"/>
          <w:color w:val="auto"/>
          <w:sz w:val="24"/>
          <w:szCs w:val="24"/>
          <w:u w:color="000000"/>
        </w:rPr>
        <w:t>表6-2-</w:t>
      </w:r>
      <w:r>
        <w:rPr>
          <w:rFonts w:hint="eastAsia" w:ascii="Times New Roman" w:hAnsi="Times New Roman" w:cs="Times New Roman"/>
          <w:color w:val="auto"/>
          <w:sz w:val="24"/>
          <w:szCs w:val="24"/>
          <w:u w:color="000000"/>
        </w:rPr>
        <w:t>6</w:t>
      </w:r>
      <w:r>
        <w:rPr>
          <w:rFonts w:ascii="Times New Roman" w:hAnsi="Times New Roman" w:cs="Times New Roman"/>
          <w:color w:val="auto"/>
          <w:sz w:val="24"/>
          <w:szCs w:val="24"/>
          <w:u w:color="000000"/>
        </w:rPr>
        <w:t>地下水防渗分区措施表</w:t>
      </w:r>
    </w:p>
    <w:tbl>
      <w:tblPr>
        <w:tblStyle w:val="46"/>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552"/>
        <w:gridCol w:w="1183"/>
        <w:gridCol w:w="457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52" w:type="dxa"/>
            <w:shd w:val="clear" w:color="auto" w:fill="auto"/>
            <w:vAlign w:val="center"/>
          </w:tcPr>
          <w:p>
            <w:pPr>
              <w:pStyle w:val="84"/>
              <w:spacing w:line="0" w:lineRule="atLeast"/>
              <w:rPr>
                <w:rFonts w:hAnsi="Times New Roman"/>
                <w:color w:val="auto"/>
              </w:rPr>
            </w:pPr>
            <w:r>
              <w:rPr>
                <w:rFonts w:hAnsi="Times New Roman"/>
                <w:color w:val="auto"/>
              </w:rPr>
              <w:t>防渗部位</w:t>
            </w:r>
          </w:p>
        </w:tc>
        <w:tc>
          <w:tcPr>
            <w:tcW w:w="1183" w:type="dxa"/>
            <w:shd w:val="clear" w:color="auto" w:fill="auto"/>
            <w:vAlign w:val="center"/>
          </w:tcPr>
          <w:p>
            <w:pPr>
              <w:pStyle w:val="84"/>
              <w:spacing w:line="0" w:lineRule="atLeast"/>
              <w:rPr>
                <w:rFonts w:hAnsi="Times New Roman"/>
                <w:color w:val="auto"/>
              </w:rPr>
            </w:pPr>
            <w:r>
              <w:rPr>
                <w:rFonts w:hAnsi="Times New Roman"/>
                <w:color w:val="auto"/>
              </w:rPr>
              <w:t>防渗类型</w:t>
            </w:r>
          </w:p>
        </w:tc>
        <w:tc>
          <w:tcPr>
            <w:tcW w:w="4577" w:type="dxa"/>
            <w:shd w:val="clear" w:color="auto" w:fill="auto"/>
            <w:vAlign w:val="center"/>
          </w:tcPr>
          <w:p>
            <w:pPr>
              <w:pStyle w:val="84"/>
              <w:spacing w:line="0" w:lineRule="atLeast"/>
              <w:rPr>
                <w:rFonts w:hAnsi="Times New Roman"/>
                <w:color w:val="auto"/>
              </w:rPr>
            </w:pPr>
            <w:r>
              <w:rPr>
                <w:rFonts w:hAnsi="Times New Roman"/>
                <w:color w:val="auto"/>
              </w:rPr>
              <w:t>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52" w:type="dxa"/>
            <w:shd w:val="clear" w:color="auto" w:fill="auto"/>
            <w:vAlign w:val="center"/>
          </w:tcPr>
          <w:p>
            <w:pPr>
              <w:pStyle w:val="84"/>
              <w:spacing w:line="0" w:lineRule="atLeast"/>
              <w:rPr>
                <w:rFonts w:hAnsi="Times New Roman"/>
                <w:color w:val="auto"/>
              </w:rPr>
            </w:pPr>
            <w:r>
              <w:rPr>
                <w:rFonts w:hint="eastAsia" w:hAnsi="Times New Roman"/>
                <w:color w:val="auto"/>
                <w:lang w:val="en-GB" w:eastAsia="zh-CN"/>
              </w:rPr>
              <w:t>办公楼</w:t>
            </w:r>
            <w:r>
              <w:rPr>
                <w:rFonts w:hAnsi="Times New Roman"/>
                <w:color w:val="auto"/>
                <w:lang w:val="en-GB"/>
              </w:rPr>
              <w:t>、库房等</w:t>
            </w:r>
          </w:p>
        </w:tc>
        <w:tc>
          <w:tcPr>
            <w:tcW w:w="1183" w:type="dxa"/>
            <w:shd w:val="clear" w:color="auto" w:fill="auto"/>
            <w:vAlign w:val="center"/>
          </w:tcPr>
          <w:p>
            <w:pPr>
              <w:pStyle w:val="84"/>
              <w:spacing w:line="0" w:lineRule="atLeast"/>
              <w:rPr>
                <w:rFonts w:hAnsi="Times New Roman"/>
                <w:color w:val="auto"/>
              </w:rPr>
            </w:pPr>
            <w:r>
              <w:rPr>
                <w:rFonts w:hAnsi="Times New Roman"/>
                <w:color w:val="auto"/>
              </w:rPr>
              <w:t>简单防渗</w:t>
            </w:r>
          </w:p>
        </w:tc>
        <w:tc>
          <w:tcPr>
            <w:tcW w:w="4577" w:type="dxa"/>
            <w:shd w:val="clear" w:color="auto" w:fill="auto"/>
            <w:vAlign w:val="center"/>
          </w:tcPr>
          <w:p>
            <w:pPr>
              <w:pStyle w:val="84"/>
              <w:spacing w:line="0" w:lineRule="atLeast"/>
              <w:rPr>
                <w:rFonts w:hAnsi="Times New Roman"/>
                <w:color w:val="auto"/>
              </w:rPr>
            </w:pPr>
            <w:r>
              <w:rPr>
                <w:rFonts w:hAnsi="Times New Roman"/>
                <w:color w:val="auto"/>
              </w:rPr>
              <w:t>对其地面采用混凝土进行一般地面硬化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52" w:type="dxa"/>
            <w:shd w:val="clear" w:color="auto" w:fill="auto"/>
            <w:vAlign w:val="center"/>
          </w:tcPr>
          <w:p>
            <w:pPr>
              <w:pStyle w:val="84"/>
              <w:spacing w:line="0" w:lineRule="atLeast"/>
              <w:rPr>
                <w:rFonts w:hAnsi="Times New Roman"/>
                <w:color w:val="auto"/>
              </w:rPr>
            </w:pPr>
            <w:r>
              <w:rPr>
                <w:rFonts w:hint="eastAsia" w:hAnsi="Times New Roman"/>
                <w:color w:val="auto"/>
                <w:lang w:val="en-US" w:eastAsia="zh-CN"/>
              </w:rPr>
              <w:t>急宰间、</w:t>
            </w:r>
            <w:r>
              <w:rPr>
                <w:rFonts w:hint="eastAsia" w:hAnsi="Times New Roman"/>
                <w:color w:val="auto"/>
              </w:rPr>
              <w:t>待宰间、屠宰车间、</w:t>
            </w:r>
            <w:r>
              <w:rPr>
                <w:rFonts w:hAnsi="Times New Roman"/>
                <w:color w:val="auto"/>
                <w:lang w:val="en-GB"/>
              </w:rPr>
              <w:t>冷库、</w:t>
            </w:r>
            <w:r>
              <w:rPr>
                <w:rFonts w:hAnsi="Times New Roman"/>
                <w:color w:val="auto"/>
              </w:rPr>
              <w:t>污水处理站、贮水池、事故池</w:t>
            </w:r>
          </w:p>
        </w:tc>
        <w:tc>
          <w:tcPr>
            <w:tcW w:w="1183" w:type="dxa"/>
            <w:shd w:val="clear" w:color="auto" w:fill="auto"/>
            <w:vAlign w:val="center"/>
          </w:tcPr>
          <w:p>
            <w:pPr>
              <w:pStyle w:val="84"/>
              <w:spacing w:line="0" w:lineRule="atLeast"/>
              <w:rPr>
                <w:rFonts w:hAnsi="Times New Roman"/>
                <w:color w:val="auto"/>
              </w:rPr>
            </w:pPr>
            <w:r>
              <w:rPr>
                <w:rFonts w:hAnsi="Times New Roman"/>
                <w:color w:val="auto"/>
              </w:rPr>
              <w:t>一般防渗</w:t>
            </w:r>
          </w:p>
        </w:tc>
        <w:tc>
          <w:tcPr>
            <w:tcW w:w="4577" w:type="dxa"/>
            <w:shd w:val="clear" w:color="auto" w:fill="auto"/>
            <w:vAlign w:val="center"/>
          </w:tcPr>
          <w:p>
            <w:pPr>
              <w:pStyle w:val="84"/>
              <w:spacing w:line="0" w:lineRule="atLeast"/>
              <w:rPr>
                <w:rFonts w:hAnsi="Times New Roman"/>
                <w:color w:val="auto"/>
                <w:lang w:val="en-GB"/>
              </w:rPr>
            </w:pPr>
            <w:r>
              <w:rPr>
                <w:rFonts w:hAnsi="Times New Roman"/>
                <w:color w:val="auto"/>
              </w:rPr>
              <w:t>池体</w:t>
            </w:r>
            <w:r>
              <w:rPr>
                <w:rFonts w:hint="eastAsia" w:hAnsi="Times New Roman"/>
                <w:color w:val="auto"/>
              </w:rPr>
              <w:t>及</w:t>
            </w:r>
            <w:r>
              <w:rPr>
                <w:rFonts w:hAnsi="Times New Roman"/>
                <w:color w:val="auto"/>
                <w:lang w:val="en-GB"/>
              </w:rPr>
              <w:t>地面基础防渗，防渗层为至少1m厚粘土层或2mm厚高密度聚乙烯，需满足等效黏土防渗层Mb≥1.5m，K≤1×10</w:t>
            </w:r>
            <w:r>
              <w:rPr>
                <w:rFonts w:hAnsi="Times New Roman"/>
                <w:color w:val="auto"/>
                <w:vertAlign w:val="superscript"/>
                <w:lang w:val="en-GB"/>
              </w:rPr>
              <w:t>-7</w:t>
            </w:r>
            <w:r>
              <w:rPr>
                <w:rFonts w:hAnsi="Times New Roman"/>
                <w:color w:val="auto"/>
                <w:lang w:val="en-GB"/>
              </w:rPr>
              <w:t>cm/s的要求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52" w:type="dxa"/>
            <w:shd w:val="clear" w:color="auto" w:fill="auto"/>
            <w:vAlign w:val="center"/>
          </w:tcPr>
          <w:p>
            <w:pPr>
              <w:pStyle w:val="84"/>
              <w:spacing w:line="0" w:lineRule="atLeast"/>
              <w:rPr>
                <w:rFonts w:hint="eastAsia" w:hAnsi="Times New Roman" w:eastAsia="宋体"/>
                <w:color w:val="auto"/>
                <w:lang w:eastAsia="zh-CN"/>
              </w:rPr>
            </w:pPr>
            <w:r>
              <w:rPr>
                <w:rFonts w:hint="eastAsia" w:hAnsi="Times New Roman"/>
                <w:color w:val="auto"/>
                <w:lang w:eastAsia="zh-CN"/>
              </w:rPr>
              <w:t>危险废物贮存点</w:t>
            </w:r>
          </w:p>
        </w:tc>
        <w:tc>
          <w:tcPr>
            <w:tcW w:w="1183" w:type="dxa"/>
            <w:shd w:val="clear" w:color="auto" w:fill="auto"/>
            <w:vAlign w:val="center"/>
          </w:tcPr>
          <w:p>
            <w:pPr>
              <w:pStyle w:val="84"/>
              <w:spacing w:line="0" w:lineRule="atLeast"/>
              <w:rPr>
                <w:rFonts w:hAnsi="Times New Roman"/>
                <w:color w:val="auto"/>
              </w:rPr>
            </w:pPr>
            <w:r>
              <w:rPr>
                <w:rFonts w:hAnsi="Times New Roman"/>
                <w:color w:val="auto"/>
              </w:rPr>
              <w:t>重点防渗</w:t>
            </w:r>
          </w:p>
        </w:tc>
        <w:tc>
          <w:tcPr>
            <w:tcW w:w="4577" w:type="dxa"/>
            <w:shd w:val="clear" w:color="auto" w:fill="auto"/>
            <w:vAlign w:val="center"/>
          </w:tcPr>
          <w:p>
            <w:pPr>
              <w:pStyle w:val="84"/>
              <w:spacing w:line="0" w:lineRule="atLeast"/>
              <w:rPr>
                <w:rFonts w:hAnsi="Times New Roman"/>
                <w:color w:val="auto"/>
              </w:rPr>
            </w:pPr>
            <w:r>
              <w:rPr>
                <w:rFonts w:hint="eastAsia" w:hAnsi="Times New Roman"/>
                <w:color w:val="auto"/>
                <w:lang w:val="en-GB"/>
              </w:rPr>
              <w:t>地面和墙裙</w:t>
            </w:r>
            <w:r>
              <w:rPr>
                <w:rFonts w:hAnsi="Times New Roman"/>
                <w:color w:val="auto"/>
              </w:rPr>
              <w:t>采用至少1m厚粘土层（渗透系数K≤10</w:t>
            </w:r>
            <w:r>
              <w:rPr>
                <w:rFonts w:hAnsi="Times New Roman"/>
                <w:color w:val="auto"/>
                <w:vertAlign w:val="superscript"/>
              </w:rPr>
              <w:t>-7</w:t>
            </w:r>
            <w:r>
              <w:rPr>
                <w:rFonts w:hAnsi="Times New Roman"/>
                <w:color w:val="auto"/>
              </w:rPr>
              <w:t>cm/s）或2mm厚高密度聚乙烯或至少2mm厚的其他人工材料（渗透系数K≤10</w:t>
            </w:r>
            <w:r>
              <w:rPr>
                <w:rFonts w:hAnsi="Times New Roman"/>
                <w:color w:val="auto"/>
                <w:vertAlign w:val="superscript"/>
              </w:rPr>
              <w:t>-10</w:t>
            </w:r>
            <w:r>
              <w:rPr>
                <w:rFonts w:hAnsi="Times New Roman"/>
                <w:color w:val="auto"/>
              </w:rPr>
              <w:t>cm/s）</w:t>
            </w:r>
          </w:p>
        </w:tc>
      </w:tr>
    </w:tbl>
    <w:p>
      <w:pPr>
        <w:spacing w:line="360" w:lineRule="auto"/>
        <w:ind w:firstLine="480" w:firstLineChars="200"/>
        <w:contextualSpacing/>
        <w:rPr>
          <w:rFonts w:eastAsiaTheme="minorEastAsia"/>
          <w:color w:val="auto"/>
          <w:sz w:val="24"/>
        </w:rPr>
      </w:pPr>
      <w:r>
        <w:rPr>
          <w:rFonts w:hAnsiTheme="minorEastAsia" w:eastAsiaTheme="minorEastAsia"/>
          <w:color w:val="auto"/>
          <w:sz w:val="24"/>
        </w:rPr>
        <w:t>本项目对地下水的主要污染途径为废水渗透，在认真采取以上措施的基础上，一旦水泥硬化层发生断裂，由于防渗层的保护作用，废水不会对地下水源造成影响。</w:t>
      </w:r>
    </w:p>
    <w:p>
      <w:pPr>
        <w:tabs>
          <w:tab w:val="left" w:pos="360"/>
        </w:tabs>
        <w:spacing w:line="360" w:lineRule="auto"/>
        <w:ind w:firstLine="424" w:firstLineChars="177"/>
        <w:contextualSpacing/>
        <w:rPr>
          <w:color w:val="auto"/>
          <w:sz w:val="24"/>
        </w:rPr>
      </w:pPr>
      <w:r>
        <w:rPr>
          <w:color w:val="auto"/>
          <w:sz w:val="24"/>
        </w:rPr>
        <w:t>（2）跟踪监测</w:t>
      </w:r>
    </w:p>
    <w:p>
      <w:pPr>
        <w:pStyle w:val="258"/>
        <w:rPr>
          <w:color w:val="auto"/>
        </w:rPr>
      </w:pPr>
      <w:r>
        <w:rPr>
          <w:color w:val="auto"/>
        </w:rPr>
        <w:t>定期对地下水环境进行监测，委托具有资质的单位进行，监测报告应包括建设项目所在地及其影响区地下水环境跟踪监测数据，各生产设施及污染防控措施等设施的运行状况、维护记录，同时对监测结果进行信息公开，每</w:t>
      </w:r>
      <w:r>
        <w:rPr>
          <w:rFonts w:hint="eastAsia"/>
          <w:color w:val="auto"/>
        </w:rPr>
        <w:t>年</w:t>
      </w:r>
      <w:r>
        <w:rPr>
          <w:color w:val="auto"/>
        </w:rPr>
        <w:t>公开一次。</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项目所在地地下水流向为自</w:t>
      </w:r>
      <w:r>
        <w:rPr>
          <w:rFonts w:hint="eastAsia" w:ascii="Times New Roman" w:hAnsi="Times New Roman" w:eastAsia="宋体" w:cs="Times New Roman"/>
          <w:color w:val="auto"/>
          <w:lang w:val="en-US" w:eastAsia="zh-CN"/>
        </w:rPr>
        <w:t>西</w:t>
      </w:r>
      <w:r>
        <w:rPr>
          <w:rFonts w:ascii="Times New Roman" w:hAnsi="Times New Roman" w:eastAsia="宋体" w:cs="Times New Roman"/>
          <w:color w:val="auto"/>
        </w:rPr>
        <w:t>向</w:t>
      </w:r>
      <w:r>
        <w:rPr>
          <w:rFonts w:hint="eastAsia" w:ascii="Times New Roman" w:hAnsi="Times New Roman" w:eastAsia="宋体" w:cs="Times New Roman"/>
          <w:color w:val="auto"/>
          <w:lang w:val="en-US" w:eastAsia="zh-CN"/>
        </w:rPr>
        <w:t>东</w:t>
      </w:r>
      <w:r>
        <w:rPr>
          <w:rFonts w:ascii="Times New Roman" w:hAnsi="Times New Roman" w:eastAsia="宋体" w:cs="Times New Roman"/>
          <w:color w:val="auto"/>
        </w:rPr>
        <w:t>，因此，在</w:t>
      </w:r>
      <w:r>
        <w:rPr>
          <w:rFonts w:hint="eastAsia" w:ascii="Times New Roman" w:hAnsi="Times New Roman" w:eastAsia="宋体" w:cs="Times New Roman"/>
          <w:color w:val="auto"/>
          <w:lang w:val="en-GB"/>
        </w:rPr>
        <w:t>厂区</w:t>
      </w:r>
      <w:r>
        <w:rPr>
          <w:rFonts w:hint="eastAsia" w:ascii="Times New Roman" w:hAnsi="Times New Roman" w:eastAsia="宋体" w:cs="Times New Roman"/>
          <w:color w:val="auto"/>
          <w:lang w:val="en-GB" w:eastAsia="zh-CN"/>
        </w:rPr>
        <w:t>东侧</w:t>
      </w:r>
      <w:r>
        <w:rPr>
          <w:rFonts w:ascii="Times New Roman" w:hAnsi="Times New Roman" w:eastAsia="宋体" w:cs="Times New Roman"/>
          <w:color w:val="auto"/>
        </w:rPr>
        <w:t>设置1口地下水跟踪监控井。每年对地下水环境进行监测，监测项目为</w:t>
      </w:r>
      <w:r>
        <w:rPr>
          <w:rFonts w:hint="eastAsia" w:ascii="Times New Roman" w:hAnsi="Times New Roman" w:eastAsia="宋体" w:cs="Times New Roman"/>
          <w:color w:val="auto"/>
        </w:rPr>
        <w:t>COD、</w:t>
      </w:r>
      <w:r>
        <w:rPr>
          <w:rFonts w:ascii="Times New Roman" w:hAnsi="Times New Roman" w:eastAsia="宋体" w:cs="Times New Roman"/>
          <w:color w:val="auto"/>
        </w:rPr>
        <w:t>氨氮，发现问题及时解决。企业在运营过程中应认真落实跟踪监测的工作，专职人员应编写地下水环境跟踪监测报告，报告中的内容应包括：地下水跟踪监测的数据（污染物种类、数量、浓度），生产设备、管线、贮存和运输装置的运行情况，跑冒滴漏记录和维护记录。跟踪监测计划见表6-2-</w:t>
      </w:r>
      <w:r>
        <w:rPr>
          <w:rFonts w:hint="eastAsia" w:ascii="Times New Roman" w:hAnsi="Times New Roman" w:eastAsia="宋体" w:cs="Times New Roman"/>
          <w:color w:val="auto"/>
        </w:rPr>
        <w:t>7</w:t>
      </w:r>
      <w:r>
        <w:rPr>
          <w:rFonts w:ascii="Times New Roman" w:hAnsi="Times New Roman" w:eastAsia="宋体" w:cs="Times New Roman"/>
          <w:color w:val="auto"/>
        </w:rPr>
        <w:t>。</w:t>
      </w:r>
    </w:p>
    <w:p>
      <w:pPr>
        <w:pStyle w:val="76"/>
        <w:spacing w:line="360" w:lineRule="auto"/>
        <w:ind w:firstLine="426"/>
        <w:rPr>
          <w:rFonts w:ascii="Times New Roman" w:hAnsi="Times New Roman" w:cs="Times New Roman"/>
          <w:color w:val="auto"/>
          <w:sz w:val="24"/>
          <w:szCs w:val="24"/>
        </w:rPr>
      </w:pPr>
      <w:r>
        <w:rPr>
          <w:rFonts w:ascii="Times New Roman" w:hAnsi="Times New Roman" w:cs="Times New Roman"/>
          <w:color w:val="auto"/>
          <w:sz w:val="24"/>
          <w:szCs w:val="24"/>
        </w:rPr>
        <w:t>表6-2-</w:t>
      </w:r>
      <w:r>
        <w:rPr>
          <w:rFonts w:hint="eastAsia" w:ascii="Times New Roman" w:hAnsi="Times New Roman" w:cs="Times New Roman"/>
          <w:color w:val="auto"/>
          <w:sz w:val="24"/>
          <w:szCs w:val="24"/>
        </w:rPr>
        <w:t>7</w:t>
      </w:r>
      <w:r>
        <w:rPr>
          <w:rFonts w:ascii="Times New Roman" w:hAnsi="Times New Roman" w:cs="Times New Roman"/>
          <w:color w:val="auto"/>
          <w:sz w:val="24"/>
          <w:szCs w:val="24"/>
        </w:rPr>
        <w:t>地下水环境监测计划表</w:t>
      </w:r>
    </w:p>
    <w:tbl>
      <w:tblPr>
        <w:tblStyle w:val="713"/>
        <w:tblW w:w="831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7"/>
        <w:gridCol w:w="993"/>
        <w:gridCol w:w="992"/>
        <w:gridCol w:w="757"/>
        <w:gridCol w:w="2361"/>
        <w:gridCol w:w="985"/>
        <w:gridCol w:w="10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37" w:type="dxa"/>
            <w:vAlign w:val="center"/>
          </w:tcPr>
          <w:p>
            <w:pPr>
              <w:pStyle w:val="84"/>
              <w:adjustRightInd w:val="0"/>
              <w:snapToGrid w:val="0"/>
              <w:rPr>
                <w:rFonts w:hAnsi="Times New Roman" w:eastAsiaTheme="minorEastAsia"/>
                <w:snapToGrid w:val="0"/>
                <w:color w:val="auto"/>
                <w:kern w:val="0"/>
                <w:sz w:val="21"/>
              </w:rPr>
            </w:pPr>
            <w:r>
              <w:rPr>
                <w:rFonts w:eastAsiaTheme="minorEastAsia"/>
                <w:snapToGrid w:val="0"/>
                <w:color w:val="auto"/>
                <w:kern w:val="0"/>
                <w:sz w:val="21"/>
              </w:rPr>
              <w:t>点位</w:t>
            </w:r>
          </w:p>
        </w:tc>
        <w:tc>
          <w:tcPr>
            <w:tcW w:w="993" w:type="dxa"/>
            <w:vAlign w:val="center"/>
          </w:tcPr>
          <w:p>
            <w:pPr>
              <w:pStyle w:val="84"/>
              <w:adjustRightInd w:val="0"/>
              <w:snapToGrid w:val="0"/>
              <w:rPr>
                <w:rFonts w:hAnsi="Times New Roman" w:eastAsiaTheme="minorEastAsia"/>
                <w:snapToGrid w:val="0"/>
                <w:color w:val="auto"/>
                <w:kern w:val="0"/>
                <w:sz w:val="21"/>
              </w:rPr>
            </w:pPr>
            <w:r>
              <w:rPr>
                <w:rFonts w:eastAsiaTheme="minorEastAsia"/>
                <w:snapToGrid w:val="0"/>
                <w:color w:val="auto"/>
                <w:kern w:val="0"/>
                <w:sz w:val="21"/>
              </w:rPr>
              <w:t>功能</w:t>
            </w:r>
          </w:p>
        </w:tc>
        <w:tc>
          <w:tcPr>
            <w:tcW w:w="992" w:type="dxa"/>
            <w:vAlign w:val="center"/>
          </w:tcPr>
          <w:p>
            <w:pPr>
              <w:pStyle w:val="84"/>
              <w:adjustRightInd w:val="0"/>
              <w:snapToGrid w:val="0"/>
              <w:rPr>
                <w:rFonts w:hAnsi="Times New Roman" w:eastAsiaTheme="minorEastAsia"/>
                <w:snapToGrid w:val="0"/>
                <w:color w:val="auto"/>
                <w:kern w:val="0"/>
                <w:sz w:val="21"/>
              </w:rPr>
            </w:pPr>
            <w:r>
              <w:rPr>
                <w:rFonts w:eastAsiaTheme="minorEastAsia"/>
                <w:snapToGrid w:val="0"/>
                <w:color w:val="auto"/>
                <w:kern w:val="0"/>
                <w:sz w:val="21"/>
              </w:rPr>
              <w:t>监测</w:t>
            </w:r>
          </w:p>
          <w:p>
            <w:pPr>
              <w:pStyle w:val="84"/>
              <w:adjustRightInd w:val="0"/>
              <w:snapToGrid w:val="0"/>
              <w:rPr>
                <w:rFonts w:hAnsi="Times New Roman" w:eastAsiaTheme="minorEastAsia"/>
                <w:snapToGrid w:val="0"/>
                <w:color w:val="auto"/>
                <w:kern w:val="0"/>
                <w:sz w:val="21"/>
              </w:rPr>
            </w:pPr>
            <w:r>
              <w:rPr>
                <w:rFonts w:eastAsiaTheme="minorEastAsia"/>
                <w:snapToGrid w:val="0"/>
                <w:color w:val="auto"/>
                <w:kern w:val="0"/>
                <w:sz w:val="21"/>
              </w:rPr>
              <w:t>因子</w:t>
            </w:r>
          </w:p>
        </w:tc>
        <w:tc>
          <w:tcPr>
            <w:tcW w:w="757" w:type="dxa"/>
            <w:vAlign w:val="center"/>
          </w:tcPr>
          <w:p>
            <w:pPr>
              <w:pStyle w:val="84"/>
              <w:adjustRightInd w:val="0"/>
              <w:snapToGrid w:val="0"/>
              <w:rPr>
                <w:rFonts w:hAnsi="Times New Roman" w:eastAsiaTheme="minorEastAsia"/>
                <w:snapToGrid w:val="0"/>
                <w:color w:val="auto"/>
                <w:kern w:val="0"/>
                <w:sz w:val="21"/>
              </w:rPr>
            </w:pPr>
            <w:r>
              <w:rPr>
                <w:rFonts w:eastAsiaTheme="minorEastAsia"/>
                <w:snapToGrid w:val="0"/>
                <w:color w:val="auto"/>
                <w:kern w:val="0"/>
                <w:sz w:val="21"/>
              </w:rPr>
              <w:t>井深</w:t>
            </w:r>
          </w:p>
        </w:tc>
        <w:tc>
          <w:tcPr>
            <w:tcW w:w="2361" w:type="dxa"/>
            <w:vAlign w:val="center"/>
          </w:tcPr>
          <w:p>
            <w:pPr>
              <w:pStyle w:val="84"/>
              <w:adjustRightInd w:val="0"/>
              <w:snapToGrid w:val="0"/>
              <w:rPr>
                <w:rFonts w:hAnsi="Times New Roman" w:eastAsiaTheme="minorEastAsia"/>
                <w:snapToGrid w:val="0"/>
                <w:color w:val="auto"/>
                <w:kern w:val="0"/>
                <w:sz w:val="21"/>
              </w:rPr>
            </w:pPr>
            <w:r>
              <w:rPr>
                <w:rFonts w:eastAsiaTheme="minorEastAsia"/>
                <w:snapToGrid w:val="0"/>
                <w:color w:val="auto"/>
                <w:kern w:val="0"/>
                <w:sz w:val="21"/>
              </w:rPr>
              <w:t>坐标</w:t>
            </w:r>
          </w:p>
        </w:tc>
        <w:tc>
          <w:tcPr>
            <w:tcW w:w="985" w:type="dxa"/>
            <w:vAlign w:val="center"/>
          </w:tcPr>
          <w:p>
            <w:pPr>
              <w:pStyle w:val="84"/>
              <w:adjustRightInd w:val="0"/>
              <w:snapToGrid w:val="0"/>
              <w:rPr>
                <w:rFonts w:hAnsi="Times New Roman" w:eastAsiaTheme="minorEastAsia"/>
                <w:snapToGrid w:val="0"/>
                <w:color w:val="auto"/>
                <w:kern w:val="0"/>
                <w:sz w:val="21"/>
              </w:rPr>
            </w:pPr>
            <w:r>
              <w:rPr>
                <w:rFonts w:eastAsiaTheme="minorEastAsia"/>
                <w:snapToGrid w:val="0"/>
                <w:color w:val="auto"/>
                <w:kern w:val="0"/>
                <w:sz w:val="21"/>
              </w:rPr>
              <w:t>监测层位</w:t>
            </w:r>
          </w:p>
        </w:tc>
        <w:tc>
          <w:tcPr>
            <w:tcW w:w="1087" w:type="dxa"/>
            <w:vAlign w:val="center"/>
          </w:tcPr>
          <w:p>
            <w:pPr>
              <w:pStyle w:val="84"/>
              <w:adjustRightInd w:val="0"/>
              <w:snapToGrid w:val="0"/>
              <w:rPr>
                <w:rFonts w:hAnsi="Times New Roman" w:eastAsiaTheme="minorEastAsia"/>
                <w:snapToGrid w:val="0"/>
                <w:color w:val="auto"/>
                <w:kern w:val="0"/>
                <w:sz w:val="21"/>
              </w:rPr>
            </w:pPr>
            <w:r>
              <w:rPr>
                <w:rFonts w:eastAsiaTheme="minorEastAsia"/>
                <w:snapToGrid w:val="0"/>
                <w:color w:val="auto"/>
                <w:kern w:val="0"/>
                <w:sz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37" w:type="dxa"/>
            <w:vAlign w:val="center"/>
          </w:tcPr>
          <w:p>
            <w:pPr>
              <w:pStyle w:val="84"/>
              <w:adjustRightInd w:val="0"/>
              <w:snapToGrid w:val="0"/>
              <w:rPr>
                <w:rFonts w:hint="eastAsia" w:hAnsi="Times New Roman" w:eastAsiaTheme="minorEastAsia"/>
                <w:snapToGrid w:val="0"/>
                <w:color w:val="auto"/>
                <w:kern w:val="0"/>
                <w:sz w:val="21"/>
                <w:lang w:eastAsia="zh-CN"/>
              </w:rPr>
            </w:pPr>
            <w:r>
              <w:rPr>
                <w:rFonts w:hint="eastAsia" w:eastAsiaTheme="minorEastAsia"/>
                <w:snapToGrid w:val="0"/>
                <w:color w:val="auto"/>
                <w:kern w:val="0"/>
                <w:sz w:val="21"/>
                <w:lang w:val="en-GB"/>
              </w:rPr>
              <w:t>厂区</w:t>
            </w:r>
            <w:r>
              <w:rPr>
                <w:rFonts w:hint="eastAsia" w:eastAsiaTheme="minorEastAsia"/>
                <w:snapToGrid w:val="0"/>
                <w:color w:val="auto"/>
                <w:kern w:val="0"/>
                <w:sz w:val="21"/>
                <w:lang w:val="en-GB" w:eastAsia="zh-CN"/>
              </w:rPr>
              <w:t>东侧</w:t>
            </w:r>
          </w:p>
        </w:tc>
        <w:tc>
          <w:tcPr>
            <w:tcW w:w="993" w:type="dxa"/>
            <w:vAlign w:val="center"/>
          </w:tcPr>
          <w:p>
            <w:pPr>
              <w:pStyle w:val="84"/>
              <w:adjustRightInd w:val="0"/>
              <w:snapToGrid w:val="0"/>
              <w:rPr>
                <w:rFonts w:hAnsi="Times New Roman" w:eastAsiaTheme="minorEastAsia"/>
                <w:snapToGrid w:val="0"/>
                <w:color w:val="auto"/>
                <w:kern w:val="0"/>
                <w:sz w:val="21"/>
              </w:rPr>
            </w:pPr>
            <w:r>
              <w:rPr>
                <w:rFonts w:eastAsiaTheme="minorEastAsia"/>
                <w:snapToGrid w:val="0"/>
                <w:color w:val="auto"/>
                <w:kern w:val="0"/>
                <w:sz w:val="21"/>
              </w:rPr>
              <w:t>跟踪监测井</w:t>
            </w:r>
          </w:p>
        </w:tc>
        <w:tc>
          <w:tcPr>
            <w:tcW w:w="992" w:type="dxa"/>
            <w:vAlign w:val="center"/>
          </w:tcPr>
          <w:p>
            <w:pPr>
              <w:pStyle w:val="84"/>
              <w:adjustRightInd w:val="0"/>
              <w:snapToGrid w:val="0"/>
              <w:rPr>
                <w:rFonts w:hAnsi="Times New Roman" w:eastAsiaTheme="minorEastAsia"/>
                <w:snapToGrid w:val="0"/>
                <w:color w:val="auto"/>
                <w:kern w:val="0"/>
                <w:sz w:val="21"/>
              </w:rPr>
            </w:pPr>
            <w:r>
              <w:rPr>
                <w:rFonts w:hint="eastAsia" w:eastAsiaTheme="minorEastAsia"/>
                <w:snapToGrid w:val="0"/>
                <w:color w:val="auto"/>
                <w:kern w:val="0"/>
                <w:sz w:val="21"/>
              </w:rPr>
              <w:t>COD</w:t>
            </w:r>
            <w:r>
              <w:rPr>
                <w:rFonts w:eastAsiaTheme="minorEastAsia"/>
                <w:snapToGrid w:val="0"/>
                <w:color w:val="auto"/>
                <w:kern w:val="0"/>
                <w:sz w:val="21"/>
              </w:rPr>
              <w:t>、</w:t>
            </w:r>
          </w:p>
          <w:p>
            <w:pPr>
              <w:pStyle w:val="84"/>
              <w:adjustRightInd w:val="0"/>
              <w:snapToGrid w:val="0"/>
              <w:rPr>
                <w:rFonts w:hAnsi="Times New Roman" w:eastAsiaTheme="minorEastAsia"/>
                <w:snapToGrid w:val="0"/>
                <w:color w:val="auto"/>
                <w:kern w:val="0"/>
                <w:sz w:val="21"/>
              </w:rPr>
            </w:pPr>
            <w:r>
              <w:rPr>
                <w:rFonts w:eastAsiaTheme="minorEastAsia"/>
                <w:snapToGrid w:val="0"/>
                <w:color w:val="auto"/>
                <w:kern w:val="0"/>
                <w:sz w:val="21"/>
              </w:rPr>
              <w:t>氨氮</w:t>
            </w:r>
          </w:p>
        </w:tc>
        <w:tc>
          <w:tcPr>
            <w:tcW w:w="757" w:type="dxa"/>
            <w:vAlign w:val="center"/>
          </w:tcPr>
          <w:p>
            <w:pPr>
              <w:pStyle w:val="84"/>
              <w:adjustRightInd w:val="0"/>
              <w:snapToGrid w:val="0"/>
              <w:rPr>
                <w:rFonts w:hAnsi="Times New Roman" w:eastAsiaTheme="minorEastAsia"/>
                <w:snapToGrid w:val="0"/>
                <w:color w:val="auto"/>
                <w:kern w:val="0"/>
                <w:sz w:val="21"/>
              </w:rPr>
            </w:pPr>
            <w:r>
              <w:rPr>
                <w:rFonts w:hint="eastAsia" w:hAnsi="Times New Roman" w:eastAsiaTheme="minorEastAsia"/>
                <w:snapToGrid w:val="0"/>
                <w:color w:val="auto"/>
                <w:kern w:val="0"/>
                <w:sz w:val="21"/>
              </w:rPr>
              <w:t>20</w:t>
            </w:r>
            <w:r>
              <w:rPr>
                <w:rFonts w:hAnsi="Times New Roman" w:eastAsiaTheme="minorEastAsia"/>
                <w:snapToGrid w:val="0"/>
                <w:color w:val="auto"/>
                <w:kern w:val="0"/>
                <w:sz w:val="21"/>
              </w:rPr>
              <w:t>m</w:t>
            </w:r>
          </w:p>
        </w:tc>
        <w:tc>
          <w:tcPr>
            <w:tcW w:w="2361" w:type="dxa"/>
            <w:vAlign w:val="center"/>
          </w:tcPr>
          <w:p>
            <w:pPr>
              <w:pStyle w:val="84"/>
              <w:adjustRightInd w:val="0"/>
              <w:snapToGrid w:val="0"/>
              <w:rPr>
                <w:rFonts w:eastAsiaTheme="minorEastAsia"/>
                <w:snapToGrid w:val="0"/>
                <w:color w:val="auto"/>
                <w:kern w:val="0"/>
                <w:sz w:val="21"/>
              </w:rPr>
            </w:pPr>
            <w:r>
              <w:rPr>
                <w:rFonts w:hAnsi="Times New Roman" w:eastAsiaTheme="minorEastAsia"/>
                <w:snapToGrid w:val="0"/>
                <w:color w:val="auto"/>
                <w:kern w:val="0"/>
                <w:sz w:val="21"/>
              </w:rPr>
              <w:t>经度：127.81264007</w:t>
            </w:r>
          </w:p>
          <w:p>
            <w:pPr>
              <w:pStyle w:val="84"/>
              <w:adjustRightInd w:val="0"/>
              <w:snapToGrid w:val="0"/>
              <w:rPr>
                <w:rFonts w:hAnsi="Times New Roman" w:eastAsiaTheme="minorEastAsia"/>
                <w:snapToGrid w:val="0"/>
                <w:color w:val="auto"/>
                <w:kern w:val="0"/>
                <w:sz w:val="21"/>
              </w:rPr>
            </w:pPr>
            <w:r>
              <w:rPr>
                <w:rFonts w:eastAsiaTheme="minorEastAsia"/>
                <w:snapToGrid w:val="0"/>
                <w:color w:val="auto"/>
                <w:kern w:val="0"/>
                <w:sz w:val="21"/>
              </w:rPr>
              <w:t>纬度：</w:t>
            </w:r>
            <w:r>
              <w:rPr>
                <w:rFonts w:hAnsi="Times New Roman" w:eastAsiaTheme="minorEastAsia"/>
                <w:snapToGrid w:val="0"/>
                <w:color w:val="auto"/>
                <w:kern w:val="0"/>
                <w:sz w:val="21"/>
              </w:rPr>
              <w:t>45.30415381</w:t>
            </w:r>
          </w:p>
        </w:tc>
        <w:tc>
          <w:tcPr>
            <w:tcW w:w="985" w:type="dxa"/>
            <w:vAlign w:val="center"/>
          </w:tcPr>
          <w:p>
            <w:pPr>
              <w:pStyle w:val="84"/>
              <w:adjustRightInd w:val="0"/>
              <w:snapToGrid w:val="0"/>
              <w:rPr>
                <w:rFonts w:hAnsi="Times New Roman" w:eastAsiaTheme="minorEastAsia"/>
                <w:snapToGrid w:val="0"/>
                <w:color w:val="auto"/>
                <w:kern w:val="0"/>
                <w:sz w:val="21"/>
              </w:rPr>
            </w:pPr>
            <w:r>
              <w:rPr>
                <w:rFonts w:eastAsiaTheme="minorEastAsia"/>
                <w:snapToGrid w:val="0"/>
                <w:color w:val="auto"/>
                <w:kern w:val="0"/>
                <w:sz w:val="21"/>
              </w:rPr>
              <w:t>潜水</w:t>
            </w:r>
          </w:p>
        </w:tc>
        <w:tc>
          <w:tcPr>
            <w:tcW w:w="1087" w:type="dxa"/>
            <w:vAlign w:val="center"/>
          </w:tcPr>
          <w:p>
            <w:pPr>
              <w:pStyle w:val="84"/>
              <w:adjustRightInd w:val="0"/>
              <w:snapToGrid w:val="0"/>
              <w:rPr>
                <w:rFonts w:hAnsi="Times New Roman" w:eastAsiaTheme="minorEastAsia"/>
                <w:snapToGrid w:val="0"/>
                <w:color w:val="auto"/>
                <w:kern w:val="0"/>
                <w:sz w:val="21"/>
              </w:rPr>
            </w:pPr>
            <w:r>
              <w:rPr>
                <w:rFonts w:hAnsi="Times New Roman" w:eastAsiaTheme="minorEastAsia"/>
                <w:snapToGrid w:val="0"/>
                <w:color w:val="auto"/>
                <w:kern w:val="0"/>
                <w:sz w:val="21"/>
              </w:rPr>
              <w:t>1</w:t>
            </w:r>
            <w:r>
              <w:rPr>
                <w:rFonts w:eastAsiaTheme="minorEastAsia"/>
                <w:snapToGrid w:val="0"/>
                <w:color w:val="auto"/>
                <w:kern w:val="0"/>
                <w:sz w:val="21"/>
              </w:rPr>
              <w:t>次</w:t>
            </w:r>
            <w:r>
              <w:rPr>
                <w:rFonts w:hAnsi="Times New Roman" w:eastAsiaTheme="minorEastAsia"/>
                <w:snapToGrid w:val="0"/>
                <w:color w:val="auto"/>
                <w:kern w:val="0"/>
                <w:sz w:val="21"/>
              </w:rPr>
              <w:t>/</w:t>
            </w:r>
            <w:r>
              <w:rPr>
                <w:rFonts w:hint="eastAsia" w:eastAsiaTheme="minorEastAsia"/>
                <w:snapToGrid w:val="0"/>
                <w:color w:val="auto"/>
                <w:kern w:val="0"/>
                <w:sz w:val="21"/>
              </w:rPr>
              <w:t>年</w:t>
            </w:r>
          </w:p>
        </w:tc>
      </w:tr>
    </w:tbl>
    <w:p>
      <w:pPr>
        <w:spacing w:line="360" w:lineRule="auto"/>
        <w:ind w:firstLine="480" w:firstLineChars="200"/>
        <w:rPr>
          <w:color w:val="auto"/>
          <w:sz w:val="24"/>
        </w:rPr>
      </w:pPr>
      <w:r>
        <w:rPr>
          <w:color w:val="auto"/>
          <w:sz w:val="24"/>
        </w:rPr>
        <w:t>监测点位布设及分区防渗见图6-2-</w:t>
      </w:r>
      <w:r>
        <w:rPr>
          <w:rFonts w:hint="eastAsia"/>
          <w:color w:val="auto"/>
          <w:sz w:val="24"/>
        </w:rPr>
        <w:t>2</w:t>
      </w:r>
      <w:r>
        <w:rPr>
          <w:color w:val="auto"/>
          <w:sz w:val="24"/>
        </w:rPr>
        <w:t>。</w:t>
      </w:r>
    </w:p>
    <w:p>
      <w:pPr>
        <w:spacing w:line="360" w:lineRule="auto"/>
        <w:ind w:firstLine="480" w:firstLineChars="200"/>
        <w:rPr>
          <w:color w:val="FF0000"/>
          <w:sz w:val="24"/>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FF0000"/>
          <w:sz w:val="24"/>
        </w:rPr>
      </w:pPr>
      <w:r>
        <w:rPr>
          <w:sz w:val="21"/>
        </w:rPr>
        <w:pict>
          <v:rect id="_x0000_s71697" o:spid="_x0000_s71697" o:spt="1" style="position:absolute;left:0pt;margin-left:635.9pt;margin-top:335.15pt;height:11.25pt;width:27pt;z-index:251679744;mso-width-relative:page;mso-height-relative:page;" fillcolor="#92D050" filled="t" stroked="t" coordsize="21600,21600">
            <v:path/>
            <v:fill on="t" color2="#FFFFFF" focussize="0,0"/>
            <v:stroke weight="1pt" color="#FFFFFF" joinstyle="miter"/>
            <v:imagedata o:title=""/>
            <o:lock v:ext="edit" aspectratio="f"/>
          </v:rect>
        </w:pict>
      </w:r>
      <w:r>
        <w:rPr>
          <w:sz w:val="21"/>
        </w:rPr>
        <w:pict>
          <v:rect id="_x0000_s71696" o:spid="_x0000_s71696" o:spt="1" style="position:absolute;left:0pt;margin-left:635.15pt;margin-top:317.9pt;height:11.25pt;width:27pt;z-index:251678720;mso-width-relative:page;mso-height-relative:page;" fillcolor="#FFFF00" filled="t" stroked="t" coordsize="21600,21600">
            <v:path/>
            <v:fill on="t" color2="#FFFFFF" focussize="0,0"/>
            <v:stroke weight="1pt" color="#FFFFFF" joinstyle="miter"/>
            <v:imagedata o:title=""/>
            <o:lock v:ext="edit" aspectratio="f"/>
          </v:rect>
        </w:pict>
      </w:r>
      <w:r>
        <w:rPr>
          <w:sz w:val="21"/>
        </w:rPr>
        <w:pict>
          <v:rect id="_x0000_s71695" o:spid="_x0000_s71695" o:spt="1" style="position:absolute;left:0pt;margin-left:634.4pt;margin-top:303.65pt;height:11.25pt;width:27pt;z-index:251676672;mso-width-relative:page;mso-height-relative:page;" fillcolor="#FF0000" filled="t" stroked="t" coordsize="21600,21600">
            <v:path/>
            <v:fill on="t" color2="#FFFFFF" focussize="0,0"/>
            <v:stroke weight="1pt" color="#FFFFFF"/>
            <v:imagedata o:title=""/>
            <o:lock v:ext="edit" aspectratio="f"/>
          </v:rect>
        </w:pict>
      </w:r>
      <w:r>
        <w:rPr>
          <w:sz w:val="21"/>
        </w:rPr>
        <w:pict>
          <v:shape id="_x0000_s71694" o:spid="_x0000_s71694" o:spt="202" type="#_x0000_t202" style="position:absolute;left:0pt;margin-left:568.4pt;margin-top:281.3pt;height:73.5pt;width:110.2pt;z-index:251675648;mso-width-relative:page;mso-height-relative:page;" fillcolor="#FFFFFF" filled="t" stroked="t" coordsize="21600,21600">
            <v:path/>
            <v:fill on="t" color2="#FFFFFF" focussize="0,0"/>
            <v:stroke weight="1pt" color="#FFFFFF"/>
            <v:imagedata o:title=""/>
            <o:lock v:ext="edit" aspectratio="f"/>
            <v:textbox>
              <w:txbxContent>
                <w:p>
                  <w:pPr>
                    <w:jc w:val="center"/>
                    <w:rPr>
                      <w:b/>
                      <w:sz w:val="24"/>
                    </w:rPr>
                  </w:pPr>
                  <w:r>
                    <w:rPr>
                      <w:rFonts w:hint="eastAsia"/>
                      <w:b/>
                      <w:sz w:val="24"/>
                    </w:rPr>
                    <w:t>图例</w:t>
                  </w:r>
                </w:p>
                <w:p>
                  <w:pPr>
                    <w:rPr>
                      <w:szCs w:val="21"/>
                    </w:rPr>
                  </w:pPr>
                  <w:r>
                    <w:rPr>
                      <w:rFonts w:hint="eastAsia"/>
                      <w:szCs w:val="21"/>
                    </w:rPr>
                    <w:t>重点防渗：</w:t>
                  </w:r>
                </w:p>
                <w:p>
                  <w:pPr>
                    <w:rPr>
                      <w:szCs w:val="21"/>
                    </w:rPr>
                  </w:pPr>
                  <w:r>
                    <w:rPr>
                      <w:rFonts w:hint="eastAsia"/>
                      <w:szCs w:val="21"/>
                    </w:rPr>
                    <w:t>一般防渗：</w:t>
                  </w:r>
                </w:p>
                <w:p>
                  <w:pPr>
                    <w:rPr>
                      <w:szCs w:val="21"/>
                    </w:rPr>
                  </w:pPr>
                  <w:r>
                    <w:rPr>
                      <w:szCs w:val="21"/>
                    </w:rPr>
                    <w:t>简单防渗：</w:t>
                  </w:r>
                </w:p>
                <w:p/>
              </w:txbxContent>
            </v:textbox>
          </v:shape>
        </w:pict>
      </w:r>
      <w:r>
        <w:rPr>
          <w:rFonts w:hint="default"/>
          <w:lang w:val="en-US" w:eastAsia="zh-CN"/>
        </w:rPr>
        <w:object>
          <v:shape id="_x0000_i1037" o:spt="75" type="#_x0000_t75" style="height:355.8pt;width:656.05pt;" o:ole="t" filled="f" o:preferrelative="t" stroked="f" coordsize="21600,21600">
            <v:path/>
            <v:fill on="f" focussize="0,0"/>
            <v:stroke on="f"/>
            <v:imagedata r:id="rId79" o:title=""/>
            <o:lock v:ext="edit" aspectratio="f"/>
            <w10:wrap type="none"/>
            <w10:anchorlock/>
          </v:shape>
          <o:OLEObject Type="Embed" ProgID="Visio.Drawing.15" ShapeID="_x0000_i1037" DrawAspect="Content" ObjectID="_1468075737" r:id="rId78">
            <o:LockedField>false</o:LockedField>
          </o:OLEObject>
        </w:object>
      </w:r>
    </w:p>
    <w:p>
      <w:pPr>
        <w:spacing w:line="360" w:lineRule="auto"/>
        <w:jc w:val="center"/>
        <w:rPr>
          <w:rFonts w:hint="eastAsia" w:eastAsia="宋体"/>
          <w:b/>
          <w:color w:val="auto"/>
          <w:sz w:val="24"/>
          <w:highlight w:val="none"/>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b/>
          <w:color w:val="auto"/>
          <w:sz w:val="24"/>
          <w:highlight w:val="none"/>
        </w:rPr>
        <w:t>图6-2-</w:t>
      </w:r>
      <w:r>
        <w:rPr>
          <w:rFonts w:hint="eastAsia"/>
          <w:b/>
          <w:color w:val="auto"/>
          <w:sz w:val="24"/>
          <w:highlight w:val="none"/>
        </w:rPr>
        <w:t>2</w:t>
      </w:r>
      <w:r>
        <w:rPr>
          <w:b/>
          <w:color w:val="auto"/>
          <w:sz w:val="24"/>
          <w:highlight w:val="none"/>
        </w:rPr>
        <w:t>地下水防渗分区图</w:t>
      </w:r>
    </w:p>
    <w:p>
      <w:pPr>
        <w:spacing w:line="360" w:lineRule="auto"/>
        <w:contextualSpacing/>
        <w:outlineLvl w:val="3"/>
        <w:rPr>
          <w:b/>
          <w:color w:val="auto"/>
          <w:sz w:val="24"/>
        </w:rPr>
      </w:pPr>
      <w:r>
        <w:rPr>
          <w:b/>
          <w:color w:val="auto"/>
          <w:sz w:val="24"/>
        </w:rPr>
        <w:t>6.2.3.3信息公开</w:t>
      </w:r>
    </w:p>
    <w:p>
      <w:pPr>
        <w:spacing w:line="360" w:lineRule="auto"/>
        <w:ind w:firstLine="523" w:firstLineChars="218"/>
        <w:contextualSpacing/>
        <w:rPr>
          <w:color w:val="auto"/>
          <w:sz w:val="24"/>
        </w:rPr>
      </w:pPr>
      <w:r>
        <w:rPr>
          <w:color w:val="auto"/>
          <w:sz w:val="24"/>
        </w:rPr>
        <w:t>建设单位在开展地下水跟踪监测的同时要进行地下水跟踪监测信息公开工作，每一期的地下水跟踪监测的数据结果要以公告的形式在场区内张贴出来，公告版应展示近3期的地下水跟踪监测结果，包括污染物的名称、监测数值和监测日期等信息。公众参与的主体是本项目的建设单位，需要对公示的监测数据负责。</w:t>
      </w:r>
    </w:p>
    <w:p>
      <w:pPr>
        <w:spacing w:line="360" w:lineRule="auto"/>
        <w:contextualSpacing/>
        <w:outlineLvl w:val="3"/>
        <w:rPr>
          <w:b/>
          <w:color w:val="auto"/>
          <w:sz w:val="24"/>
        </w:rPr>
      </w:pPr>
      <w:bookmarkStart w:id="204" w:name="_Toc448224263"/>
      <w:r>
        <w:rPr>
          <w:b/>
          <w:color w:val="auto"/>
          <w:sz w:val="24"/>
        </w:rPr>
        <w:t>6.2.3.4应急响应措施</w:t>
      </w:r>
      <w:bookmarkEnd w:id="204"/>
    </w:p>
    <w:p>
      <w:pPr>
        <w:spacing w:line="360" w:lineRule="auto"/>
        <w:ind w:firstLine="523" w:firstLineChars="218"/>
        <w:contextualSpacing/>
        <w:rPr>
          <w:color w:val="auto"/>
          <w:sz w:val="24"/>
        </w:rPr>
      </w:pPr>
      <w:r>
        <w:rPr>
          <w:color w:val="auto"/>
          <w:sz w:val="24"/>
        </w:rPr>
        <w:t>由于污水泄漏事故发生具有隐蔽性，建设单位应认真落实每</w:t>
      </w:r>
      <w:r>
        <w:rPr>
          <w:rFonts w:hint="eastAsia"/>
          <w:color w:val="auto"/>
          <w:sz w:val="24"/>
        </w:rPr>
        <w:t>年</w:t>
      </w:r>
      <w:r>
        <w:rPr>
          <w:color w:val="auto"/>
          <w:sz w:val="24"/>
        </w:rPr>
        <w:t>1次的地下水跟踪监测职责，运营期的地下水保护目标</w:t>
      </w:r>
      <w:r>
        <w:rPr>
          <w:rFonts w:hint="eastAsia"/>
          <w:color w:val="auto"/>
          <w:sz w:val="24"/>
        </w:rPr>
        <w:t>监测浓度</w:t>
      </w:r>
      <w:r>
        <w:rPr>
          <w:color w:val="auto"/>
          <w:sz w:val="24"/>
        </w:rPr>
        <w:t>应定为</w:t>
      </w:r>
      <w:r>
        <w:rPr>
          <w:rFonts w:hint="eastAsia"/>
          <w:color w:val="auto"/>
          <w:sz w:val="24"/>
        </w:rPr>
        <w:t>COD≤15</w:t>
      </w:r>
      <w:r>
        <w:rPr>
          <w:color w:val="auto"/>
          <w:sz w:val="24"/>
        </w:rPr>
        <w:t>mg/L</w:t>
      </w:r>
      <w:r>
        <w:rPr>
          <w:rFonts w:hint="eastAsia"/>
          <w:color w:val="auto"/>
          <w:sz w:val="24"/>
        </w:rPr>
        <w:t>、</w:t>
      </w:r>
      <w:r>
        <w:rPr>
          <w:color w:val="auto"/>
          <w:sz w:val="24"/>
        </w:rPr>
        <w:t>氨氮</w:t>
      </w:r>
      <w:r>
        <w:rPr>
          <w:rFonts w:hint="eastAsia"/>
          <w:color w:val="auto"/>
          <w:sz w:val="24"/>
        </w:rPr>
        <w:t>≤0.5</w:t>
      </w:r>
      <w:r>
        <w:rPr>
          <w:color w:val="auto"/>
          <w:sz w:val="24"/>
        </w:rPr>
        <w:t>mg/L。如果在跟踪监测的过程</w:t>
      </w:r>
      <w:r>
        <w:rPr>
          <w:rFonts w:hint="eastAsia"/>
          <w:color w:val="auto"/>
          <w:sz w:val="24"/>
        </w:rPr>
        <w:t>COD</w:t>
      </w:r>
      <w:r>
        <w:rPr>
          <w:color w:val="auto"/>
          <w:sz w:val="24"/>
        </w:rPr>
        <w:t>检出浓度大于</w:t>
      </w:r>
      <w:r>
        <w:rPr>
          <w:rFonts w:hint="eastAsia"/>
          <w:color w:val="auto"/>
          <w:sz w:val="24"/>
        </w:rPr>
        <w:t>15</w:t>
      </w:r>
      <w:r>
        <w:rPr>
          <w:color w:val="auto"/>
          <w:sz w:val="24"/>
        </w:rPr>
        <w:t>mg/L</w:t>
      </w:r>
      <w:r>
        <w:rPr>
          <w:rFonts w:hint="eastAsia"/>
          <w:color w:val="auto"/>
          <w:sz w:val="24"/>
        </w:rPr>
        <w:t>、</w:t>
      </w:r>
      <w:r>
        <w:rPr>
          <w:color w:val="auto"/>
          <w:sz w:val="24"/>
        </w:rPr>
        <w:t>氨氮检出浓度大于</w:t>
      </w:r>
      <w:r>
        <w:rPr>
          <w:rFonts w:hint="eastAsia"/>
          <w:color w:val="auto"/>
          <w:sz w:val="24"/>
        </w:rPr>
        <w:t>0.5</w:t>
      </w:r>
      <w:r>
        <w:rPr>
          <w:color w:val="auto"/>
          <w:sz w:val="24"/>
        </w:rPr>
        <w:t>mg/L，则说明污水可能发生泄漏。建设单位应组织开展检查工作确定是否发生污水泄漏事故。当明确发生污水泄漏事故时，应</w:t>
      </w:r>
      <w:r>
        <w:rPr>
          <w:rFonts w:hint="eastAsia"/>
          <w:color w:val="auto"/>
          <w:sz w:val="24"/>
        </w:rPr>
        <w:t>将污水用罐车抽空</w:t>
      </w:r>
      <w:r>
        <w:rPr>
          <w:color w:val="auto"/>
          <w:sz w:val="24"/>
        </w:rPr>
        <w:t>，同时应委托具有专业资质的环境监测单位进行更全面的地下水污染跟踪监测，以便明确泄漏事故的范围和程度。建设单位应将泄漏事故上报给环境主管部门。同时应并委托有专业技术能力的机构进行地下水影响的修复工作。</w:t>
      </w:r>
    </w:p>
    <w:p>
      <w:pPr>
        <w:spacing w:line="360" w:lineRule="auto"/>
        <w:ind w:firstLine="480" w:firstLineChars="200"/>
        <w:contextualSpacing/>
        <w:rPr>
          <w:color w:val="auto"/>
          <w:sz w:val="24"/>
        </w:rPr>
      </w:pPr>
      <w:r>
        <w:rPr>
          <w:color w:val="auto"/>
          <w:sz w:val="24"/>
        </w:rPr>
        <w:t>采取以上治理措施后，可以最大程度避免项目污染物水下渗的可能，因此，项目地下水污染防治措施可行。</w:t>
      </w:r>
    </w:p>
    <w:p>
      <w:pPr>
        <w:pStyle w:val="5"/>
        <w:spacing w:before="0" w:after="0" w:line="360" w:lineRule="auto"/>
        <w:ind w:firstLine="0" w:firstLineChars="0"/>
        <w:contextualSpacing/>
        <w:rPr>
          <w:rFonts w:ascii="Times New Roman" w:hAnsi="Times New Roman" w:cs="Times New Roman"/>
          <w:b/>
          <w:color w:val="auto"/>
          <w:sz w:val="28"/>
          <w:szCs w:val="28"/>
        </w:rPr>
      </w:pPr>
      <w:r>
        <w:rPr>
          <w:rFonts w:ascii="Times New Roman" w:hAnsi="Times New Roman" w:cs="Times New Roman"/>
          <w:b/>
          <w:color w:val="auto"/>
          <w:sz w:val="28"/>
          <w:szCs w:val="28"/>
        </w:rPr>
        <w:t>6.2.</w:t>
      </w:r>
      <w:r>
        <w:rPr>
          <w:rFonts w:hint="eastAsia" w:ascii="Times New Roman" w:hAnsi="Times New Roman" w:cs="Times New Roman"/>
          <w:b/>
          <w:color w:val="auto"/>
          <w:sz w:val="28"/>
          <w:szCs w:val="28"/>
        </w:rPr>
        <w:t>3</w:t>
      </w:r>
      <w:r>
        <w:rPr>
          <w:rFonts w:ascii="Times New Roman" w:hAnsi="Times New Roman" w:cs="Times New Roman"/>
          <w:b/>
          <w:color w:val="auto"/>
          <w:sz w:val="28"/>
          <w:szCs w:val="28"/>
        </w:rPr>
        <w:t>声环境保护措施及其可行性论证</w:t>
      </w:r>
    </w:p>
    <w:p>
      <w:pPr>
        <w:spacing w:line="360" w:lineRule="auto"/>
        <w:ind w:firstLine="480" w:firstLineChars="200"/>
        <w:contextualSpacing/>
        <w:rPr>
          <w:color w:val="auto"/>
          <w:sz w:val="24"/>
        </w:rPr>
      </w:pPr>
      <w:r>
        <w:rPr>
          <w:color w:val="auto"/>
          <w:sz w:val="24"/>
        </w:rPr>
        <w:t>项目营运期间产生的噪声主要是</w:t>
      </w:r>
      <w:r>
        <w:rPr>
          <w:rFonts w:hint="eastAsia"/>
          <w:color w:val="auto"/>
          <w:sz w:val="24"/>
        </w:rPr>
        <w:t>压缩机</w:t>
      </w:r>
      <w:r>
        <w:rPr>
          <w:color w:val="auto"/>
          <w:sz w:val="24"/>
        </w:rPr>
        <w:t>、风机、</w:t>
      </w:r>
      <w:r>
        <w:rPr>
          <w:rFonts w:hint="eastAsia"/>
          <w:color w:val="auto"/>
          <w:sz w:val="24"/>
        </w:rPr>
        <w:t>生产设备</w:t>
      </w:r>
      <w:r>
        <w:rPr>
          <w:color w:val="auto"/>
          <w:sz w:val="24"/>
        </w:rPr>
        <w:t>等产生的机械噪声，为降低噪声对外环境的影响，应采取以下措施：</w:t>
      </w:r>
    </w:p>
    <w:p>
      <w:pPr>
        <w:spacing w:line="360" w:lineRule="auto"/>
        <w:ind w:firstLine="480" w:firstLineChars="200"/>
        <w:contextualSpacing/>
        <w:rPr>
          <w:color w:val="auto"/>
          <w:sz w:val="24"/>
        </w:rPr>
      </w:pPr>
      <w:r>
        <w:rPr>
          <w:color w:val="auto"/>
          <w:sz w:val="24"/>
        </w:rPr>
        <w:t>（1）建议在设计和设备采购阶段，充分选用先进的低噪设备，从声源上降低设备本身噪声。</w:t>
      </w:r>
    </w:p>
    <w:p>
      <w:pPr>
        <w:spacing w:line="360" w:lineRule="auto"/>
        <w:ind w:firstLine="480" w:firstLineChars="200"/>
        <w:contextualSpacing/>
        <w:rPr>
          <w:color w:val="auto"/>
          <w:sz w:val="24"/>
        </w:rPr>
      </w:pPr>
      <w:r>
        <w:rPr>
          <w:color w:val="auto"/>
          <w:sz w:val="24"/>
        </w:rPr>
        <w:t>（2）噪声设备所在的车间，墙壁应加装吸声材料。</w:t>
      </w:r>
    </w:p>
    <w:p>
      <w:pPr>
        <w:spacing w:line="360" w:lineRule="auto"/>
        <w:ind w:firstLine="480" w:firstLineChars="200"/>
        <w:contextualSpacing/>
        <w:rPr>
          <w:color w:val="auto"/>
          <w:sz w:val="24"/>
        </w:rPr>
      </w:pPr>
      <w:r>
        <w:rPr>
          <w:color w:val="auto"/>
          <w:sz w:val="24"/>
        </w:rPr>
        <w:t>（3）</w:t>
      </w:r>
      <w:r>
        <w:rPr>
          <w:rFonts w:hint="eastAsia"/>
          <w:color w:val="auto"/>
          <w:sz w:val="24"/>
        </w:rPr>
        <w:t>压缩机</w:t>
      </w:r>
      <w:r>
        <w:rPr>
          <w:color w:val="auto"/>
          <w:sz w:val="24"/>
        </w:rPr>
        <w:t>、水泵、</w:t>
      </w:r>
      <w:r>
        <w:rPr>
          <w:rFonts w:hint="eastAsia"/>
          <w:color w:val="auto"/>
          <w:sz w:val="24"/>
          <w:lang w:val="en-US" w:eastAsia="zh-CN"/>
        </w:rPr>
        <w:t>风机、</w:t>
      </w:r>
      <w:r>
        <w:rPr>
          <w:color w:val="auto"/>
          <w:sz w:val="24"/>
        </w:rPr>
        <w:t>生产设备均设在室内，机座应设减振垫；加强设备的维护，确保设备处于良好的运转状态，杜绝因设备不正常运转时产生的高噪声现象。</w:t>
      </w:r>
    </w:p>
    <w:p>
      <w:pPr>
        <w:spacing w:line="360" w:lineRule="auto"/>
        <w:ind w:firstLine="480" w:firstLineChars="200"/>
        <w:contextualSpacing/>
        <w:rPr>
          <w:color w:val="auto"/>
          <w:sz w:val="24"/>
        </w:rPr>
      </w:pPr>
      <w:r>
        <w:rPr>
          <w:color w:val="auto"/>
          <w:sz w:val="24"/>
        </w:rPr>
        <w:t>（4）着重场区绿化，既美化环境又减轻噪声对厂界环境的影响。</w:t>
      </w:r>
    </w:p>
    <w:p>
      <w:pPr>
        <w:spacing w:line="360" w:lineRule="auto"/>
        <w:ind w:firstLine="480" w:firstLineChars="200"/>
        <w:contextualSpacing/>
        <w:rPr>
          <w:color w:val="auto"/>
          <w:sz w:val="24"/>
        </w:rPr>
      </w:pPr>
      <w:r>
        <w:rPr>
          <w:color w:val="auto"/>
          <w:sz w:val="24"/>
        </w:rPr>
        <w:t>综上所述，本项目采取上述防噪措施后，噪声对周围环境影响较小，厂界满足《工业企业厂界环境噪声排放标准》（GB12348-2008）</w:t>
      </w:r>
      <w:r>
        <w:rPr>
          <w:rFonts w:hint="eastAsia"/>
          <w:color w:val="auto"/>
          <w:sz w:val="24"/>
        </w:rPr>
        <w:t>2</w:t>
      </w:r>
      <w:r>
        <w:rPr>
          <w:color w:val="auto"/>
          <w:sz w:val="24"/>
        </w:rPr>
        <w:t>类标准。</w:t>
      </w:r>
    </w:p>
    <w:p>
      <w:pPr>
        <w:pStyle w:val="5"/>
        <w:spacing w:before="0" w:after="0" w:line="360" w:lineRule="auto"/>
        <w:ind w:firstLine="0" w:firstLineChars="0"/>
        <w:contextualSpacing/>
        <w:rPr>
          <w:rFonts w:ascii="Times New Roman" w:hAnsi="Times New Roman" w:cs="Times New Roman"/>
          <w:b/>
          <w:color w:val="auto"/>
          <w:sz w:val="28"/>
          <w:szCs w:val="28"/>
        </w:rPr>
      </w:pPr>
      <w:r>
        <w:rPr>
          <w:rFonts w:ascii="Times New Roman" w:hAnsi="Times New Roman" w:cs="Times New Roman"/>
          <w:b/>
          <w:color w:val="auto"/>
          <w:sz w:val="28"/>
          <w:szCs w:val="28"/>
        </w:rPr>
        <w:t>6.2</w:t>
      </w:r>
      <w:r>
        <w:rPr>
          <w:rFonts w:hint="eastAsia" w:ascii="Times New Roman" w:hAnsi="Times New Roman" w:cs="Times New Roman"/>
          <w:b/>
          <w:color w:val="auto"/>
          <w:sz w:val="28"/>
          <w:szCs w:val="28"/>
        </w:rPr>
        <w:t>.4</w:t>
      </w:r>
      <w:r>
        <w:rPr>
          <w:rFonts w:ascii="Times New Roman" w:hAnsi="Times New Roman" w:cs="Times New Roman"/>
          <w:b/>
          <w:color w:val="auto"/>
          <w:sz w:val="28"/>
          <w:szCs w:val="28"/>
        </w:rPr>
        <w:t>固体废物环境保护措施及其可行性论证</w:t>
      </w:r>
    </w:p>
    <w:p>
      <w:pPr>
        <w:spacing w:line="360" w:lineRule="auto"/>
        <w:ind w:firstLine="480" w:firstLineChars="200"/>
        <w:contextualSpacing/>
        <w:rPr>
          <w:color w:val="auto"/>
          <w:sz w:val="24"/>
        </w:rPr>
      </w:pPr>
      <w:r>
        <w:rPr>
          <w:color w:val="auto"/>
          <w:sz w:val="24"/>
        </w:rPr>
        <w:t>运行期固体废弃物主要为生活垃圾、</w:t>
      </w:r>
      <w:r>
        <w:rPr>
          <w:rFonts w:hint="eastAsia"/>
          <w:color w:val="auto"/>
          <w:sz w:val="24"/>
        </w:rPr>
        <w:t>粪便</w:t>
      </w:r>
      <w:r>
        <w:rPr>
          <w:color w:val="auto"/>
          <w:sz w:val="24"/>
        </w:rPr>
        <w:t>、检疫</w:t>
      </w:r>
      <w:r>
        <w:rPr>
          <w:rFonts w:hint="eastAsia"/>
          <w:color w:val="auto"/>
          <w:sz w:val="24"/>
        </w:rPr>
        <w:t>不合格肉牛及病死牛</w:t>
      </w:r>
      <w:r>
        <w:rPr>
          <w:color w:val="auto"/>
          <w:sz w:val="24"/>
        </w:rPr>
        <w:t>、</w:t>
      </w:r>
      <w:r>
        <w:rPr>
          <w:rFonts w:hint="eastAsia"/>
          <w:color w:val="auto"/>
          <w:sz w:val="24"/>
        </w:rPr>
        <w:t>污水处理站栅渣及污泥</w:t>
      </w:r>
      <w:r>
        <w:rPr>
          <w:color w:val="auto"/>
          <w:sz w:val="24"/>
        </w:rPr>
        <w:t>、</w:t>
      </w:r>
      <w:r>
        <w:rPr>
          <w:rFonts w:hint="eastAsia"/>
          <w:color w:val="auto"/>
          <w:sz w:val="24"/>
        </w:rPr>
        <w:t>食堂</w:t>
      </w:r>
      <w:r>
        <w:rPr>
          <w:color w:val="auto"/>
          <w:sz w:val="24"/>
        </w:rPr>
        <w:t>餐馀垃圾及废油脂（含污水处理站废油脂）、肠胃内容物、废弃包装物、</w:t>
      </w:r>
      <w:r>
        <w:rPr>
          <w:rFonts w:hint="eastAsia"/>
          <w:bCs/>
          <w:color w:val="auto"/>
          <w:sz w:val="24"/>
        </w:rPr>
        <w:t>不可食用内脏、</w:t>
      </w:r>
      <w:r>
        <w:rPr>
          <w:rFonts w:hint="eastAsia"/>
          <w:color w:val="auto"/>
          <w:sz w:val="24"/>
        </w:rPr>
        <w:t>废</w:t>
      </w:r>
      <w:r>
        <w:rPr>
          <w:color w:val="auto"/>
          <w:sz w:val="24"/>
        </w:rPr>
        <w:t>活性炭、</w:t>
      </w:r>
      <w:r>
        <w:rPr>
          <w:rFonts w:hint="eastAsia"/>
          <w:color w:val="auto"/>
          <w:sz w:val="24"/>
        </w:rPr>
        <w:t>检疫废物（HW01）</w:t>
      </w:r>
      <w:r>
        <w:rPr>
          <w:rFonts w:hint="eastAsia"/>
          <w:color w:val="auto"/>
          <w:sz w:val="24"/>
          <w:lang w:eastAsia="zh-CN"/>
        </w:rPr>
        <w:t>、</w:t>
      </w:r>
      <w:r>
        <w:rPr>
          <w:rFonts w:hint="eastAsia"/>
          <w:color w:val="auto"/>
          <w:sz w:val="24"/>
          <w:lang w:val="en-US" w:eastAsia="zh-CN"/>
        </w:rPr>
        <w:t>废离子交换树脂、废布袋、</w:t>
      </w:r>
      <w:r>
        <w:rPr>
          <w:color w:val="auto"/>
          <w:sz w:val="24"/>
          <w:szCs w:val="24"/>
          <w:highlight w:val="none"/>
        </w:rPr>
        <w:t>锅炉布袋除尘器收尘和锅炉灰渣</w:t>
      </w:r>
      <w:r>
        <w:rPr>
          <w:color w:val="auto"/>
          <w:sz w:val="24"/>
        </w:rPr>
        <w:t>。</w:t>
      </w:r>
    </w:p>
    <w:p>
      <w:pPr>
        <w:spacing w:line="360" w:lineRule="auto"/>
        <w:outlineLvl w:val="3"/>
        <w:rPr>
          <w:b/>
          <w:color w:val="auto"/>
          <w:sz w:val="24"/>
          <w:lang w:val="zh-CN"/>
        </w:rPr>
      </w:pPr>
      <w:r>
        <w:rPr>
          <w:b/>
          <w:color w:val="auto"/>
          <w:sz w:val="24"/>
          <w:lang w:val="zh-CN"/>
        </w:rPr>
        <w:t>6.2.</w:t>
      </w:r>
      <w:r>
        <w:rPr>
          <w:rFonts w:hint="eastAsia"/>
          <w:b/>
          <w:color w:val="auto"/>
          <w:sz w:val="24"/>
          <w:lang w:val="zh-CN"/>
        </w:rPr>
        <w:t>4</w:t>
      </w:r>
      <w:r>
        <w:rPr>
          <w:b/>
          <w:color w:val="auto"/>
          <w:sz w:val="24"/>
          <w:lang w:val="zh-CN"/>
        </w:rPr>
        <w:t>.</w:t>
      </w:r>
      <w:r>
        <w:rPr>
          <w:rFonts w:hint="eastAsia"/>
          <w:b/>
          <w:color w:val="auto"/>
          <w:sz w:val="24"/>
          <w:lang w:val="zh-CN"/>
        </w:rPr>
        <w:t>1粪便</w:t>
      </w:r>
    </w:p>
    <w:p>
      <w:pPr>
        <w:pStyle w:val="74"/>
        <w:adjustRightInd/>
        <w:snapToGrid/>
        <w:contextualSpacing/>
        <w:jc w:val="both"/>
        <w:rPr>
          <w:rFonts w:ascii="Times New Roman" w:cs="Times New Roman"/>
          <w:color w:val="auto"/>
        </w:rPr>
      </w:pPr>
      <w:r>
        <w:rPr>
          <w:rFonts w:hint="eastAsia" w:ascii="Times New Roman" w:cs="Times New Roman"/>
          <w:color w:val="auto"/>
        </w:rPr>
        <w:t>本项目采用干清粪工艺，暂存于待宰间内储粪池内，日产日清，使用密闭运输车运走作为有机肥原料外卖</w:t>
      </w:r>
      <w:r>
        <w:rPr>
          <w:rFonts w:ascii="Times New Roman" w:cs="Times New Roman"/>
          <w:color w:val="auto"/>
        </w:rPr>
        <w:t>。</w:t>
      </w:r>
    </w:p>
    <w:p>
      <w:pPr>
        <w:spacing w:line="360" w:lineRule="auto"/>
        <w:outlineLvl w:val="3"/>
        <w:rPr>
          <w:b/>
          <w:color w:val="auto"/>
          <w:sz w:val="24"/>
          <w:lang w:val="zh-CN"/>
        </w:rPr>
      </w:pPr>
      <w:r>
        <w:rPr>
          <w:b/>
          <w:color w:val="auto"/>
          <w:sz w:val="24"/>
          <w:lang w:val="zh-CN"/>
        </w:rPr>
        <w:t>6.2.</w:t>
      </w:r>
      <w:r>
        <w:rPr>
          <w:rFonts w:hint="eastAsia"/>
          <w:b/>
          <w:color w:val="auto"/>
          <w:sz w:val="24"/>
          <w:lang w:val="zh-CN"/>
        </w:rPr>
        <w:t>4</w:t>
      </w:r>
      <w:r>
        <w:rPr>
          <w:b/>
          <w:color w:val="auto"/>
          <w:sz w:val="24"/>
          <w:lang w:val="zh-CN"/>
        </w:rPr>
        <w:t>.</w:t>
      </w:r>
      <w:r>
        <w:rPr>
          <w:rFonts w:hint="eastAsia"/>
          <w:b/>
          <w:color w:val="auto"/>
          <w:sz w:val="24"/>
          <w:lang w:val="zh-CN"/>
        </w:rPr>
        <w:t>2</w:t>
      </w:r>
      <w:r>
        <w:rPr>
          <w:b/>
          <w:color w:val="auto"/>
          <w:sz w:val="24"/>
        </w:rPr>
        <w:t>生活垃圾、</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本项目生活垃圾</w:t>
      </w:r>
      <w:r>
        <w:rPr>
          <w:rFonts w:hint="eastAsia" w:ascii="Times New Roman" w:hAnsi="Times New Roman" w:eastAsia="宋体" w:cs="Times New Roman"/>
          <w:color w:val="auto"/>
        </w:rPr>
        <w:t>统一运至指定垃圾转运站，由市政部门统一处理。</w:t>
      </w:r>
    </w:p>
    <w:p>
      <w:pPr>
        <w:spacing w:line="360" w:lineRule="auto"/>
        <w:outlineLvl w:val="3"/>
        <w:rPr>
          <w:b/>
          <w:color w:val="auto"/>
          <w:sz w:val="24"/>
          <w:lang w:val="zh-CN"/>
        </w:rPr>
      </w:pPr>
      <w:r>
        <w:rPr>
          <w:b/>
          <w:color w:val="auto"/>
          <w:sz w:val="24"/>
          <w:lang w:val="zh-CN"/>
        </w:rPr>
        <w:t>6.2.</w:t>
      </w:r>
      <w:r>
        <w:rPr>
          <w:rFonts w:hint="eastAsia"/>
          <w:b/>
          <w:color w:val="auto"/>
          <w:sz w:val="24"/>
          <w:lang w:val="zh-CN"/>
        </w:rPr>
        <w:t>4</w:t>
      </w:r>
      <w:r>
        <w:rPr>
          <w:b/>
          <w:color w:val="auto"/>
          <w:sz w:val="24"/>
          <w:lang w:val="zh-CN"/>
        </w:rPr>
        <w:t>.</w:t>
      </w:r>
      <w:r>
        <w:rPr>
          <w:rFonts w:hint="eastAsia"/>
          <w:b/>
          <w:color w:val="auto"/>
          <w:sz w:val="24"/>
          <w:lang w:val="zh-CN"/>
        </w:rPr>
        <w:t>3</w:t>
      </w:r>
      <w:r>
        <w:rPr>
          <w:b/>
          <w:color w:val="auto"/>
          <w:sz w:val="24"/>
        </w:rPr>
        <w:t>废活性炭</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szCs w:val="24"/>
          <w:lang w:val="zh-CN"/>
        </w:rPr>
      </w:pPr>
      <w:r>
        <w:rPr>
          <w:rFonts w:hint="eastAsia"/>
          <w:sz w:val="24"/>
          <w:szCs w:val="24"/>
          <w:lang w:val="en-US" w:eastAsia="zh-CN"/>
        </w:rPr>
        <w:t>本项目</w:t>
      </w:r>
      <w:r>
        <w:rPr>
          <w:rFonts w:hint="eastAsia"/>
          <w:sz w:val="24"/>
          <w:szCs w:val="24"/>
        </w:rPr>
        <w:t>废活性炭</w:t>
      </w:r>
      <w:r>
        <w:rPr>
          <w:rFonts w:hint="eastAsia"/>
          <w:sz w:val="24"/>
          <w:szCs w:val="24"/>
          <w:lang w:val="en-US" w:eastAsia="zh-CN"/>
        </w:rPr>
        <w:t>交由厂家再生利用。</w:t>
      </w:r>
    </w:p>
    <w:p>
      <w:pPr>
        <w:spacing w:line="360" w:lineRule="auto"/>
        <w:outlineLvl w:val="3"/>
        <w:rPr>
          <w:b/>
          <w:color w:val="auto"/>
          <w:sz w:val="24"/>
          <w:lang w:val="zh-CN"/>
        </w:rPr>
      </w:pPr>
      <w:r>
        <w:rPr>
          <w:b/>
          <w:color w:val="auto"/>
          <w:sz w:val="24"/>
          <w:lang w:val="zh-CN"/>
        </w:rPr>
        <w:t>6.2.</w:t>
      </w:r>
      <w:r>
        <w:rPr>
          <w:rFonts w:hint="eastAsia"/>
          <w:b/>
          <w:color w:val="auto"/>
          <w:sz w:val="24"/>
          <w:lang w:val="zh-CN"/>
        </w:rPr>
        <w:t>4</w:t>
      </w:r>
      <w:r>
        <w:rPr>
          <w:b/>
          <w:color w:val="auto"/>
          <w:sz w:val="24"/>
          <w:lang w:val="zh-CN"/>
        </w:rPr>
        <w:t>.</w:t>
      </w:r>
      <w:r>
        <w:rPr>
          <w:rFonts w:hint="eastAsia"/>
          <w:b/>
          <w:color w:val="auto"/>
          <w:sz w:val="24"/>
          <w:lang w:val="en-US" w:eastAsia="zh-CN"/>
        </w:rPr>
        <w:t>4</w:t>
      </w:r>
      <w:r>
        <w:rPr>
          <w:b/>
          <w:color w:val="auto"/>
          <w:sz w:val="24"/>
        </w:rPr>
        <w:t>检疫</w:t>
      </w:r>
      <w:r>
        <w:rPr>
          <w:rFonts w:hint="eastAsia"/>
          <w:b/>
          <w:color w:val="auto"/>
          <w:sz w:val="24"/>
        </w:rPr>
        <w:t>不合格肉牛及病死牛</w:t>
      </w:r>
    </w:p>
    <w:p>
      <w:pPr>
        <w:pStyle w:val="74"/>
        <w:adjustRightInd/>
        <w:snapToGrid/>
        <w:contextualSpacing/>
        <w:jc w:val="both"/>
        <w:rPr>
          <w:rFonts w:ascii="Times New Roman" w:hAnsi="Times New Roman" w:eastAsia="宋体" w:cs="Times New Roman"/>
          <w:color w:val="auto"/>
        </w:rPr>
      </w:pPr>
      <w:r>
        <w:rPr>
          <w:rFonts w:ascii="Times New Roman" w:hAnsi="宋体"/>
          <w:color w:val="auto"/>
        </w:rPr>
        <w:t>本项目严把收购关，进厂后</w:t>
      </w:r>
      <w:r>
        <w:rPr>
          <w:rFonts w:hint="eastAsia" w:ascii="Times New Roman" w:hAnsi="Times New Roman"/>
          <w:color w:val="auto"/>
        </w:rPr>
        <w:t>检疫不合格肉牛及病死牛</w:t>
      </w:r>
      <w:r>
        <w:rPr>
          <w:rFonts w:ascii="Times New Roman" w:hAnsi="宋体"/>
          <w:color w:val="auto"/>
        </w:rPr>
        <w:t>的产生量极少，</w:t>
      </w:r>
      <w:r>
        <w:rPr>
          <w:rFonts w:hint="eastAsia" w:ascii="Times New Roman" w:hAnsi="宋体"/>
          <w:color w:val="auto"/>
        </w:rPr>
        <w:t>根据</w:t>
      </w:r>
      <w:r>
        <w:rPr>
          <w:rFonts w:ascii="Times New Roman" w:hAnsi="Times New Roman"/>
          <w:color w:val="auto"/>
        </w:rPr>
        <w:t>《</w:t>
      </w:r>
      <w:r>
        <w:rPr>
          <w:rFonts w:hint="eastAsia" w:ascii="Times New Roman" w:hAnsi="Times New Roman"/>
          <w:color w:val="auto"/>
        </w:rPr>
        <w:t>病死及病害动物无害化处理技术规范</w:t>
      </w:r>
      <w:r>
        <w:rPr>
          <w:rFonts w:ascii="Times New Roman" w:hAnsi="Times New Roman"/>
          <w:color w:val="auto"/>
        </w:rPr>
        <w:t>》</w:t>
      </w:r>
      <w:r>
        <w:rPr>
          <w:rFonts w:hint="eastAsia" w:ascii="Times New Roman" w:hAnsi="Times New Roman"/>
          <w:color w:val="auto"/>
        </w:rPr>
        <w:t>（</w:t>
      </w:r>
      <w:r>
        <w:rPr>
          <w:rFonts w:ascii="Times New Roman" w:hAnsi="Times New Roman"/>
          <w:color w:val="auto"/>
        </w:rPr>
        <w:t>农医发〔2017〕25号</w:t>
      </w:r>
      <w:r>
        <w:rPr>
          <w:rFonts w:hint="eastAsia" w:ascii="Times New Roman" w:hAnsi="Times New Roman"/>
          <w:color w:val="auto"/>
        </w:rPr>
        <w:t>）2017.07.03，本项目检疫不合格肉牛及病死牛委托</w:t>
      </w:r>
      <w:r>
        <w:rPr>
          <w:rFonts w:hint="eastAsia" w:ascii="Times New Roman" w:hAnsi="Times New Roman"/>
          <w:color w:val="auto"/>
          <w:lang w:eastAsia="zh-CN"/>
        </w:rPr>
        <w:t>无害化处理有限公司</w:t>
      </w:r>
      <w:r>
        <w:rPr>
          <w:rFonts w:hint="eastAsia" w:ascii="Times New Roman" w:hAnsi="Times New Roman"/>
          <w:color w:val="auto"/>
        </w:rPr>
        <w:t>处理。</w:t>
      </w:r>
    </w:p>
    <w:p>
      <w:pPr>
        <w:spacing w:line="360" w:lineRule="auto"/>
        <w:outlineLvl w:val="3"/>
        <w:rPr>
          <w:b/>
          <w:color w:val="auto"/>
          <w:sz w:val="24"/>
          <w:lang w:val="zh-CN"/>
        </w:rPr>
      </w:pPr>
      <w:r>
        <w:rPr>
          <w:b/>
          <w:color w:val="auto"/>
          <w:sz w:val="24"/>
          <w:lang w:val="zh-CN"/>
        </w:rPr>
        <w:t>6.2.</w:t>
      </w:r>
      <w:r>
        <w:rPr>
          <w:rFonts w:hint="eastAsia"/>
          <w:b/>
          <w:color w:val="auto"/>
          <w:sz w:val="24"/>
          <w:lang w:val="zh-CN"/>
        </w:rPr>
        <w:t>4</w:t>
      </w:r>
      <w:r>
        <w:rPr>
          <w:b/>
          <w:color w:val="auto"/>
          <w:sz w:val="24"/>
          <w:lang w:val="zh-CN"/>
        </w:rPr>
        <w:t>.</w:t>
      </w:r>
      <w:r>
        <w:rPr>
          <w:rFonts w:hint="eastAsia"/>
          <w:b/>
          <w:color w:val="auto"/>
          <w:sz w:val="24"/>
          <w:lang w:val="en-US" w:eastAsia="zh-CN"/>
        </w:rPr>
        <w:t>5</w:t>
      </w:r>
      <w:r>
        <w:rPr>
          <w:rFonts w:hint="eastAsia"/>
          <w:b/>
          <w:color w:val="auto"/>
          <w:sz w:val="24"/>
        </w:rPr>
        <w:t>污水处理站栅渣及污泥</w:t>
      </w:r>
    </w:p>
    <w:p>
      <w:pPr>
        <w:pStyle w:val="74"/>
        <w:adjustRightInd/>
        <w:snapToGrid/>
        <w:contextualSpacing/>
        <w:jc w:val="both"/>
        <w:rPr>
          <w:rFonts w:ascii="Times New Roman" w:hAnsi="宋体"/>
          <w:color w:val="auto"/>
        </w:rPr>
      </w:pPr>
      <w:r>
        <w:rPr>
          <w:rFonts w:hint="eastAsia" w:ascii="Times New Roman" w:hAnsi="宋体"/>
          <w:color w:val="auto"/>
        </w:rPr>
        <w:t>本项目污水处理站</w:t>
      </w:r>
      <w:r>
        <w:rPr>
          <w:rFonts w:ascii="Times New Roman" w:hAnsi="宋体"/>
          <w:color w:val="auto"/>
        </w:rPr>
        <w:t>污泥采用压滤机脱水后同栅渣，</w:t>
      </w:r>
      <w:r>
        <w:rPr>
          <w:rFonts w:hint="eastAsia" w:ascii="Times New Roman" w:hAnsi="宋体"/>
          <w:color w:val="auto"/>
        </w:rPr>
        <w:t>送生活垃圾填埋场处理。压滤废水返回污水处理工艺。</w:t>
      </w:r>
    </w:p>
    <w:p>
      <w:pPr>
        <w:spacing w:line="360" w:lineRule="auto"/>
        <w:outlineLvl w:val="3"/>
        <w:rPr>
          <w:b/>
          <w:color w:val="auto"/>
          <w:sz w:val="24"/>
          <w:lang w:val="zh-CN"/>
        </w:rPr>
      </w:pPr>
      <w:r>
        <w:rPr>
          <w:b/>
          <w:color w:val="auto"/>
          <w:sz w:val="24"/>
          <w:lang w:val="zh-CN"/>
        </w:rPr>
        <w:t>6.2.</w:t>
      </w:r>
      <w:r>
        <w:rPr>
          <w:rFonts w:hint="eastAsia"/>
          <w:b/>
          <w:color w:val="auto"/>
          <w:sz w:val="24"/>
          <w:lang w:val="zh-CN"/>
        </w:rPr>
        <w:t>4</w:t>
      </w:r>
      <w:r>
        <w:rPr>
          <w:b/>
          <w:color w:val="auto"/>
          <w:sz w:val="24"/>
          <w:lang w:val="zh-CN"/>
        </w:rPr>
        <w:t>.</w:t>
      </w:r>
      <w:r>
        <w:rPr>
          <w:rFonts w:hint="eastAsia"/>
          <w:b/>
          <w:color w:val="auto"/>
          <w:sz w:val="24"/>
          <w:lang w:val="en-US" w:eastAsia="zh-CN"/>
        </w:rPr>
        <w:t>6</w:t>
      </w:r>
      <w:r>
        <w:rPr>
          <w:rFonts w:hint="eastAsia"/>
          <w:b/>
          <w:color w:val="auto"/>
          <w:sz w:val="24"/>
        </w:rPr>
        <w:t>食堂</w:t>
      </w:r>
      <w:r>
        <w:rPr>
          <w:b/>
          <w:color w:val="auto"/>
          <w:sz w:val="24"/>
        </w:rPr>
        <w:t>餐馀垃圾及废油脂（含污水处理站废油脂）</w:t>
      </w:r>
    </w:p>
    <w:p>
      <w:pPr>
        <w:pStyle w:val="74"/>
        <w:adjustRightInd/>
        <w:snapToGrid/>
        <w:contextualSpacing/>
        <w:jc w:val="both"/>
        <w:rPr>
          <w:rFonts w:ascii="Times New Roman" w:hAnsi="Times New Roman" w:eastAsia="宋体" w:cs="Times New Roman"/>
          <w:bCs/>
          <w:color w:val="auto"/>
        </w:rPr>
      </w:pPr>
      <w:r>
        <w:rPr>
          <w:rFonts w:ascii="Times New Roman" w:hAnsi="Times New Roman" w:eastAsia="宋体" w:cs="Times New Roman"/>
          <w:bCs/>
          <w:color w:val="auto"/>
        </w:rPr>
        <w:t>本项目食堂餐馀垃圾交由符合规定的回收处置单位统一回收处置；食堂废油</w:t>
      </w:r>
      <w:r>
        <w:rPr>
          <w:rFonts w:ascii="Times New Roman" w:hAnsi="Times New Roman" w:eastAsia="宋体" w:cs="Times New Roman"/>
          <w:bCs/>
          <w:color w:val="auto"/>
          <w:highlight w:val="none"/>
        </w:rPr>
        <w:t>脂按</w:t>
      </w:r>
      <w:r>
        <w:rPr>
          <w:rFonts w:hint="eastAsia" w:ascii="Times New Roman" w:hAnsi="Times New Roman" w:eastAsia="宋体" w:cs="Times New Roman"/>
          <w:bCs/>
          <w:color w:val="auto"/>
          <w:highlight w:val="none"/>
          <w:lang w:eastAsia="zh-CN"/>
        </w:rPr>
        <w:t>《哈尔滨市城市餐厨废弃物管理办法》</w:t>
      </w:r>
      <w:r>
        <w:rPr>
          <w:rFonts w:ascii="Times New Roman" w:hAnsi="Times New Roman" w:eastAsia="宋体" w:cs="Times New Roman"/>
          <w:bCs/>
          <w:color w:val="auto"/>
          <w:highlight w:val="none"/>
        </w:rPr>
        <w:t>处置；</w:t>
      </w:r>
      <w:r>
        <w:rPr>
          <w:rFonts w:hint="eastAsia" w:ascii="Times New Roman" w:hAnsi="Times New Roman" w:eastAsia="宋体" w:cs="Times New Roman"/>
          <w:bCs/>
          <w:color w:val="auto"/>
          <w:highlight w:val="none"/>
        </w:rPr>
        <w:t>污水处理站废油脂交由有资质</w:t>
      </w:r>
      <w:r>
        <w:rPr>
          <w:rFonts w:hint="eastAsia" w:ascii="Times New Roman" w:hAnsi="Times New Roman" w:eastAsia="宋体" w:cs="Times New Roman"/>
          <w:bCs/>
          <w:color w:val="auto"/>
        </w:rPr>
        <w:t>单位处置</w:t>
      </w:r>
      <w:r>
        <w:rPr>
          <w:rFonts w:ascii="Times New Roman" w:hAnsi="Times New Roman" w:eastAsia="宋体" w:cs="Times New Roman"/>
          <w:bCs/>
          <w:color w:val="auto"/>
        </w:rPr>
        <w:t>。</w:t>
      </w:r>
    </w:p>
    <w:p>
      <w:pPr>
        <w:spacing w:line="360" w:lineRule="auto"/>
        <w:outlineLvl w:val="3"/>
        <w:rPr>
          <w:b/>
          <w:color w:val="auto"/>
          <w:sz w:val="24"/>
          <w:lang w:val="zh-CN"/>
        </w:rPr>
      </w:pPr>
      <w:r>
        <w:rPr>
          <w:b/>
          <w:color w:val="auto"/>
          <w:sz w:val="24"/>
          <w:lang w:val="zh-CN"/>
        </w:rPr>
        <w:t>6.2.</w:t>
      </w:r>
      <w:r>
        <w:rPr>
          <w:rFonts w:hint="eastAsia"/>
          <w:b/>
          <w:color w:val="auto"/>
          <w:sz w:val="24"/>
          <w:lang w:val="zh-CN"/>
        </w:rPr>
        <w:t>4</w:t>
      </w:r>
      <w:r>
        <w:rPr>
          <w:b/>
          <w:color w:val="auto"/>
          <w:sz w:val="24"/>
          <w:lang w:val="zh-CN"/>
        </w:rPr>
        <w:t>.</w:t>
      </w:r>
      <w:r>
        <w:rPr>
          <w:rFonts w:hint="eastAsia"/>
          <w:b/>
          <w:color w:val="auto"/>
          <w:sz w:val="24"/>
          <w:lang w:val="en-US" w:eastAsia="zh-CN"/>
        </w:rPr>
        <w:t>7</w:t>
      </w:r>
      <w:r>
        <w:rPr>
          <w:rFonts w:hint="eastAsia"/>
          <w:b/>
          <w:bCs/>
          <w:color w:val="auto"/>
          <w:sz w:val="24"/>
        </w:rPr>
        <w:t>肠胃内容物</w:t>
      </w:r>
    </w:p>
    <w:p>
      <w:pPr>
        <w:pStyle w:val="74"/>
        <w:adjustRightInd/>
        <w:snapToGrid/>
        <w:contextualSpacing/>
        <w:jc w:val="both"/>
        <w:rPr>
          <w:rFonts w:ascii="Times New Roman" w:hAnsi="Times New Roman" w:eastAsia="宋体" w:cs="Times New Roman"/>
          <w:bCs/>
          <w:color w:val="auto"/>
        </w:rPr>
      </w:pPr>
      <w:r>
        <w:rPr>
          <w:rFonts w:hint="eastAsia" w:ascii="Times New Roman" w:hAnsi="Times New Roman" w:eastAsia="宋体" w:cs="Times New Roman"/>
          <w:bCs/>
          <w:color w:val="auto"/>
        </w:rPr>
        <w:t>本项目肠胃内容物同粪便暂存于待宰间内储粪池内，日产日清，使用密闭运输车运走作为有机肥原料外卖。</w:t>
      </w:r>
    </w:p>
    <w:p>
      <w:pPr>
        <w:spacing w:line="360" w:lineRule="auto"/>
        <w:outlineLvl w:val="3"/>
        <w:rPr>
          <w:b/>
          <w:color w:val="auto"/>
          <w:sz w:val="24"/>
          <w:lang w:val="zh-CN"/>
        </w:rPr>
      </w:pPr>
      <w:r>
        <w:rPr>
          <w:b/>
          <w:color w:val="auto"/>
          <w:sz w:val="24"/>
          <w:lang w:val="zh-CN"/>
        </w:rPr>
        <w:t>6.2.</w:t>
      </w:r>
      <w:r>
        <w:rPr>
          <w:rFonts w:hint="eastAsia"/>
          <w:b/>
          <w:color w:val="auto"/>
          <w:sz w:val="24"/>
          <w:lang w:val="zh-CN"/>
        </w:rPr>
        <w:t>4</w:t>
      </w:r>
      <w:r>
        <w:rPr>
          <w:b/>
          <w:color w:val="auto"/>
          <w:sz w:val="24"/>
          <w:lang w:val="zh-CN"/>
        </w:rPr>
        <w:t>.</w:t>
      </w:r>
      <w:r>
        <w:rPr>
          <w:rFonts w:hint="eastAsia"/>
          <w:b/>
          <w:color w:val="auto"/>
          <w:sz w:val="24"/>
          <w:lang w:val="en-US" w:eastAsia="zh-CN"/>
        </w:rPr>
        <w:t>8</w:t>
      </w:r>
      <w:r>
        <w:rPr>
          <w:rFonts w:hint="eastAsia"/>
          <w:b/>
          <w:bCs/>
          <w:color w:val="auto"/>
          <w:sz w:val="24"/>
        </w:rPr>
        <w:t>废弃包装物</w:t>
      </w:r>
    </w:p>
    <w:p>
      <w:pPr>
        <w:pStyle w:val="74"/>
        <w:adjustRightInd/>
        <w:snapToGrid/>
        <w:contextualSpacing/>
        <w:jc w:val="both"/>
        <w:rPr>
          <w:rFonts w:ascii="Times New Roman" w:hAnsi="Times New Roman" w:eastAsia="宋体" w:cs="Times New Roman"/>
          <w:bCs/>
          <w:color w:val="auto"/>
        </w:rPr>
      </w:pPr>
      <w:r>
        <w:rPr>
          <w:rFonts w:hint="eastAsia" w:ascii="Times New Roman" w:hAnsi="Times New Roman" w:eastAsia="宋体" w:cs="Times New Roman"/>
          <w:bCs/>
          <w:color w:val="auto"/>
        </w:rPr>
        <w:t>本项目废弃包装物</w:t>
      </w:r>
      <w:r>
        <w:rPr>
          <w:rFonts w:ascii="Times New Roman" w:hAnsi="Times New Roman" w:eastAsia="宋体" w:cs="Times New Roman"/>
          <w:bCs/>
          <w:color w:val="auto"/>
        </w:rPr>
        <w:t>集中收集，外售综合利用。</w:t>
      </w:r>
    </w:p>
    <w:p>
      <w:pPr>
        <w:spacing w:line="360" w:lineRule="auto"/>
        <w:outlineLvl w:val="3"/>
        <w:rPr>
          <w:b/>
          <w:color w:val="auto"/>
          <w:sz w:val="24"/>
          <w:lang w:val="zh-CN"/>
        </w:rPr>
      </w:pPr>
      <w:r>
        <w:rPr>
          <w:b/>
          <w:color w:val="auto"/>
          <w:sz w:val="24"/>
          <w:lang w:val="zh-CN"/>
        </w:rPr>
        <w:t>6.2.</w:t>
      </w:r>
      <w:r>
        <w:rPr>
          <w:rFonts w:hint="eastAsia"/>
          <w:b/>
          <w:color w:val="auto"/>
          <w:sz w:val="24"/>
          <w:lang w:val="zh-CN"/>
        </w:rPr>
        <w:t>4</w:t>
      </w:r>
      <w:r>
        <w:rPr>
          <w:b/>
          <w:color w:val="auto"/>
          <w:sz w:val="24"/>
          <w:lang w:val="zh-CN"/>
        </w:rPr>
        <w:t>.</w:t>
      </w:r>
      <w:r>
        <w:rPr>
          <w:rFonts w:hint="eastAsia"/>
          <w:b/>
          <w:color w:val="auto"/>
          <w:sz w:val="24"/>
          <w:lang w:val="en-US" w:eastAsia="zh-CN"/>
        </w:rPr>
        <w:t>9</w:t>
      </w:r>
      <w:r>
        <w:rPr>
          <w:rFonts w:hint="eastAsia"/>
          <w:b/>
          <w:bCs/>
          <w:color w:val="auto"/>
          <w:sz w:val="24"/>
        </w:rPr>
        <w:t>不可食用内脏</w:t>
      </w:r>
    </w:p>
    <w:p>
      <w:pPr>
        <w:pStyle w:val="74"/>
        <w:adjustRightInd/>
        <w:snapToGrid/>
        <w:contextualSpacing/>
        <w:jc w:val="both"/>
        <w:rPr>
          <w:rFonts w:ascii="Times New Roman" w:hAnsi="Times New Roman" w:eastAsia="宋体" w:cs="Times New Roman"/>
          <w:bCs/>
          <w:color w:val="auto"/>
        </w:rPr>
      </w:pPr>
      <w:r>
        <w:rPr>
          <w:rFonts w:hint="eastAsia" w:ascii="Times New Roman" w:hAnsi="Times New Roman" w:eastAsia="宋体" w:cs="Times New Roman"/>
          <w:bCs/>
          <w:color w:val="auto"/>
        </w:rPr>
        <w:t>本项目不可食用内脏产生后，采用专用存储桶暂存屠宰车间内，日产日清，</w:t>
      </w:r>
      <w:r>
        <w:rPr>
          <w:rFonts w:ascii="Times New Roman" w:hAnsi="Times New Roman" w:eastAsia="宋体" w:cs="Times New Roman"/>
          <w:bCs/>
          <w:color w:val="auto"/>
        </w:rPr>
        <w:t>集中收集交由</w:t>
      </w:r>
      <w:r>
        <w:rPr>
          <w:rFonts w:hint="eastAsia" w:ascii="Times New Roman" w:hAnsi="Times New Roman" w:eastAsia="宋体" w:cs="Times New Roman"/>
          <w:bCs/>
          <w:color w:val="auto"/>
          <w:lang w:eastAsia="zh-CN"/>
        </w:rPr>
        <w:t>无害化处理有限公司</w:t>
      </w:r>
      <w:r>
        <w:rPr>
          <w:rFonts w:hint="eastAsia" w:ascii="Times New Roman" w:hAnsi="Times New Roman" w:eastAsia="宋体" w:cs="Times New Roman"/>
          <w:bCs/>
          <w:color w:val="auto"/>
        </w:rPr>
        <w:t>处理</w:t>
      </w:r>
      <w:r>
        <w:rPr>
          <w:rFonts w:ascii="Times New Roman" w:hAnsi="Times New Roman" w:eastAsia="宋体" w:cs="Times New Roman"/>
          <w:bCs/>
          <w:color w:val="auto"/>
        </w:rPr>
        <w:t>。</w:t>
      </w:r>
    </w:p>
    <w:p>
      <w:pPr>
        <w:spacing w:line="360" w:lineRule="auto"/>
        <w:outlineLvl w:val="3"/>
        <w:rPr>
          <w:rFonts w:hint="eastAsia"/>
          <w:b/>
          <w:color w:val="auto"/>
          <w:sz w:val="24"/>
          <w:lang w:val="zh-CN" w:eastAsia="zh-CN"/>
        </w:rPr>
      </w:pPr>
      <w:r>
        <w:rPr>
          <w:b/>
          <w:color w:val="auto"/>
          <w:sz w:val="24"/>
          <w:lang w:val="zh-CN"/>
        </w:rPr>
        <w:t>6.2.</w:t>
      </w:r>
      <w:r>
        <w:rPr>
          <w:rFonts w:hint="eastAsia"/>
          <w:b/>
          <w:color w:val="auto"/>
          <w:sz w:val="24"/>
          <w:lang w:val="zh-CN"/>
        </w:rPr>
        <w:t>4</w:t>
      </w:r>
      <w:r>
        <w:rPr>
          <w:b/>
          <w:color w:val="auto"/>
          <w:sz w:val="24"/>
          <w:lang w:val="zh-CN"/>
        </w:rPr>
        <w:t>.</w:t>
      </w:r>
      <w:r>
        <w:rPr>
          <w:rFonts w:hint="eastAsia"/>
          <w:b/>
          <w:color w:val="auto"/>
          <w:sz w:val="24"/>
          <w:lang w:val="en-US" w:eastAsia="zh-CN"/>
        </w:rPr>
        <w:t>10</w:t>
      </w:r>
      <w:r>
        <w:rPr>
          <w:rFonts w:hint="eastAsia"/>
          <w:b/>
          <w:color w:val="auto"/>
          <w:sz w:val="24"/>
          <w:lang w:val="zh-CN" w:eastAsia="zh-CN"/>
        </w:rPr>
        <w:t>锅炉灰渣（含布袋除尘器收尘）</w:t>
      </w:r>
    </w:p>
    <w:p>
      <w:pPr>
        <w:pStyle w:val="19"/>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bCs/>
          <w:color w:val="auto"/>
          <w:kern w:val="2"/>
          <w:sz w:val="24"/>
          <w:szCs w:val="24"/>
          <w:lang w:val="en-US" w:eastAsia="zh-CN" w:bidi="ar-SA"/>
        </w:rPr>
      </w:pPr>
      <w:r>
        <w:rPr>
          <w:rFonts w:hint="eastAsia" w:ascii="Times New Roman" w:hAnsi="Times New Roman" w:eastAsia="宋体" w:cs="Times New Roman"/>
          <w:bCs/>
          <w:color w:val="auto"/>
          <w:kern w:val="2"/>
          <w:sz w:val="24"/>
          <w:szCs w:val="24"/>
          <w:lang w:val="en-US" w:eastAsia="zh-CN" w:bidi="ar-SA"/>
        </w:rPr>
        <w:t>在锅炉旁边设置锅炉灰渣暂存间，暂存运行期间产生的布袋除尘器收尘和锅炉灰渣，定期封闭清运，</w:t>
      </w:r>
      <w:r>
        <w:rPr>
          <w:rFonts w:hint="default" w:ascii="Times New Roman" w:hAnsi="Times New Roman" w:eastAsia="宋体" w:cs="Times New Roman"/>
          <w:bCs/>
          <w:color w:val="auto"/>
          <w:kern w:val="2"/>
          <w:sz w:val="24"/>
          <w:szCs w:val="24"/>
          <w:lang w:val="en-US" w:eastAsia="zh-CN" w:bidi="ar-SA"/>
        </w:rPr>
        <w:t>外售综合利用</w:t>
      </w:r>
      <w:r>
        <w:rPr>
          <w:rFonts w:hint="eastAsia" w:ascii="Times New Roman" w:hAnsi="Times New Roman" w:eastAsia="宋体" w:cs="Times New Roman"/>
          <w:bCs/>
          <w:color w:val="auto"/>
          <w:kern w:val="2"/>
          <w:sz w:val="24"/>
          <w:szCs w:val="24"/>
          <w:lang w:val="en-US" w:eastAsia="zh-CN" w:bidi="ar-SA"/>
        </w:rPr>
        <w:t>。</w:t>
      </w:r>
    </w:p>
    <w:p>
      <w:pPr>
        <w:spacing w:line="360" w:lineRule="auto"/>
        <w:outlineLvl w:val="3"/>
        <w:rPr>
          <w:rFonts w:hint="eastAsia"/>
          <w:b/>
          <w:color w:val="auto"/>
          <w:sz w:val="24"/>
          <w:lang w:val="en-US" w:eastAsia="zh-CN"/>
        </w:rPr>
      </w:pPr>
      <w:r>
        <w:rPr>
          <w:b/>
          <w:color w:val="auto"/>
          <w:sz w:val="24"/>
          <w:lang w:val="zh-CN"/>
        </w:rPr>
        <w:t>6.2.</w:t>
      </w:r>
      <w:r>
        <w:rPr>
          <w:rFonts w:hint="eastAsia"/>
          <w:b/>
          <w:color w:val="auto"/>
          <w:sz w:val="24"/>
          <w:lang w:val="zh-CN"/>
        </w:rPr>
        <w:t>4</w:t>
      </w:r>
      <w:r>
        <w:rPr>
          <w:b/>
          <w:color w:val="auto"/>
          <w:sz w:val="24"/>
          <w:lang w:val="zh-CN"/>
        </w:rPr>
        <w:t>.</w:t>
      </w:r>
      <w:r>
        <w:rPr>
          <w:rFonts w:hint="eastAsia"/>
          <w:b/>
          <w:color w:val="auto"/>
          <w:sz w:val="24"/>
          <w:lang w:val="en-US" w:eastAsia="zh-CN"/>
        </w:rPr>
        <w:t>11废布袋</w:t>
      </w:r>
    </w:p>
    <w:p>
      <w:pPr>
        <w:pStyle w:val="2"/>
        <w:rPr>
          <w:rFonts w:hint="default"/>
          <w:color w:val="auto"/>
          <w:lang w:val="en-US"/>
        </w:rPr>
      </w:pPr>
      <w:r>
        <w:rPr>
          <w:rFonts w:hint="eastAsia" w:ascii="Times New Roman" w:hAnsi="Times New Roman" w:eastAsia="宋体" w:cs="Times New Roman"/>
          <w:color w:val="auto"/>
          <w:kern w:val="2"/>
          <w:sz w:val="24"/>
          <w:szCs w:val="24"/>
          <w:lang w:val="en-US" w:eastAsia="zh-CN" w:bidi="ar-SA"/>
        </w:rPr>
        <w:t>废布袋由除尘器厂家回收利用。</w:t>
      </w:r>
    </w:p>
    <w:p>
      <w:pPr>
        <w:spacing w:line="360" w:lineRule="auto"/>
        <w:outlineLvl w:val="3"/>
        <w:rPr>
          <w:rFonts w:hint="default" w:ascii="Times New Roman" w:hAnsi="Times New Roman" w:eastAsia="宋体" w:cs="Times New Roman"/>
          <w:b/>
          <w:color w:val="auto"/>
          <w:sz w:val="24"/>
          <w:lang w:val="en-US" w:eastAsia="zh-CN"/>
        </w:rPr>
      </w:pPr>
      <w:r>
        <w:rPr>
          <w:rFonts w:hint="eastAsia" w:ascii="Times New Roman" w:hAnsi="Times New Roman" w:eastAsia="宋体" w:cs="Times New Roman"/>
          <w:b/>
          <w:color w:val="auto"/>
          <w:sz w:val="24"/>
          <w:lang w:val="zh-CN" w:eastAsia="zh-CN"/>
        </w:rPr>
        <w:t>6.2.4.</w:t>
      </w:r>
      <w:r>
        <w:rPr>
          <w:rFonts w:hint="eastAsia" w:ascii="Times New Roman" w:hAnsi="Times New Roman" w:eastAsia="宋体" w:cs="Times New Roman"/>
          <w:b/>
          <w:color w:val="auto"/>
          <w:sz w:val="24"/>
          <w:lang w:val="en-US" w:eastAsia="zh-CN"/>
        </w:rPr>
        <w:t>1</w:t>
      </w:r>
      <w:r>
        <w:rPr>
          <w:rFonts w:hint="eastAsia" w:cs="Times New Roman"/>
          <w:b/>
          <w:color w:val="auto"/>
          <w:sz w:val="24"/>
          <w:lang w:val="en-US" w:eastAsia="zh-CN"/>
        </w:rPr>
        <w:t>2</w:t>
      </w:r>
      <w:r>
        <w:rPr>
          <w:rFonts w:hint="eastAsia" w:ascii="Times New Roman" w:hAnsi="Times New Roman" w:eastAsia="宋体" w:cs="Times New Roman"/>
          <w:b/>
          <w:color w:val="auto"/>
          <w:sz w:val="24"/>
          <w:lang w:val="en-US" w:eastAsia="zh-CN"/>
        </w:rPr>
        <w:t>废离子交换树脂</w:t>
      </w:r>
    </w:p>
    <w:p>
      <w:pPr>
        <w:pStyle w:val="74"/>
        <w:adjustRightInd/>
        <w:snapToGrid/>
        <w:contextualSpacing/>
        <w:jc w:val="both"/>
        <w:rPr>
          <w:rFonts w:ascii="Times New Roman" w:hAnsi="Times New Roman" w:eastAsia="宋体" w:cs="Times New Roman"/>
          <w:bCs/>
          <w:color w:val="auto"/>
        </w:rPr>
      </w:pPr>
      <w:r>
        <w:rPr>
          <w:rFonts w:hint="eastAsia" w:ascii="Times New Roman" w:hAnsi="Calibri" w:eastAsia="宋体" w:cs="Times New Roman"/>
          <w:bCs/>
          <w:color w:val="auto"/>
          <w:lang w:val="en-US" w:eastAsia="zh-CN"/>
        </w:rPr>
        <w:t>废离子交换树脂由厂家回收利用。</w:t>
      </w:r>
    </w:p>
    <w:p>
      <w:pPr>
        <w:spacing w:line="360" w:lineRule="auto"/>
        <w:outlineLvl w:val="3"/>
        <w:rPr>
          <w:b/>
          <w:color w:val="auto"/>
          <w:sz w:val="24"/>
          <w:lang w:val="zh-CN"/>
        </w:rPr>
      </w:pPr>
      <w:r>
        <w:rPr>
          <w:b/>
          <w:color w:val="auto"/>
          <w:sz w:val="24"/>
          <w:lang w:val="zh-CN"/>
        </w:rPr>
        <w:t>6.2.</w:t>
      </w:r>
      <w:r>
        <w:rPr>
          <w:rFonts w:hint="eastAsia"/>
          <w:b/>
          <w:color w:val="auto"/>
          <w:sz w:val="24"/>
          <w:lang w:val="zh-CN"/>
        </w:rPr>
        <w:t>4</w:t>
      </w:r>
      <w:r>
        <w:rPr>
          <w:b/>
          <w:color w:val="auto"/>
          <w:sz w:val="24"/>
          <w:lang w:val="zh-CN"/>
        </w:rPr>
        <w:t>.</w:t>
      </w:r>
      <w:r>
        <w:rPr>
          <w:rFonts w:hint="eastAsia"/>
          <w:b/>
          <w:color w:val="auto"/>
          <w:sz w:val="24"/>
          <w:lang w:val="en-US" w:eastAsia="zh-CN"/>
        </w:rPr>
        <w:t>13</w:t>
      </w:r>
      <w:r>
        <w:rPr>
          <w:rFonts w:hint="eastAsia"/>
          <w:b/>
          <w:color w:val="auto"/>
          <w:sz w:val="24"/>
          <w:lang w:val="zh-CN"/>
        </w:rPr>
        <w:t>检疫废物</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本项目</w:t>
      </w:r>
      <w:r>
        <w:rPr>
          <w:rFonts w:hint="eastAsia" w:ascii="Times New Roman" w:hAnsi="Times New Roman" w:eastAsia="宋体" w:cs="Times New Roman"/>
          <w:color w:val="auto"/>
        </w:rPr>
        <w:t>本项目检疫过程中产生的检疫废物</w:t>
      </w:r>
      <w:r>
        <w:rPr>
          <w:rFonts w:hint="eastAsia" w:ascii="Times New Roman" w:hAnsi="Times New Roman" w:eastAsia="宋体" w:cs="Times New Roman"/>
          <w:bCs/>
          <w:color w:val="auto"/>
        </w:rPr>
        <w:t>（HW01）</w:t>
      </w:r>
      <w:r>
        <w:rPr>
          <w:rFonts w:ascii="Times New Roman" w:hAnsi="Times New Roman" w:eastAsia="宋体" w:cs="Times New Roman"/>
          <w:color w:val="auto"/>
        </w:rPr>
        <w:t>单独收集，用</w:t>
      </w:r>
      <w:r>
        <w:rPr>
          <w:rFonts w:hint="eastAsia" w:ascii="Times New Roman" w:hAnsi="Times New Roman" w:eastAsia="宋体" w:cs="Times New Roman"/>
          <w:color w:val="auto"/>
        </w:rPr>
        <w:t>有</w:t>
      </w:r>
      <w:r>
        <w:rPr>
          <w:rFonts w:ascii="Times New Roman" w:hAnsi="Times New Roman" w:eastAsia="宋体" w:cs="Times New Roman"/>
          <w:color w:val="auto"/>
        </w:rPr>
        <w:t>明显标识的</w:t>
      </w:r>
      <w:r>
        <w:rPr>
          <w:rFonts w:hint="eastAsia" w:ascii="Times New Roman" w:hAnsi="Times New Roman" w:eastAsia="宋体" w:cs="Times New Roman"/>
          <w:color w:val="auto"/>
        </w:rPr>
        <w:t>塑料袋</w:t>
      </w:r>
      <w:r>
        <w:rPr>
          <w:rFonts w:ascii="Times New Roman" w:hAnsi="Times New Roman" w:eastAsia="宋体" w:cs="Times New Roman"/>
          <w:color w:val="auto"/>
        </w:rPr>
        <w:t>盛装，暂存于</w:t>
      </w:r>
      <w:r>
        <w:rPr>
          <w:rFonts w:hint="eastAsia" w:ascii="Times New Roman" w:hAnsi="Times New Roman" w:eastAsia="宋体" w:cs="Times New Roman"/>
          <w:color w:val="auto"/>
          <w:lang w:eastAsia="zh-CN"/>
        </w:rPr>
        <w:t>危险废物贮存点</w:t>
      </w:r>
      <w:r>
        <w:rPr>
          <w:rFonts w:ascii="Times New Roman" w:hAnsi="Times New Roman" w:eastAsia="宋体" w:cs="Times New Roman"/>
          <w:color w:val="auto"/>
        </w:rPr>
        <w:t>，</w:t>
      </w:r>
      <w:r>
        <w:rPr>
          <w:rFonts w:hint="eastAsia" w:ascii="Times New Roman" w:hAnsi="Times New Roman" w:eastAsia="宋体" w:cs="Times New Roman"/>
          <w:color w:val="auto"/>
        </w:rPr>
        <w:t>交</w:t>
      </w:r>
      <w:r>
        <w:rPr>
          <w:rFonts w:ascii="Times New Roman" w:hAnsi="Times New Roman" w:eastAsia="宋体" w:cs="Times New Roman"/>
          <w:color w:val="auto"/>
        </w:rPr>
        <w:t>由有资质单位进行处置。</w:t>
      </w:r>
      <w:r>
        <w:rPr>
          <w:color w:val="auto"/>
          <w:szCs w:val="22"/>
        </w:rPr>
        <w:t>本项目危险废物采取处置措施如下：</w:t>
      </w:r>
    </w:p>
    <w:p>
      <w:pPr>
        <w:spacing w:line="360" w:lineRule="auto"/>
        <w:ind w:firstLine="480" w:firstLineChars="200"/>
        <w:contextualSpacing/>
        <w:rPr>
          <w:rFonts w:eastAsiaTheme="minorEastAsia"/>
          <w:color w:val="auto"/>
          <w:sz w:val="24"/>
          <w:szCs w:val="22"/>
        </w:rPr>
      </w:pPr>
      <w:r>
        <w:rPr>
          <w:rFonts w:hint="eastAsia" w:eastAsiaTheme="minorEastAsia"/>
          <w:color w:val="auto"/>
          <w:sz w:val="24"/>
          <w:szCs w:val="22"/>
        </w:rPr>
        <w:t>1、</w:t>
      </w:r>
      <w:r>
        <w:rPr>
          <w:rFonts w:hint="eastAsia" w:eastAsiaTheme="minorEastAsia"/>
          <w:color w:val="auto"/>
          <w:sz w:val="24"/>
          <w:szCs w:val="22"/>
          <w:lang w:eastAsia="zh-CN"/>
        </w:rPr>
        <w:t>危险废物贮存点</w:t>
      </w:r>
      <w:r>
        <w:rPr>
          <w:rFonts w:eastAsiaTheme="minorEastAsia"/>
          <w:color w:val="auto"/>
          <w:sz w:val="24"/>
          <w:szCs w:val="22"/>
        </w:rPr>
        <w:t>设置要求</w:t>
      </w:r>
    </w:p>
    <w:p>
      <w:pPr>
        <w:spacing w:line="360" w:lineRule="auto"/>
        <w:ind w:firstLine="480" w:firstLineChars="200"/>
        <w:contextualSpacing/>
        <w:rPr>
          <w:rFonts w:eastAsiaTheme="minorEastAsia"/>
          <w:color w:val="auto"/>
          <w:sz w:val="24"/>
          <w:szCs w:val="22"/>
        </w:rPr>
      </w:pPr>
      <w:r>
        <w:rPr>
          <w:rFonts w:hint="eastAsia" w:eastAsiaTheme="minorEastAsia"/>
          <w:color w:val="auto"/>
          <w:sz w:val="24"/>
          <w:szCs w:val="22"/>
          <w:lang w:eastAsia="zh-CN"/>
        </w:rPr>
        <w:t>危险废物贮存点</w:t>
      </w:r>
      <w:r>
        <w:rPr>
          <w:rFonts w:eastAsiaTheme="minorEastAsia"/>
          <w:color w:val="auto"/>
          <w:sz w:val="24"/>
          <w:szCs w:val="22"/>
        </w:rPr>
        <w:t>按照</w:t>
      </w:r>
      <w:r>
        <w:rPr>
          <w:rFonts w:hint="eastAsia" w:eastAsiaTheme="minorEastAsia"/>
          <w:color w:val="auto"/>
          <w:sz w:val="24"/>
          <w:szCs w:val="22"/>
        </w:rPr>
        <w:t>《危险废物贮存污染控制标准》（GB 18597-2023</w:t>
      </w:r>
      <w:r>
        <w:rPr>
          <w:rFonts w:eastAsiaTheme="minorEastAsia"/>
          <w:color w:val="auto"/>
          <w:sz w:val="24"/>
          <w:szCs w:val="22"/>
        </w:rPr>
        <w:t>）要求进行设置，具体如下：</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highlight w:val="none"/>
          <w:lang w:bidi="ar"/>
        </w:rPr>
      </w:pPr>
      <w:r>
        <w:rPr>
          <w:rFonts w:hint="eastAsia" w:ascii="Times New Roman" w:hAnsi="Times New Roman" w:cs="Times New Roman"/>
          <w:color w:val="auto"/>
          <w:kern w:val="0"/>
          <w:sz w:val="24"/>
          <w:highlight w:val="none"/>
          <w:lang w:val="en-US" w:eastAsia="zh-CN" w:bidi="ar"/>
        </w:rPr>
        <w:t>①</w:t>
      </w:r>
      <w:r>
        <w:rPr>
          <w:rFonts w:hint="default" w:ascii="Times New Roman" w:hAnsi="Times New Roman" w:cs="Times New Roman"/>
          <w:color w:val="auto"/>
          <w:kern w:val="0"/>
          <w:sz w:val="24"/>
          <w:highlight w:val="none"/>
          <w:lang w:bidi="ar"/>
        </w:rPr>
        <w:t>贮存点应具有固定的区域边界，并应采取与其他区域进行隔离的措施。</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highlight w:val="none"/>
          <w:lang w:bidi="ar"/>
        </w:rPr>
      </w:pPr>
      <w:r>
        <w:rPr>
          <w:rFonts w:hint="eastAsia" w:ascii="Times New Roman" w:hAnsi="Times New Roman" w:cs="Times New Roman"/>
          <w:color w:val="auto"/>
          <w:kern w:val="0"/>
          <w:sz w:val="24"/>
          <w:highlight w:val="none"/>
          <w:lang w:val="en-US" w:eastAsia="zh-CN" w:bidi="ar"/>
        </w:rPr>
        <w:t>②</w:t>
      </w:r>
      <w:r>
        <w:rPr>
          <w:rFonts w:hint="default" w:ascii="Times New Roman" w:hAnsi="Times New Roman" w:cs="Times New Roman"/>
          <w:color w:val="auto"/>
          <w:kern w:val="0"/>
          <w:sz w:val="24"/>
          <w:highlight w:val="none"/>
          <w:lang w:bidi="ar"/>
        </w:rPr>
        <w:t>贮存点应采取防风、防雨、防晒和防止危险废物流失、扬散等措施。</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highlight w:val="none"/>
          <w:lang w:bidi="ar"/>
        </w:rPr>
      </w:pPr>
      <w:r>
        <w:rPr>
          <w:rFonts w:hint="eastAsia" w:ascii="Times New Roman" w:hAnsi="Times New Roman" w:cs="Times New Roman"/>
          <w:color w:val="auto"/>
          <w:kern w:val="0"/>
          <w:sz w:val="24"/>
          <w:highlight w:val="none"/>
          <w:lang w:val="en-US" w:eastAsia="zh-CN" w:bidi="ar"/>
        </w:rPr>
        <w:t>③</w:t>
      </w:r>
      <w:r>
        <w:rPr>
          <w:rFonts w:hint="default" w:ascii="Times New Roman" w:hAnsi="Times New Roman" w:cs="Times New Roman"/>
          <w:color w:val="auto"/>
          <w:kern w:val="0"/>
          <w:sz w:val="24"/>
          <w:highlight w:val="none"/>
          <w:lang w:bidi="ar"/>
        </w:rPr>
        <w:t>贮存点贮存的危险废物应置于容器或包装物中，不应直接散堆。</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highlight w:val="none"/>
          <w:lang w:bidi="ar"/>
        </w:rPr>
      </w:pPr>
      <w:r>
        <w:rPr>
          <w:rFonts w:hint="eastAsia" w:ascii="Times New Roman" w:hAnsi="Times New Roman" w:cs="Times New Roman"/>
          <w:color w:val="auto"/>
          <w:kern w:val="0"/>
          <w:sz w:val="24"/>
          <w:highlight w:val="none"/>
          <w:lang w:val="en-US" w:eastAsia="zh-CN" w:bidi="ar"/>
        </w:rPr>
        <w:t>④</w:t>
      </w:r>
      <w:r>
        <w:rPr>
          <w:rFonts w:hint="default" w:ascii="Times New Roman" w:hAnsi="Times New Roman" w:cs="Times New Roman"/>
          <w:color w:val="auto"/>
          <w:kern w:val="0"/>
          <w:sz w:val="24"/>
          <w:highlight w:val="none"/>
          <w:lang w:bidi="ar"/>
        </w:rPr>
        <w:t>贮存点应根据危险废物的形态、物理化学性质、包装形式等，采取防渗、防漏等污染防治措施</w:t>
      </w:r>
      <w:r>
        <w:rPr>
          <w:rFonts w:hint="default" w:ascii="Times New Roman" w:hAnsi="Times New Roman" w:cs="Times New Roman"/>
          <w:color w:val="auto"/>
          <w:kern w:val="0"/>
          <w:sz w:val="24"/>
          <w:highlight w:val="none"/>
          <w:lang w:val="en-US" w:eastAsia="zh-CN" w:bidi="ar"/>
        </w:rPr>
        <w:t>或采用具有相应功能的装置。</w:t>
      </w:r>
    </w:p>
    <w:p>
      <w:pPr>
        <w:keepNext w:val="0"/>
        <w:keepLines w:val="0"/>
        <w:pageBreakBefore w:val="0"/>
        <w:kinsoku/>
        <w:wordWrap/>
        <w:overflowPunct/>
        <w:topLinePunct w:val="0"/>
        <w:autoSpaceDE/>
        <w:autoSpaceDN/>
        <w:bidi w:val="0"/>
        <w:adjustRightInd/>
        <w:snapToGrid/>
        <w:spacing w:line="360" w:lineRule="auto"/>
        <w:ind w:firstLine="480" w:firstLineChars="200"/>
        <w:contextualSpacing/>
        <w:jc w:val="both"/>
        <w:textAlignment w:val="auto"/>
        <w:rPr>
          <w:rFonts w:hint="eastAsia" w:ascii="Times New Roman" w:hAnsi="Times New Roman" w:cs="Times New Roman"/>
          <w:color w:val="auto"/>
          <w:kern w:val="0"/>
          <w:sz w:val="24"/>
          <w:highlight w:val="none"/>
          <w:lang w:val="en-US" w:eastAsia="zh-CN" w:bidi="ar"/>
        </w:rPr>
      </w:pPr>
      <w:r>
        <w:rPr>
          <w:rFonts w:hint="eastAsia" w:ascii="Times New Roman" w:hAnsi="Times New Roman" w:cs="Times New Roman"/>
          <w:color w:val="auto"/>
          <w:kern w:val="0"/>
          <w:sz w:val="24"/>
          <w:highlight w:val="none"/>
          <w:lang w:val="en-US" w:eastAsia="zh-CN" w:bidi="ar"/>
        </w:rPr>
        <w:t>⑤贮存点应及时清运贮存的危险废物，实时贮存量不应超过3吨。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eastAsiaTheme="minorEastAsia"/>
          <w:b/>
          <w:color w:val="auto"/>
          <w:sz w:val="24"/>
          <w:szCs w:val="22"/>
        </w:rPr>
      </w:pPr>
      <w:r>
        <w:rPr>
          <w:rFonts w:eastAsiaTheme="minorEastAsia"/>
          <w:b/>
          <w:color w:val="auto"/>
          <w:sz w:val="24"/>
          <w:szCs w:val="22"/>
        </w:rPr>
        <w:t>表6-2-</w:t>
      </w:r>
      <w:r>
        <w:rPr>
          <w:rFonts w:hint="eastAsia" w:eastAsiaTheme="minorEastAsia"/>
          <w:b/>
          <w:color w:val="auto"/>
          <w:sz w:val="24"/>
          <w:szCs w:val="22"/>
        </w:rPr>
        <w:t>8</w:t>
      </w:r>
      <w:r>
        <w:rPr>
          <w:rFonts w:eastAsiaTheme="minorEastAsia"/>
          <w:b/>
          <w:color w:val="auto"/>
          <w:sz w:val="24"/>
          <w:szCs w:val="22"/>
        </w:rPr>
        <w:t>危险废物贮存场所（设施）基本情况表</w:t>
      </w:r>
    </w:p>
    <w:tbl>
      <w:tblPr>
        <w:tblStyle w:val="46"/>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46"/>
        <w:gridCol w:w="1137"/>
        <w:gridCol w:w="966"/>
        <w:gridCol w:w="1196"/>
        <w:gridCol w:w="962"/>
        <w:gridCol w:w="662"/>
        <w:gridCol w:w="1073"/>
        <w:gridCol w:w="858"/>
        <w:gridCol w:w="7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559" w:type="pct"/>
            <w:vAlign w:val="center"/>
          </w:tcPr>
          <w:p>
            <w:pPr>
              <w:topLinePunct/>
              <w:spacing w:line="0" w:lineRule="atLeast"/>
              <w:jc w:val="center"/>
              <w:rPr>
                <w:color w:val="auto"/>
                <w:szCs w:val="21"/>
              </w:rPr>
            </w:pPr>
            <w:r>
              <w:rPr>
                <w:color w:val="auto"/>
                <w:szCs w:val="21"/>
              </w:rPr>
              <w:t>贮存场所名称</w:t>
            </w:r>
          </w:p>
        </w:tc>
        <w:tc>
          <w:tcPr>
            <w:tcW w:w="671" w:type="pct"/>
            <w:vAlign w:val="center"/>
          </w:tcPr>
          <w:p>
            <w:pPr>
              <w:topLinePunct/>
              <w:spacing w:line="0" w:lineRule="atLeast"/>
              <w:jc w:val="center"/>
              <w:rPr>
                <w:color w:val="auto"/>
                <w:szCs w:val="21"/>
              </w:rPr>
            </w:pPr>
            <w:r>
              <w:rPr>
                <w:color w:val="auto"/>
                <w:szCs w:val="21"/>
              </w:rPr>
              <w:t>危险废物名称</w:t>
            </w:r>
          </w:p>
        </w:tc>
        <w:tc>
          <w:tcPr>
            <w:tcW w:w="570" w:type="pct"/>
            <w:vAlign w:val="center"/>
          </w:tcPr>
          <w:p>
            <w:pPr>
              <w:topLinePunct/>
              <w:spacing w:line="0" w:lineRule="atLeast"/>
              <w:jc w:val="center"/>
              <w:rPr>
                <w:color w:val="auto"/>
                <w:szCs w:val="21"/>
              </w:rPr>
            </w:pPr>
            <w:r>
              <w:rPr>
                <w:color w:val="auto"/>
                <w:szCs w:val="21"/>
              </w:rPr>
              <w:t>危险废物类别</w:t>
            </w:r>
          </w:p>
        </w:tc>
        <w:tc>
          <w:tcPr>
            <w:tcW w:w="672" w:type="pct"/>
            <w:vAlign w:val="center"/>
          </w:tcPr>
          <w:p>
            <w:pPr>
              <w:topLinePunct/>
              <w:spacing w:line="0" w:lineRule="atLeast"/>
              <w:jc w:val="center"/>
              <w:rPr>
                <w:color w:val="auto"/>
                <w:szCs w:val="21"/>
              </w:rPr>
            </w:pPr>
            <w:r>
              <w:rPr>
                <w:color w:val="auto"/>
                <w:szCs w:val="21"/>
              </w:rPr>
              <w:t>危险废物代码</w:t>
            </w:r>
          </w:p>
        </w:tc>
        <w:tc>
          <w:tcPr>
            <w:tcW w:w="568" w:type="pct"/>
            <w:vAlign w:val="center"/>
          </w:tcPr>
          <w:p>
            <w:pPr>
              <w:topLinePunct/>
              <w:spacing w:line="0" w:lineRule="atLeast"/>
              <w:jc w:val="center"/>
              <w:rPr>
                <w:color w:val="auto"/>
                <w:szCs w:val="21"/>
              </w:rPr>
            </w:pPr>
            <w:r>
              <w:rPr>
                <w:color w:val="auto"/>
                <w:szCs w:val="21"/>
              </w:rPr>
              <w:t>位置</w:t>
            </w:r>
          </w:p>
        </w:tc>
        <w:tc>
          <w:tcPr>
            <w:tcW w:w="392" w:type="pct"/>
            <w:vAlign w:val="center"/>
          </w:tcPr>
          <w:p>
            <w:pPr>
              <w:topLinePunct/>
              <w:spacing w:line="0" w:lineRule="atLeast"/>
              <w:jc w:val="center"/>
              <w:rPr>
                <w:color w:val="auto"/>
                <w:szCs w:val="21"/>
              </w:rPr>
            </w:pPr>
            <w:r>
              <w:rPr>
                <w:color w:val="auto"/>
                <w:szCs w:val="21"/>
              </w:rPr>
              <w:t>占地面积</w:t>
            </w:r>
          </w:p>
        </w:tc>
        <w:tc>
          <w:tcPr>
            <w:tcW w:w="633" w:type="pct"/>
            <w:vAlign w:val="center"/>
          </w:tcPr>
          <w:p>
            <w:pPr>
              <w:topLinePunct/>
              <w:spacing w:line="0" w:lineRule="atLeast"/>
              <w:jc w:val="center"/>
              <w:rPr>
                <w:color w:val="auto"/>
                <w:szCs w:val="21"/>
              </w:rPr>
            </w:pPr>
            <w:r>
              <w:rPr>
                <w:color w:val="auto"/>
                <w:szCs w:val="21"/>
              </w:rPr>
              <w:t>贮存方式</w:t>
            </w:r>
          </w:p>
        </w:tc>
        <w:tc>
          <w:tcPr>
            <w:tcW w:w="507" w:type="pct"/>
            <w:vAlign w:val="center"/>
          </w:tcPr>
          <w:p>
            <w:pPr>
              <w:topLinePunct/>
              <w:spacing w:line="0" w:lineRule="atLeast"/>
              <w:jc w:val="center"/>
              <w:rPr>
                <w:color w:val="auto"/>
                <w:szCs w:val="21"/>
              </w:rPr>
            </w:pPr>
            <w:r>
              <w:rPr>
                <w:color w:val="auto"/>
                <w:szCs w:val="21"/>
              </w:rPr>
              <w:t>贮存</w:t>
            </w:r>
          </w:p>
          <w:p>
            <w:pPr>
              <w:topLinePunct/>
              <w:spacing w:line="0" w:lineRule="atLeast"/>
              <w:jc w:val="center"/>
              <w:rPr>
                <w:color w:val="auto"/>
                <w:szCs w:val="21"/>
              </w:rPr>
            </w:pPr>
            <w:r>
              <w:rPr>
                <w:color w:val="auto"/>
                <w:szCs w:val="21"/>
              </w:rPr>
              <w:t>能力</w:t>
            </w:r>
          </w:p>
        </w:tc>
        <w:tc>
          <w:tcPr>
            <w:tcW w:w="424" w:type="pct"/>
            <w:vAlign w:val="center"/>
          </w:tcPr>
          <w:p>
            <w:pPr>
              <w:topLinePunct/>
              <w:spacing w:line="0" w:lineRule="atLeast"/>
              <w:jc w:val="center"/>
              <w:rPr>
                <w:color w:val="auto"/>
                <w:szCs w:val="21"/>
              </w:rPr>
            </w:pPr>
            <w:r>
              <w:rPr>
                <w:color w:val="auto"/>
                <w:szCs w:val="21"/>
              </w:rPr>
              <w:t>贮存</w:t>
            </w:r>
          </w:p>
          <w:p>
            <w:pPr>
              <w:topLinePunct/>
              <w:spacing w:line="0" w:lineRule="atLeast"/>
              <w:jc w:val="center"/>
              <w:rPr>
                <w:color w:val="auto"/>
                <w:szCs w:val="21"/>
              </w:rPr>
            </w:pPr>
            <w:r>
              <w:rPr>
                <w:color w:val="auto"/>
                <w:szCs w:val="21"/>
              </w:rPr>
              <w:t>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59" w:type="pct"/>
            <w:vAlign w:val="center"/>
          </w:tcPr>
          <w:p>
            <w:pPr>
              <w:topLinePunct/>
              <w:spacing w:line="0" w:lineRule="atLeast"/>
              <w:jc w:val="center"/>
              <w:rPr>
                <w:rFonts w:hint="eastAsia" w:eastAsia="宋体"/>
                <w:color w:val="auto"/>
                <w:szCs w:val="21"/>
                <w:lang w:eastAsia="zh-CN"/>
              </w:rPr>
            </w:pPr>
            <w:r>
              <w:rPr>
                <w:rFonts w:hint="eastAsia"/>
                <w:bCs/>
                <w:color w:val="auto"/>
                <w:szCs w:val="21"/>
                <w:lang w:eastAsia="zh-CN"/>
              </w:rPr>
              <w:t>危险废物贮存点</w:t>
            </w:r>
          </w:p>
        </w:tc>
        <w:tc>
          <w:tcPr>
            <w:tcW w:w="671" w:type="pct"/>
            <w:vAlign w:val="center"/>
          </w:tcPr>
          <w:p>
            <w:pPr>
              <w:jc w:val="center"/>
              <w:rPr>
                <w:rFonts w:eastAsiaTheme="minorEastAsia"/>
                <w:color w:val="auto"/>
              </w:rPr>
            </w:pPr>
            <w:r>
              <w:rPr>
                <w:rFonts w:hint="eastAsia" w:eastAsiaTheme="minorEastAsia"/>
                <w:color w:val="auto"/>
              </w:rPr>
              <w:t>检疫</w:t>
            </w:r>
            <w:r>
              <w:rPr>
                <w:rFonts w:eastAsiaTheme="minorEastAsia"/>
                <w:color w:val="auto"/>
              </w:rPr>
              <w:t>废物</w:t>
            </w:r>
          </w:p>
        </w:tc>
        <w:tc>
          <w:tcPr>
            <w:tcW w:w="570" w:type="pct"/>
            <w:vAlign w:val="center"/>
          </w:tcPr>
          <w:p>
            <w:pPr>
              <w:jc w:val="center"/>
              <w:rPr>
                <w:rFonts w:eastAsiaTheme="minorEastAsia"/>
                <w:color w:val="auto"/>
              </w:rPr>
            </w:pPr>
            <w:r>
              <w:rPr>
                <w:rFonts w:eastAsiaTheme="minorEastAsia"/>
                <w:color w:val="auto"/>
              </w:rPr>
              <w:t>HW01</w:t>
            </w:r>
          </w:p>
        </w:tc>
        <w:tc>
          <w:tcPr>
            <w:tcW w:w="672" w:type="pct"/>
            <w:vAlign w:val="center"/>
          </w:tcPr>
          <w:p>
            <w:pPr>
              <w:jc w:val="center"/>
              <w:rPr>
                <w:rFonts w:eastAsiaTheme="minorEastAsia"/>
                <w:color w:val="auto"/>
              </w:rPr>
            </w:pPr>
            <w:r>
              <w:rPr>
                <w:rFonts w:eastAsiaTheme="minorEastAsia"/>
                <w:bCs/>
                <w:color w:val="auto"/>
              </w:rPr>
              <w:t>8</w:t>
            </w:r>
            <w:r>
              <w:rPr>
                <w:rFonts w:hint="eastAsia" w:eastAsiaTheme="minorEastAsia"/>
                <w:bCs/>
                <w:color w:val="auto"/>
              </w:rPr>
              <w:t>4</w:t>
            </w:r>
            <w:r>
              <w:rPr>
                <w:rFonts w:eastAsiaTheme="minorEastAsia"/>
                <w:bCs/>
                <w:color w:val="auto"/>
              </w:rPr>
              <w:t>1-00</w:t>
            </w:r>
            <w:r>
              <w:rPr>
                <w:rFonts w:hint="eastAsia" w:eastAsiaTheme="minorEastAsia"/>
                <w:bCs/>
                <w:color w:val="auto"/>
              </w:rPr>
              <w:t>5</w:t>
            </w:r>
            <w:r>
              <w:rPr>
                <w:rFonts w:eastAsiaTheme="minorEastAsia"/>
                <w:bCs/>
                <w:color w:val="auto"/>
              </w:rPr>
              <w:t>-01</w:t>
            </w:r>
          </w:p>
        </w:tc>
        <w:tc>
          <w:tcPr>
            <w:tcW w:w="568" w:type="pct"/>
            <w:vAlign w:val="center"/>
          </w:tcPr>
          <w:p>
            <w:pPr>
              <w:topLinePunct/>
              <w:spacing w:line="0" w:lineRule="atLeast"/>
              <w:jc w:val="center"/>
              <w:rPr>
                <w:rFonts w:hint="eastAsia" w:eastAsia="宋体"/>
                <w:color w:val="auto"/>
                <w:szCs w:val="21"/>
                <w:lang w:eastAsia="zh-CN"/>
              </w:rPr>
            </w:pPr>
            <w:r>
              <w:rPr>
                <w:rFonts w:hint="eastAsia"/>
                <w:color w:val="auto"/>
                <w:szCs w:val="21"/>
                <w:lang w:val="en-US" w:eastAsia="zh-CN"/>
              </w:rPr>
              <w:t>屠宰车间内</w:t>
            </w:r>
          </w:p>
        </w:tc>
        <w:tc>
          <w:tcPr>
            <w:tcW w:w="392" w:type="pct"/>
            <w:vAlign w:val="center"/>
          </w:tcPr>
          <w:p>
            <w:pPr>
              <w:topLinePunct/>
              <w:spacing w:line="0" w:lineRule="atLeast"/>
              <w:jc w:val="center"/>
              <w:rPr>
                <w:color w:val="auto"/>
                <w:szCs w:val="21"/>
              </w:rPr>
            </w:pPr>
            <w:r>
              <w:rPr>
                <w:rFonts w:hint="eastAsia"/>
                <w:color w:val="auto"/>
                <w:szCs w:val="21"/>
              </w:rPr>
              <w:t>10</w:t>
            </w:r>
            <w:r>
              <w:rPr>
                <w:color w:val="auto"/>
                <w:szCs w:val="21"/>
              </w:rPr>
              <w:t>m</w:t>
            </w:r>
            <w:r>
              <w:rPr>
                <w:color w:val="auto"/>
                <w:szCs w:val="21"/>
                <w:vertAlign w:val="superscript"/>
              </w:rPr>
              <w:t>2</w:t>
            </w:r>
          </w:p>
        </w:tc>
        <w:tc>
          <w:tcPr>
            <w:tcW w:w="633" w:type="pct"/>
            <w:vAlign w:val="center"/>
          </w:tcPr>
          <w:p>
            <w:pPr>
              <w:topLinePunct/>
              <w:spacing w:line="0" w:lineRule="atLeast"/>
              <w:jc w:val="center"/>
              <w:rPr>
                <w:color w:val="auto"/>
                <w:szCs w:val="21"/>
              </w:rPr>
            </w:pPr>
            <w:r>
              <w:rPr>
                <w:rFonts w:hint="eastAsia"/>
                <w:color w:val="auto"/>
                <w:szCs w:val="21"/>
              </w:rPr>
              <w:t>袋装</w:t>
            </w:r>
          </w:p>
        </w:tc>
        <w:tc>
          <w:tcPr>
            <w:tcW w:w="507" w:type="pct"/>
            <w:vAlign w:val="center"/>
          </w:tcPr>
          <w:p>
            <w:pPr>
              <w:topLinePunct/>
              <w:spacing w:line="0" w:lineRule="atLeast"/>
              <w:jc w:val="center"/>
              <w:rPr>
                <w:color w:val="auto"/>
                <w:szCs w:val="21"/>
              </w:rPr>
            </w:pPr>
            <w:r>
              <w:rPr>
                <w:rFonts w:hint="eastAsia"/>
                <w:color w:val="auto"/>
                <w:szCs w:val="21"/>
              </w:rPr>
              <w:t>1</w:t>
            </w:r>
            <w:r>
              <w:rPr>
                <w:color w:val="auto"/>
                <w:szCs w:val="21"/>
              </w:rPr>
              <w:t>t</w:t>
            </w:r>
          </w:p>
        </w:tc>
        <w:tc>
          <w:tcPr>
            <w:tcW w:w="424" w:type="pct"/>
            <w:vAlign w:val="center"/>
          </w:tcPr>
          <w:p>
            <w:pPr>
              <w:topLinePunct/>
              <w:spacing w:line="0" w:lineRule="atLeast"/>
              <w:jc w:val="center"/>
              <w:rPr>
                <w:color w:val="auto"/>
                <w:szCs w:val="21"/>
              </w:rPr>
            </w:pPr>
            <w:r>
              <w:rPr>
                <w:color w:val="auto"/>
                <w:szCs w:val="21"/>
              </w:rPr>
              <w:t>7天</w:t>
            </w:r>
          </w:p>
        </w:tc>
      </w:tr>
    </w:tbl>
    <w:p>
      <w:pPr>
        <w:spacing w:line="360" w:lineRule="auto"/>
        <w:ind w:firstLine="480" w:firstLineChars="200"/>
        <w:contextualSpacing/>
        <w:rPr>
          <w:rFonts w:eastAsiaTheme="minorEastAsia"/>
          <w:color w:val="auto"/>
          <w:sz w:val="24"/>
          <w:szCs w:val="22"/>
        </w:rPr>
      </w:pPr>
      <w:r>
        <w:rPr>
          <w:rFonts w:hint="eastAsia" w:eastAsiaTheme="minorEastAsia"/>
          <w:color w:val="auto"/>
          <w:sz w:val="24"/>
          <w:szCs w:val="22"/>
        </w:rPr>
        <w:t>2、</w:t>
      </w:r>
      <w:r>
        <w:rPr>
          <w:rFonts w:eastAsiaTheme="minorEastAsia"/>
          <w:color w:val="auto"/>
          <w:sz w:val="24"/>
          <w:szCs w:val="22"/>
        </w:rPr>
        <w:t>危险废物收集措施</w:t>
      </w:r>
    </w:p>
    <w:p>
      <w:pPr>
        <w:spacing w:line="360" w:lineRule="auto"/>
        <w:ind w:firstLine="480" w:firstLineChars="200"/>
        <w:contextualSpacing/>
        <w:rPr>
          <w:rFonts w:eastAsiaTheme="minorEastAsia"/>
          <w:color w:val="auto"/>
          <w:sz w:val="24"/>
          <w:szCs w:val="22"/>
        </w:rPr>
      </w:pPr>
      <w:r>
        <w:rPr>
          <w:rFonts w:hAnsi="宋体"/>
          <w:color w:val="auto"/>
          <w:sz w:val="24"/>
          <w:szCs w:val="22"/>
        </w:rPr>
        <w:t>（</w:t>
      </w:r>
      <w:r>
        <w:rPr>
          <w:color w:val="auto"/>
          <w:sz w:val="24"/>
          <w:szCs w:val="22"/>
        </w:rPr>
        <w:t>1</w:t>
      </w:r>
      <w:r>
        <w:rPr>
          <w:rFonts w:hAnsi="宋体"/>
          <w:color w:val="auto"/>
          <w:sz w:val="24"/>
          <w:szCs w:val="22"/>
        </w:rPr>
        <w:t>）</w:t>
      </w:r>
      <w:r>
        <w:rPr>
          <w:rFonts w:eastAsiaTheme="minorEastAsia"/>
          <w:color w:val="auto"/>
          <w:sz w:val="24"/>
          <w:szCs w:val="22"/>
        </w:rPr>
        <w:t>收集</w:t>
      </w:r>
    </w:p>
    <w:p>
      <w:pPr>
        <w:spacing w:line="360" w:lineRule="auto"/>
        <w:ind w:firstLine="480" w:firstLineChars="200"/>
        <w:contextualSpacing/>
        <w:rPr>
          <w:rFonts w:eastAsiaTheme="minorEastAsia"/>
          <w:color w:val="auto"/>
          <w:sz w:val="24"/>
          <w:szCs w:val="22"/>
        </w:rPr>
      </w:pPr>
      <w:r>
        <w:rPr>
          <w:rFonts w:eastAsiaTheme="minorEastAsia"/>
          <w:color w:val="auto"/>
          <w:sz w:val="24"/>
          <w:szCs w:val="22"/>
        </w:rPr>
        <w:t>根据危险废物的类别，将不相容（相互反应）的危险废物使用不同容器盛装，无法装入常用容器的危险废物可用防漏胶袋等盛装。在盛装危险废物前，应当对危险废物包装袋或者容器进行认真检查，确保无破损、渗漏和其它缺陷。</w:t>
      </w:r>
    </w:p>
    <w:p>
      <w:pPr>
        <w:spacing w:line="360" w:lineRule="auto"/>
        <w:ind w:firstLine="480" w:firstLineChars="200"/>
        <w:contextualSpacing/>
        <w:rPr>
          <w:rFonts w:eastAsiaTheme="minorEastAsia"/>
          <w:color w:val="auto"/>
          <w:sz w:val="24"/>
          <w:szCs w:val="22"/>
        </w:rPr>
      </w:pPr>
      <w:r>
        <w:rPr>
          <w:rFonts w:hAnsi="宋体"/>
          <w:color w:val="auto"/>
          <w:sz w:val="24"/>
          <w:szCs w:val="22"/>
        </w:rPr>
        <w:t>（</w:t>
      </w:r>
      <w:r>
        <w:rPr>
          <w:color w:val="auto"/>
          <w:sz w:val="24"/>
          <w:szCs w:val="22"/>
        </w:rPr>
        <w:t>2</w:t>
      </w:r>
      <w:r>
        <w:rPr>
          <w:rFonts w:hAnsi="宋体"/>
          <w:color w:val="auto"/>
          <w:sz w:val="24"/>
          <w:szCs w:val="22"/>
        </w:rPr>
        <w:t>）</w:t>
      </w:r>
      <w:r>
        <w:rPr>
          <w:rFonts w:eastAsiaTheme="minorEastAsia"/>
          <w:color w:val="auto"/>
          <w:sz w:val="24"/>
          <w:szCs w:val="22"/>
        </w:rPr>
        <w:t>贮存</w:t>
      </w:r>
    </w:p>
    <w:p>
      <w:pPr>
        <w:spacing w:line="360" w:lineRule="auto"/>
        <w:ind w:firstLine="480" w:firstLineChars="200"/>
        <w:contextualSpacing/>
        <w:rPr>
          <w:rFonts w:eastAsiaTheme="minorEastAsia"/>
          <w:color w:val="auto"/>
          <w:sz w:val="24"/>
          <w:szCs w:val="22"/>
        </w:rPr>
      </w:pPr>
      <w:r>
        <w:rPr>
          <w:rFonts w:eastAsiaTheme="minorEastAsia"/>
          <w:color w:val="auto"/>
          <w:sz w:val="24"/>
          <w:szCs w:val="22"/>
        </w:rPr>
        <w:t>本项目</w:t>
      </w:r>
      <w:r>
        <w:rPr>
          <w:rFonts w:hint="eastAsia" w:eastAsiaTheme="minorEastAsia"/>
          <w:color w:val="auto"/>
          <w:sz w:val="24"/>
          <w:szCs w:val="22"/>
          <w:lang w:eastAsia="zh-CN"/>
        </w:rPr>
        <w:t>危险废物贮存点</w:t>
      </w:r>
      <w:r>
        <w:rPr>
          <w:rFonts w:eastAsiaTheme="minorEastAsia"/>
          <w:color w:val="auto"/>
          <w:sz w:val="24"/>
          <w:szCs w:val="22"/>
        </w:rPr>
        <w:t>设专（兼）职人员管理，防止非工作人员接触危险废物；盛装危险废物的</w:t>
      </w:r>
      <w:r>
        <w:rPr>
          <w:rFonts w:hint="eastAsia" w:eastAsiaTheme="minorEastAsia"/>
          <w:color w:val="auto"/>
          <w:sz w:val="24"/>
          <w:szCs w:val="22"/>
        </w:rPr>
        <w:t>包装袋</w:t>
      </w:r>
      <w:r>
        <w:rPr>
          <w:rFonts w:eastAsiaTheme="minorEastAsia"/>
          <w:color w:val="auto"/>
          <w:sz w:val="24"/>
          <w:szCs w:val="22"/>
        </w:rPr>
        <w:t>上必须粘贴危险废物标签；防止渗漏和雨水冲刷；易于清洗和消毒；避免阳光直射；</w:t>
      </w:r>
      <w:r>
        <w:rPr>
          <w:rFonts w:hint="eastAsia" w:eastAsiaTheme="minorEastAsia"/>
          <w:color w:val="auto"/>
          <w:sz w:val="24"/>
          <w:szCs w:val="22"/>
          <w:lang w:eastAsia="zh-CN"/>
        </w:rPr>
        <w:t>危险废物贮存点</w:t>
      </w:r>
      <w:r>
        <w:rPr>
          <w:rFonts w:eastAsiaTheme="minorEastAsia"/>
          <w:color w:val="auto"/>
          <w:sz w:val="24"/>
          <w:szCs w:val="22"/>
        </w:rPr>
        <w:t>外侧设有明显的警示标识和“禁止吸烟、饮食”等警示标识。</w:t>
      </w:r>
    </w:p>
    <w:p>
      <w:pPr>
        <w:spacing w:line="360" w:lineRule="auto"/>
        <w:ind w:firstLine="480" w:firstLineChars="200"/>
        <w:contextualSpacing/>
        <w:rPr>
          <w:rFonts w:eastAsiaTheme="minorEastAsia"/>
          <w:color w:val="auto"/>
          <w:sz w:val="24"/>
          <w:szCs w:val="22"/>
        </w:rPr>
      </w:pPr>
      <w:r>
        <w:rPr>
          <w:rFonts w:hint="eastAsia" w:eastAsiaTheme="minorEastAsia"/>
          <w:color w:val="auto"/>
          <w:sz w:val="24"/>
          <w:szCs w:val="22"/>
        </w:rPr>
        <w:t>3、</w:t>
      </w:r>
      <w:r>
        <w:rPr>
          <w:rFonts w:eastAsiaTheme="minorEastAsia"/>
          <w:color w:val="auto"/>
          <w:sz w:val="24"/>
          <w:szCs w:val="22"/>
        </w:rPr>
        <w:t>危险废物交接</w:t>
      </w:r>
    </w:p>
    <w:p>
      <w:pPr>
        <w:spacing w:line="360" w:lineRule="auto"/>
        <w:ind w:firstLine="480" w:firstLineChars="200"/>
        <w:contextualSpacing/>
        <w:rPr>
          <w:rFonts w:eastAsiaTheme="minorEastAsia"/>
          <w:color w:val="auto"/>
          <w:sz w:val="24"/>
          <w:szCs w:val="22"/>
        </w:rPr>
      </w:pPr>
      <w:r>
        <w:rPr>
          <w:rFonts w:eastAsiaTheme="minorEastAsia"/>
          <w:color w:val="auto"/>
          <w:sz w:val="24"/>
          <w:szCs w:val="22"/>
        </w:rPr>
        <w:t>本项目产生的危险废物产生量、拟采取的处置措施及去向应按《中华人民共和国固体废物污染环境防治法》的规定向当地生态环境主管部门申报，填报危险废物转移五联单，按要求对本项目产生的固体废物特别是危险废物进行全过程严格管理和安全处置。</w:t>
      </w:r>
    </w:p>
    <w:p>
      <w:pPr>
        <w:spacing w:line="360" w:lineRule="auto"/>
        <w:ind w:firstLine="480" w:firstLineChars="200"/>
        <w:contextualSpacing/>
        <w:rPr>
          <w:rFonts w:eastAsiaTheme="minorEastAsia"/>
          <w:color w:val="auto"/>
          <w:sz w:val="24"/>
          <w:szCs w:val="22"/>
        </w:rPr>
      </w:pPr>
      <w:r>
        <w:rPr>
          <w:rFonts w:eastAsiaTheme="minorEastAsia"/>
          <w:color w:val="auto"/>
          <w:sz w:val="24"/>
          <w:szCs w:val="22"/>
        </w:rPr>
        <w:t>综上所述，本项目产生的固体废物</w:t>
      </w:r>
      <w:r>
        <w:rPr>
          <w:rFonts w:hint="eastAsia" w:eastAsiaTheme="minorEastAsia"/>
          <w:color w:val="auto"/>
          <w:sz w:val="24"/>
          <w:szCs w:val="22"/>
        </w:rPr>
        <w:t>处置率为100%</w:t>
      </w:r>
      <w:r>
        <w:rPr>
          <w:rFonts w:eastAsiaTheme="minorEastAsia"/>
          <w:color w:val="auto"/>
          <w:sz w:val="24"/>
          <w:szCs w:val="22"/>
        </w:rPr>
        <w:t>。</w:t>
      </w:r>
    </w:p>
    <w:p>
      <w:pPr>
        <w:spacing w:line="360" w:lineRule="auto"/>
        <w:ind w:firstLine="480" w:firstLineChars="200"/>
        <w:contextualSpacing/>
        <w:rPr>
          <w:rFonts w:eastAsiaTheme="minorEastAsia"/>
          <w:color w:val="auto"/>
          <w:sz w:val="24"/>
          <w:szCs w:val="22"/>
        </w:rPr>
      </w:pPr>
      <w:r>
        <w:rPr>
          <w:rFonts w:eastAsiaTheme="minorEastAsia"/>
          <w:color w:val="auto"/>
          <w:sz w:val="24"/>
          <w:szCs w:val="22"/>
        </w:rPr>
        <w:t>本项目实现固废全部妥善、安全处置，不会因固体废物的随意堆放而造成二次污染情况。因此，在上述固体废物合理处置的前提下，不会对周围环境造成太大影响，上述固废处置措施可行。</w:t>
      </w:r>
    </w:p>
    <w:p>
      <w:pPr>
        <w:spacing w:line="360" w:lineRule="auto"/>
        <w:contextualSpacing/>
        <w:jc w:val="left"/>
        <w:outlineLvl w:val="1"/>
        <w:rPr>
          <w:rFonts w:hint="eastAsia" w:eastAsia="宋体"/>
          <w:b/>
          <w:bCs/>
          <w:color w:val="auto"/>
          <w:kern w:val="44"/>
          <w:sz w:val="30"/>
          <w:szCs w:val="30"/>
          <w:highlight w:val="yellow"/>
          <w:lang w:eastAsia="zh-CN"/>
        </w:rPr>
      </w:pPr>
      <w:bookmarkStart w:id="205" w:name="_Toc29276"/>
      <w:bookmarkStart w:id="206" w:name="_Toc15991704"/>
      <w:r>
        <w:rPr>
          <w:b/>
          <w:bCs/>
          <w:color w:val="auto"/>
          <w:kern w:val="44"/>
          <w:sz w:val="30"/>
          <w:szCs w:val="30"/>
        </w:rPr>
        <w:t>6.3风险防范措施</w:t>
      </w:r>
      <w:bookmarkEnd w:id="205"/>
      <w:bookmarkEnd w:id="206"/>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rPr>
      </w:pPr>
      <w:bookmarkStart w:id="207" w:name="_Toc527121414"/>
      <w:bookmarkStart w:id="208" w:name="_Toc18579"/>
      <w:bookmarkStart w:id="209" w:name="_Toc15991705"/>
      <w:bookmarkStart w:id="210" w:name="_Toc480447676"/>
      <w:r>
        <w:rPr>
          <w:rFonts w:hint="default" w:ascii="Times New Roman" w:hAnsi="Times New Roman" w:eastAsia="宋体" w:cs="Times New Roman"/>
          <w:color w:val="auto"/>
          <w:kern w:val="0"/>
          <w:sz w:val="24"/>
          <w:szCs w:val="24"/>
          <w:lang w:val="en-US" w:eastAsia="zh-CN" w:bidi="ar"/>
        </w:rPr>
        <w:t>针对本项目可能产生的风险类别，建设单位应考虑采取一系列防范和应急措施，预防环境风险事故的发生，降低风险事故可能产生的环境影响。</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1"/>
        <w:rPr>
          <w:rFonts w:hint="default" w:ascii="Times New Roman" w:hAnsi="Times New Roman" w:eastAsia="宋体" w:cs="Times New Roman"/>
          <w:color w:val="auto"/>
          <w:sz w:val="24"/>
          <w:szCs w:val="24"/>
        </w:rPr>
      </w:pPr>
      <w:bookmarkStart w:id="211" w:name="_Toc25480"/>
      <w:bookmarkStart w:id="212" w:name="_Toc1867"/>
      <w:r>
        <w:rPr>
          <w:rFonts w:hint="default" w:ascii="Times New Roman" w:hAnsi="Times New Roman" w:eastAsia="宋体" w:cs="Times New Roman"/>
          <w:color w:val="auto"/>
          <w:kern w:val="0"/>
          <w:sz w:val="24"/>
          <w:szCs w:val="24"/>
          <w:lang w:val="en-US" w:eastAsia="zh-CN" w:bidi="ar"/>
        </w:rPr>
        <w:t>1、风险管理和风险防范措施</w:t>
      </w:r>
      <w:bookmarkEnd w:id="211"/>
      <w:bookmarkEnd w:id="212"/>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1）加强安全环保教育与培训工作，强化职工风险意识，使职工掌握必要的安全环保知识和应急处理能力；操作人员应熟悉自己的岗位，树立严谨规范的操作作风，并且在任何紧急状况下都能及时、独立、正确的实施相关应急措施。</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（2）加强安全环保管理，将“安全第一、环保优先、预防为主”作为企业经营的基本原则；指定安全环保负责人负责全厂的安全环保管理。</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（3）建立预警及预防机制，进行各种日常的、定期的、专业的安全防火检查，对于可能引起事故的异常状况，应及时向企业安全环保主管领导汇报，并将发现的问题落实到人、限期整改到位。</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（4）</w:t>
      </w:r>
      <w:r>
        <w:rPr>
          <w:rFonts w:hint="eastAsia" w:cs="Times New Roman"/>
          <w:color w:val="auto"/>
          <w:kern w:val="0"/>
          <w:sz w:val="24"/>
          <w:szCs w:val="24"/>
          <w:lang w:val="en-US" w:eastAsia="zh-CN" w:bidi="ar"/>
        </w:rPr>
        <w:t>液氨</w:t>
      </w: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次</w:t>
      </w:r>
      <w:r>
        <w:rPr>
          <w:rFonts w:hint="default" w:ascii="Times New Roman" w:hAnsi="Times New Roman" w:eastAsia="宋体" w:cs="Times New Roman"/>
          <w:color w:val="auto"/>
          <w:kern w:val="0"/>
          <w:sz w:val="24"/>
          <w:szCs w:val="24"/>
          <w:lang w:val="en-US" w:eastAsia="zh-CN" w:bidi="ar"/>
        </w:rPr>
        <w:t>氯酸钠的储存必须配备有专业知识的技术人员，应设专人管理，</w:t>
      </w:r>
      <w:r>
        <w:rPr>
          <w:rFonts w:hint="eastAsia" w:cs="Times New Roman"/>
          <w:color w:val="auto"/>
          <w:kern w:val="0"/>
          <w:sz w:val="24"/>
          <w:szCs w:val="24"/>
          <w:lang w:val="en-US" w:eastAsia="zh-CN" w:bidi="ar"/>
        </w:rPr>
        <w:t>液氨</w:t>
      </w: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次</w:t>
      </w:r>
      <w:r>
        <w:rPr>
          <w:rFonts w:hint="default" w:ascii="Times New Roman" w:hAnsi="Times New Roman" w:eastAsia="宋体" w:cs="Times New Roman"/>
          <w:color w:val="auto"/>
          <w:kern w:val="0"/>
          <w:sz w:val="24"/>
          <w:szCs w:val="24"/>
          <w:lang w:val="en-US" w:eastAsia="zh-CN" w:bidi="ar"/>
        </w:rPr>
        <w:t>氯酸钠入库时，应严格检验物品质量、数量、有无泄漏；</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（5）化学品搬运时应轻装轻卸，防止包装及容器损坏；应与促进剂、还原剂、易燃或可燃物、碱类、酸类分开存放；禁止撞击和震荡。储存期间定期检查，发现其包装破损、渗漏等，应及时处理。</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（6）</w:t>
      </w:r>
      <w:r>
        <w:rPr>
          <w:rFonts w:hint="eastAsia" w:cs="Times New Roman"/>
          <w:color w:val="auto"/>
          <w:kern w:val="0"/>
          <w:sz w:val="24"/>
          <w:szCs w:val="24"/>
          <w:lang w:val="en-US" w:eastAsia="zh-CN" w:bidi="ar"/>
        </w:rPr>
        <w:t>液氨</w:t>
      </w: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次</w:t>
      </w:r>
      <w:r>
        <w:rPr>
          <w:rFonts w:hint="default" w:ascii="Times New Roman" w:hAnsi="Times New Roman" w:eastAsia="宋体" w:cs="Times New Roman"/>
          <w:color w:val="auto"/>
          <w:kern w:val="0"/>
          <w:sz w:val="24"/>
          <w:szCs w:val="24"/>
          <w:lang w:val="en-US" w:eastAsia="zh-CN" w:bidi="ar"/>
        </w:rPr>
        <w:t>氯酸钠储存区应当符合有关安全、防火规定，设置相应的通风、防火、灭火等安全设施；应设明显的危险化学品标示，并注明危险品的种类、物料特性、防护措施等。非工作人员严禁入库，储存库内外严禁吸烟，进入储存库不得穿戴钉鞋，不得带打火机、火柴。管理人员、操作人员必须配备可靠的个人安全防护用品，并执行持证上岗制。</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（7）加强用设备管理和维护，严格杜绝跑、冒、滴、漏现象的发生，采取防火、防爆、防雷击措施，配备报警和消防器材、通讯工具，一旦发生火情及时报警和扑救。</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（8）危险废物</w:t>
      </w:r>
      <w:r>
        <w:rPr>
          <w:rFonts w:hint="eastAsia" w:cs="Times New Roman"/>
          <w:color w:val="auto"/>
          <w:kern w:val="0"/>
          <w:sz w:val="24"/>
          <w:szCs w:val="24"/>
          <w:lang w:val="en-US" w:eastAsia="zh-CN" w:bidi="ar"/>
        </w:rPr>
        <w:t>贮存点</w:t>
      </w:r>
      <w:r>
        <w:rPr>
          <w:rFonts w:hint="default" w:ascii="Times New Roman" w:hAnsi="Times New Roman" w:eastAsia="宋体" w:cs="Times New Roman"/>
          <w:color w:val="auto"/>
          <w:kern w:val="0"/>
          <w:sz w:val="24"/>
          <w:szCs w:val="24"/>
          <w:lang w:val="en-US" w:eastAsia="zh-CN" w:bidi="ar"/>
        </w:rPr>
        <w:t>按危险废物管理要求设立标识；</w:t>
      </w:r>
      <w:r>
        <w:rPr>
          <w:rFonts w:hint="eastAsia" w:cs="Times New Roman"/>
          <w:color w:val="auto"/>
          <w:kern w:val="0"/>
          <w:sz w:val="24"/>
          <w:szCs w:val="24"/>
          <w:lang w:val="en-US" w:eastAsia="zh-CN" w:bidi="ar"/>
        </w:rPr>
        <w:t>贮存点</w:t>
      </w:r>
      <w:r>
        <w:rPr>
          <w:rFonts w:hint="default" w:ascii="Times New Roman" w:hAnsi="Times New Roman" w:eastAsia="宋体" w:cs="Times New Roman"/>
          <w:color w:val="auto"/>
          <w:kern w:val="0"/>
          <w:sz w:val="24"/>
          <w:szCs w:val="24"/>
          <w:lang w:val="en-US" w:eastAsia="zh-CN" w:bidi="ar"/>
        </w:rPr>
        <w:t>内外严禁吸烟，进入</w:t>
      </w:r>
      <w:r>
        <w:rPr>
          <w:rFonts w:hint="eastAsia" w:cs="Times New Roman"/>
          <w:color w:val="auto"/>
          <w:kern w:val="0"/>
          <w:sz w:val="24"/>
          <w:szCs w:val="24"/>
          <w:lang w:val="en-US" w:eastAsia="zh-CN" w:bidi="ar"/>
        </w:rPr>
        <w:t>贮存点</w:t>
      </w:r>
      <w:r>
        <w:rPr>
          <w:rFonts w:hint="default" w:ascii="Times New Roman" w:hAnsi="Times New Roman" w:eastAsia="宋体" w:cs="Times New Roman"/>
          <w:color w:val="auto"/>
          <w:kern w:val="0"/>
          <w:sz w:val="24"/>
          <w:szCs w:val="24"/>
          <w:lang w:val="en-US" w:eastAsia="zh-CN" w:bidi="ar"/>
        </w:rPr>
        <w:t>不得穿戴钉鞋，不得带打火机、火柴；设专人管理，定期巡检，非工作人员严禁入内。</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（9）采取分区防渗措施，防止物料、污水、危险废物等泄漏污染地下水。在污水处理站地下水下游设置1个地下水跟踪监测井，一旦发现监测水质发生变化，立即停止生产，并采取补救措施。</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10）加强废水、废气污染防治设施的运行管理和维护，确保设施正常运行，并配备足够的备件、药剂；建立严格的操作规程，加强操作管理，防止错误操作引起的超标排放。恶臭治理活性炭吸附效果下降时，及时更换活性炭。</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（11）严格落实固体废物污染防治措施，不得擅自倾倒、堆放、丢弃、遗撒固体废物。</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12）制定环境风险应急预案，明确风险管理应急组织机构组成及其职责实施事故应急处理分级责任制，落实责任人，并建立应对事故的机制和措施；定期进行应急预案演练，对于应急演练中发现的不完善之处，及时进行改进。</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（13）做好事故的应急支援与保障工作；针对环境污染事故的影响特点，建立完善的后期处理机制，妥善安排，降低事故发生时的影响范围，防止次生/伴生事故发生。</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1"/>
        <w:rPr>
          <w:rFonts w:hint="default" w:ascii="Times New Roman" w:hAnsi="Times New Roman" w:eastAsia="宋体" w:cs="Times New Roman"/>
          <w:color w:val="auto"/>
          <w:sz w:val="24"/>
          <w:szCs w:val="24"/>
        </w:rPr>
      </w:pPr>
      <w:bookmarkStart w:id="213" w:name="_Toc21080"/>
      <w:bookmarkStart w:id="214" w:name="_Toc10688"/>
      <w:r>
        <w:rPr>
          <w:rFonts w:hint="default" w:ascii="Times New Roman" w:hAnsi="Times New Roman" w:eastAsia="宋体" w:cs="Times New Roman"/>
          <w:color w:val="auto"/>
          <w:kern w:val="0"/>
          <w:sz w:val="24"/>
          <w:szCs w:val="24"/>
          <w:lang w:val="en-US" w:eastAsia="zh-CN" w:bidi="ar"/>
        </w:rPr>
        <w:t>2、应急处置措施</w:t>
      </w:r>
      <w:bookmarkEnd w:id="213"/>
      <w:bookmarkEnd w:id="214"/>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（1）危险物质储存、使用、运输过程发生泄漏，应立即进行回收、清理。对泄漏的</w:t>
      </w:r>
      <w:r>
        <w:rPr>
          <w:rFonts w:hint="eastAsia" w:cs="Times New Roman"/>
          <w:color w:val="auto"/>
          <w:kern w:val="0"/>
          <w:sz w:val="24"/>
          <w:szCs w:val="24"/>
          <w:lang w:val="en-US" w:eastAsia="zh-CN" w:bidi="ar"/>
        </w:rPr>
        <w:t>液氨</w:t>
      </w: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次</w:t>
      </w:r>
      <w:r>
        <w:rPr>
          <w:rFonts w:hint="default" w:ascii="Times New Roman" w:hAnsi="Times New Roman" w:eastAsia="宋体" w:cs="Times New Roman"/>
          <w:color w:val="auto"/>
          <w:kern w:val="0"/>
          <w:sz w:val="24"/>
          <w:szCs w:val="24"/>
          <w:lang w:val="en-US" w:eastAsia="zh-CN" w:bidi="ar"/>
        </w:rPr>
        <w:t>氯酸钠，可采用不燃材料混合吸收；</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2）一旦发生火灾事故，灾情轻、完全可以控制的，当事人应马上进行扑救。一旦火灾有蔓延的苗头，不能控制时，要及时切断电源，拨打火警电话119通知消防人员灭火。消防废水应导入事故池，构筑临时围堤，将消防废水控制在厂区内。</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bCs/>
          <w:color w:val="auto"/>
          <w:kern w:val="0"/>
          <w:sz w:val="24"/>
          <w:szCs w:val="24"/>
          <w:lang w:val="zh-CN" w:eastAsia="zh-CN" w:bidi="ar"/>
        </w:rPr>
      </w:pPr>
      <w:r>
        <w:rPr>
          <w:rFonts w:hint="default" w:ascii="Times New Roman" w:hAnsi="Times New Roman" w:eastAsia="宋体" w:cs="Times New Roman"/>
          <w:color w:val="auto"/>
          <w:kern w:val="0"/>
          <w:sz w:val="24"/>
          <w:szCs w:val="24"/>
          <w:lang w:val="en-US" w:eastAsia="zh-CN" w:bidi="ar"/>
        </w:rPr>
        <w:t>（3）污水处理装置、恶臭收集治理系统发生故障时，应立即组织抢修改、及时恢复装置正常运行。对于废水，当不能达标排放时，废水先排入事故池，待污水处理站运行正常后分批返回处理达到排放标准再排放，必要时停止生产。</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环境风险事故主要为污水泄漏风险、化学品泄漏风险，建设单位运营过程中应从多方面积极采取防护措施，制订环境突发事故应急预案，一旦突发环境风险事故，立即按应急预案提到的紧急处理、救援、监测方案等进行紧急救援，项目可以有效的防范风险事故发生或对事故的发生进行有效处置，项目发生的环境风险可以控制在较低水平。</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color w:val="auto"/>
          <w:kern w:val="0"/>
          <w:sz w:val="24"/>
          <w:szCs w:val="24"/>
          <w:lang w:val="en-US" w:eastAsia="zh-CN" w:bidi="ar"/>
        </w:rPr>
        <w:t>综上所述，建设项目的事故风险处于可接受水平。本工程建设从环境风险角度分析是可行的。</w:t>
      </w:r>
    </w:p>
    <w:p>
      <w:pPr>
        <w:spacing w:line="360" w:lineRule="auto"/>
        <w:jc w:val="left"/>
        <w:outlineLvl w:val="1"/>
        <w:rPr>
          <w:b/>
          <w:bCs/>
          <w:color w:val="auto"/>
          <w:kern w:val="44"/>
          <w:sz w:val="30"/>
          <w:szCs w:val="30"/>
        </w:rPr>
      </w:pPr>
      <w:r>
        <w:rPr>
          <w:b/>
          <w:bCs/>
          <w:color w:val="auto"/>
          <w:kern w:val="44"/>
          <w:sz w:val="30"/>
          <w:szCs w:val="30"/>
        </w:rPr>
        <w:t>6.4环境保护投资估算</w:t>
      </w:r>
      <w:bookmarkEnd w:id="207"/>
      <w:bookmarkEnd w:id="208"/>
      <w:bookmarkEnd w:id="209"/>
      <w:bookmarkEnd w:id="210"/>
    </w:p>
    <w:p>
      <w:pPr>
        <w:spacing w:line="360" w:lineRule="auto"/>
        <w:contextualSpacing/>
        <w:rPr>
          <w:snapToGrid w:val="0"/>
          <w:color w:val="auto"/>
          <w:kern w:val="0"/>
          <w:sz w:val="24"/>
        </w:rPr>
      </w:pPr>
      <w:r>
        <w:rPr>
          <w:snapToGrid w:val="0"/>
          <w:color w:val="auto"/>
          <w:kern w:val="0"/>
          <w:sz w:val="24"/>
        </w:rPr>
        <w:t>环保投资比按下式计算：</w:t>
      </w:r>
    </w:p>
    <w:p>
      <w:pPr>
        <w:jc w:val="center"/>
        <w:rPr>
          <w:snapToGrid w:val="0"/>
          <w:color w:val="auto"/>
          <w:kern w:val="0"/>
          <w:sz w:val="24"/>
        </w:rPr>
      </w:pPr>
      <w:r>
        <w:rPr>
          <w:color w:val="auto"/>
          <w:kern w:val="0"/>
          <w:sz w:val="24"/>
        </w:rPr>
        <w:drawing>
          <wp:inline distT="0" distB="0" distL="0" distR="0">
            <wp:extent cx="1132840" cy="409575"/>
            <wp:effectExtent l="19050" t="0" r="0" b="0"/>
            <wp:docPr id="26"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51"/>
                    <pic:cNvPicPr>
                      <a:picLocks noChangeAspect="1" noChangeArrowheads="1"/>
                    </pic:cNvPicPr>
                  </pic:nvPicPr>
                  <pic:blipFill>
                    <a:blip r:embed="rId80" cstate="print"/>
                    <a:srcRect/>
                    <a:stretch>
                      <a:fillRect/>
                    </a:stretch>
                  </pic:blipFill>
                  <pic:spPr>
                    <a:xfrm>
                      <a:off x="0" y="0"/>
                      <a:ext cx="1132840" cy="409575"/>
                    </a:xfrm>
                    <a:prstGeom prst="rect">
                      <a:avLst/>
                    </a:prstGeom>
                    <a:noFill/>
                    <a:ln w="9525">
                      <a:noFill/>
                      <a:miter lim="800000"/>
                      <a:headEnd/>
                      <a:tailEnd/>
                    </a:ln>
                  </pic:spPr>
                </pic:pic>
              </a:graphicData>
            </a:graphic>
          </wp:inline>
        </w:drawing>
      </w:r>
    </w:p>
    <w:p>
      <w:pPr>
        <w:spacing w:line="360" w:lineRule="auto"/>
        <w:rPr>
          <w:snapToGrid w:val="0"/>
          <w:color w:val="auto"/>
          <w:kern w:val="0"/>
          <w:sz w:val="24"/>
        </w:rPr>
      </w:pPr>
      <w:r>
        <w:rPr>
          <w:snapToGrid w:val="0"/>
          <w:color w:val="auto"/>
          <w:kern w:val="0"/>
          <w:sz w:val="24"/>
        </w:rPr>
        <w:t>式中：</w:t>
      </w:r>
      <w:r>
        <w:rPr>
          <w:i/>
          <w:snapToGrid w:val="0"/>
          <w:color w:val="auto"/>
          <w:kern w:val="0"/>
          <w:sz w:val="24"/>
        </w:rPr>
        <w:t>HJ</w:t>
      </w:r>
      <w:r>
        <w:rPr>
          <w:snapToGrid w:val="0"/>
          <w:color w:val="auto"/>
          <w:kern w:val="0"/>
          <w:sz w:val="24"/>
        </w:rPr>
        <w:t>—环保费用投资比，100％；</w:t>
      </w:r>
    </w:p>
    <w:p>
      <w:pPr>
        <w:spacing w:line="360" w:lineRule="auto"/>
        <w:rPr>
          <w:snapToGrid w:val="0"/>
          <w:color w:val="auto"/>
          <w:kern w:val="0"/>
          <w:sz w:val="24"/>
        </w:rPr>
      </w:pPr>
      <w:r>
        <w:rPr>
          <w:i/>
          <w:snapToGrid w:val="0"/>
          <w:color w:val="auto"/>
          <w:kern w:val="0"/>
          <w:sz w:val="24"/>
        </w:rPr>
        <w:t>HT</w:t>
      </w:r>
      <w:r>
        <w:rPr>
          <w:snapToGrid w:val="0"/>
          <w:color w:val="auto"/>
          <w:kern w:val="0"/>
          <w:sz w:val="24"/>
        </w:rPr>
        <w:t>—环保投资，万元；</w:t>
      </w:r>
    </w:p>
    <w:p>
      <w:pPr>
        <w:spacing w:line="360" w:lineRule="auto"/>
        <w:rPr>
          <w:snapToGrid w:val="0"/>
          <w:color w:val="auto"/>
          <w:kern w:val="0"/>
          <w:sz w:val="24"/>
        </w:rPr>
      </w:pPr>
      <w:r>
        <w:rPr>
          <w:i/>
          <w:snapToGrid w:val="0"/>
          <w:color w:val="auto"/>
          <w:kern w:val="0"/>
          <w:sz w:val="24"/>
        </w:rPr>
        <w:t>JI</w:t>
      </w:r>
      <w:r>
        <w:rPr>
          <w:snapToGrid w:val="0"/>
          <w:color w:val="auto"/>
          <w:kern w:val="0"/>
          <w:sz w:val="24"/>
        </w:rPr>
        <w:t>—项目总投资，万元。</w:t>
      </w:r>
    </w:p>
    <w:p>
      <w:pPr>
        <w:spacing w:line="360" w:lineRule="auto"/>
        <w:ind w:firstLine="480" w:firstLineChars="200"/>
        <w:rPr>
          <w:snapToGrid w:val="0"/>
          <w:color w:val="auto"/>
          <w:kern w:val="0"/>
          <w:sz w:val="24"/>
        </w:rPr>
      </w:pPr>
      <w:r>
        <w:rPr>
          <w:snapToGrid w:val="0"/>
          <w:color w:val="auto"/>
          <w:kern w:val="0"/>
          <w:sz w:val="24"/>
        </w:rPr>
        <w:t>根据工程分析和环境影响预测及评价结果，本项目产生的污水、固废、</w:t>
      </w:r>
      <w:r>
        <w:rPr>
          <w:rFonts w:hint="eastAsia"/>
          <w:snapToGrid w:val="0"/>
          <w:color w:val="auto"/>
          <w:kern w:val="0"/>
          <w:sz w:val="24"/>
          <w:lang w:val="en-US" w:eastAsia="zh-CN"/>
        </w:rPr>
        <w:t>废气</w:t>
      </w:r>
      <w:r>
        <w:rPr>
          <w:snapToGrid w:val="0"/>
          <w:color w:val="auto"/>
          <w:kern w:val="0"/>
          <w:sz w:val="24"/>
        </w:rPr>
        <w:t>、噪声等对周围环境将会产生一定的影响，因此，必须采取相应的环境保护措施加以控制，并保证相应环保投资的投入，以使项目建成后生产过程中产生的各类污染物对周围环境的影响降低到最小程度。根据初步估算，本项目的环保投资见表6-4-1。</w:t>
      </w:r>
    </w:p>
    <w:p>
      <w:pPr>
        <w:spacing w:line="360" w:lineRule="auto"/>
        <w:ind w:firstLine="480" w:firstLineChars="200"/>
        <w:rPr>
          <w:snapToGrid w:val="0"/>
          <w:color w:val="auto"/>
          <w:kern w:val="0"/>
        </w:rPr>
      </w:pPr>
      <w:bookmarkStart w:id="215" w:name="_Hlk480428871"/>
      <w:r>
        <w:rPr>
          <w:snapToGrid w:val="0"/>
          <w:color w:val="auto"/>
          <w:kern w:val="0"/>
          <w:sz w:val="24"/>
        </w:rPr>
        <w:t>本工程总投资为</w:t>
      </w:r>
      <w:r>
        <w:rPr>
          <w:rFonts w:hint="eastAsia"/>
          <w:snapToGrid w:val="0"/>
          <w:color w:val="auto"/>
          <w:kern w:val="0"/>
          <w:sz w:val="24"/>
          <w:lang w:eastAsia="zh-CN"/>
        </w:rPr>
        <w:t>5000万</w:t>
      </w:r>
      <w:r>
        <w:rPr>
          <w:snapToGrid w:val="0"/>
          <w:color w:val="auto"/>
          <w:kern w:val="0"/>
          <w:sz w:val="24"/>
        </w:rPr>
        <w:t>元，环保投资估算为</w:t>
      </w:r>
      <w:r>
        <w:rPr>
          <w:rFonts w:hint="eastAsia"/>
          <w:snapToGrid w:val="0"/>
          <w:color w:val="auto"/>
          <w:kern w:val="0"/>
          <w:sz w:val="24"/>
          <w:lang w:eastAsia="zh-CN"/>
        </w:rPr>
        <w:t>351</w:t>
      </w:r>
      <w:r>
        <w:rPr>
          <w:snapToGrid w:val="0"/>
          <w:color w:val="auto"/>
          <w:kern w:val="0"/>
          <w:sz w:val="24"/>
        </w:rPr>
        <w:t>万元，占总投资的</w:t>
      </w:r>
      <w:r>
        <w:rPr>
          <w:rFonts w:hint="eastAsia"/>
          <w:snapToGrid w:val="0"/>
          <w:color w:val="auto"/>
          <w:kern w:val="0"/>
          <w:sz w:val="24"/>
          <w:lang w:val="en-US" w:eastAsia="zh-CN"/>
        </w:rPr>
        <w:t>7.02</w:t>
      </w:r>
      <w:r>
        <w:rPr>
          <w:snapToGrid w:val="0"/>
          <w:color w:val="auto"/>
          <w:kern w:val="0"/>
          <w:sz w:val="24"/>
        </w:rPr>
        <w:t>%。</w:t>
      </w:r>
    </w:p>
    <w:p>
      <w:pPr>
        <w:jc w:val="center"/>
        <w:rPr>
          <w:b/>
          <w:snapToGrid w:val="0"/>
          <w:color w:val="auto"/>
          <w:kern w:val="0"/>
          <w:sz w:val="24"/>
          <w:lang w:val="zh-CN"/>
        </w:rPr>
      </w:pPr>
      <w:r>
        <w:rPr>
          <w:b/>
          <w:snapToGrid w:val="0"/>
          <w:color w:val="auto"/>
          <w:kern w:val="0"/>
          <w:sz w:val="24"/>
          <w:lang w:val="zh-CN"/>
        </w:rPr>
        <w:t>表6-4-1环保投资明细表</w:t>
      </w:r>
    </w:p>
    <w:tbl>
      <w:tblPr>
        <w:tblStyle w:val="46"/>
        <w:tblW w:w="861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7"/>
        <w:gridCol w:w="1564"/>
        <w:gridCol w:w="5387"/>
        <w:gridCol w:w="12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1" w:type="dxa"/>
            <w:gridSpan w:val="2"/>
            <w:shd w:val="clear" w:color="auto" w:fill="auto"/>
            <w:vAlign w:val="center"/>
          </w:tcPr>
          <w:p>
            <w:pPr>
              <w:spacing w:line="0" w:lineRule="atLeast"/>
              <w:jc w:val="center"/>
              <w:rPr>
                <w:snapToGrid w:val="0"/>
                <w:color w:val="auto"/>
                <w:kern w:val="0"/>
                <w:lang w:val="zh-CN"/>
              </w:rPr>
            </w:pPr>
            <w:r>
              <w:rPr>
                <w:snapToGrid w:val="0"/>
                <w:color w:val="auto"/>
                <w:kern w:val="0"/>
                <w:lang w:val="zh-CN"/>
              </w:rPr>
              <w:t>项目</w:t>
            </w:r>
          </w:p>
        </w:tc>
        <w:tc>
          <w:tcPr>
            <w:tcW w:w="5387" w:type="dxa"/>
            <w:shd w:val="clear" w:color="auto" w:fill="auto"/>
            <w:vAlign w:val="center"/>
          </w:tcPr>
          <w:p>
            <w:pPr>
              <w:spacing w:line="0" w:lineRule="atLeast"/>
              <w:jc w:val="center"/>
              <w:rPr>
                <w:snapToGrid w:val="0"/>
                <w:color w:val="auto"/>
                <w:kern w:val="0"/>
                <w:lang w:val="zh-CN"/>
              </w:rPr>
            </w:pPr>
            <w:r>
              <w:rPr>
                <w:snapToGrid w:val="0"/>
                <w:color w:val="auto"/>
                <w:kern w:val="0"/>
                <w:lang w:val="zh-CN"/>
              </w:rPr>
              <w:t>治理设施内容</w:t>
            </w:r>
          </w:p>
        </w:tc>
        <w:tc>
          <w:tcPr>
            <w:tcW w:w="1275" w:type="dxa"/>
            <w:shd w:val="clear" w:color="auto" w:fill="auto"/>
            <w:vAlign w:val="center"/>
          </w:tcPr>
          <w:p>
            <w:pPr>
              <w:spacing w:line="0" w:lineRule="atLeast"/>
              <w:jc w:val="center"/>
              <w:rPr>
                <w:snapToGrid w:val="0"/>
                <w:color w:val="auto"/>
                <w:kern w:val="0"/>
                <w:lang w:val="zh-CN"/>
              </w:rPr>
            </w:pPr>
            <w:r>
              <w:rPr>
                <w:snapToGrid w:val="0"/>
                <w:color w:val="auto"/>
                <w:kern w:val="0"/>
                <w:lang w:val="zh-CN"/>
              </w:rPr>
              <w:t>金额（万元）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1" w:type="dxa"/>
            <w:gridSpan w:val="2"/>
            <w:vMerge w:val="restart"/>
            <w:shd w:val="clear" w:color="auto" w:fill="auto"/>
            <w:vAlign w:val="center"/>
          </w:tcPr>
          <w:p>
            <w:pPr>
              <w:spacing w:line="0" w:lineRule="atLeast"/>
              <w:jc w:val="center"/>
              <w:rPr>
                <w:snapToGrid w:val="0"/>
                <w:color w:val="auto"/>
                <w:kern w:val="0"/>
                <w:lang w:val="zh-CN"/>
              </w:rPr>
            </w:pPr>
            <w:r>
              <w:rPr>
                <w:snapToGrid w:val="0"/>
                <w:color w:val="auto"/>
                <w:kern w:val="0"/>
                <w:lang w:val="zh-CN"/>
              </w:rPr>
              <w:t>施工期</w:t>
            </w:r>
          </w:p>
        </w:tc>
        <w:tc>
          <w:tcPr>
            <w:tcW w:w="5387" w:type="dxa"/>
            <w:shd w:val="clear" w:color="auto" w:fill="auto"/>
            <w:vAlign w:val="center"/>
          </w:tcPr>
          <w:p>
            <w:pPr>
              <w:spacing w:line="0" w:lineRule="atLeast"/>
              <w:jc w:val="center"/>
              <w:rPr>
                <w:snapToGrid w:val="0"/>
                <w:color w:val="auto"/>
                <w:kern w:val="0"/>
                <w:lang w:val="zh-CN"/>
              </w:rPr>
            </w:pPr>
            <w:r>
              <w:rPr>
                <w:snapToGrid w:val="0"/>
                <w:color w:val="auto"/>
                <w:kern w:val="0"/>
                <w:lang w:val="zh-CN"/>
              </w:rPr>
              <w:t>施工期设备减振措施</w:t>
            </w:r>
          </w:p>
        </w:tc>
        <w:tc>
          <w:tcPr>
            <w:tcW w:w="1275" w:type="dxa"/>
            <w:shd w:val="clear" w:color="auto" w:fill="auto"/>
            <w:vAlign w:val="center"/>
          </w:tcPr>
          <w:p>
            <w:pPr>
              <w:spacing w:line="0" w:lineRule="atLeast"/>
              <w:jc w:val="center"/>
              <w:rPr>
                <w:snapToGrid w:val="0"/>
                <w:color w:val="auto"/>
                <w:kern w:val="0"/>
                <w:lang w:val="zh-CN"/>
              </w:rPr>
            </w:pPr>
            <w:r>
              <w:rPr>
                <w:snapToGrid w:val="0"/>
                <w:color w:val="auto"/>
                <w:kern w:val="0"/>
                <w:lang w:val="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1" w:type="dxa"/>
            <w:gridSpan w:val="2"/>
            <w:vMerge w:val="continue"/>
            <w:shd w:val="clear" w:color="auto" w:fill="auto"/>
            <w:vAlign w:val="center"/>
          </w:tcPr>
          <w:p>
            <w:pPr>
              <w:spacing w:line="0" w:lineRule="atLeast"/>
              <w:jc w:val="center"/>
              <w:rPr>
                <w:snapToGrid w:val="0"/>
                <w:color w:val="auto"/>
                <w:kern w:val="0"/>
                <w:lang w:val="zh-CN"/>
              </w:rPr>
            </w:pPr>
          </w:p>
        </w:tc>
        <w:tc>
          <w:tcPr>
            <w:tcW w:w="5387" w:type="dxa"/>
            <w:shd w:val="clear" w:color="auto" w:fill="auto"/>
            <w:vAlign w:val="center"/>
          </w:tcPr>
          <w:p>
            <w:pPr>
              <w:spacing w:line="0" w:lineRule="atLeast"/>
              <w:jc w:val="center"/>
              <w:rPr>
                <w:snapToGrid w:val="0"/>
                <w:color w:val="auto"/>
                <w:kern w:val="0"/>
                <w:lang w:val="zh-CN"/>
              </w:rPr>
            </w:pPr>
            <w:r>
              <w:rPr>
                <w:snapToGrid w:val="0"/>
                <w:color w:val="auto"/>
                <w:kern w:val="0"/>
                <w:lang w:val="zh-CN"/>
              </w:rPr>
              <w:t>施工废水沉淀池</w:t>
            </w:r>
          </w:p>
        </w:tc>
        <w:tc>
          <w:tcPr>
            <w:tcW w:w="1275" w:type="dxa"/>
            <w:shd w:val="clear" w:color="auto" w:fill="auto"/>
            <w:vAlign w:val="center"/>
          </w:tcPr>
          <w:p>
            <w:pPr>
              <w:spacing w:line="0" w:lineRule="atLeast"/>
              <w:jc w:val="center"/>
              <w:rPr>
                <w:snapToGrid w:val="0"/>
                <w:color w:val="auto"/>
                <w:kern w:val="0"/>
                <w:lang w:val="zh-CN"/>
              </w:rPr>
            </w:pPr>
            <w:r>
              <w:rPr>
                <w:rFonts w:hint="eastAsia"/>
                <w:snapToGrid w:val="0"/>
                <w:color w:val="auto"/>
                <w:kern w:val="0"/>
                <w:lang w:val="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1" w:type="dxa"/>
            <w:gridSpan w:val="2"/>
            <w:vMerge w:val="continue"/>
            <w:shd w:val="clear" w:color="auto" w:fill="auto"/>
            <w:vAlign w:val="center"/>
          </w:tcPr>
          <w:p>
            <w:pPr>
              <w:spacing w:line="0" w:lineRule="atLeast"/>
              <w:jc w:val="center"/>
              <w:rPr>
                <w:snapToGrid w:val="0"/>
                <w:color w:val="auto"/>
                <w:kern w:val="0"/>
                <w:lang w:val="zh-CN"/>
              </w:rPr>
            </w:pPr>
          </w:p>
        </w:tc>
        <w:tc>
          <w:tcPr>
            <w:tcW w:w="5387" w:type="dxa"/>
            <w:shd w:val="clear" w:color="auto" w:fill="auto"/>
            <w:vAlign w:val="center"/>
          </w:tcPr>
          <w:p>
            <w:pPr>
              <w:spacing w:line="0" w:lineRule="atLeast"/>
              <w:jc w:val="center"/>
              <w:rPr>
                <w:snapToGrid w:val="0"/>
                <w:color w:val="auto"/>
                <w:kern w:val="0"/>
                <w:lang w:val="zh-CN"/>
              </w:rPr>
            </w:pPr>
            <w:r>
              <w:rPr>
                <w:snapToGrid w:val="0"/>
                <w:color w:val="auto"/>
                <w:kern w:val="0"/>
                <w:lang w:val="zh-CN"/>
              </w:rPr>
              <w:t>垃圾桶、</w:t>
            </w:r>
            <w:r>
              <w:rPr>
                <w:rFonts w:hint="eastAsia"/>
                <w:snapToGrid w:val="0"/>
                <w:color w:val="auto"/>
                <w:kern w:val="0"/>
                <w:lang w:val="zh-CN"/>
              </w:rPr>
              <w:t>委托处置</w:t>
            </w:r>
          </w:p>
        </w:tc>
        <w:tc>
          <w:tcPr>
            <w:tcW w:w="1275" w:type="dxa"/>
            <w:shd w:val="clear" w:color="auto" w:fill="auto"/>
            <w:vAlign w:val="center"/>
          </w:tcPr>
          <w:p>
            <w:pPr>
              <w:spacing w:line="0" w:lineRule="atLeast"/>
              <w:jc w:val="center"/>
              <w:rPr>
                <w:snapToGrid w:val="0"/>
                <w:color w:val="auto"/>
                <w:kern w:val="0"/>
                <w:lang w:val="zh-CN"/>
              </w:rPr>
            </w:pPr>
            <w:r>
              <w:rPr>
                <w:rFonts w:hint="eastAsia"/>
                <w:snapToGrid w:val="0"/>
                <w:color w:val="auto"/>
                <w:kern w:val="0"/>
                <w:lang w:val="zh-CN"/>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1" w:type="dxa"/>
            <w:gridSpan w:val="2"/>
            <w:vMerge w:val="continue"/>
            <w:shd w:val="clear" w:color="auto" w:fill="auto"/>
            <w:vAlign w:val="center"/>
          </w:tcPr>
          <w:p>
            <w:pPr>
              <w:spacing w:line="0" w:lineRule="atLeast"/>
              <w:jc w:val="center"/>
              <w:rPr>
                <w:snapToGrid w:val="0"/>
                <w:color w:val="auto"/>
                <w:kern w:val="0"/>
                <w:lang w:val="zh-CN"/>
              </w:rPr>
            </w:pPr>
          </w:p>
        </w:tc>
        <w:tc>
          <w:tcPr>
            <w:tcW w:w="5387" w:type="dxa"/>
            <w:shd w:val="clear" w:color="auto" w:fill="auto"/>
            <w:vAlign w:val="center"/>
          </w:tcPr>
          <w:p>
            <w:pPr>
              <w:spacing w:line="0" w:lineRule="atLeast"/>
              <w:jc w:val="center"/>
              <w:rPr>
                <w:snapToGrid w:val="0"/>
                <w:color w:val="auto"/>
                <w:kern w:val="0"/>
                <w:lang w:val="zh-CN"/>
              </w:rPr>
            </w:pPr>
            <w:r>
              <w:rPr>
                <w:snapToGrid w:val="0"/>
                <w:color w:val="auto"/>
                <w:kern w:val="0"/>
                <w:lang w:val="zh-CN"/>
              </w:rPr>
              <w:t>施工材料苫盖、洒水抑尘措施</w:t>
            </w:r>
          </w:p>
        </w:tc>
        <w:tc>
          <w:tcPr>
            <w:tcW w:w="1275" w:type="dxa"/>
            <w:shd w:val="clear" w:color="auto" w:fill="auto"/>
            <w:vAlign w:val="center"/>
          </w:tcPr>
          <w:p>
            <w:pPr>
              <w:spacing w:line="0" w:lineRule="atLeast"/>
              <w:jc w:val="center"/>
              <w:rPr>
                <w:snapToGrid w:val="0"/>
                <w:color w:val="auto"/>
                <w:kern w:val="0"/>
                <w:lang w:val="zh-CN"/>
              </w:rPr>
            </w:pPr>
            <w:r>
              <w:rPr>
                <w:snapToGrid w:val="0"/>
                <w:color w:val="auto"/>
                <w:kern w:val="0"/>
                <w:lang w:val="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dxa"/>
            <w:vMerge w:val="restart"/>
            <w:shd w:val="clear" w:color="auto" w:fill="auto"/>
            <w:vAlign w:val="center"/>
          </w:tcPr>
          <w:p>
            <w:pPr>
              <w:spacing w:line="0" w:lineRule="atLeast"/>
              <w:jc w:val="center"/>
              <w:rPr>
                <w:snapToGrid w:val="0"/>
                <w:color w:val="auto"/>
                <w:kern w:val="0"/>
                <w:lang w:val="zh-CN"/>
              </w:rPr>
            </w:pPr>
            <w:r>
              <w:rPr>
                <w:snapToGrid w:val="0"/>
                <w:color w:val="auto"/>
                <w:kern w:val="0"/>
                <w:lang w:val="zh-CN"/>
              </w:rPr>
              <w:t>运营期</w:t>
            </w:r>
          </w:p>
        </w:tc>
        <w:tc>
          <w:tcPr>
            <w:tcW w:w="1564" w:type="dxa"/>
            <w:vMerge w:val="restart"/>
            <w:shd w:val="clear" w:color="auto" w:fill="auto"/>
            <w:vAlign w:val="center"/>
          </w:tcPr>
          <w:p>
            <w:pPr>
              <w:spacing w:line="0" w:lineRule="atLeast"/>
              <w:jc w:val="center"/>
              <w:rPr>
                <w:snapToGrid w:val="0"/>
                <w:color w:val="auto"/>
                <w:kern w:val="0"/>
                <w:lang w:val="zh-CN"/>
              </w:rPr>
            </w:pPr>
            <w:r>
              <w:rPr>
                <w:snapToGrid w:val="0"/>
                <w:color w:val="auto"/>
                <w:kern w:val="0"/>
                <w:lang w:val="zh-CN"/>
              </w:rPr>
              <w:t>废水治理</w:t>
            </w:r>
          </w:p>
        </w:tc>
        <w:tc>
          <w:tcPr>
            <w:tcW w:w="5387" w:type="dxa"/>
            <w:shd w:val="clear" w:color="auto" w:fill="auto"/>
            <w:vAlign w:val="center"/>
          </w:tcPr>
          <w:p>
            <w:pPr>
              <w:spacing w:line="0" w:lineRule="atLeast"/>
              <w:jc w:val="center"/>
              <w:rPr>
                <w:rFonts w:hint="eastAsia" w:eastAsia="宋体"/>
                <w:snapToGrid w:val="0"/>
                <w:color w:val="auto"/>
                <w:kern w:val="0"/>
                <w:lang w:val="en-US" w:eastAsia="zh-CN"/>
              </w:rPr>
            </w:pPr>
            <w:r>
              <w:rPr>
                <w:rFonts w:hint="eastAsia"/>
                <w:snapToGrid w:val="0"/>
                <w:color w:val="auto"/>
                <w:kern w:val="0"/>
                <w:lang w:val="zh-CN"/>
              </w:rPr>
              <w:t>贮水池、</w:t>
            </w:r>
            <w:r>
              <w:rPr>
                <w:rFonts w:hint="eastAsia"/>
                <w:snapToGrid w:val="0"/>
                <w:color w:val="auto"/>
                <w:kern w:val="0"/>
                <w:lang w:val="en-US" w:eastAsia="zh-CN"/>
              </w:rPr>
              <w:t>事故池</w:t>
            </w:r>
          </w:p>
        </w:tc>
        <w:tc>
          <w:tcPr>
            <w:tcW w:w="1275" w:type="dxa"/>
            <w:shd w:val="clear" w:color="auto" w:fill="auto"/>
            <w:vAlign w:val="center"/>
          </w:tcPr>
          <w:p>
            <w:pPr>
              <w:spacing w:line="0" w:lineRule="atLeast"/>
              <w:jc w:val="center"/>
              <w:rPr>
                <w:rFonts w:hint="eastAsia" w:eastAsia="宋体"/>
                <w:snapToGrid w:val="0"/>
                <w:color w:val="auto"/>
                <w:kern w:val="0"/>
                <w:lang w:val="zh-CN" w:eastAsia="zh-CN"/>
              </w:rPr>
            </w:pPr>
            <w:r>
              <w:rPr>
                <w:rFonts w:hint="eastAsia"/>
                <w:snapToGrid w:val="0"/>
                <w:color w:val="auto"/>
                <w:kern w:val="0"/>
                <w:lang w:val="en-US" w:eastAsia="zh-CN"/>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dxa"/>
            <w:vMerge w:val="continue"/>
            <w:shd w:val="clear" w:color="auto" w:fill="auto"/>
            <w:vAlign w:val="center"/>
          </w:tcPr>
          <w:p>
            <w:pPr>
              <w:spacing w:line="0" w:lineRule="atLeast"/>
              <w:jc w:val="center"/>
              <w:rPr>
                <w:snapToGrid w:val="0"/>
                <w:color w:val="auto"/>
                <w:kern w:val="0"/>
                <w:lang w:val="zh-CN"/>
              </w:rPr>
            </w:pPr>
          </w:p>
        </w:tc>
        <w:tc>
          <w:tcPr>
            <w:tcW w:w="1564" w:type="dxa"/>
            <w:vMerge w:val="continue"/>
            <w:shd w:val="clear" w:color="auto" w:fill="auto"/>
            <w:vAlign w:val="center"/>
          </w:tcPr>
          <w:p>
            <w:pPr>
              <w:spacing w:line="0" w:lineRule="atLeast"/>
              <w:jc w:val="center"/>
              <w:rPr>
                <w:snapToGrid w:val="0"/>
                <w:color w:val="auto"/>
                <w:kern w:val="0"/>
                <w:lang w:val="zh-CN"/>
              </w:rPr>
            </w:pPr>
          </w:p>
        </w:tc>
        <w:tc>
          <w:tcPr>
            <w:tcW w:w="5387" w:type="dxa"/>
            <w:shd w:val="clear" w:color="auto" w:fill="auto"/>
            <w:vAlign w:val="center"/>
          </w:tcPr>
          <w:p>
            <w:pPr>
              <w:spacing w:line="0" w:lineRule="atLeast"/>
              <w:jc w:val="center"/>
              <w:rPr>
                <w:snapToGrid w:val="0"/>
                <w:color w:val="auto"/>
                <w:kern w:val="0"/>
                <w:lang w:val="zh-CN"/>
              </w:rPr>
            </w:pPr>
            <w:r>
              <w:rPr>
                <w:rFonts w:hint="eastAsia"/>
                <w:snapToGrid w:val="0"/>
                <w:color w:val="auto"/>
                <w:kern w:val="0"/>
                <w:lang w:val="zh-CN"/>
              </w:rPr>
              <w:t>污水处理站</w:t>
            </w:r>
          </w:p>
        </w:tc>
        <w:tc>
          <w:tcPr>
            <w:tcW w:w="1275" w:type="dxa"/>
            <w:shd w:val="clear" w:color="auto" w:fill="auto"/>
            <w:vAlign w:val="center"/>
          </w:tcPr>
          <w:p>
            <w:pPr>
              <w:spacing w:line="0" w:lineRule="atLeast"/>
              <w:jc w:val="center"/>
              <w:rPr>
                <w:snapToGrid w:val="0"/>
                <w:color w:val="auto"/>
                <w:kern w:val="0"/>
                <w:lang w:val="zh-CN"/>
              </w:rPr>
            </w:pPr>
            <w:r>
              <w:rPr>
                <w:rFonts w:hint="eastAsia"/>
                <w:snapToGrid w:val="0"/>
                <w:color w:val="auto"/>
                <w:kern w:val="0"/>
                <w:lang w:val="zh-CN"/>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dxa"/>
            <w:vMerge w:val="continue"/>
            <w:shd w:val="clear" w:color="auto" w:fill="auto"/>
            <w:vAlign w:val="center"/>
          </w:tcPr>
          <w:p>
            <w:pPr>
              <w:spacing w:line="0" w:lineRule="atLeast"/>
              <w:jc w:val="center"/>
              <w:rPr>
                <w:snapToGrid w:val="0"/>
                <w:color w:val="auto"/>
                <w:kern w:val="0"/>
                <w:lang w:val="zh-CN"/>
              </w:rPr>
            </w:pPr>
          </w:p>
        </w:tc>
        <w:tc>
          <w:tcPr>
            <w:tcW w:w="1564" w:type="dxa"/>
            <w:shd w:val="clear" w:color="auto" w:fill="auto"/>
            <w:vAlign w:val="center"/>
          </w:tcPr>
          <w:p>
            <w:pPr>
              <w:spacing w:line="0" w:lineRule="atLeast"/>
              <w:jc w:val="center"/>
              <w:rPr>
                <w:snapToGrid w:val="0"/>
                <w:color w:val="auto"/>
                <w:kern w:val="0"/>
                <w:lang w:val="zh-CN"/>
              </w:rPr>
            </w:pPr>
            <w:r>
              <w:rPr>
                <w:snapToGrid w:val="0"/>
                <w:color w:val="auto"/>
                <w:kern w:val="0"/>
                <w:lang w:val="zh-CN"/>
              </w:rPr>
              <w:t>防渗工程</w:t>
            </w:r>
          </w:p>
        </w:tc>
        <w:tc>
          <w:tcPr>
            <w:tcW w:w="5387" w:type="dxa"/>
            <w:shd w:val="clear" w:color="auto" w:fill="auto"/>
            <w:vAlign w:val="center"/>
          </w:tcPr>
          <w:p>
            <w:pPr>
              <w:pStyle w:val="84"/>
              <w:rPr>
                <w:color w:val="auto"/>
              </w:rPr>
            </w:pPr>
            <w:r>
              <w:rPr>
                <w:rFonts w:hint="eastAsia" w:hAnsi="Times New Roman" w:cs="宋体"/>
                <w:color w:val="auto"/>
              </w:rPr>
              <w:t>水泥硬化、</w:t>
            </w:r>
            <w:r>
              <w:rPr>
                <w:rFonts w:hAnsi="Times New Roman" w:cs="宋体"/>
                <w:color w:val="auto"/>
              </w:rPr>
              <w:t>高密度聚乙烯土工膜（HDPE）</w:t>
            </w:r>
          </w:p>
        </w:tc>
        <w:tc>
          <w:tcPr>
            <w:tcW w:w="1275" w:type="dxa"/>
            <w:shd w:val="clear" w:color="auto" w:fill="auto"/>
            <w:vAlign w:val="center"/>
          </w:tcPr>
          <w:p>
            <w:pPr>
              <w:spacing w:line="0" w:lineRule="atLeast"/>
              <w:jc w:val="center"/>
              <w:rPr>
                <w:rFonts w:hint="default" w:eastAsia="宋体"/>
                <w:snapToGrid w:val="0"/>
                <w:color w:val="auto"/>
                <w:kern w:val="0"/>
                <w:lang w:val="en-US" w:eastAsia="zh-CN"/>
              </w:rPr>
            </w:pPr>
            <w:r>
              <w:rPr>
                <w:rFonts w:hint="eastAsia"/>
                <w:snapToGrid w:val="0"/>
                <w:color w:val="auto"/>
                <w:kern w:val="0"/>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387" w:type="dxa"/>
            <w:vMerge w:val="continue"/>
            <w:shd w:val="clear" w:color="auto" w:fill="auto"/>
            <w:vAlign w:val="center"/>
          </w:tcPr>
          <w:p>
            <w:pPr>
              <w:spacing w:line="0" w:lineRule="atLeast"/>
              <w:jc w:val="center"/>
              <w:rPr>
                <w:snapToGrid w:val="0"/>
                <w:color w:val="auto"/>
                <w:kern w:val="0"/>
                <w:lang w:val="zh-CN"/>
              </w:rPr>
            </w:pPr>
          </w:p>
        </w:tc>
        <w:tc>
          <w:tcPr>
            <w:tcW w:w="1564" w:type="dxa"/>
            <w:shd w:val="clear" w:color="auto" w:fill="auto"/>
            <w:vAlign w:val="center"/>
          </w:tcPr>
          <w:p>
            <w:pPr>
              <w:spacing w:line="0" w:lineRule="atLeast"/>
              <w:jc w:val="center"/>
              <w:rPr>
                <w:snapToGrid w:val="0"/>
                <w:color w:val="auto"/>
                <w:kern w:val="0"/>
                <w:lang w:val="zh-CN"/>
              </w:rPr>
            </w:pPr>
            <w:r>
              <w:rPr>
                <w:snapToGrid w:val="0"/>
                <w:color w:val="auto"/>
                <w:kern w:val="0"/>
                <w:lang w:val="zh-CN"/>
              </w:rPr>
              <w:t>废气治理</w:t>
            </w:r>
          </w:p>
        </w:tc>
        <w:tc>
          <w:tcPr>
            <w:tcW w:w="5387" w:type="dxa"/>
            <w:shd w:val="clear" w:color="auto" w:fill="auto"/>
            <w:vAlign w:val="center"/>
          </w:tcPr>
          <w:p>
            <w:pPr>
              <w:spacing w:line="0" w:lineRule="atLeast"/>
              <w:rPr>
                <w:rFonts w:hint="default" w:eastAsia="宋体"/>
                <w:snapToGrid w:val="0"/>
                <w:color w:val="auto"/>
                <w:kern w:val="0"/>
                <w:lang w:val="en-US" w:eastAsia="zh-CN"/>
              </w:rPr>
            </w:pPr>
            <w:r>
              <w:rPr>
                <w:snapToGrid w:val="0"/>
                <w:color w:val="auto"/>
                <w:kern w:val="0"/>
                <w:lang w:val="zh-CN"/>
              </w:rPr>
              <w:t>活性炭吸附装置</w:t>
            </w:r>
            <w:r>
              <w:rPr>
                <w:rFonts w:hint="eastAsia"/>
                <w:snapToGrid w:val="0"/>
                <w:color w:val="auto"/>
                <w:kern w:val="0"/>
                <w:lang w:val="zh-CN"/>
              </w:rPr>
              <w:t>3台、油烟净化器1台、15m高排气筒3根、油烟排烟通道1根、除臭剂、</w:t>
            </w:r>
            <w:r>
              <w:rPr>
                <w:rFonts w:hint="eastAsia"/>
                <w:snapToGrid w:val="0"/>
                <w:color w:val="auto"/>
                <w:kern w:val="0"/>
                <w:lang w:val="en-US" w:eastAsia="zh-CN"/>
              </w:rPr>
              <w:t>30m高烟囱一根、布袋除尘器一套</w:t>
            </w:r>
          </w:p>
        </w:tc>
        <w:tc>
          <w:tcPr>
            <w:tcW w:w="1275" w:type="dxa"/>
            <w:shd w:val="clear" w:color="auto" w:fill="auto"/>
            <w:vAlign w:val="center"/>
          </w:tcPr>
          <w:p>
            <w:pPr>
              <w:spacing w:line="0" w:lineRule="atLeast"/>
              <w:jc w:val="center"/>
              <w:rPr>
                <w:rFonts w:hint="default" w:eastAsia="宋体"/>
                <w:snapToGrid w:val="0"/>
                <w:color w:val="auto"/>
                <w:kern w:val="0"/>
                <w:lang w:val="en-US" w:eastAsia="zh-CN"/>
              </w:rPr>
            </w:pPr>
            <w:r>
              <w:rPr>
                <w:rFonts w:hint="eastAsia"/>
                <w:snapToGrid w:val="0"/>
                <w:color w:val="auto"/>
                <w:kern w:val="0"/>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dxa"/>
            <w:vMerge w:val="continue"/>
            <w:shd w:val="clear" w:color="auto" w:fill="auto"/>
            <w:vAlign w:val="center"/>
          </w:tcPr>
          <w:p>
            <w:pPr>
              <w:spacing w:line="0" w:lineRule="atLeast"/>
              <w:jc w:val="center"/>
              <w:rPr>
                <w:snapToGrid w:val="0"/>
                <w:color w:val="auto"/>
                <w:kern w:val="0"/>
                <w:lang w:val="zh-CN"/>
              </w:rPr>
            </w:pPr>
          </w:p>
        </w:tc>
        <w:tc>
          <w:tcPr>
            <w:tcW w:w="1564" w:type="dxa"/>
            <w:shd w:val="clear" w:color="auto" w:fill="auto"/>
            <w:vAlign w:val="center"/>
          </w:tcPr>
          <w:p>
            <w:pPr>
              <w:spacing w:line="0" w:lineRule="atLeast"/>
              <w:jc w:val="center"/>
              <w:rPr>
                <w:snapToGrid w:val="0"/>
                <w:color w:val="auto"/>
                <w:kern w:val="0"/>
                <w:lang w:val="zh-CN"/>
              </w:rPr>
            </w:pPr>
            <w:r>
              <w:rPr>
                <w:snapToGrid w:val="0"/>
                <w:color w:val="auto"/>
                <w:kern w:val="0"/>
                <w:lang w:val="zh-CN"/>
              </w:rPr>
              <w:t>固废治理</w:t>
            </w:r>
          </w:p>
        </w:tc>
        <w:tc>
          <w:tcPr>
            <w:tcW w:w="5387" w:type="dxa"/>
            <w:shd w:val="clear" w:color="auto" w:fill="auto"/>
            <w:vAlign w:val="center"/>
          </w:tcPr>
          <w:p>
            <w:pPr>
              <w:spacing w:line="0" w:lineRule="atLeast"/>
              <w:jc w:val="center"/>
              <w:rPr>
                <w:snapToGrid w:val="0"/>
                <w:color w:val="auto"/>
                <w:kern w:val="0"/>
                <w:lang w:val="zh-CN"/>
              </w:rPr>
            </w:pPr>
            <w:r>
              <w:rPr>
                <w:snapToGrid w:val="0"/>
                <w:color w:val="auto"/>
                <w:kern w:val="0"/>
                <w:lang w:val="zh-CN"/>
              </w:rPr>
              <w:t>垃圾箱、危险废物暂存及委托处置</w:t>
            </w:r>
          </w:p>
        </w:tc>
        <w:tc>
          <w:tcPr>
            <w:tcW w:w="1275" w:type="dxa"/>
            <w:shd w:val="clear" w:color="auto" w:fill="auto"/>
            <w:vAlign w:val="center"/>
          </w:tcPr>
          <w:p>
            <w:pPr>
              <w:spacing w:line="0" w:lineRule="atLeast"/>
              <w:jc w:val="center"/>
              <w:rPr>
                <w:snapToGrid w:val="0"/>
                <w:color w:val="auto"/>
                <w:kern w:val="0"/>
                <w:lang w:val="zh-CN"/>
              </w:rPr>
            </w:pPr>
            <w:r>
              <w:rPr>
                <w:rFonts w:hint="eastAsia"/>
                <w:snapToGrid w:val="0"/>
                <w:color w:val="auto"/>
                <w:kern w:val="0"/>
                <w:lang w:val="zh-CN"/>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dxa"/>
            <w:vMerge w:val="continue"/>
            <w:shd w:val="clear" w:color="auto" w:fill="auto"/>
            <w:vAlign w:val="center"/>
          </w:tcPr>
          <w:p>
            <w:pPr>
              <w:spacing w:line="0" w:lineRule="atLeast"/>
              <w:jc w:val="center"/>
              <w:rPr>
                <w:snapToGrid w:val="0"/>
                <w:color w:val="auto"/>
                <w:kern w:val="0"/>
                <w:lang w:val="zh-CN"/>
              </w:rPr>
            </w:pPr>
          </w:p>
        </w:tc>
        <w:tc>
          <w:tcPr>
            <w:tcW w:w="1564" w:type="dxa"/>
            <w:shd w:val="clear" w:color="auto" w:fill="auto"/>
            <w:vAlign w:val="center"/>
          </w:tcPr>
          <w:p>
            <w:pPr>
              <w:spacing w:line="0" w:lineRule="atLeast"/>
              <w:jc w:val="center"/>
              <w:rPr>
                <w:snapToGrid w:val="0"/>
                <w:color w:val="auto"/>
                <w:kern w:val="0"/>
                <w:lang w:val="zh-CN"/>
              </w:rPr>
            </w:pPr>
            <w:r>
              <w:rPr>
                <w:snapToGrid w:val="0"/>
                <w:color w:val="auto"/>
                <w:kern w:val="0"/>
                <w:lang w:val="zh-CN"/>
              </w:rPr>
              <w:t>噪声治理</w:t>
            </w:r>
          </w:p>
        </w:tc>
        <w:tc>
          <w:tcPr>
            <w:tcW w:w="5387" w:type="dxa"/>
            <w:shd w:val="clear" w:color="auto" w:fill="auto"/>
            <w:vAlign w:val="center"/>
          </w:tcPr>
          <w:p>
            <w:pPr>
              <w:spacing w:line="0" w:lineRule="atLeast"/>
              <w:jc w:val="center"/>
              <w:rPr>
                <w:snapToGrid w:val="0"/>
                <w:color w:val="auto"/>
                <w:kern w:val="0"/>
                <w:lang w:val="zh-CN"/>
              </w:rPr>
            </w:pPr>
            <w:r>
              <w:rPr>
                <w:snapToGrid w:val="0"/>
                <w:color w:val="auto"/>
                <w:kern w:val="0"/>
                <w:lang w:val="zh-CN"/>
              </w:rPr>
              <w:t>噪声设备减振措施</w:t>
            </w:r>
          </w:p>
        </w:tc>
        <w:tc>
          <w:tcPr>
            <w:tcW w:w="1275" w:type="dxa"/>
            <w:shd w:val="clear" w:color="auto" w:fill="auto"/>
            <w:vAlign w:val="center"/>
          </w:tcPr>
          <w:p>
            <w:pPr>
              <w:spacing w:line="0" w:lineRule="atLeast"/>
              <w:jc w:val="center"/>
              <w:rPr>
                <w:snapToGrid w:val="0"/>
                <w:color w:val="auto"/>
                <w:kern w:val="0"/>
                <w:lang w:val="zh-CN"/>
              </w:rPr>
            </w:pPr>
            <w:r>
              <w:rPr>
                <w:snapToGrid w:val="0"/>
                <w:color w:val="auto"/>
                <w:kern w:val="0"/>
                <w:lang w:val="zh-CN"/>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dxa"/>
            <w:vMerge w:val="continue"/>
            <w:shd w:val="clear" w:color="auto" w:fill="auto"/>
            <w:vAlign w:val="center"/>
          </w:tcPr>
          <w:p>
            <w:pPr>
              <w:spacing w:line="0" w:lineRule="atLeast"/>
              <w:jc w:val="center"/>
              <w:rPr>
                <w:snapToGrid w:val="0"/>
                <w:color w:val="auto"/>
                <w:kern w:val="0"/>
                <w:lang w:val="zh-CN"/>
              </w:rPr>
            </w:pPr>
          </w:p>
        </w:tc>
        <w:tc>
          <w:tcPr>
            <w:tcW w:w="1564" w:type="dxa"/>
            <w:shd w:val="clear" w:color="auto" w:fill="auto"/>
            <w:vAlign w:val="center"/>
          </w:tcPr>
          <w:p>
            <w:pPr>
              <w:spacing w:line="0" w:lineRule="atLeast"/>
              <w:jc w:val="center"/>
              <w:rPr>
                <w:snapToGrid w:val="0"/>
                <w:color w:val="auto"/>
                <w:kern w:val="0"/>
                <w:lang w:val="zh-CN"/>
              </w:rPr>
            </w:pPr>
            <w:r>
              <w:rPr>
                <w:snapToGrid w:val="0"/>
                <w:color w:val="auto"/>
                <w:kern w:val="0"/>
                <w:lang w:val="zh-CN"/>
              </w:rPr>
              <w:t>绿化工程</w:t>
            </w:r>
          </w:p>
        </w:tc>
        <w:tc>
          <w:tcPr>
            <w:tcW w:w="5387" w:type="dxa"/>
            <w:shd w:val="clear" w:color="auto" w:fill="auto"/>
            <w:vAlign w:val="center"/>
          </w:tcPr>
          <w:p>
            <w:pPr>
              <w:spacing w:line="0" w:lineRule="atLeast"/>
              <w:jc w:val="center"/>
              <w:rPr>
                <w:snapToGrid w:val="0"/>
                <w:color w:val="auto"/>
                <w:kern w:val="0"/>
                <w:lang w:val="zh-CN"/>
              </w:rPr>
            </w:pPr>
            <w:r>
              <w:rPr>
                <w:snapToGrid w:val="0"/>
                <w:color w:val="auto"/>
                <w:kern w:val="0"/>
                <w:lang w:val="zh-CN"/>
              </w:rPr>
              <w:t>场内道路、场区内空地及</w:t>
            </w:r>
            <w:r>
              <w:rPr>
                <w:snapToGrid w:val="0"/>
                <w:color w:val="auto"/>
                <w:kern w:val="0"/>
              </w:rPr>
              <w:t>厂界</w:t>
            </w:r>
            <w:r>
              <w:rPr>
                <w:snapToGrid w:val="0"/>
                <w:color w:val="auto"/>
                <w:kern w:val="0"/>
                <w:lang w:val="zh-CN"/>
              </w:rPr>
              <w:t>植树种草</w:t>
            </w:r>
          </w:p>
        </w:tc>
        <w:tc>
          <w:tcPr>
            <w:tcW w:w="1275" w:type="dxa"/>
            <w:shd w:val="clear" w:color="auto" w:fill="auto"/>
            <w:vAlign w:val="center"/>
          </w:tcPr>
          <w:p>
            <w:pPr>
              <w:spacing w:line="0" w:lineRule="atLeast"/>
              <w:jc w:val="center"/>
              <w:rPr>
                <w:snapToGrid w:val="0"/>
                <w:color w:val="auto"/>
                <w:kern w:val="0"/>
                <w:lang w:val="zh-CN"/>
              </w:rPr>
            </w:pPr>
            <w:r>
              <w:rPr>
                <w:rFonts w:hint="eastAsia"/>
                <w:snapToGrid w:val="0"/>
                <w:color w:val="auto"/>
                <w:kern w:val="0"/>
                <w:lang w:val="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387" w:type="dxa"/>
            <w:vMerge w:val="continue"/>
            <w:shd w:val="clear" w:color="auto" w:fill="auto"/>
            <w:vAlign w:val="center"/>
          </w:tcPr>
          <w:p>
            <w:pPr>
              <w:spacing w:line="0" w:lineRule="atLeast"/>
              <w:jc w:val="center"/>
              <w:rPr>
                <w:snapToGrid w:val="0"/>
                <w:color w:val="auto"/>
                <w:kern w:val="0"/>
                <w:lang w:val="zh-CN"/>
              </w:rPr>
            </w:pPr>
          </w:p>
        </w:tc>
        <w:tc>
          <w:tcPr>
            <w:tcW w:w="1564" w:type="dxa"/>
            <w:shd w:val="clear" w:color="auto" w:fill="auto"/>
            <w:vAlign w:val="center"/>
          </w:tcPr>
          <w:p>
            <w:pPr>
              <w:spacing w:line="0" w:lineRule="atLeast"/>
              <w:jc w:val="center"/>
              <w:rPr>
                <w:snapToGrid w:val="0"/>
                <w:color w:val="auto"/>
                <w:kern w:val="0"/>
                <w:lang w:val="zh-CN"/>
              </w:rPr>
            </w:pPr>
            <w:r>
              <w:rPr>
                <w:snapToGrid w:val="0"/>
                <w:color w:val="auto"/>
                <w:kern w:val="0"/>
                <w:lang w:val="zh-CN"/>
              </w:rPr>
              <w:t>环境监测管理</w:t>
            </w:r>
          </w:p>
        </w:tc>
        <w:tc>
          <w:tcPr>
            <w:tcW w:w="5387" w:type="dxa"/>
            <w:shd w:val="clear" w:color="auto" w:fill="auto"/>
            <w:vAlign w:val="center"/>
          </w:tcPr>
          <w:p>
            <w:pPr>
              <w:spacing w:line="0" w:lineRule="atLeast"/>
              <w:jc w:val="center"/>
              <w:rPr>
                <w:snapToGrid w:val="0"/>
                <w:color w:val="auto"/>
                <w:kern w:val="0"/>
                <w:lang w:val="zh-CN"/>
              </w:rPr>
            </w:pPr>
            <w:r>
              <w:rPr>
                <w:snapToGrid w:val="0"/>
                <w:color w:val="auto"/>
                <w:kern w:val="0"/>
                <w:lang w:val="zh-CN"/>
              </w:rPr>
              <w:t>地下水监测井及委托监测</w:t>
            </w:r>
          </w:p>
        </w:tc>
        <w:tc>
          <w:tcPr>
            <w:tcW w:w="1275" w:type="dxa"/>
            <w:shd w:val="clear" w:color="auto" w:fill="auto"/>
            <w:vAlign w:val="center"/>
          </w:tcPr>
          <w:p>
            <w:pPr>
              <w:spacing w:line="0" w:lineRule="atLeast"/>
              <w:jc w:val="center"/>
              <w:rPr>
                <w:snapToGrid w:val="0"/>
                <w:color w:val="auto"/>
                <w:kern w:val="0"/>
                <w:lang w:val="zh-CN"/>
              </w:rPr>
            </w:pPr>
            <w:r>
              <w:rPr>
                <w:rFonts w:hint="eastAsia"/>
                <w:snapToGrid w:val="0"/>
                <w:color w:val="auto"/>
                <w:kern w:val="0"/>
                <w:lang w:val="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dxa"/>
            <w:vMerge w:val="continue"/>
            <w:shd w:val="clear" w:color="auto" w:fill="auto"/>
            <w:vAlign w:val="center"/>
          </w:tcPr>
          <w:p>
            <w:pPr>
              <w:spacing w:line="0" w:lineRule="atLeast"/>
              <w:jc w:val="center"/>
              <w:rPr>
                <w:snapToGrid w:val="0"/>
                <w:color w:val="auto"/>
                <w:kern w:val="0"/>
                <w:lang w:val="zh-CN"/>
              </w:rPr>
            </w:pPr>
          </w:p>
        </w:tc>
        <w:tc>
          <w:tcPr>
            <w:tcW w:w="1564" w:type="dxa"/>
            <w:shd w:val="clear" w:color="auto" w:fill="auto"/>
            <w:vAlign w:val="center"/>
          </w:tcPr>
          <w:p>
            <w:pPr>
              <w:spacing w:line="0" w:lineRule="atLeast"/>
              <w:jc w:val="center"/>
              <w:rPr>
                <w:snapToGrid w:val="0"/>
                <w:color w:val="auto"/>
                <w:kern w:val="0"/>
                <w:lang w:val="zh-CN"/>
              </w:rPr>
            </w:pPr>
            <w:r>
              <w:rPr>
                <w:rFonts w:hint="eastAsia"/>
                <w:snapToGrid w:val="0"/>
                <w:color w:val="auto"/>
                <w:kern w:val="0"/>
                <w:lang w:val="zh-CN"/>
              </w:rPr>
              <w:t>风险</w:t>
            </w:r>
          </w:p>
        </w:tc>
        <w:tc>
          <w:tcPr>
            <w:tcW w:w="5387" w:type="dxa"/>
            <w:shd w:val="clear" w:color="auto" w:fill="auto"/>
            <w:vAlign w:val="center"/>
          </w:tcPr>
          <w:p>
            <w:pPr>
              <w:spacing w:line="0" w:lineRule="atLeast"/>
              <w:jc w:val="center"/>
              <w:rPr>
                <w:snapToGrid w:val="0"/>
                <w:color w:val="auto"/>
                <w:kern w:val="0"/>
                <w:lang w:val="zh-CN"/>
              </w:rPr>
            </w:pPr>
            <w:r>
              <w:rPr>
                <w:rFonts w:hAnsi="宋体"/>
                <w:color w:val="auto"/>
                <w:szCs w:val="21"/>
              </w:rPr>
              <w:t>编制突发环境事件应急预案</w:t>
            </w:r>
          </w:p>
        </w:tc>
        <w:tc>
          <w:tcPr>
            <w:tcW w:w="1275" w:type="dxa"/>
            <w:shd w:val="clear" w:color="auto" w:fill="auto"/>
            <w:vAlign w:val="center"/>
          </w:tcPr>
          <w:p>
            <w:pPr>
              <w:spacing w:line="0" w:lineRule="atLeast"/>
              <w:jc w:val="center"/>
              <w:rPr>
                <w:snapToGrid w:val="0"/>
                <w:color w:val="auto"/>
                <w:kern w:val="0"/>
                <w:lang w:val="zh-CN"/>
              </w:rPr>
            </w:pPr>
            <w:r>
              <w:rPr>
                <w:rFonts w:hint="eastAsia"/>
                <w:snapToGrid w:val="0"/>
                <w:color w:val="auto"/>
                <w:kern w:val="0"/>
                <w:lang w:val="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387" w:type="dxa"/>
            <w:vMerge w:val="continue"/>
            <w:shd w:val="clear" w:color="auto" w:fill="auto"/>
            <w:vAlign w:val="center"/>
          </w:tcPr>
          <w:p>
            <w:pPr>
              <w:spacing w:line="0" w:lineRule="atLeast"/>
              <w:jc w:val="center"/>
              <w:rPr>
                <w:snapToGrid w:val="0"/>
                <w:color w:val="auto"/>
                <w:kern w:val="0"/>
                <w:lang w:val="zh-CN"/>
              </w:rPr>
            </w:pPr>
          </w:p>
        </w:tc>
        <w:tc>
          <w:tcPr>
            <w:tcW w:w="1564" w:type="dxa"/>
            <w:shd w:val="clear" w:color="auto" w:fill="auto"/>
            <w:vAlign w:val="center"/>
          </w:tcPr>
          <w:p>
            <w:pPr>
              <w:spacing w:line="0" w:lineRule="atLeast"/>
              <w:jc w:val="center"/>
              <w:rPr>
                <w:snapToGrid w:val="0"/>
                <w:color w:val="auto"/>
                <w:kern w:val="0"/>
                <w:lang w:val="zh-CN"/>
              </w:rPr>
            </w:pPr>
            <w:r>
              <w:rPr>
                <w:snapToGrid w:val="0"/>
                <w:color w:val="auto"/>
                <w:kern w:val="0"/>
                <w:lang w:val="zh-CN"/>
              </w:rPr>
              <w:t>环保设施运行维护维修费用</w:t>
            </w:r>
          </w:p>
        </w:tc>
        <w:tc>
          <w:tcPr>
            <w:tcW w:w="5387" w:type="dxa"/>
            <w:shd w:val="clear" w:color="auto" w:fill="auto"/>
            <w:vAlign w:val="center"/>
          </w:tcPr>
          <w:p>
            <w:pPr>
              <w:spacing w:line="0" w:lineRule="atLeast"/>
              <w:jc w:val="center"/>
              <w:rPr>
                <w:snapToGrid w:val="0"/>
                <w:color w:val="auto"/>
                <w:kern w:val="0"/>
                <w:lang w:val="zh-CN"/>
              </w:rPr>
            </w:pPr>
            <w:r>
              <w:rPr>
                <w:snapToGrid w:val="0"/>
                <w:color w:val="auto"/>
                <w:kern w:val="0"/>
                <w:lang w:val="zh-CN"/>
              </w:rPr>
              <w:t>运行期各环保设施的运行维护维修费用</w:t>
            </w:r>
          </w:p>
        </w:tc>
        <w:tc>
          <w:tcPr>
            <w:tcW w:w="1275" w:type="dxa"/>
            <w:shd w:val="clear" w:color="auto" w:fill="auto"/>
            <w:vAlign w:val="center"/>
          </w:tcPr>
          <w:p>
            <w:pPr>
              <w:spacing w:line="0" w:lineRule="atLeast"/>
              <w:jc w:val="center"/>
              <w:rPr>
                <w:rFonts w:hint="default" w:eastAsia="宋体"/>
                <w:snapToGrid w:val="0"/>
                <w:color w:val="auto"/>
                <w:kern w:val="0"/>
                <w:lang w:val="en-US" w:eastAsia="zh-CN"/>
              </w:rPr>
            </w:pPr>
            <w:r>
              <w:rPr>
                <w:rFonts w:hint="eastAsia"/>
                <w:snapToGrid w:val="0"/>
                <w:color w:val="auto"/>
                <w:kern w:val="0"/>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1" w:type="dxa"/>
            <w:gridSpan w:val="2"/>
            <w:shd w:val="clear" w:color="auto" w:fill="auto"/>
            <w:vAlign w:val="center"/>
          </w:tcPr>
          <w:p>
            <w:pPr>
              <w:spacing w:line="0" w:lineRule="atLeast"/>
              <w:jc w:val="center"/>
              <w:rPr>
                <w:snapToGrid w:val="0"/>
                <w:color w:val="auto"/>
                <w:kern w:val="0"/>
                <w:lang w:val="zh-CN"/>
              </w:rPr>
            </w:pPr>
            <w:r>
              <w:rPr>
                <w:snapToGrid w:val="0"/>
                <w:color w:val="auto"/>
                <w:kern w:val="0"/>
                <w:lang w:val="zh-CN"/>
              </w:rPr>
              <w:t>合计</w:t>
            </w:r>
          </w:p>
        </w:tc>
        <w:tc>
          <w:tcPr>
            <w:tcW w:w="5387" w:type="dxa"/>
            <w:shd w:val="clear" w:color="auto" w:fill="auto"/>
            <w:vAlign w:val="center"/>
          </w:tcPr>
          <w:p>
            <w:pPr>
              <w:spacing w:line="0" w:lineRule="atLeast"/>
              <w:jc w:val="center"/>
              <w:rPr>
                <w:snapToGrid w:val="0"/>
                <w:color w:val="auto"/>
                <w:kern w:val="0"/>
                <w:lang w:val="zh-CN"/>
              </w:rPr>
            </w:pPr>
            <w:r>
              <w:rPr>
                <w:snapToGrid w:val="0"/>
                <w:color w:val="auto"/>
                <w:kern w:val="0"/>
                <w:lang w:val="zh-CN"/>
              </w:rPr>
              <w:t>/</w:t>
            </w:r>
          </w:p>
        </w:tc>
        <w:tc>
          <w:tcPr>
            <w:tcW w:w="1275" w:type="dxa"/>
            <w:shd w:val="clear" w:color="auto" w:fill="auto"/>
            <w:vAlign w:val="center"/>
          </w:tcPr>
          <w:p>
            <w:pPr>
              <w:spacing w:line="0" w:lineRule="atLeast"/>
              <w:jc w:val="center"/>
              <w:rPr>
                <w:snapToGrid w:val="0"/>
                <w:color w:val="auto"/>
                <w:kern w:val="0"/>
                <w:lang w:val="zh-CN"/>
              </w:rPr>
            </w:pPr>
            <w:r>
              <w:rPr>
                <w:rFonts w:hint="eastAsia"/>
                <w:snapToGrid w:val="0"/>
                <w:color w:val="auto"/>
                <w:kern w:val="0"/>
                <w:lang w:val="zh-CN"/>
              </w:rPr>
              <w:t>351</w:t>
            </w:r>
          </w:p>
        </w:tc>
      </w:tr>
      <w:bookmarkEnd w:id="215"/>
    </w:tbl>
    <w:p>
      <w:pPr>
        <w:spacing w:line="360" w:lineRule="auto"/>
        <w:rPr>
          <w:color w:val="FF0000"/>
          <w:sz w:val="24"/>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widowControl/>
        <w:tabs>
          <w:tab w:val="left" w:leader="middleDot" w:pos="7371"/>
        </w:tabs>
        <w:spacing w:line="360" w:lineRule="auto"/>
        <w:contextualSpacing/>
        <w:jc w:val="left"/>
        <w:outlineLvl w:val="0"/>
        <w:rPr>
          <w:b/>
          <w:color w:val="auto"/>
          <w:kern w:val="0"/>
          <w:sz w:val="32"/>
          <w:szCs w:val="32"/>
        </w:rPr>
      </w:pPr>
      <w:bookmarkStart w:id="216" w:name="_Toc1527"/>
      <w:bookmarkStart w:id="217" w:name="_Toc477954582"/>
      <w:r>
        <w:rPr>
          <w:b/>
          <w:color w:val="auto"/>
          <w:kern w:val="0"/>
          <w:sz w:val="32"/>
          <w:szCs w:val="32"/>
        </w:rPr>
        <w:t>7环境影响经济损益分析</w:t>
      </w:r>
      <w:bookmarkEnd w:id="216"/>
      <w:bookmarkEnd w:id="217"/>
    </w:p>
    <w:p>
      <w:pPr>
        <w:spacing w:line="360" w:lineRule="auto"/>
        <w:contextualSpacing/>
        <w:jc w:val="left"/>
        <w:outlineLvl w:val="1"/>
        <w:rPr>
          <w:b/>
          <w:bCs/>
          <w:color w:val="auto"/>
          <w:kern w:val="44"/>
          <w:sz w:val="30"/>
          <w:szCs w:val="30"/>
        </w:rPr>
      </w:pPr>
      <w:bookmarkStart w:id="218" w:name="_Toc477954583"/>
      <w:bookmarkStart w:id="219" w:name="_Toc369009159"/>
      <w:bookmarkStart w:id="220" w:name="_Toc31075"/>
      <w:r>
        <w:rPr>
          <w:b/>
          <w:bCs/>
          <w:color w:val="auto"/>
          <w:kern w:val="44"/>
          <w:sz w:val="30"/>
          <w:szCs w:val="30"/>
        </w:rPr>
        <w:t>7.1</w:t>
      </w:r>
      <w:bookmarkEnd w:id="218"/>
      <w:bookmarkEnd w:id="219"/>
      <w:r>
        <w:rPr>
          <w:b/>
          <w:bCs/>
          <w:color w:val="auto"/>
          <w:kern w:val="44"/>
          <w:sz w:val="30"/>
          <w:szCs w:val="30"/>
        </w:rPr>
        <w:t>社会经济效益分析</w:t>
      </w:r>
      <w:bookmarkEnd w:id="220"/>
    </w:p>
    <w:p>
      <w:pPr>
        <w:spacing w:line="360" w:lineRule="auto"/>
        <w:ind w:firstLine="480" w:firstLineChars="200"/>
        <w:contextualSpacing/>
        <w:rPr>
          <w:color w:val="auto"/>
          <w:sz w:val="24"/>
        </w:rPr>
      </w:pPr>
      <w:r>
        <w:rPr>
          <w:color w:val="auto"/>
          <w:sz w:val="24"/>
        </w:rPr>
        <w:t>本项目的实施不仅能促进周边地区养殖业的发展，而且还将促进相关辅助产业的发展。如促进</w:t>
      </w:r>
      <w:r>
        <w:rPr>
          <w:rFonts w:hint="eastAsia"/>
          <w:color w:val="auto"/>
          <w:sz w:val="24"/>
        </w:rPr>
        <w:t>养殖、</w:t>
      </w:r>
      <w:r>
        <w:rPr>
          <w:color w:val="auto"/>
          <w:sz w:val="24"/>
        </w:rPr>
        <w:t>饲料加工、包装材料、物资流通等方面的发展，同时还可解决剩余劳动力和下岗职工的再就业问题。对促进</w:t>
      </w:r>
      <w:r>
        <w:rPr>
          <w:rFonts w:hint="eastAsia"/>
          <w:color w:val="auto"/>
          <w:sz w:val="24"/>
          <w:lang w:eastAsia="zh-CN"/>
        </w:rPr>
        <w:t>尚志市</w:t>
      </w:r>
      <w:r>
        <w:rPr>
          <w:color w:val="auto"/>
          <w:sz w:val="24"/>
        </w:rPr>
        <w:t>的经济发展和稳定社会秩序具有重要意义。</w:t>
      </w:r>
    </w:p>
    <w:p>
      <w:pPr>
        <w:spacing w:line="360" w:lineRule="auto"/>
        <w:ind w:firstLine="480" w:firstLineChars="200"/>
        <w:contextualSpacing/>
        <w:rPr>
          <w:color w:val="auto"/>
          <w:sz w:val="24"/>
        </w:rPr>
      </w:pPr>
      <w:r>
        <w:rPr>
          <w:color w:val="auto"/>
          <w:sz w:val="24"/>
        </w:rPr>
        <w:t>本项目利用当地资源进行加工，减少了运输成本，提高了原料质量，产品将进一步占领</w:t>
      </w:r>
      <w:r>
        <w:rPr>
          <w:rFonts w:hint="eastAsia"/>
          <w:color w:val="auto"/>
          <w:sz w:val="24"/>
          <w:lang w:val="en-US" w:eastAsia="zh-CN"/>
        </w:rPr>
        <w:t>尚志市</w:t>
      </w:r>
      <w:r>
        <w:rPr>
          <w:color w:val="auto"/>
          <w:sz w:val="24"/>
        </w:rPr>
        <w:t>等地市场，扩大了产品的覆盖面。该项目的实施后，其经济效益和社会效益都十分显著。因此，本项目的建设实施是非常必要。</w:t>
      </w:r>
    </w:p>
    <w:p>
      <w:pPr>
        <w:spacing w:line="360" w:lineRule="auto"/>
        <w:contextualSpacing/>
        <w:jc w:val="left"/>
        <w:outlineLvl w:val="1"/>
        <w:rPr>
          <w:b/>
          <w:bCs/>
          <w:color w:val="auto"/>
          <w:kern w:val="44"/>
          <w:sz w:val="30"/>
          <w:szCs w:val="30"/>
        </w:rPr>
      </w:pPr>
      <w:bookmarkStart w:id="221" w:name="_Toc6464"/>
      <w:r>
        <w:rPr>
          <w:b/>
          <w:bCs/>
          <w:color w:val="auto"/>
          <w:kern w:val="44"/>
          <w:sz w:val="30"/>
          <w:szCs w:val="30"/>
        </w:rPr>
        <w:t>7.2经济</w:t>
      </w:r>
      <w:r>
        <w:rPr>
          <w:rFonts w:hint="eastAsia"/>
          <w:b/>
          <w:bCs/>
          <w:color w:val="auto"/>
          <w:kern w:val="44"/>
          <w:sz w:val="30"/>
          <w:szCs w:val="30"/>
        </w:rPr>
        <w:t>效益</w:t>
      </w:r>
      <w:r>
        <w:rPr>
          <w:b/>
          <w:bCs/>
          <w:color w:val="auto"/>
          <w:kern w:val="44"/>
          <w:sz w:val="30"/>
          <w:szCs w:val="30"/>
        </w:rPr>
        <w:t>分析</w:t>
      </w:r>
      <w:bookmarkEnd w:id="221"/>
    </w:p>
    <w:p>
      <w:pPr>
        <w:pStyle w:val="74"/>
        <w:adjustRightInd/>
        <w:snapToGrid/>
        <w:contextualSpacing/>
        <w:jc w:val="both"/>
        <w:rPr>
          <w:rFonts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本项目总投资</w:t>
      </w:r>
      <w:r>
        <w:rPr>
          <w:rFonts w:hint="eastAsia" w:ascii="Times New Roman" w:hAnsi="Times New Roman" w:eastAsia="宋体" w:cs="Times New Roman"/>
          <w:color w:val="auto"/>
          <w:kern w:val="0"/>
          <w:sz w:val="24"/>
          <w:szCs w:val="24"/>
          <w:lang w:val="en-US" w:eastAsia="zh-CN" w:bidi="ar"/>
        </w:rPr>
        <w:t>50</w:t>
      </w:r>
      <w:r>
        <w:rPr>
          <w:rFonts w:hint="default" w:ascii="Times New Roman" w:hAnsi="Times New Roman" w:eastAsia="宋体" w:cs="Times New Roman"/>
          <w:color w:val="auto"/>
          <w:kern w:val="0"/>
          <w:sz w:val="24"/>
          <w:szCs w:val="24"/>
          <w:lang w:val="en-US" w:eastAsia="zh-CN" w:bidi="ar"/>
        </w:rPr>
        <w:t>00万元，项目建成后，可拉动区域GDP增长，增加地方和国家财政收入，带动地方农牧业发展，促进地方经济发展，具有显著的经济效益。项目的落户，带动了周围地区交通运输业、第三产业等行业的发展。同时，项目的建设为吸引外来投资提供了一个良好的环保基础设施保障，改善了当地和周围地区的投资环境，有利于吸引外来投资。</w:t>
      </w:r>
    </w:p>
    <w:p>
      <w:pPr>
        <w:spacing w:line="360" w:lineRule="auto"/>
        <w:contextualSpacing/>
        <w:jc w:val="left"/>
        <w:outlineLvl w:val="1"/>
        <w:rPr>
          <w:b/>
          <w:bCs/>
          <w:color w:val="auto"/>
          <w:kern w:val="44"/>
          <w:sz w:val="30"/>
          <w:szCs w:val="30"/>
        </w:rPr>
      </w:pPr>
      <w:bookmarkStart w:id="222" w:name="_Toc15991709"/>
      <w:bookmarkStart w:id="223" w:name="_Toc5241"/>
      <w:bookmarkStart w:id="224" w:name="_Toc528847181"/>
      <w:r>
        <w:rPr>
          <w:b/>
          <w:bCs/>
          <w:color w:val="auto"/>
          <w:kern w:val="44"/>
          <w:sz w:val="30"/>
          <w:szCs w:val="30"/>
        </w:rPr>
        <w:t>7.3环境效益分析</w:t>
      </w:r>
      <w:bookmarkEnd w:id="222"/>
      <w:bookmarkEnd w:id="223"/>
      <w:bookmarkEnd w:id="224"/>
    </w:p>
    <w:p>
      <w:pPr>
        <w:pStyle w:val="5"/>
        <w:spacing w:before="0" w:after="0" w:line="360" w:lineRule="auto"/>
        <w:ind w:firstLine="0" w:firstLineChars="0"/>
        <w:contextualSpacing/>
        <w:rPr>
          <w:rFonts w:ascii="Times New Roman" w:hAnsi="Times New Roman" w:cs="Times New Roman"/>
          <w:b/>
          <w:color w:val="auto"/>
          <w:sz w:val="28"/>
          <w:szCs w:val="28"/>
        </w:rPr>
      </w:pPr>
      <w:bookmarkStart w:id="225" w:name="_Toc528847182"/>
      <w:bookmarkStart w:id="226" w:name="_Toc15991710"/>
      <w:r>
        <w:rPr>
          <w:rFonts w:ascii="Times New Roman" w:hAnsi="Times New Roman" w:cs="Times New Roman"/>
          <w:b/>
          <w:color w:val="auto"/>
          <w:sz w:val="28"/>
          <w:szCs w:val="28"/>
        </w:rPr>
        <w:t>7.3.1有利影响</w:t>
      </w:r>
      <w:bookmarkEnd w:id="225"/>
      <w:bookmarkEnd w:id="226"/>
    </w:p>
    <w:p>
      <w:pPr>
        <w:pStyle w:val="74"/>
        <w:adjustRightInd/>
        <w:snapToGrid/>
        <w:rPr>
          <w:color w:val="auto"/>
        </w:rPr>
      </w:pPr>
      <w:r>
        <w:rPr>
          <w:color w:val="auto"/>
        </w:rPr>
        <w:t>本项目在设计中充分考虑了环境保护的要求，严格执行各项环境保护标准。遵循清洁生产的原则和循环经济理念，针对在生产过程中产生的污染物，从实际出发采取多种相应的治理措施，确保达标排放和总量控制要求。与此同时，采用先进的生产技术和设备，最大限度地提高水资源利用率，降低单位产品的水污染物产生量</w:t>
      </w:r>
      <w:r>
        <w:rPr>
          <w:rFonts w:ascii="Times New Roman" w:hAnsi="Times New Roman" w:eastAsia="宋体" w:cs="Times New Roman"/>
          <w:color w:val="auto"/>
        </w:rPr>
        <w:t>。</w:t>
      </w:r>
    </w:p>
    <w:p>
      <w:pPr>
        <w:pStyle w:val="5"/>
        <w:spacing w:before="0" w:after="0" w:line="360" w:lineRule="auto"/>
        <w:ind w:firstLine="0" w:firstLineChars="0"/>
        <w:contextualSpacing/>
        <w:rPr>
          <w:rFonts w:ascii="Times New Roman" w:hAnsi="Times New Roman" w:cs="Times New Roman"/>
          <w:b/>
          <w:color w:val="auto"/>
          <w:sz w:val="28"/>
          <w:szCs w:val="28"/>
        </w:rPr>
      </w:pPr>
      <w:bookmarkStart w:id="227" w:name="_Toc15991711"/>
      <w:bookmarkStart w:id="228" w:name="_Toc528847183"/>
      <w:r>
        <w:rPr>
          <w:rFonts w:ascii="Times New Roman" w:hAnsi="Times New Roman" w:cs="Times New Roman"/>
          <w:b/>
          <w:color w:val="auto"/>
          <w:sz w:val="28"/>
          <w:szCs w:val="28"/>
        </w:rPr>
        <w:t>7.3.2不利影响</w:t>
      </w:r>
      <w:bookmarkEnd w:id="227"/>
      <w:bookmarkEnd w:id="228"/>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w:t>
      </w:r>
      <w:r>
        <w:rPr>
          <w:rFonts w:hint="eastAsia" w:ascii="Times New Roman" w:hAnsi="Times New Roman" w:eastAsia="宋体" w:cs="Times New Roman"/>
          <w:color w:val="auto"/>
        </w:rPr>
        <w:t>1</w:t>
      </w:r>
      <w:r>
        <w:rPr>
          <w:rFonts w:ascii="Times New Roman" w:hAnsi="Times New Roman" w:eastAsia="宋体" w:cs="Times New Roman"/>
          <w:color w:val="auto"/>
        </w:rPr>
        <w:t>）本项目产生的废水</w:t>
      </w:r>
      <w:r>
        <w:rPr>
          <w:rFonts w:hint="eastAsia" w:ascii="Times New Roman" w:hAnsi="Times New Roman" w:eastAsia="宋体" w:cs="Times New Roman"/>
          <w:color w:val="auto"/>
        </w:rPr>
        <w:t>经厂区污水处理站</w:t>
      </w:r>
      <w:r>
        <w:rPr>
          <w:rFonts w:ascii="Times New Roman" w:hAnsi="Times New Roman" w:eastAsia="宋体" w:cs="Times New Roman"/>
          <w:color w:val="auto"/>
        </w:rPr>
        <w:t>处理后达到</w:t>
      </w:r>
      <w:r>
        <w:rPr>
          <w:rFonts w:ascii="Times New Roman" w:hAnsi="Times New Roman" w:eastAsia="宋体" w:cs="Times New Roman"/>
          <w:bCs/>
          <w:color w:val="auto"/>
        </w:rPr>
        <w:t>《肉类加工工业水污染物排放标准》（GB13457-92）表3三级畜类屠宰加工标准限值，</w:t>
      </w:r>
      <w:r>
        <w:rPr>
          <w:rFonts w:hint="eastAsia" w:ascii="Times New Roman" w:hAnsi="Times New Roman" w:eastAsia="宋体" w:cs="Times New Roman"/>
          <w:bCs/>
          <w:color w:val="auto"/>
        </w:rPr>
        <w:t>暂存</w:t>
      </w:r>
      <w:r>
        <w:rPr>
          <w:rFonts w:ascii="Times New Roman" w:hAnsi="Times New Roman" w:eastAsia="宋体" w:cs="Times New Roman"/>
          <w:bCs/>
          <w:color w:val="auto"/>
        </w:rPr>
        <w:t>于贮水池，</w:t>
      </w:r>
      <w:r>
        <w:rPr>
          <w:rFonts w:hint="eastAsia" w:ascii="Times New Roman" w:hAnsi="Times New Roman" w:eastAsia="宋体" w:cs="Times New Roman"/>
          <w:bCs/>
          <w:color w:val="auto"/>
        </w:rPr>
        <w:t>每天</w:t>
      </w:r>
      <w:r>
        <w:rPr>
          <w:rFonts w:ascii="Times New Roman" w:hAnsi="Times New Roman" w:eastAsia="宋体" w:cs="Times New Roman"/>
          <w:bCs/>
          <w:color w:val="auto"/>
        </w:rPr>
        <w:t>采用专用罐车</w:t>
      </w:r>
      <w:r>
        <w:rPr>
          <w:rFonts w:hint="eastAsia" w:ascii="Times New Roman" w:hAnsi="Times New Roman" w:eastAsia="宋体" w:cs="Times New Roman"/>
          <w:bCs/>
          <w:color w:val="auto"/>
        </w:rPr>
        <w:t>运至</w:t>
      </w:r>
      <w:r>
        <w:rPr>
          <w:rFonts w:hint="eastAsia" w:ascii="Times New Roman" w:hAnsi="Times New Roman" w:eastAsia="宋体" w:cs="Times New Roman"/>
          <w:bCs/>
          <w:color w:val="auto"/>
          <w:lang w:eastAsia="zh-CN"/>
        </w:rPr>
        <w:t>尚志污水处理厂</w:t>
      </w:r>
      <w:r>
        <w:rPr>
          <w:rFonts w:ascii="Times New Roman" w:hAnsi="Times New Roman" w:eastAsia="宋体" w:cs="Times New Roman"/>
          <w:bCs/>
          <w:color w:val="auto"/>
        </w:rPr>
        <w:t>，经处理后排入</w:t>
      </w:r>
      <w:r>
        <w:rPr>
          <w:rFonts w:hint="eastAsia" w:ascii="Times New Roman" w:hAnsi="Times New Roman" w:eastAsia="宋体" w:cs="Times New Roman"/>
          <w:bCs/>
          <w:color w:val="auto"/>
          <w:lang w:eastAsia="zh-CN"/>
        </w:rPr>
        <w:t>乌珠河</w:t>
      </w:r>
      <w:r>
        <w:rPr>
          <w:rFonts w:ascii="Times New Roman" w:hAnsi="Times New Roman" w:eastAsia="宋体" w:cs="Times New Roman"/>
          <w:bCs/>
          <w:color w:val="auto"/>
        </w:rPr>
        <w:t>，最终进入</w:t>
      </w:r>
      <w:r>
        <w:rPr>
          <w:rFonts w:hint="eastAsia" w:ascii="Times New Roman" w:hAnsi="Times New Roman" w:eastAsia="宋体" w:cs="Times New Roman"/>
          <w:bCs/>
          <w:color w:val="auto"/>
          <w:lang w:val="en-US" w:eastAsia="zh-CN"/>
        </w:rPr>
        <w:t>蚂蚁河</w:t>
      </w:r>
      <w:r>
        <w:rPr>
          <w:rFonts w:hint="eastAsia" w:ascii="Times New Roman" w:hAnsi="Times New Roman" w:eastAsia="宋体" w:cs="Times New Roman"/>
          <w:color w:val="auto"/>
        </w:rPr>
        <w:t>，</w:t>
      </w:r>
      <w:r>
        <w:rPr>
          <w:rFonts w:ascii="Times New Roman" w:hAnsi="Times New Roman" w:eastAsia="宋体" w:cs="Times New Roman"/>
          <w:color w:val="auto"/>
        </w:rPr>
        <w:t>因此正常情况下对地表水无不利影响。</w:t>
      </w:r>
    </w:p>
    <w:p>
      <w:pPr>
        <w:pStyle w:val="74"/>
        <w:adjustRightInd/>
        <w:snapToGrid/>
        <w:contextualSpacing/>
        <w:jc w:val="both"/>
        <w:rPr>
          <w:rFonts w:ascii="Times New Roman" w:hAnsi="Times New Roman" w:eastAsia="宋体" w:cs="Times New Roman"/>
          <w:snapToGrid w:val="0"/>
          <w:color w:val="auto"/>
        </w:rPr>
      </w:pPr>
      <w:r>
        <w:rPr>
          <w:rFonts w:ascii="Times New Roman" w:hAnsi="Times New Roman" w:eastAsia="宋体" w:cs="Times New Roman"/>
          <w:color w:val="auto"/>
        </w:rPr>
        <w:t>（</w:t>
      </w:r>
      <w:r>
        <w:rPr>
          <w:rFonts w:hint="eastAsia" w:ascii="Times New Roman" w:hAnsi="Times New Roman" w:eastAsia="宋体" w:cs="Times New Roman"/>
          <w:color w:val="auto"/>
        </w:rPr>
        <w:t>2</w:t>
      </w:r>
      <w:r>
        <w:rPr>
          <w:rFonts w:ascii="Times New Roman" w:hAnsi="Times New Roman" w:eastAsia="宋体" w:cs="Times New Roman"/>
          <w:color w:val="auto"/>
        </w:rPr>
        <w:t>）项目在运行后，所有污染物均可达标排放，对敏感点的影响很小。</w:t>
      </w:r>
    </w:p>
    <w:p>
      <w:pPr>
        <w:spacing w:line="360" w:lineRule="auto"/>
        <w:ind w:firstLine="480" w:firstLineChars="200"/>
        <w:contextualSpacing/>
        <w:rPr>
          <w:color w:val="auto"/>
          <w:sz w:val="24"/>
        </w:rPr>
      </w:pPr>
      <w:r>
        <w:rPr>
          <w:color w:val="auto"/>
          <w:sz w:val="24"/>
        </w:rPr>
        <w:t>（</w:t>
      </w:r>
      <w:r>
        <w:rPr>
          <w:rFonts w:hint="eastAsia"/>
          <w:color w:val="auto"/>
          <w:sz w:val="24"/>
        </w:rPr>
        <w:t>3</w:t>
      </w:r>
      <w:r>
        <w:rPr>
          <w:color w:val="auto"/>
          <w:sz w:val="24"/>
        </w:rPr>
        <w:t>）项目产生的固体废物大部分可以综合利用。</w:t>
      </w:r>
    </w:p>
    <w:p>
      <w:pPr>
        <w:spacing w:line="360" w:lineRule="auto"/>
        <w:ind w:firstLine="480" w:firstLineChars="200"/>
        <w:contextualSpacing/>
        <w:rPr>
          <w:color w:val="auto"/>
          <w:sz w:val="24"/>
        </w:rPr>
      </w:pPr>
      <w:r>
        <w:rPr>
          <w:color w:val="auto"/>
          <w:sz w:val="24"/>
        </w:rPr>
        <w:t>（</w:t>
      </w:r>
      <w:r>
        <w:rPr>
          <w:rFonts w:hint="eastAsia"/>
          <w:color w:val="auto"/>
          <w:sz w:val="24"/>
        </w:rPr>
        <w:t>4</w:t>
      </w:r>
      <w:r>
        <w:rPr>
          <w:color w:val="auto"/>
          <w:sz w:val="24"/>
        </w:rPr>
        <w:t>）在设备选型时，选用低噪声设备，并采取</w:t>
      </w:r>
      <w:r>
        <w:rPr>
          <w:rFonts w:hint="eastAsia"/>
          <w:color w:val="auto"/>
          <w:sz w:val="24"/>
        </w:rPr>
        <w:t>隔声</w:t>
      </w:r>
      <w:r>
        <w:rPr>
          <w:color w:val="auto"/>
          <w:sz w:val="24"/>
        </w:rPr>
        <w:t>、减振等措施，减少噪声对环境的影响。</w:t>
      </w:r>
    </w:p>
    <w:p>
      <w:pPr>
        <w:spacing w:line="360" w:lineRule="auto"/>
        <w:ind w:firstLine="480" w:firstLineChars="200"/>
        <w:contextualSpacing/>
        <w:rPr>
          <w:color w:val="auto"/>
        </w:rPr>
      </w:pPr>
      <w:r>
        <w:rPr>
          <w:color w:val="auto"/>
          <w:sz w:val="24"/>
        </w:rPr>
        <w:t>由此可见，本项目的环境效益明显，满足达标排放和总量控制要求，并为现有环境所接受。并且，环保设施的经济效益不仅表现在其创造了多少产值，还表现在它的间接经济效益即环保设施的有效运行保证了人类良好的生活条件、生存环境和生产活动的可持续发展以及由此创造的可观经济效益。从该意义上讲，项目环保设施的间接经济效益是非常明显的。</w:t>
      </w:r>
    </w:p>
    <w:p>
      <w:pPr>
        <w:pStyle w:val="5"/>
        <w:spacing w:before="0" w:after="0" w:line="360" w:lineRule="auto"/>
        <w:ind w:firstLine="0" w:firstLineChars="0"/>
        <w:contextualSpacing/>
        <w:rPr>
          <w:rFonts w:ascii="Times New Roman" w:hAnsi="Times New Roman" w:cs="Times New Roman"/>
          <w:b/>
          <w:color w:val="auto"/>
          <w:sz w:val="28"/>
          <w:szCs w:val="28"/>
        </w:rPr>
      </w:pPr>
      <w:bookmarkStart w:id="229" w:name="_Toc528847185"/>
      <w:bookmarkStart w:id="230" w:name="_Toc15991713"/>
      <w:r>
        <w:rPr>
          <w:rFonts w:ascii="Times New Roman" w:hAnsi="Times New Roman" w:cs="Times New Roman"/>
          <w:b/>
          <w:color w:val="auto"/>
          <w:sz w:val="28"/>
          <w:szCs w:val="28"/>
        </w:rPr>
        <w:t>7.3.</w:t>
      </w:r>
      <w:r>
        <w:rPr>
          <w:rFonts w:hint="eastAsia" w:ascii="Times New Roman" w:hAnsi="Times New Roman" w:cs="Times New Roman"/>
          <w:b/>
          <w:color w:val="auto"/>
          <w:sz w:val="28"/>
          <w:szCs w:val="28"/>
          <w:lang w:val="en-US" w:eastAsia="zh-CN"/>
        </w:rPr>
        <w:t>3</w:t>
      </w:r>
      <w:r>
        <w:rPr>
          <w:rFonts w:ascii="Times New Roman" w:hAnsi="Times New Roman" w:cs="Times New Roman"/>
          <w:b/>
          <w:color w:val="auto"/>
          <w:sz w:val="28"/>
          <w:szCs w:val="28"/>
        </w:rPr>
        <w:t>环境效益分析</w:t>
      </w:r>
      <w:bookmarkEnd w:id="229"/>
      <w:bookmarkEnd w:id="230"/>
    </w:p>
    <w:p>
      <w:pPr>
        <w:spacing w:line="360" w:lineRule="auto"/>
        <w:ind w:firstLine="480" w:firstLineChars="200"/>
        <w:contextualSpacing/>
        <w:rPr>
          <w:color w:val="auto"/>
          <w:sz w:val="24"/>
        </w:rPr>
      </w:pPr>
      <w:r>
        <w:rPr>
          <w:color w:val="auto"/>
          <w:sz w:val="24"/>
        </w:rPr>
        <w:t>本项目工程环境保护投资约为</w:t>
      </w:r>
      <w:r>
        <w:rPr>
          <w:rFonts w:hint="eastAsia"/>
          <w:color w:val="auto"/>
          <w:sz w:val="24"/>
          <w:lang w:eastAsia="zh-CN"/>
        </w:rPr>
        <w:t>351</w:t>
      </w:r>
      <w:r>
        <w:rPr>
          <w:color w:val="auto"/>
          <w:sz w:val="24"/>
        </w:rPr>
        <w:t>万元，通过采取可行的环境保护措施，项目建设的环境影响可以接受，环保投资比较明显。</w:t>
      </w:r>
    </w:p>
    <w:p>
      <w:pPr>
        <w:spacing w:line="360" w:lineRule="auto"/>
        <w:ind w:firstLine="480" w:firstLineChars="200"/>
        <w:contextualSpacing/>
        <w:rPr>
          <w:color w:val="auto"/>
          <w:sz w:val="24"/>
        </w:rPr>
      </w:pPr>
      <w:r>
        <w:rPr>
          <w:color w:val="auto"/>
          <w:sz w:val="24"/>
        </w:rPr>
        <w:t>（1）废气处置</w:t>
      </w:r>
    </w:p>
    <w:p>
      <w:pPr>
        <w:spacing w:line="360" w:lineRule="auto"/>
        <w:ind w:firstLine="480" w:firstLineChars="200"/>
        <w:contextualSpacing/>
        <w:rPr>
          <w:rFonts w:hint="default" w:eastAsia="宋体"/>
          <w:color w:val="auto"/>
          <w:sz w:val="24"/>
          <w:lang w:val="en-US" w:eastAsia="zh-CN"/>
        </w:rPr>
      </w:pPr>
      <w:r>
        <w:rPr>
          <w:color w:val="auto"/>
          <w:sz w:val="24"/>
        </w:rPr>
        <w:t>本项目待宰</w:t>
      </w:r>
      <w:r>
        <w:rPr>
          <w:rFonts w:hint="eastAsia"/>
          <w:color w:val="auto"/>
          <w:sz w:val="24"/>
        </w:rPr>
        <w:t>间采取干清粪工艺，日产日清</w:t>
      </w:r>
      <w:r>
        <w:rPr>
          <w:color w:val="auto"/>
          <w:sz w:val="24"/>
        </w:rPr>
        <w:t>，并投加或喷洒除臭剂</w:t>
      </w:r>
      <w:r>
        <w:rPr>
          <w:rFonts w:hint="eastAsia"/>
          <w:color w:val="auto"/>
          <w:sz w:val="24"/>
        </w:rPr>
        <w:t>可有效去除恶臭污染物浓度，且</w:t>
      </w:r>
      <w:r>
        <w:rPr>
          <w:color w:val="auto"/>
          <w:sz w:val="24"/>
        </w:rPr>
        <w:t>待宰</w:t>
      </w:r>
      <w:r>
        <w:rPr>
          <w:rFonts w:hint="eastAsia"/>
          <w:color w:val="auto"/>
          <w:sz w:val="24"/>
        </w:rPr>
        <w:t>间封闭，</w:t>
      </w:r>
      <w:r>
        <w:rPr>
          <w:bCs/>
          <w:color w:val="auto"/>
          <w:sz w:val="24"/>
        </w:rPr>
        <w:t>产生的</w:t>
      </w:r>
      <w:r>
        <w:rPr>
          <w:rFonts w:hint="eastAsia"/>
          <w:bCs/>
          <w:color w:val="auto"/>
          <w:sz w:val="24"/>
        </w:rPr>
        <w:t>恶臭气体</w:t>
      </w:r>
      <w:r>
        <w:rPr>
          <w:bCs/>
          <w:color w:val="auto"/>
          <w:sz w:val="24"/>
        </w:rPr>
        <w:t>经负压集中收集后，通过活性炭吸附净化后由15m高排气筒排放</w:t>
      </w:r>
      <w:r>
        <w:rPr>
          <w:color w:val="auto"/>
          <w:sz w:val="24"/>
        </w:rPr>
        <w:t>。屠宰车间封闭建设，</w:t>
      </w:r>
      <w:r>
        <w:rPr>
          <w:bCs/>
          <w:color w:val="auto"/>
          <w:sz w:val="24"/>
        </w:rPr>
        <w:t>产生的恶臭气体经负压集中收集后，通过活性炭吸附净化后由15m高排气筒排放</w:t>
      </w:r>
      <w:r>
        <w:rPr>
          <w:color w:val="auto"/>
          <w:sz w:val="24"/>
        </w:rPr>
        <w:t>。</w:t>
      </w:r>
      <w:r>
        <w:rPr>
          <w:bCs/>
          <w:color w:val="auto"/>
          <w:sz w:val="24"/>
        </w:rPr>
        <w:t>污水处理站封闭，产生的恶臭气体经负压集中收集后，通过活性炭吸附净化后由15m高排气筒排放</w:t>
      </w:r>
      <w:r>
        <w:rPr>
          <w:rFonts w:hint="eastAsia"/>
          <w:color w:val="auto"/>
          <w:sz w:val="24"/>
        </w:rPr>
        <w:t>。</w:t>
      </w:r>
      <w:r>
        <w:rPr>
          <w:color w:val="auto"/>
          <w:sz w:val="24"/>
        </w:rPr>
        <w:t>食堂油烟经油烟净化器处理后经高于楼顶的专用烟道排放。</w:t>
      </w:r>
      <w:r>
        <w:rPr>
          <w:rFonts w:hint="eastAsia"/>
          <w:color w:val="auto"/>
          <w:sz w:val="24"/>
          <w:lang w:val="en-US" w:eastAsia="zh-CN"/>
        </w:rPr>
        <w:t>锅炉烟气通过布袋除尘器处理后</w:t>
      </w:r>
      <w:r>
        <w:rPr>
          <w:rFonts w:hint="default" w:ascii="Times New Roman" w:hAnsi="Times New Roman" w:cs="Times New Roman"/>
          <w:bCs/>
          <w:color w:val="auto"/>
          <w:sz w:val="24"/>
          <w:lang w:val="en-US" w:eastAsia="zh-CN"/>
        </w:rPr>
        <w:t>经</w:t>
      </w:r>
      <w:r>
        <w:rPr>
          <w:rFonts w:hint="eastAsia" w:cs="Times New Roman"/>
          <w:bCs/>
          <w:color w:val="auto"/>
          <w:sz w:val="24"/>
          <w:lang w:val="en-US" w:eastAsia="zh-CN"/>
        </w:rPr>
        <w:t>30m</w:t>
      </w:r>
      <w:r>
        <w:rPr>
          <w:rFonts w:hint="default" w:ascii="Times New Roman" w:hAnsi="Times New Roman" w:cs="Times New Roman"/>
          <w:bCs/>
          <w:color w:val="auto"/>
          <w:sz w:val="24"/>
          <w:lang w:val="en-US" w:eastAsia="zh-CN"/>
        </w:rPr>
        <w:t>高烟囱排放</w:t>
      </w:r>
      <w:r>
        <w:rPr>
          <w:rFonts w:hint="eastAsia" w:ascii="Times New Roman" w:hAnsi="Times New Roman" w:cs="Times New Roman"/>
          <w:bCs/>
          <w:color w:val="auto"/>
          <w:sz w:val="24"/>
          <w:lang w:val="en-US" w:eastAsia="zh-CN"/>
        </w:rPr>
        <w:t>。</w:t>
      </w:r>
    </w:p>
    <w:p>
      <w:pPr>
        <w:spacing w:line="360" w:lineRule="auto"/>
        <w:ind w:firstLine="480" w:firstLineChars="200"/>
        <w:contextualSpacing/>
        <w:rPr>
          <w:color w:val="auto"/>
          <w:sz w:val="24"/>
        </w:rPr>
      </w:pPr>
      <w:r>
        <w:rPr>
          <w:color w:val="auto"/>
          <w:sz w:val="24"/>
        </w:rPr>
        <w:t>（2）水环境保护</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本项目废水经</w:t>
      </w:r>
      <w:r>
        <w:rPr>
          <w:rFonts w:hint="eastAsia" w:ascii="Times New Roman" w:hAnsi="Times New Roman" w:eastAsia="宋体" w:cs="Times New Roman"/>
          <w:color w:val="auto"/>
        </w:rPr>
        <w:t>厂区污水处理站</w:t>
      </w:r>
      <w:r>
        <w:rPr>
          <w:rFonts w:ascii="Times New Roman" w:hAnsi="Times New Roman" w:eastAsia="宋体" w:cs="Times New Roman"/>
          <w:color w:val="auto"/>
        </w:rPr>
        <w:t>处理后达到</w:t>
      </w:r>
      <w:r>
        <w:rPr>
          <w:rFonts w:ascii="Times New Roman" w:hAnsi="Times New Roman" w:eastAsia="宋体" w:cs="Times New Roman"/>
          <w:bCs/>
          <w:color w:val="auto"/>
        </w:rPr>
        <w:t>《肉类加工工业水污染物排放标准》（GB13457-92）表3三级畜类屠宰加工标准限值，</w:t>
      </w:r>
      <w:r>
        <w:rPr>
          <w:rFonts w:hint="eastAsia" w:ascii="Times New Roman" w:hAnsi="Times New Roman" w:eastAsia="宋体" w:cs="Times New Roman"/>
          <w:bCs/>
          <w:color w:val="auto"/>
        </w:rPr>
        <w:t>暂存</w:t>
      </w:r>
      <w:r>
        <w:rPr>
          <w:rFonts w:ascii="Times New Roman" w:hAnsi="Times New Roman" w:eastAsia="宋体" w:cs="Times New Roman"/>
          <w:bCs/>
          <w:color w:val="auto"/>
        </w:rPr>
        <w:t>于贮水池，</w:t>
      </w:r>
      <w:r>
        <w:rPr>
          <w:rFonts w:hint="eastAsia" w:ascii="Times New Roman" w:hAnsi="Times New Roman" w:eastAsia="宋体" w:cs="Times New Roman"/>
          <w:bCs/>
          <w:color w:val="auto"/>
        </w:rPr>
        <w:t>每天</w:t>
      </w:r>
      <w:r>
        <w:rPr>
          <w:rFonts w:ascii="Times New Roman" w:hAnsi="Times New Roman" w:eastAsia="宋体" w:cs="Times New Roman"/>
          <w:bCs/>
          <w:color w:val="auto"/>
        </w:rPr>
        <w:t>采用专用罐车</w:t>
      </w:r>
      <w:r>
        <w:rPr>
          <w:rFonts w:hint="eastAsia" w:ascii="Times New Roman" w:hAnsi="Times New Roman" w:eastAsia="宋体" w:cs="Times New Roman"/>
          <w:bCs/>
          <w:color w:val="auto"/>
        </w:rPr>
        <w:t>运至</w:t>
      </w:r>
      <w:r>
        <w:rPr>
          <w:rFonts w:hint="eastAsia" w:ascii="Times New Roman" w:hAnsi="Times New Roman" w:eastAsia="宋体" w:cs="Times New Roman"/>
          <w:bCs/>
          <w:color w:val="auto"/>
          <w:lang w:eastAsia="zh-CN"/>
        </w:rPr>
        <w:t>尚志污水处理厂</w:t>
      </w:r>
      <w:r>
        <w:rPr>
          <w:rFonts w:ascii="Times New Roman" w:hAnsi="Times New Roman" w:eastAsia="宋体" w:cs="Times New Roman"/>
          <w:bCs/>
          <w:color w:val="auto"/>
        </w:rPr>
        <w:t>，经处理后排入</w:t>
      </w:r>
      <w:r>
        <w:rPr>
          <w:rFonts w:hint="eastAsia" w:ascii="Times New Roman" w:hAnsi="Times New Roman" w:eastAsia="宋体" w:cs="Times New Roman"/>
          <w:bCs/>
          <w:color w:val="auto"/>
          <w:lang w:eastAsia="zh-CN"/>
        </w:rPr>
        <w:t>乌珠河</w:t>
      </w:r>
      <w:r>
        <w:rPr>
          <w:rFonts w:ascii="Times New Roman" w:hAnsi="Times New Roman" w:eastAsia="宋体" w:cs="Times New Roman"/>
          <w:bCs/>
          <w:color w:val="auto"/>
        </w:rPr>
        <w:t>，最终进入</w:t>
      </w:r>
      <w:r>
        <w:rPr>
          <w:rFonts w:hint="eastAsia" w:ascii="Times New Roman" w:hAnsi="Times New Roman" w:eastAsia="宋体" w:cs="Times New Roman"/>
          <w:bCs/>
          <w:color w:val="auto"/>
          <w:lang w:val="en-US" w:eastAsia="zh-CN"/>
        </w:rPr>
        <w:t>蚂蚁河</w:t>
      </w:r>
      <w:r>
        <w:rPr>
          <w:rFonts w:hint="eastAsia" w:ascii="Times New Roman" w:hAnsi="Times New Roman" w:eastAsia="宋体" w:cs="Times New Roman"/>
          <w:color w:val="auto"/>
        </w:rPr>
        <w:t>，</w:t>
      </w:r>
      <w:r>
        <w:rPr>
          <w:rFonts w:ascii="Times New Roman" w:hAnsi="Times New Roman" w:eastAsia="宋体" w:cs="Times New Roman"/>
          <w:color w:val="auto"/>
        </w:rPr>
        <w:t>水污染物大幅度减少，对地表水体的影响降低到最小程度。</w:t>
      </w:r>
    </w:p>
    <w:p>
      <w:pPr>
        <w:spacing w:line="360" w:lineRule="auto"/>
        <w:ind w:firstLine="480" w:firstLineChars="200"/>
        <w:contextualSpacing/>
        <w:rPr>
          <w:color w:val="auto"/>
          <w:sz w:val="24"/>
        </w:rPr>
      </w:pPr>
      <w:r>
        <w:rPr>
          <w:color w:val="auto"/>
          <w:sz w:val="24"/>
        </w:rPr>
        <w:t>（3）地下水防渗</w:t>
      </w:r>
    </w:p>
    <w:p>
      <w:pPr>
        <w:spacing w:line="360" w:lineRule="auto"/>
        <w:ind w:firstLine="480" w:firstLineChars="200"/>
        <w:contextualSpacing/>
        <w:rPr>
          <w:color w:val="auto"/>
          <w:sz w:val="24"/>
        </w:rPr>
      </w:pPr>
      <w:r>
        <w:rPr>
          <w:rFonts w:hint="eastAsia"/>
          <w:color w:val="auto"/>
          <w:sz w:val="24"/>
          <w:lang w:eastAsia="zh-CN"/>
        </w:rPr>
        <w:t>危险废物贮存点</w:t>
      </w:r>
      <w:r>
        <w:rPr>
          <w:color w:val="auto"/>
          <w:sz w:val="24"/>
        </w:rPr>
        <w:t>按重点防渗区采取防渗措施；</w:t>
      </w:r>
      <w:r>
        <w:rPr>
          <w:rFonts w:hint="eastAsia"/>
          <w:color w:val="auto"/>
          <w:sz w:val="24"/>
          <w:lang w:val="en-US" w:eastAsia="zh-CN"/>
        </w:rPr>
        <w:t>急宰间、</w:t>
      </w:r>
      <w:r>
        <w:rPr>
          <w:rFonts w:hint="eastAsia"/>
          <w:color w:val="auto"/>
          <w:sz w:val="24"/>
        </w:rPr>
        <w:t>待宰间、屠宰车间、</w:t>
      </w:r>
      <w:r>
        <w:rPr>
          <w:color w:val="auto"/>
          <w:sz w:val="24"/>
          <w:lang w:val="en-GB"/>
        </w:rPr>
        <w:t>冷库、</w:t>
      </w:r>
      <w:r>
        <w:rPr>
          <w:color w:val="auto"/>
          <w:sz w:val="24"/>
        </w:rPr>
        <w:t>污水处理站、贮水池、事故池按一般防渗区采取防渗措施；</w:t>
      </w:r>
      <w:r>
        <w:rPr>
          <w:rFonts w:hint="eastAsia"/>
          <w:color w:val="auto"/>
          <w:sz w:val="24"/>
          <w:lang w:val="en-GB" w:eastAsia="zh-CN"/>
        </w:rPr>
        <w:t>办公楼</w:t>
      </w:r>
      <w:r>
        <w:rPr>
          <w:color w:val="auto"/>
          <w:sz w:val="24"/>
          <w:lang w:val="en-GB"/>
        </w:rPr>
        <w:t>、库房等</w:t>
      </w:r>
      <w:r>
        <w:rPr>
          <w:color w:val="auto"/>
          <w:sz w:val="24"/>
        </w:rPr>
        <w:t>采取简单防渗，对其地面采用混凝土进行一般地面硬化，避免了对地下水的污染。</w:t>
      </w:r>
    </w:p>
    <w:p>
      <w:pPr>
        <w:spacing w:line="360" w:lineRule="auto"/>
        <w:ind w:firstLine="480" w:firstLineChars="200"/>
        <w:contextualSpacing/>
        <w:rPr>
          <w:color w:val="auto"/>
          <w:sz w:val="24"/>
        </w:rPr>
      </w:pPr>
      <w:r>
        <w:rPr>
          <w:color w:val="auto"/>
          <w:sz w:val="24"/>
        </w:rPr>
        <w:t>（4）噪声治理</w:t>
      </w:r>
    </w:p>
    <w:p>
      <w:pPr>
        <w:spacing w:line="360" w:lineRule="auto"/>
        <w:ind w:firstLine="480" w:firstLineChars="200"/>
        <w:contextualSpacing/>
        <w:rPr>
          <w:color w:val="auto"/>
          <w:sz w:val="24"/>
        </w:rPr>
      </w:pPr>
      <w:r>
        <w:rPr>
          <w:color w:val="auto"/>
          <w:sz w:val="24"/>
        </w:rPr>
        <w:t>本项目通过选用低噪声设备、厂房隔声、</w:t>
      </w:r>
      <w:r>
        <w:rPr>
          <w:rFonts w:hint="eastAsia"/>
          <w:color w:val="auto"/>
          <w:sz w:val="24"/>
        </w:rPr>
        <w:t>基础减振、</w:t>
      </w:r>
      <w:r>
        <w:rPr>
          <w:color w:val="auto"/>
          <w:sz w:val="24"/>
        </w:rPr>
        <w:t>绿化降噪措施，可降低噪声对周围环境的影响。</w:t>
      </w:r>
    </w:p>
    <w:p>
      <w:pPr>
        <w:spacing w:line="360" w:lineRule="auto"/>
        <w:ind w:firstLine="480" w:firstLineChars="200"/>
        <w:contextualSpacing/>
        <w:rPr>
          <w:color w:val="auto"/>
          <w:sz w:val="24"/>
        </w:rPr>
      </w:pPr>
      <w:r>
        <w:rPr>
          <w:color w:val="auto"/>
          <w:sz w:val="24"/>
        </w:rPr>
        <w:t>（5）固废处理措施</w:t>
      </w:r>
    </w:p>
    <w:p>
      <w:pPr>
        <w:spacing w:line="360" w:lineRule="auto"/>
        <w:ind w:firstLine="480" w:firstLineChars="200"/>
        <w:contextualSpacing/>
        <w:rPr>
          <w:color w:val="auto"/>
          <w:sz w:val="24"/>
        </w:rPr>
      </w:pPr>
      <w:r>
        <w:rPr>
          <w:color w:val="auto"/>
          <w:sz w:val="24"/>
        </w:rPr>
        <w:t>本项目固体废物分类收集、分类妥善处理，避免了对周边环境卫生的影响，有利于人群健康和景观的改善。</w:t>
      </w:r>
    </w:p>
    <w:p>
      <w:pPr>
        <w:spacing w:line="360" w:lineRule="auto"/>
        <w:ind w:firstLine="480" w:firstLineChars="200"/>
        <w:contextualSpacing/>
        <w:rPr>
          <w:color w:val="auto"/>
          <w:sz w:val="24"/>
        </w:rPr>
      </w:pPr>
      <w:r>
        <w:rPr>
          <w:color w:val="auto"/>
          <w:sz w:val="24"/>
        </w:rPr>
        <w:t>综上所述，由环境影响导致的经济损失较拟建项目带来的环境效益和经济效益要小的多，工程的建设将产生广泛的经济效益，拉动地区经济增长和社会发展，同时在环境保护方面也是可以接受的。</w:t>
      </w:r>
    </w:p>
    <w:p>
      <w:pPr>
        <w:spacing w:line="360" w:lineRule="auto"/>
        <w:contextualSpacing/>
        <w:jc w:val="left"/>
        <w:outlineLvl w:val="1"/>
        <w:rPr>
          <w:b/>
          <w:bCs/>
          <w:color w:val="auto"/>
          <w:kern w:val="44"/>
          <w:sz w:val="30"/>
          <w:szCs w:val="30"/>
        </w:rPr>
      </w:pPr>
      <w:bookmarkStart w:id="231" w:name="_Toc528847186"/>
      <w:bookmarkStart w:id="232" w:name="_Toc15991714"/>
      <w:bookmarkStart w:id="233" w:name="_Toc30418"/>
      <w:r>
        <w:rPr>
          <w:b/>
          <w:bCs/>
          <w:color w:val="auto"/>
          <w:kern w:val="44"/>
          <w:sz w:val="30"/>
          <w:szCs w:val="30"/>
        </w:rPr>
        <w:t>7.</w:t>
      </w:r>
      <w:bookmarkStart w:id="234" w:name="_Toc477210741"/>
      <w:r>
        <w:rPr>
          <w:b/>
          <w:bCs/>
          <w:color w:val="auto"/>
          <w:kern w:val="44"/>
          <w:sz w:val="30"/>
          <w:szCs w:val="30"/>
        </w:rPr>
        <w:t>4环境经济损益简要分析</w:t>
      </w:r>
      <w:bookmarkEnd w:id="231"/>
      <w:bookmarkEnd w:id="232"/>
      <w:bookmarkEnd w:id="233"/>
      <w:bookmarkEnd w:id="234"/>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参照《中华人民共和国环境保护税法》，本次评价对本项目环境影响经济损益进行简要分析。</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企业事业单位和其他生产经营者向依法设立的城镇污水处理厂、城镇生活垃圾处理场排放应税污染物的，不征收环境保护税。</w:t>
      </w:r>
    </w:p>
    <w:p>
      <w:pPr>
        <w:spacing w:line="360" w:lineRule="auto"/>
        <w:ind w:firstLine="480" w:firstLineChars="200"/>
        <w:contextualSpacing/>
        <w:rPr>
          <w:color w:val="auto"/>
          <w:sz w:val="24"/>
        </w:rPr>
      </w:pPr>
      <w:r>
        <w:rPr>
          <w:color w:val="auto"/>
          <w:sz w:val="24"/>
        </w:rPr>
        <w:t>本项目废水经</w:t>
      </w:r>
      <w:r>
        <w:rPr>
          <w:rFonts w:hint="eastAsia"/>
          <w:color w:val="auto"/>
          <w:sz w:val="24"/>
        </w:rPr>
        <w:t>厂区污水处理站</w:t>
      </w:r>
      <w:r>
        <w:rPr>
          <w:color w:val="auto"/>
          <w:sz w:val="24"/>
        </w:rPr>
        <w:t>处理达标后</w:t>
      </w:r>
      <w:r>
        <w:rPr>
          <w:rFonts w:hint="eastAsia"/>
          <w:bCs/>
          <w:color w:val="auto"/>
          <w:sz w:val="24"/>
        </w:rPr>
        <w:t>每天</w:t>
      </w:r>
      <w:r>
        <w:rPr>
          <w:bCs/>
          <w:color w:val="auto"/>
          <w:sz w:val="24"/>
        </w:rPr>
        <w:t>采用专用罐车</w:t>
      </w:r>
      <w:r>
        <w:rPr>
          <w:rFonts w:hint="eastAsia"/>
          <w:bCs/>
          <w:color w:val="auto"/>
          <w:sz w:val="24"/>
        </w:rPr>
        <w:t>运至</w:t>
      </w:r>
      <w:r>
        <w:rPr>
          <w:rFonts w:hint="eastAsia"/>
          <w:bCs/>
          <w:color w:val="auto"/>
          <w:sz w:val="24"/>
          <w:lang w:eastAsia="zh-CN"/>
        </w:rPr>
        <w:t>尚志污水处理厂</w:t>
      </w:r>
      <w:r>
        <w:rPr>
          <w:bCs/>
          <w:color w:val="auto"/>
          <w:sz w:val="24"/>
        </w:rPr>
        <w:t>处理达标后排放</w:t>
      </w:r>
      <w:r>
        <w:rPr>
          <w:color w:val="auto"/>
          <w:sz w:val="24"/>
        </w:rPr>
        <w:t>；厂界噪声不超标，固体废物除外售及</w:t>
      </w:r>
      <w:r>
        <w:rPr>
          <w:rFonts w:hint="eastAsia"/>
          <w:color w:val="auto"/>
          <w:sz w:val="24"/>
        </w:rPr>
        <w:t>委托处置</w:t>
      </w:r>
      <w:r>
        <w:rPr>
          <w:color w:val="auto"/>
          <w:sz w:val="24"/>
        </w:rPr>
        <w:t>外，其余废弃物交由市政环卫部门统一清运，均无需缴纳相应的环境保护税。</w:t>
      </w:r>
    </w:p>
    <w:p>
      <w:pPr>
        <w:spacing w:line="360" w:lineRule="auto"/>
        <w:ind w:firstLine="480" w:firstLineChars="200"/>
        <w:contextualSpacing/>
        <w:rPr>
          <w:snapToGrid w:val="0"/>
          <w:color w:val="auto"/>
          <w:kern w:val="0"/>
          <w:sz w:val="24"/>
        </w:rPr>
      </w:pPr>
      <w:r>
        <w:rPr>
          <w:snapToGrid w:val="0"/>
          <w:color w:val="auto"/>
          <w:kern w:val="0"/>
          <w:sz w:val="24"/>
        </w:rPr>
        <w:t>本项目大气污染物包括硫化氢、氨</w:t>
      </w:r>
      <w:r>
        <w:rPr>
          <w:rFonts w:hint="eastAsia"/>
          <w:snapToGrid w:val="0"/>
          <w:color w:val="auto"/>
          <w:kern w:val="0"/>
          <w:sz w:val="24"/>
          <w:lang w:eastAsia="zh-CN"/>
        </w:rPr>
        <w:t>、</w:t>
      </w:r>
      <w:r>
        <w:rPr>
          <w:rFonts w:hint="eastAsia"/>
          <w:snapToGrid w:val="0"/>
          <w:color w:val="auto"/>
          <w:kern w:val="0"/>
          <w:sz w:val="24"/>
          <w:lang w:val="en-US" w:eastAsia="zh-CN"/>
        </w:rPr>
        <w:t>颗粒物、氮氧化物、二氧化硫</w:t>
      </w:r>
      <w:r>
        <w:rPr>
          <w:snapToGrid w:val="0"/>
          <w:color w:val="auto"/>
          <w:kern w:val="0"/>
          <w:sz w:val="24"/>
        </w:rPr>
        <w:t>，每一排放口或者没有排放口的应税大气污染物，按照污染当量数从大到小排序，对前三项污染物征收环境保护税。大气污染物每污染当量税额为1.2元~12元，本项目需缴纳的环境保护税见表7-4-1。</w:t>
      </w:r>
    </w:p>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b/>
          <w:snapToGrid w:val="0"/>
          <w:color w:val="auto"/>
          <w:kern w:val="0"/>
          <w:sz w:val="24"/>
        </w:rPr>
      </w:pPr>
      <w:r>
        <w:rPr>
          <w:b/>
          <w:snapToGrid w:val="0"/>
          <w:color w:val="auto"/>
          <w:kern w:val="0"/>
          <w:sz w:val="24"/>
        </w:rPr>
        <w:t>表7-4-1环境保护税情况一览表</w:t>
      </w:r>
    </w:p>
    <w:tbl>
      <w:tblPr>
        <w:tblStyle w:val="46"/>
        <w:tblW w:w="490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2"/>
        <w:gridCol w:w="1126"/>
        <w:gridCol w:w="975"/>
        <w:gridCol w:w="1290"/>
        <w:gridCol w:w="900"/>
        <w:gridCol w:w="960"/>
        <w:gridCol w:w="981"/>
        <w:gridCol w:w="7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1485" w:type="pct"/>
            <w:gridSpan w:val="2"/>
            <w:shd w:val="clear" w:color="auto" w:fill="auto"/>
            <w:vAlign w:val="center"/>
          </w:tcPr>
          <w:p>
            <w:pPr>
              <w:pStyle w:val="84"/>
              <w:spacing w:line="0" w:lineRule="atLeast"/>
              <w:contextualSpacing/>
              <w:rPr>
                <w:rFonts w:hAnsi="Times New Roman"/>
                <w:snapToGrid w:val="0"/>
                <w:color w:val="auto"/>
              </w:rPr>
            </w:pPr>
            <w:r>
              <w:rPr>
                <w:rFonts w:hAnsi="Times New Roman"/>
                <w:snapToGrid w:val="0"/>
                <w:color w:val="auto"/>
              </w:rPr>
              <w:t>类别</w:t>
            </w:r>
          </w:p>
        </w:tc>
        <w:tc>
          <w:tcPr>
            <w:tcW w:w="582" w:type="pct"/>
            <w:shd w:val="clear" w:color="auto" w:fill="auto"/>
            <w:vAlign w:val="center"/>
          </w:tcPr>
          <w:p>
            <w:pPr>
              <w:pStyle w:val="84"/>
              <w:spacing w:line="0" w:lineRule="atLeast"/>
              <w:contextualSpacing/>
              <w:rPr>
                <w:rFonts w:hAnsi="Times New Roman"/>
                <w:snapToGrid w:val="0"/>
                <w:color w:val="auto"/>
              </w:rPr>
            </w:pPr>
            <w:r>
              <w:rPr>
                <w:rFonts w:hAnsi="Times New Roman"/>
                <w:snapToGrid w:val="0"/>
                <w:color w:val="auto"/>
              </w:rPr>
              <w:t>氨</w:t>
            </w:r>
          </w:p>
        </w:tc>
        <w:tc>
          <w:tcPr>
            <w:tcW w:w="770" w:type="pct"/>
            <w:shd w:val="clear" w:color="auto" w:fill="auto"/>
            <w:vAlign w:val="center"/>
          </w:tcPr>
          <w:p>
            <w:pPr>
              <w:pStyle w:val="84"/>
              <w:spacing w:line="0" w:lineRule="atLeast"/>
              <w:contextualSpacing/>
              <w:rPr>
                <w:rFonts w:hAnsi="Times New Roman"/>
                <w:snapToGrid w:val="0"/>
                <w:color w:val="auto"/>
              </w:rPr>
            </w:pPr>
            <w:r>
              <w:rPr>
                <w:rFonts w:hAnsi="Times New Roman"/>
                <w:snapToGrid w:val="0"/>
                <w:color w:val="auto"/>
              </w:rPr>
              <w:t>硫化氢</w:t>
            </w:r>
          </w:p>
        </w:tc>
        <w:tc>
          <w:tcPr>
            <w:tcW w:w="537" w:type="pct"/>
            <w:shd w:val="clear" w:color="auto" w:fill="auto"/>
            <w:vAlign w:val="center"/>
          </w:tcPr>
          <w:p>
            <w:pPr>
              <w:pStyle w:val="84"/>
              <w:spacing w:line="0" w:lineRule="atLeast"/>
              <w:contextualSpacing/>
              <w:rPr>
                <w:rFonts w:hAnsi="Times New Roman"/>
                <w:snapToGrid w:val="0"/>
                <w:color w:val="auto"/>
              </w:rPr>
            </w:pPr>
            <w:r>
              <w:rPr>
                <w:color w:val="auto"/>
                <w:highlight w:val="none"/>
              </w:rPr>
              <w:t>颗粒物</w:t>
            </w:r>
          </w:p>
        </w:tc>
        <w:tc>
          <w:tcPr>
            <w:tcW w:w="573" w:type="pct"/>
            <w:shd w:val="clear" w:color="auto" w:fill="auto"/>
            <w:vAlign w:val="center"/>
          </w:tcPr>
          <w:p>
            <w:pPr>
              <w:pStyle w:val="84"/>
              <w:spacing w:line="0" w:lineRule="atLeast"/>
              <w:contextualSpacing/>
              <w:rPr>
                <w:rFonts w:hAnsi="Times New Roman"/>
                <w:snapToGrid w:val="0"/>
                <w:color w:val="auto"/>
              </w:rPr>
            </w:pPr>
            <w:r>
              <w:rPr>
                <w:color w:val="auto"/>
                <w:highlight w:val="none"/>
              </w:rPr>
              <w:t>氮氧化物</w:t>
            </w:r>
          </w:p>
        </w:tc>
        <w:tc>
          <w:tcPr>
            <w:tcW w:w="585" w:type="pct"/>
            <w:shd w:val="clear" w:color="auto" w:fill="auto"/>
            <w:vAlign w:val="center"/>
          </w:tcPr>
          <w:p>
            <w:pPr>
              <w:pStyle w:val="84"/>
              <w:spacing w:line="0" w:lineRule="atLeast"/>
              <w:contextualSpacing/>
              <w:rPr>
                <w:rFonts w:hAnsi="Times New Roman"/>
                <w:snapToGrid w:val="0"/>
                <w:color w:val="auto"/>
              </w:rPr>
            </w:pPr>
            <w:r>
              <w:rPr>
                <w:color w:val="auto"/>
                <w:highlight w:val="none"/>
              </w:rPr>
              <w:t>二氧化硫</w:t>
            </w:r>
          </w:p>
        </w:tc>
        <w:tc>
          <w:tcPr>
            <w:tcW w:w="465" w:type="pct"/>
            <w:shd w:val="clear" w:color="auto" w:fill="auto"/>
            <w:vAlign w:val="center"/>
          </w:tcPr>
          <w:p>
            <w:pPr>
              <w:pStyle w:val="84"/>
              <w:spacing w:line="0" w:lineRule="atLeast"/>
              <w:contextualSpacing/>
              <w:rPr>
                <w:rFonts w:ascii="Times New Roman" w:hAnsi="Times New Roman" w:eastAsia="宋体" w:cs="Times New Roman"/>
                <w:snapToGrid w:val="0"/>
                <w:color w:val="auto"/>
                <w:kern w:val="2"/>
                <w:sz w:val="21"/>
                <w:szCs w:val="21"/>
                <w:lang w:val="en-US" w:eastAsia="zh-CN" w:bidi="ar-SA"/>
              </w:rPr>
            </w:pPr>
            <w:r>
              <w:rPr>
                <w:rFonts w:hAnsi="Times New Roman"/>
                <w:snapToGrid w:val="0"/>
                <w:color w:val="auto"/>
              </w:rPr>
              <w:t>合计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trPr>
        <w:tc>
          <w:tcPr>
            <w:tcW w:w="1485" w:type="pct"/>
            <w:gridSpan w:val="2"/>
            <w:shd w:val="clear" w:color="auto" w:fill="auto"/>
            <w:vAlign w:val="center"/>
          </w:tcPr>
          <w:p>
            <w:pPr>
              <w:pStyle w:val="84"/>
              <w:spacing w:line="0" w:lineRule="atLeast"/>
              <w:contextualSpacing/>
              <w:rPr>
                <w:rFonts w:hAnsi="Times New Roman"/>
                <w:snapToGrid w:val="0"/>
                <w:color w:val="auto"/>
              </w:rPr>
            </w:pPr>
            <w:r>
              <w:rPr>
                <w:rFonts w:hAnsi="Times New Roman"/>
                <w:snapToGrid w:val="0"/>
                <w:color w:val="auto"/>
              </w:rPr>
              <w:t>污染物排放量（kg/a）</w:t>
            </w:r>
          </w:p>
        </w:tc>
        <w:tc>
          <w:tcPr>
            <w:tcW w:w="582" w:type="pct"/>
            <w:shd w:val="clear" w:color="auto" w:fill="auto"/>
            <w:vAlign w:val="center"/>
          </w:tcPr>
          <w:p>
            <w:pPr>
              <w:pStyle w:val="84"/>
              <w:spacing w:line="0" w:lineRule="atLeast"/>
              <w:contextualSpacing/>
              <w:rPr>
                <w:rFonts w:hint="default" w:hAnsi="Times New Roman" w:eastAsia="宋体"/>
                <w:snapToGrid w:val="0"/>
                <w:color w:val="auto"/>
                <w:lang w:val="en-US" w:eastAsia="zh-CN"/>
              </w:rPr>
            </w:pPr>
            <w:r>
              <w:rPr>
                <w:rFonts w:hint="eastAsia" w:hAnsi="Times New Roman"/>
                <w:snapToGrid w:val="0"/>
                <w:color w:val="auto"/>
                <w:lang w:val="en-US" w:eastAsia="zh-CN"/>
              </w:rPr>
              <w:t>165.3</w:t>
            </w:r>
          </w:p>
        </w:tc>
        <w:tc>
          <w:tcPr>
            <w:tcW w:w="770" w:type="pct"/>
            <w:shd w:val="clear" w:color="auto" w:fill="auto"/>
            <w:vAlign w:val="center"/>
          </w:tcPr>
          <w:p>
            <w:pPr>
              <w:pStyle w:val="84"/>
              <w:spacing w:line="0" w:lineRule="atLeast"/>
              <w:contextualSpacing/>
              <w:rPr>
                <w:rFonts w:hint="default" w:hAnsi="Times New Roman" w:eastAsia="宋体"/>
                <w:snapToGrid w:val="0"/>
                <w:color w:val="auto"/>
                <w:lang w:val="en-US" w:eastAsia="zh-CN"/>
              </w:rPr>
            </w:pPr>
            <w:r>
              <w:rPr>
                <w:rFonts w:hint="eastAsia" w:hAnsi="Times New Roman"/>
                <w:snapToGrid w:val="0"/>
                <w:color w:val="auto"/>
                <w:lang w:val="en-US" w:eastAsia="zh-CN"/>
              </w:rPr>
              <w:t>16.99</w:t>
            </w:r>
          </w:p>
        </w:tc>
        <w:tc>
          <w:tcPr>
            <w:tcW w:w="537" w:type="pct"/>
            <w:shd w:val="clear" w:color="auto" w:fill="auto"/>
            <w:vAlign w:val="center"/>
          </w:tcPr>
          <w:p>
            <w:pPr>
              <w:pStyle w:val="84"/>
              <w:spacing w:line="0" w:lineRule="atLeast"/>
              <w:contextualSpacing/>
              <w:rPr>
                <w:rFonts w:hint="default" w:hAnsi="Times New Roman" w:eastAsia="宋体"/>
                <w:snapToGrid w:val="0"/>
                <w:color w:val="auto"/>
                <w:lang w:val="en-US" w:eastAsia="zh-CN"/>
              </w:rPr>
            </w:pPr>
            <w:r>
              <w:rPr>
                <w:rFonts w:hint="eastAsia" w:hAnsi="Times New Roman"/>
                <w:snapToGrid w:val="0"/>
                <w:color w:val="auto"/>
                <w:lang w:val="en-US" w:eastAsia="zh-CN"/>
              </w:rPr>
              <w:t>111</w:t>
            </w:r>
          </w:p>
        </w:tc>
        <w:tc>
          <w:tcPr>
            <w:tcW w:w="573" w:type="pct"/>
            <w:shd w:val="clear" w:color="auto" w:fill="auto"/>
            <w:vAlign w:val="center"/>
          </w:tcPr>
          <w:p>
            <w:pPr>
              <w:pStyle w:val="84"/>
              <w:spacing w:line="0" w:lineRule="atLeast"/>
              <w:contextualSpacing/>
              <w:rPr>
                <w:rFonts w:hint="default" w:hAnsi="Times New Roman" w:eastAsia="宋体"/>
                <w:snapToGrid w:val="0"/>
                <w:color w:val="auto"/>
                <w:lang w:val="en-US" w:eastAsia="zh-CN"/>
              </w:rPr>
            </w:pPr>
            <w:r>
              <w:rPr>
                <w:rFonts w:hint="eastAsia" w:hAnsi="Times New Roman"/>
                <w:snapToGrid w:val="0"/>
                <w:color w:val="auto"/>
                <w:lang w:val="en-US" w:eastAsia="zh-CN"/>
              </w:rPr>
              <w:t>427</w:t>
            </w:r>
          </w:p>
        </w:tc>
        <w:tc>
          <w:tcPr>
            <w:tcW w:w="585" w:type="pct"/>
            <w:shd w:val="clear" w:color="auto" w:fill="auto"/>
            <w:vAlign w:val="center"/>
          </w:tcPr>
          <w:p>
            <w:pPr>
              <w:pStyle w:val="84"/>
              <w:spacing w:line="0" w:lineRule="atLeast"/>
              <w:contextualSpacing/>
              <w:rPr>
                <w:rFonts w:hint="default" w:hAnsi="Times New Roman" w:eastAsia="宋体"/>
                <w:snapToGrid w:val="0"/>
                <w:color w:val="auto"/>
                <w:lang w:val="en-US" w:eastAsia="zh-CN"/>
              </w:rPr>
            </w:pPr>
            <w:r>
              <w:rPr>
                <w:rFonts w:hint="eastAsia" w:hAnsi="Times New Roman"/>
                <w:snapToGrid w:val="0"/>
                <w:color w:val="auto"/>
                <w:lang w:val="en-US" w:eastAsia="zh-CN"/>
              </w:rPr>
              <w:t>101</w:t>
            </w:r>
          </w:p>
        </w:tc>
        <w:tc>
          <w:tcPr>
            <w:tcW w:w="465" w:type="pct"/>
            <w:shd w:val="clear" w:color="auto" w:fill="auto"/>
            <w:vAlign w:val="center"/>
          </w:tcPr>
          <w:p>
            <w:pPr>
              <w:pStyle w:val="84"/>
              <w:spacing w:line="0" w:lineRule="atLeast"/>
              <w:contextualSpacing/>
              <w:rPr>
                <w:rFonts w:ascii="Times New Roman" w:hAnsi="Times New Roman" w:eastAsia="宋体" w:cs="Times New Roman"/>
                <w:snapToGrid w:val="0"/>
                <w:color w:val="auto"/>
                <w:kern w:val="2"/>
                <w:sz w:val="21"/>
                <w:szCs w:val="21"/>
                <w:lang w:val="en-US" w:eastAsia="zh-CN" w:bidi="ar-SA"/>
              </w:rPr>
            </w:pPr>
            <w:r>
              <w:rPr>
                <w:rFonts w:hAnsi="Times New Roman"/>
                <w:snapToGrid w:val="0"/>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1485" w:type="pct"/>
            <w:gridSpan w:val="2"/>
            <w:shd w:val="clear" w:color="auto" w:fill="auto"/>
            <w:vAlign w:val="center"/>
          </w:tcPr>
          <w:p>
            <w:pPr>
              <w:pStyle w:val="84"/>
              <w:spacing w:line="0" w:lineRule="atLeast"/>
              <w:contextualSpacing/>
              <w:rPr>
                <w:rFonts w:hAnsi="Times New Roman"/>
                <w:snapToGrid w:val="0"/>
                <w:color w:val="auto"/>
              </w:rPr>
            </w:pPr>
            <w:r>
              <w:rPr>
                <w:rFonts w:hAnsi="Times New Roman"/>
                <w:snapToGrid w:val="0"/>
                <w:color w:val="auto"/>
              </w:rPr>
              <w:t>污染当量值（kg）</w:t>
            </w:r>
          </w:p>
        </w:tc>
        <w:tc>
          <w:tcPr>
            <w:tcW w:w="582" w:type="pct"/>
            <w:shd w:val="clear" w:color="auto" w:fill="auto"/>
            <w:vAlign w:val="center"/>
          </w:tcPr>
          <w:p>
            <w:pPr>
              <w:pStyle w:val="84"/>
              <w:spacing w:line="0" w:lineRule="atLeast"/>
              <w:contextualSpacing/>
              <w:rPr>
                <w:rFonts w:hAnsi="Times New Roman"/>
                <w:color w:val="auto"/>
              </w:rPr>
            </w:pPr>
            <w:r>
              <w:rPr>
                <w:rFonts w:hAnsi="Times New Roman"/>
                <w:color w:val="auto"/>
              </w:rPr>
              <w:t>0.29</w:t>
            </w:r>
          </w:p>
        </w:tc>
        <w:tc>
          <w:tcPr>
            <w:tcW w:w="770" w:type="pct"/>
            <w:shd w:val="clear" w:color="auto" w:fill="auto"/>
            <w:vAlign w:val="center"/>
          </w:tcPr>
          <w:p>
            <w:pPr>
              <w:pStyle w:val="84"/>
              <w:spacing w:line="0" w:lineRule="atLeast"/>
              <w:contextualSpacing/>
              <w:rPr>
                <w:rFonts w:hAnsi="Times New Roman"/>
                <w:color w:val="auto"/>
              </w:rPr>
            </w:pPr>
            <w:r>
              <w:rPr>
                <w:rFonts w:hAnsi="Times New Roman"/>
                <w:color w:val="auto"/>
              </w:rPr>
              <w:t>9.09</w:t>
            </w:r>
          </w:p>
        </w:tc>
        <w:tc>
          <w:tcPr>
            <w:tcW w:w="537" w:type="pct"/>
            <w:shd w:val="clear" w:color="auto" w:fill="auto"/>
            <w:vAlign w:val="center"/>
          </w:tcPr>
          <w:p>
            <w:pPr>
              <w:pStyle w:val="84"/>
              <w:spacing w:line="0" w:lineRule="atLeast"/>
              <w:contextualSpacing/>
              <w:rPr>
                <w:rFonts w:hint="default" w:hAnsi="Times New Roman" w:eastAsia="宋体"/>
                <w:snapToGrid w:val="0"/>
                <w:color w:val="auto"/>
                <w:lang w:val="en-US" w:eastAsia="zh-CN"/>
              </w:rPr>
            </w:pPr>
            <w:r>
              <w:rPr>
                <w:rFonts w:hint="eastAsia" w:hAnsi="Times New Roman"/>
                <w:snapToGrid w:val="0"/>
                <w:color w:val="auto"/>
                <w:lang w:val="en-US" w:eastAsia="zh-CN"/>
              </w:rPr>
              <w:t>2.18</w:t>
            </w:r>
          </w:p>
        </w:tc>
        <w:tc>
          <w:tcPr>
            <w:tcW w:w="573" w:type="pct"/>
            <w:shd w:val="clear" w:color="auto" w:fill="auto"/>
            <w:vAlign w:val="center"/>
          </w:tcPr>
          <w:p>
            <w:pPr>
              <w:pStyle w:val="84"/>
              <w:spacing w:line="0" w:lineRule="atLeast"/>
              <w:contextualSpacing/>
              <w:rPr>
                <w:rFonts w:hint="default" w:hAnsi="Times New Roman" w:eastAsia="宋体"/>
                <w:snapToGrid w:val="0"/>
                <w:color w:val="auto"/>
                <w:lang w:val="en-US" w:eastAsia="zh-CN"/>
              </w:rPr>
            </w:pPr>
            <w:r>
              <w:rPr>
                <w:rFonts w:hint="eastAsia" w:hAnsi="Times New Roman"/>
                <w:snapToGrid w:val="0"/>
                <w:color w:val="auto"/>
                <w:lang w:val="en-US" w:eastAsia="zh-CN"/>
              </w:rPr>
              <w:t>0.95</w:t>
            </w:r>
          </w:p>
        </w:tc>
        <w:tc>
          <w:tcPr>
            <w:tcW w:w="585" w:type="pct"/>
            <w:shd w:val="clear" w:color="auto" w:fill="auto"/>
            <w:vAlign w:val="center"/>
          </w:tcPr>
          <w:p>
            <w:pPr>
              <w:pStyle w:val="84"/>
              <w:spacing w:line="0" w:lineRule="atLeast"/>
              <w:contextualSpacing/>
              <w:rPr>
                <w:rFonts w:hint="default" w:hAnsi="Times New Roman" w:eastAsia="宋体"/>
                <w:snapToGrid w:val="0"/>
                <w:color w:val="auto"/>
                <w:lang w:val="en-US" w:eastAsia="zh-CN"/>
              </w:rPr>
            </w:pPr>
            <w:r>
              <w:rPr>
                <w:rFonts w:hint="eastAsia" w:hAnsi="Times New Roman"/>
                <w:snapToGrid w:val="0"/>
                <w:color w:val="auto"/>
                <w:lang w:val="en-US" w:eastAsia="zh-CN"/>
              </w:rPr>
              <w:t>0.95</w:t>
            </w:r>
          </w:p>
        </w:tc>
        <w:tc>
          <w:tcPr>
            <w:tcW w:w="465" w:type="pct"/>
            <w:shd w:val="clear" w:color="auto" w:fill="auto"/>
            <w:vAlign w:val="center"/>
          </w:tcPr>
          <w:p>
            <w:pPr>
              <w:pStyle w:val="84"/>
              <w:spacing w:line="0" w:lineRule="atLeast"/>
              <w:contextualSpacing/>
              <w:rPr>
                <w:rFonts w:ascii="Times New Roman" w:hAnsi="Times New Roman" w:eastAsia="宋体" w:cs="Times New Roman"/>
                <w:snapToGrid w:val="0"/>
                <w:color w:val="auto"/>
                <w:kern w:val="2"/>
                <w:sz w:val="21"/>
                <w:szCs w:val="21"/>
                <w:lang w:val="en-US" w:eastAsia="zh-CN" w:bidi="ar-SA"/>
              </w:rPr>
            </w:pPr>
            <w:r>
              <w:rPr>
                <w:rFonts w:hAnsi="Times New Roman"/>
                <w:snapToGrid w:val="0"/>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1485" w:type="pct"/>
            <w:gridSpan w:val="2"/>
            <w:shd w:val="clear" w:color="auto" w:fill="auto"/>
            <w:vAlign w:val="center"/>
          </w:tcPr>
          <w:p>
            <w:pPr>
              <w:pStyle w:val="84"/>
              <w:spacing w:line="0" w:lineRule="atLeast"/>
              <w:contextualSpacing/>
              <w:rPr>
                <w:rFonts w:hAnsi="Times New Roman"/>
                <w:snapToGrid w:val="0"/>
                <w:color w:val="auto"/>
              </w:rPr>
            </w:pPr>
            <w:r>
              <w:rPr>
                <w:rFonts w:hAnsi="Times New Roman"/>
                <w:snapToGrid w:val="0"/>
                <w:color w:val="auto"/>
              </w:rPr>
              <w:t>污染当量数</w:t>
            </w:r>
          </w:p>
        </w:tc>
        <w:tc>
          <w:tcPr>
            <w:tcW w:w="582" w:type="pct"/>
            <w:shd w:val="clear" w:color="auto" w:fill="auto"/>
            <w:vAlign w:val="center"/>
          </w:tcPr>
          <w:p>
            <w:pPr>
              <w:pStyle w:val="84"/>
              <w:spacing w:line="0" w:lineRule="atLeast"/>
              <w:contextualSpacing/>
              <w:rPr>
                <w:rFonts w:hint="default" w:hAnsi="Times New Roman" w:eastAsia="宋体"/>
                <w:color w:val="auto"/>
                <w:lang w:val="en-US" w:eastAsia="zh-CN"/>
              </w:rPr>
            </w:pPr>
            <w:r>
              <w:rPr>
                <w:rFonts w:hint="eastAsia" w:hAnsi="Times New Roman"/>
                <w:color w:val="auto"/>
                <w:lang w:val="en-US" w:eastAsia="zh-CN"/>
              </w:rPr>
              <w:t>570</w:t>
            </w:r>
          </w:p>
        </w:tc>
        <w:tc>
          <w:tcPr>
            <w:tcW w:w="770" w:type="pct"/>
            <w:shd w:val="clear" w:color="auto" w:fill="auto"/>
            <w:vAlign w:val="center"/>
          </w:tcPr>
          <w:p>
            <w:pPr>
              <w:pStyle w:val="84"/>
              <w:spacing w:line="0" w:lineRule="atLeast"/>
              <w:contextualSpacing/>
              <w:rPr>
                <w:rFonts w:hint="default" w:hAnsi="Times New Roman" w:eastAsia="宋体"/>
                <w:color w:val="auto"/>
                <w:lang w:val="en-US" w:eastAsia="zh-CN"/>
              </w:rPr>
            </w:pPr>
            <w:r>
              <w:rPr>
                <w:rFonts w:hint="eastAsia" w:hAnsi="Times New Roman"/>
                <w:color w:val="auto"/>
                <w:lang w:val="en-US" w:eastAsia="zh-CN"/>
              </w:rPr>
              <w:t>1.869</w:t>
            </w:r>
          </w:p>
        </w:tc>
        <w:tc>
          <w:tcPr>
            <w:tcW w:w="537" w:type="pct"/>
            <w:shd w:val="clear" w:color="auto" w:fill="auto"/>
            <w:vAlign w:val="center"/>
          </w:tcPr>
          <w:p>
            <w:pPr>
              <w:pStyle w:val="84"/>
              <w:spacing w:line="0" w:lineRule="atLeast"/>
              <w:contextualSpacing/>
              <w:rPr>
                <w:rFonts w:hint="default" w:hAnsi="Times New Roman" w:eastAsia="宋体"/>
                <w:color w:val="auto"/>
                <w:lang w:val="en-US" w:eastAsia="zh-CN"/>
              </w:rPr>
            </w:pPr>
            <w:r>
              <w:rPr>
                <w:rFonts w:hint="eastAsia" w:hAnsi="Times New Roman"/>
                <w:color w:val="auto"/>
                <w:lang w:val="en-US" w:eastAsia="zh-CN"/>
              </w:rPr>
              <w:t>50.917</w:t>
            </w:r>
          </w:p>
        </w:tc>
        <w:tc>
          <w:tcPr>
            <w:tcW w:w="573" w:type="pct"/>
            <w:shd w:val="clear" w:color="auto" w:fill="auto"/>
            <w:vAlign w:val="center"/>
          </w:tcPr>
          <w:p>
            <w:pPr>
              <w:pStyle w:val="84"/>
              <w:spacing w:line="0" w:lineRule="atLeast"/>
              <w:contextualSpacing/>
              <w:rPr>
                <w:rFonts w:hint="default" w:hAnsi="Times New Roman" w:eastAsia="宋体"/>
                <w:color w:val="auto"/>
                <w:lang w:val="en-US" w:eastAsia="zh-CN"/>
              </w:rPr>
            </w:pPr>
            <w:r>
              <w:rPr>
                <w:rFonts w:hint="eastAsia" w:hAnsi="Times New Roman"/>
                <w:color w:val="auto"/>
                <w:lang w:val="en-US" w:eastAsia="zh-CN"/>
              </w:rPr>
              <w:t>449.474</w:t>
            </w:r>
          </w:p>
        </w:tc>
        <w:tc>
          <w:tcPr>
            <w:tcW w:w="585" w:type="pct"/>
            <w:shd w:val="clear" w:color="auto" w:fill="auto"/>
            <w:vAlign w:val="center"/>
          </w:tcPr>
          <w:p>
            <w:pPr>
              <w:pStyle w:val="84"/>
              <w:spacing w:line="0" w:lineRule="atLeast"/>
              <w:contextualSpacing/>
              <w:rPr>
                <w:rFonts w:hint="default" w:hAnsi="Times New Roman" w:eastAsia="宋体"/>
                <w:color w:val="auto"/>
                <w:lang w:val="en-US" w:eastAsia="zh-CN"/>
              </w:rPr>
            </w:pPr>
            <w:r>
              <w:rPr>
                <w:rFonts w:hint="eastAsia" w:hAnsi="Times New Roman"/>
                <w:color w:val="auto"/>
                <w:lang w:val="en-US" w:eastAsia="zh-CN"/>
              </w:rPr>
              <w:t>106.316</w:t>
            </w:r>
          </w:p>
        </w:tc>
        <w:tc>
          <w:tcPr>
            <w:tcW w:w="465" w:type="pct"/>
            <w:shd w:val="clear" w:color="auto" w:fill="auto"/>
            <w:vAlign w:val="center"/>
          </w:tcPr>
          <w:p>
            <w:pPr>
              <w:pStyle w:val="84"/>
              <w:spacing w:line="0" w:lineRule="atLeast"/>
              <w:contextualSpacing/>
              <w:rPr>
                <w:rFonts w:hint="eastAsia" w:ascii="Times New Roman" w:hAnsi="Times New Roman" w:eastAsia="宋体" w:cs="Times New Roman"/>
                <w:color w:val="auto"/>
                <w:kern w:val="2"/>
                <w:sz w:val="21"/>
                <w:szCs w:val="21"/>
                <w:lang w:val="en-US" w:eastAsia="zh-CN" w:bidi="ar-SA"/>
              </w:rPr>
            </w:pPr>
            <w:r>
              <w:rPr>
                <w:rFonts w:hAnsi="Times New Roman"/>
                <w:snapToGrid w:val="0"/>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813" w:type="pct"/>
            <w:vMerge w:val="restart"/>
            <w:shd w:val="clear" w:color="auto" w:fill="auto"/>
            <w:vAlign w:val="center"/>
          </w:tcPr>
          <w:p>
            <w:pPr>
              <w:pStyle w:val="84"/>
              <w:spacing w:line="0" w:lineRule="atLeast"/>
              <w:contextualSpacing/>
              <w:rPr>
                <w:rFonts w:hAnsi="Times New Roman"/>
                <w:snapToGrid w:val="0"/>
                <w:color w:val="auto"/>
              </w:rPr>
            </w:pPr>
            <w:r>
              <w:rPr>
                <w:rFonts w:hAnsi="Times New Roman"/>
                <w:snapToGrid w:val="0"/>
                <w:color w:val="auto"/>
              </w:rPr>
              <w:t>税额（元）</w:t>
            </w:r>
          </w:p>
        </w:tc>
        <w:tc>
          <w:tcPr>
            <w:tcW w:w="672" w:type="pct"/>
            <w:shd w:val="clear" w:color="auto" w:fill="auto"/>
            <w:vAlign w:val="center"/>
          </w:tcPr>
          <w:p>
            <w:pPr>
              <w:pStyle w:val="84"/>
              <w:spacing w:line="0" w:lineRule="atLeast"/>
              <w:contextualSpacing/>
              <w:rPr>
                <w:rFonts w:hAnsi="Times New Roman"/>
                <w:snapToGrid w:val="0"/>
                <w:color w:val="auto"/>
              </w:rPr>
            </w:pPr>
            <w:r>
              <w:rPr>
                <w:rFonts w:hAnsi="Times New Roman"/>
                <w:snapToGrid w:val="0"/>
                <w:color w:val="auto"/>
              </w:rPr>
              <w:t>1.2元计</w:t>
            </w:r>
          </w:p>
        </w:tc>
        <w:tc>
          <w:tcPr>
            <w:tcW w:w="582" w:type="pct"/>
            <w:shd w:val="clear" w:color="auto" w:fill="auto"/>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684</w:t>
            </w:r>
          </w:p>
        </w:tc>
        <w:tc>
          <w:tcPr>
            <w:tcW w:w="770" w:type="pct"/>
            <w:shd w:val="clear" w:color="auto" w:fill="auto"/>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2.2428</w:t>
            </w:r>
          </w:p>
        </w:tc>
        <w:tc>
          <w:tcPr>
            <w:tcW w:w="537" w:type="pct"/>
            <w:shd w:val="clear" w:color="auto" w:fill="auto"/>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61.1004</w:t>
            </w:r>
          </w:p>
        </w:tc>
        <w:tc>
          <w:tcPr>
            <w:tcW w:w="573" w:type="pct"/>
            <w:shd w:val="clear" w:color="auto" w:fill="auto"/>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539.3688</w:t>
            </w:r>
          </w:p>
        </w:tc>
        <w:tc>
          <w:tcPr>
            <w:tcW w:w="585" w:type="pct"/>
            <w:shd w:val="clear" w:color="auto" w:fill="auto"/>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127.5792</w:t>
            </w:r>
          </w:p>
        </w:tc>
        <w:tc>
          <w:tcPr>
            <w:tcW w:w="465" w:type="pct"/>
            <w:shd w:val="clear" w:color="auto" w:fill="auto"/>
            <w:vAlign w:val="center"/>
          </w:tcPr>
          <w:p>
            <w:pPr>
              <w:spacing w:line="0" w:lineRule="atLeast"/>
              <w:contextualSpacing/>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1414.2912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 w:hRule="atLeast"/>
        </w:trPr>
        <w:tc>
          <w:tcPr>
            <w:tcW w:w="813" w:type="pct"/>
            <w:vMerge w:val="continue"/>
            <w:shd w:val="clear" w:color="auto" w:fill="auto"/>
            <w:vAlign w:val="center"/>
          </w:tcPr>
          <w:p>
            <w:pPr>
              <w:pStyle w:val="84"/>
              <w:spacing w:line="0" w:lineRule="atLeast"/>
              <w:contextualSpacing/>
              <w:rPr>
                <w:rFonts w:hAnsi="Times New Roman"/>
                <w:snapToGrid w:val="0"/>
                <w:color w:val="auto"/>
              </w:rPr>
            </w:pPr>
          </w:p>
        </w:tc>
        <w:tc>
          <w:tcPr>
            <w:tcW w:w="672" w:type="pct"/>
            <w:shd w:val="clear" w:color="auto" w:fill="auto"/>
            <w:vAlign w:val="center"/>
          </w:tcPr>
          <w:p>
            <w:pPr>
              <w:pStyle w:val="84"/>
              <w:spacing w:line="0" w:lineRule="atLeast"/>
              <w:contextualSpacing/>
              <w:rPr>
                <w:rFonts w:hAnsi="Times New Roman"/>
                <w:snapToGrid w:val="0"/>
                <w:color w:val="auto"/>
              </w:rPr>
            </w:pPr>
            <w:r>
              <w:rPr>
                <w:rFonts w:hAnsi="Times New Roman"/>
                <w:snapToGrid w:val="0"/>
                <w:color w:val="auto"/>
              </w:rPr>
              <w:t>12元计</w:t>
            </w:r>
          </w:p>
        </w:tc>
        <w:tc>
          <w:tcPr>
            <w:tcW w:w="582" w:type="pct"/>
            <w:shd w:val="clear" w:color="auto" w:fill="auto"/>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6840</w:t>
            </w:r>
          </w:p>
        </w:tc>
        <w:tc>
          <w:tcPr>
            <w:tcW w:w="770" w:type="pct"/>
            <w:shd w:val="clear" w:color="auto" w:fill="auto"/>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22.428</w:t>
            </w:r>
          </w:p>
        </w:tc>
        <w:tc>
          <w:tcPr>
            <w:tcW w:w="537" w:type="pct"/>
            <w:shd w:val="clear" w:color="auto" w:fill="auto"/>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611.004</w:t>
            </w:r>
          </w:p>
        </w:tc>
        <w:tc>
          <w:tcPr>
            <w:tcW w:w="573" w:type="pct"/>
            <w:shd w:val="clear" w:color="auto" w:fill="auto"/>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5393.688</w:t>
            </w:r>
          </w:p>
        </w:tc>
        <w:tc>
          <w:tcPr>
            <w:tcW w:w="585" w:type="pct"/>
            <w:shd w:val="clear" w:color="auto" w:fill="auto"/>
            <w:vAlign w:val="center"/>
          </w:tcPr>
          <w:p>
            <w:pPr>
              <w:spacing w:line="0" w:lineRule="atLeast"/>
              <w:contextualSpacing/>
              <w:jc w:val="center"/>
              <w:rPr>
                <w:rFonts w:hint="default" w:eastAsia="宋体"/>
                <w:color w:val="auto"/>
                <w:szCs w:val="21"/>
                <w:lang w:val="en-US" w:eastAsia="zh-CN"/>
              </w:rPr>
            </w:pPr>
            <w:r>
              <w:rPr>
                <w:rFonts w:hint="eastAsia"/>
                <w:color w:val="auto"/>
                <w:szCs w:val="21"/>
                <w:lang w:val="en-US" w:eastAsia="zh-CN"/>
              </w:rPr>
              <w:t>1275.792</w:t>
            </w:r>
          </w:p>
        </w:tc>
        <w:tc>
          <w:tcPr>
            <w:tcW w:w="465" w:type="pct"/>
            <w:shd w:val="clear" w:color="auto" w:fill="auto"/>
            <w:vAlign w:val="center"/>
          </w:tcPr>
          <w:p>
            <w:pPr>
              <w:spacing w:line="0" w:lineRule="atLeast"/>
              <w:contextualSpacing/>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14142.912</w:t>
            </w:r>
          </w:p>
        </w:tc>
      </w:tr>
    </w:tbl>
    <w:p>
      <w:pPr>
        <w:spacing w:line="360" w:lineRule="auto"/>
        <w:ind w:firstLine="480" w:firstLineChars="200"/>
        <w:contextualSpacing/>
        <w:rPr>
          <w:snapToGrid w:val="0"/>
          <w:color w:val="auto"/>
          <w:kern w:val="0"/>
        </w:rPr>
      </w:pPr>
      <w:r>
        <w:rPr>
          <w:snapToGrid w:val="0"/>
          <w:color w:val="auto"/>
          <w:kern w:val="0"/>
          <w:sz w:val="24"/>
        </w:rPr>
        <w:t>由表7-4-1可知，本项目需缴纳的环境保护税最低为</w:t>
      </w:r>
      <w:r>
        <w:rPr>
          <w:rFonts w:hint="eastAsia"/>
          <w:snapToGrid w:val="0"/>
          <w:color w:val="auto"/>
          <w:kern w:val="0"/>
          <w:sz w:val="24"/>
          <w:lang w:val="en-US" w:eastAsia="zh-CN"/>
        </w:rPr>
        <w:t>1414.2912</w:t>
      </w:r>
      <w:r>
        <w:rPr>
          <w:snapToGrid w:val="0"/>
          <w:color w:val="auto"/>
          <w:kern w:val="0"/>
          <w:sz w:val="24"/>
        </w:rPr>
        <w:t>元，最高为</w:t>
      </w:r>
      <w:r>
        <w:rPr>
          <w:rFonts w:hint="eastAsia"/>
          <w:snapToGrid w:val="0"/>
          <w:color w:val="auto"/>
          <w:kern w:val="0"/>
          <w:sz w:val="24"/>
          <w:lang w:val="en-US" w:eastAsia="zh-CN"/>
        </w:rPr>
        <w:t>14142.912</w:t>
      </w:r>
      <w:r>
        <w:rPr>
          <w:snapToGrid w:val="0"/>
          <w:color w:val="auto"/>
          <w:kern w:val="0"/>
          <w:sz w:val="24"/>
        </w:rPr>
        <w:t>元</w:t>
      </w:r>
      <w:r>
        <w:rPr>
          <w:snapToGrid w:val="0"/>
          <w:color w:val="auto"/>
          <w:kern w:val="0"/>
        </w:rPr>
        <w:t>。</w:t>
      </w:r>
    </w:p>
    <w:p>
      <w:pPr>
        <w:spacing w:line="360" w:lineRule="auto"/>
        <w:contextualSpacing/>
        <w:jc w:val="left"/>
        <w:outlineLvl w:val="1"/>
        <w:rPr>
          <w:bCs/>
          <w:snapToGrid w:val="0"/>
          <w:color w:val="auto"/>
          <w:kern w:val="0"/>
          <w:sz w:val="28"/>
          <w:szCs w:val="32"/>
        </w:rPr>
      </w:pPr>
      <w:bookmarkStart w:id="235" w:name="_Toc480447681"/>
      <w:bookmarkStart w:id="236" w:name="_Toc528847187"/>
      <w:bookmarkStart w:id="237" w:name="_Toc26218"/>
      <w:bookmarkStart w:id="238" w:name="_Toc15991715"/>
      <w:bookmarkStart w:id="239" w:name="_Toc523489938"/>
      <w:bookmarkStart w:id="240" w:name="_Toc477954588"/>
      <w:r>
        <w:rPr>
          <w:b/>
          <w:bCs/>
          <w:color w:val="auto"/>
          <w:kern w:val="44"/>
          <w:sz w:val="30"/>
          <w:szCs w:val="30"/>
        </w:rPr>
        <w:t>7.5结论</w:t>
      </w:r>
      <w:bookmarkEnd w:id="235"/>
      <w:bookmarkEnd w:id="236"/>
      <w:bookmarkEnd w:id="237"/>
      <w:bookmarkEnd w:id="238"/>
      <w:bookmarkEnd w:id="239"/>
    </w:p>
    <w:p>
      <w:pPr>
        <w:pStyle w:val="74"/>
        <w:adjustRightInd/>
        <w:snapToGrid/>
        <w:jc w:val="both"/>
        <w:rPr>
          <w:rStyle w:val="73"/>
          <w:rFonts w:ascii="Times New Roman" w:hAnsi="Times New Roman" w:eastAsia="宋体" w:cs="Times New Roman"/>
          <w:color w:val="auto"/>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Style w:val="73"/>
          <w:rFonts w:ascii="Times New Roman" w:hAnsi="Times New Roman" w:eastAsia="宋体" w:cs="Times New Roman"/>
          <w:color w:val="auto"/>
        </w:rPr>
        <w:t>综上所述，在落实本评价提出的各项污染防治措施的前提下，本项目的建设能够达到经济效益、社会效益和环境效益的统一，既为地方经济发展做出贡献，又使污染物排放量在环境容量容许的范围内降低到最低。因此本项目的建设从环境影响经济损益的角度分析是可行的。</w:t>
      </w:r>
    </w:p>
    <w:p>
      <w:pPr>
        <w:widowControl/>
        <w:tabs>
          <w:tab w:val="left" w:leader="middleDot" w:pos="7371"/>
        </w:tabs>
        <w:spacing w:line="360" w:lineRule="auto"/>
        <w:contextualSpacing/>
        <w:jc w:val="left"/>
        <w:outlineLvl w:val="0"/>
        <w:rPr>
          <w:b/>
          <w:color w:val="auto"/>
          <w:kern w:val="0"/>
          <w:sz w:val="32"/>
          <w:szCs w:val="32"/>
        </w:rPr>
      </w:pPr>
      <w:bookmarkStart w:id="241" w:name="_Toc23470"/>
      <w:r>
        <w:rPr>
          <w:b/>
          <w:color w:val="auto"/>
          <w:kern w:val="0"/>
          <w:sz w:val="32"/>
          <w:szCs w:val="32"/>
        </w:rPr>
        <w:t>8环境管理与监测计划</w:t>
      </w:r>
      <w:bookmarkEnd w:id="240"/>
      <w:bookmarkEnd w:id="241"/>
    </w:p>
    <w:p>
      <w:pPr>
        <w:keepNext/>
        <w:keepLines/>
        <w:spacing w:line="360" w:lineRule="auto"/>
        <w:contextualSpacing/>
        <w:jc w:val="left"/>
        <w:outlineLvl w:val="1"/>
        <w:rPr>
          <w:b/>
          <w:bCs/>
          <w:snapToGrid w:val="0"/>
          <w:color w:val="auto"/>
          <w:kern w:val="0"/>
          <w:sz w:val="30"/>
          <w:szCs w:val="30"/>
        </w:rPr>
      </w:pPr>
      <w:bookmarkStart w:id="242" w:name="_Toc477954589"/>
      <w:bookmarkStart w:id="243" w:name="_Toc22509"/>
      <w:r>
        <w:rPr>
          <w:b/>
          <w:bCs/>
          <w:snapToGrid w:val="0"/>
          <w:color w:val="auto"/>
          <w:kern w:val="0"/>
          <w:sz w:val="30"/>
          <w:szCs w:val="30"/>
        </w:rPr>
        <w:t>8.1环境管理</w:t>
      </w:r>
      <w:bookmarkEnd w:id="242"/>
      <w:bookmarkEnd w:id="243"/>
    </w:p>
    <w:p>
      <w:pPr>
        <w:spacing w:line="360" w:lineRule="auto"/>
        <w:ind w:firstLine="480" w:firstLineChars="200"/>
        <w:contextualSpacing/>
        <w:rPr>
          <w:color w:val="auto"/>
          <w:sz w:val="24"/>
        </w:rPr>
      </w:pPr>
      <w:r>
        <w:rPr>
          <w:color w:val="auto"/>
          <w:sz w:val="24"/>
        </w:rPr>
        <w:t>环境管理是以环境科学理论为基础，运用经济、法律、技术、行政、教育等手段对经济、社会发展过程中施加给环境的污染和破坏影响进行调节控制，实现经济、社会和环境效益的和谐统一。</w:t>
      </w:r>
    </w:p>
    <w:p>
      <w:pPr>
        <w:spacing w:line="360" w:lineRule="auto"/>
        <w:ind w:firstLine="480" w:firstLineChars="200"/>
        <w:contextualSpacing/>
        <w:rPr>
          <w:color w:val="auto"/>
          <w:sz w:val="24"/>
        </w:rPr>
      </w:pPr>
      <w:r>
        <w:rPr>
          <w:color w:val="auto"/>
          <w:sz w:val="24"/>
        </w:rPr>
        <w:t>为全面贯彻和落实国家及地方环保法律、法规，加强企业内部污染物排放监督控制，本项目将环境保护纳入企业管理和生产计划之中，企业内部必须建立相应的环境管理机构及监控计划。</w:t>
      </w:r>
    </w:p>
    <w:p>
      <w:pPr>
        <w:pStyle w:val="74"/>
        <w:adjustRightInd/>
        <w:snapToGrid/>
        <w:contextualSpacing/>
        <w:jc w:val="both"/>
        <w:rPr>
          <w:rFonts w:ascii="Times New Roman" w:hAnsi="Times New Roman" w:eastAsia="宋体" w:cs="Times New Roman"/>
          <w:color w:val="auto"/>
        </w:rPr>
      </w:pPr>
      <w:bookmarkStart w:id="244" w:name="_Toc342462534"/>
      <w:bookmarkStart w:id="245" w:name="_Toc477954590"/>
      <w:r>
        <w:rPr>
          <w:rFonts w:ascii="Times New Roman" w:hAnsi="Times New Roman" w:eastAsia="宋体" w:cs="Times New Roman"/>
          <w:color w:val="auto"/>
        </w:rPr>
        <w:t>1、管理机构</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工业企业环境管理，就是以管理工程和环境科学的理论为基础，运用技术、经济、法律、行政和教育手段，对损害环境质量的生产经营活动加以限制，协调发展生产与保护环境的关系，使生产目标与环境目标统一起来，经济效益与环境效益统一起来。</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根据本项目的污染特点，建设单位应有一名副经理负责环保工作，设立环境保护管理机构，配备专职环保管理人员两人。</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2、企业环境管理机构的基本职能与职责</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（1）基本职能</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企业环境管理机构是企业管理工作的职能部门，其基本职能有以下三方面：</w:t>
      </w:r>
    </w:p>
    <w:p>
      <w:pPr>
        <w:pStyle w:val="74"/>
        <w:adjustRightInd/>
        <w:snapToGrid/>
        <w:contextualSpacing/>
        <w:jc w:val="both"/>
        <w:rPr>
          <w:rFonts w:ascii="Times New Roman" w:hAnsi="Times New Roman" w:eastAsia="宋体" w:cs="Times New Roman"/>
          <w:color w:val="auto"/>
        </w:rPr>
      </w:pPr>
      <w:r>
        <w:rPr>
          <w:rFonts w:ascii="Times New Roman" w:hAnsi="宋体" w:eastAsia="宋体" w:cs="Times New Roman"/>
          <w:color w:val="auto"/>
        </w:rPr>
        <w:t>①</w:t>
      </w:r>
      <w:r>
        <w:rPr>
          <w:rFonts w:ascii="Times New Roman" w:hAnsi="Times New Roman" w:eastAsia="宋体" w:cs="Times New Roman"/>
          <w:color w:val="auto"/>
        </w:rPr>
        <w:t>组织编制环境计划（包括规划）；</w:t>
      </w:r>
    </w:p>
    <w:p>
      <w:pPr>
        <w:pStyle w:val="74"/>
        <w:adjustRightInd/>
        <w:snapToGrid/>
        <w:contextualSpacing/>
        <w:jc w:val="both"/>
        <w:rPr>
          <w:rFonts w:ascii="Times New Roman" w:hAnsi="Times New Roman" w:eastAsia="宋体" w:cs="Times New Roman"/>
          <w:color w:val="auto"/>
        </w:rPr>
      </w:pPr>
      <w:r>
        <w:rPr>
          <w:rFonts w:ascii="Times New Roman" w:hAnsi="宋体" w:eastAsia="宋体" w:cs="Times New Roman"/>
          <w:color w:val="auto"/>
        </w:rPr>
        <w:t>②</w:t>
      </w:r>
      <w:r>
        <w:rPr>
          <w:rFonts w:ascii="Times New Roman" w:hAnsi="Times New Roman" w:eastAsia="宋体" w:cs="Times New Roman"/>
          <w:color w:val="auto"/>
        </w:rPr>
        <w:t>组织环境保护工作的协调；</w:t>
      </w:r>
    </w:p>
    <w:p>
      <w:pPr>
        <w:pStyle w:val="74"/>
        <w:adjustRightInd/>
        <w:snapToGrid/>
        <w:contextualSpacing/>
        <w:jc w:val="both"/>
        <w:rPr>
          <w:rFonts w:ascii="Times New Roman" w:hAnsi="Times New Roman" w:eastAsia="宋体" w:cs="Times New Roman"/>
          <w:color w:val="auto"/>
        </w:rPr>
      </w:pPr>
      <w:r>
        <w:rPr>
          <w:rFonts w:ascii="Times New Roman" w:hAnsi="宋体" w:eastAsia="宋体" w:cs="Times New Roman"/>
          <w:color w:val="auto"/>
        </w:rPr>
        <w:t>③</w:t>
      </w:r>
      <w:r>
        <w:rPr>
          <w:rFonts w:ascii="Times New Roman" w:hAnsi="Times New Roman" w:eastAsia="宋体" w:cs="Times New Roman"/>
          <w:color w:val="auto"/>
        </w:rPr>
        <w:t>实施企业环境监督。</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（2）主要工作职责</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a、督促、检查本企业执行国家环境保护方针、政策、法规及本企业环境保护制度；</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b、拟定本企业环境管理办法，按照国家和地区的规定指定本企业污染物排放指标和污染综合防治的经济技术原则，做好企业升级环保考核工作；</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c、负责组织污染源调查，填写环保报表；</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d、组织推动本企业在基本建设、技术改造中，贯彻执行“三同时”的规定，并参加有关方案的审定及竣工验收工作；</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e、加强与主管环保部们的联系，会同有关单位做好环境预测，制定企业环境保护长远规划和年度计划，并督促实施；</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f、组织有关部门和人员，检查企业环境质量状况及发展趋势；</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g、监督全厂环境保护设施的运行与污染物的排放；</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h、会同有关单位组织和开展企业环境科研工作；</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i、负责组织本企业污染事故的调查与处理；</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j、做好企业环境统计工作，建立环境保护档案；</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k、会同有关单位组织开展清洁生产活动，负责广泛开展环境宣传教育活动，普及环境科学知识，推动清洁生产活动的深度开展。</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3、企业管理</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（1）确保各项环保设施的正常运转，负责日常维护，并制定事故的应急处理方法；</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（2）加强生产原材料管理，提出清洁生产方案，降低了污染物的可能产生量；</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（3）加强对生产设备的管理和维护，杜绝跑、冒、滴、漏现象的发生；</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（4）负责企业的日常环境监测工作。</w:t>
      </w:r>
    </w:p>
    <w:p>
      <w:pPr>
        <w:pStyle w:val="6"/>
        <w:spacing w:before="0" w:after="0" w:line="360" w:lineRule="auto"/>
        <w:contextualSpacing/>
        <w:rPr>
          <w:rFonts w:ascii="Times New Roman" w:hAnsi="Times New Roman" w:eastAsia="宋体" w:cs="Times New Roman"/>
          <w:bCs w:val="0"/>
          <w:color w:val="auto"/>
        </w:rPr>
      </w:pPr>
      <w:bookmarkStart w:id="246" w:name="_Toc15991718"/>
      <w:r>
        <w:rPr>
          <w:rFonts w:ascii="Times New Roman" w:hAnsi="Times New Roman" w:eastAsia="宋体" w:cs="Times New Roman"/>
          <w:bCs w:val="0"/>
          <w:color w:val="auto"/>
        </w:rPr>
        <w:t>8.1.1施工期环境管理计划</w:t>
      </w:r>
      <w:bookmarkEnd w:id="246"/>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1、环境管理机构对施工期环境保护工作全面负责，履行施工期各阶段环境管理职责。</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2、对施工队伍实行职责管理，要求施工队伍按要求文明施工，并做好监督、检查和教育工作。</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3、按照环保主管部门的要求和本报告书中有关环境保护对策措施对施工程序和场地布置实施统一安排。</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4、土建工程需要土石方的挖掘与运输、管道挖沟、施工建材机械等占地，对产生的扬尘应及时洒水，及时清除弃土，避免二次扬尘。</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5、合理布置施工厂内的机械和设备，把噪声较大的机械设备布置到远离居民的地点。</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施工期环境保护管理及监理的主要内容见表8-1-1。</w:t>
      </w:r>
    </w:p>
    <w:p>
      <w:pPr>
        <w:pStyle w:val="7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ascii="Times New Roman" w:hAnsi="Times New Roman" w:cs="Times New Roman"/>
          <w:color w:val="auto"/>
          <w:sz w:val="24"/>
          <w:szCs w:val="24"/>
        </w:rPr>
      </w:pPr>
      <w:r>
        <w:rPr>
          <w:rFonts w:ascii="Times New Roman" w:hAnsi="Times New Roman" w:cs="Times New Roman"/>
          <w:color w:val="auto"/>
          <w:sz w:val="24"/>
          <w:szCs w:val="24"/>
        </w:rPr>
        <w:t>表8-1-1施工期环境管理和监理的主要内容</w:t>
      </w:r>
    </w:p>
    <w:tbl>
      <w:tblPr>
        <w:tblStyle w:val="46"/>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01"/>
        <w:gridCol w:w="4110"/>
        <w:gridCol w:w="1381"/>
        <w:gridCol w:w="193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0" w:type="dxa"/>
            <w:vAlign w:val="center"/>
          </w:tcPr>
          <w:p>
            <w:pPr>
              <w:pStyle w:val="84"/>
              <w:rPr>
                <w:rFonts w:hAnsi="Times New Roman"/>
                <w:color w:val="auto"/>
                <w:szCs w:val="22"/>
              </w:rPr>
            </w:pPr>
            <w:r>
              <w:rPr>
                <w:rFonts w:hAnsi="Times New Roman"/>
                <w:color w:val="auto"/>
                <w:szCs w:val="22"/>
              </w:rPr>
              <w:t>防治对象</w:t>
            </w:r>
          </w:p>
        </w:tc>
        <w:tc>
          <w:tcPr>
            <w:tcW w:w="4107" w:type="dxa"/>
            <w:vAlign w:val="center"/>
          </w:tcPr>
          <w:p>
            <w:pPr>
              <w:pStyle w:val="84"/>
              <w:rPr>
                <w:rFonts w:hAnsi="Times New Roman"/>
                <w:color w:val="auto"/>
                <w:szCs w:val="22"/>
              </w:rPr>
            </w:pPr>
            <w:r>
              <w:rPr>
                <w:rFonts w:hAnsi="Times New Roman"/>
                <w:color w:val="auto"/>
                <w:szCs w:val="22"/>
              </w:rPr>
              <w:t>防治措施</w:t>
            </w:r>
          </w:p>
        </w:tc>
        <w:tc>
          <w:tcPr>
            <w:tcW w:w="1380" w:type="dxa"/>
            <w:vAlign w:val="center"/>
          </w:tcPr>
          <w:p>
            <w:pPr>
              <w:pStyle w:val="84"/>
              <w:rPr>
                <w:rFonts w:hAnsi="Times New Roman"/>
                <w:color w:val="auto"/>
                <w:szCs w:val="22"/>
              </w:rPr>
            </w:pPr>
            <w:r>
              <w:rPr>
                <w:rFonts w:hAnsi="Times New Roman"/>
                <w:color w:val="auto"/>
                <w:szCs w:val="22"/>
              </w:rPr>
              <w:t>环境管理</w:t>
            </w:r>
          </w:p>
        </w:tc>
        <w:tc>
          <w:tcPr>
            <w:tcW w:w="1935" w:type="dxa"/>
            <w:vAlign w:val="center"/>
          </w:tcPr>
          <w:p>
            <w:pPr>
              <w:pStyle w:val="84"/>
              <w:rPr>
                <w:rFonts w:hAnsi="Times New Roman"/>
                <w:color w:val="auto"/>
                <w:szCs w:val="22"/>
              </w:rPr>
            </w:pPr>
            <w:r>
              <w:rPr>
                <w:rFonts w:hAnsi="Times New Roman"/>
                <w:color w:val="auto"/>
                <w:szCs w:val="22"/>
              </w:rPr>
              <w:t>环境监理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0" w:type="dxa"/>
            <w:vMerge w:val="restart"/>
            <w:vAlign w:val="center"/>
          </w:tcPr>
          <w:p>
            <w:pPr>
              <w:pStyle w:val="84"/>
              <w:rPr>
                <w:rFonts w:hAnsi="Times New Roman"/>
                <w:color w:val="auto"/>
                <w:szCs w:val="22"/>
              </w:rPr>
            </w:pPr>
            <w:r>
              <w:rPr>
                <w:rFonts w:hAnsi="Times New Roman"/>
                <w:color w:val="auto"/>
                <w:szCs w:val="22"/>
              </w:rPr>
              <w:t>施工扬尘</w:t>
            </w:r>
          </w:p>
        </w:tc>
        <w:tc>
          <w:tcPr>
            <w:tcW w:w="4107" w:type="dxa"/>
            <w:vAlign w:val="center"/>
          </w:tcPr>
          <w:p>
            <w:pPr>
              <w:pStyle w:val="84"/>
              <w:rPr>
                <w:rFonts w:hAnsi="Times New Roman"/>
                <w:color w:val="auto"/>
                <w:szCs w:val="22"/>
              </w:rPr>
            </w:pPr>
            <w:r>
              <w:rPr>
                <w:rFonts w:hAnsi="Times New Roman"/>
                <w:color w:val="auto"/>
                <w:szCs w:val="22"/>
              </w:rPr>
              <w:t>施工场地硬化，使用商品混凝土</w:t>
            </w:r>
          </w:p>
        </w:tc>
        <w:tc>
          <w:tcPr>
            <w:tcW w:w="1380" w:type="dxa"/>
            <w:vMerge w:val="restart"/>
            <w:vAlign w:val="center"/>
          </w:tcPr>
          <w:p>
            <w:pPr>
              <w:pStyle w:val="84"/>
              <w:rPr>
                <w:rFonts w:hAnsi="Times New Roman"/>
                <w:color w:val="auto"/>
                <w:szCs w:val="22"/>
              </w:rPr>
            </w:pPr>
            <w:r>
              <w:rPr>
                <w:rFonts w:hAnsi="Times New Roman"/>
                <w:color w:val="auto"/>
                <w:szCs w:val="22"/>
              </w:rPr>
              <w:t>施工单位环保措施要落实到人，做好施工场地环境管理和保洁工作</w:t>
            </w:r>
          </w:p>
        </w:tc>
        <w:tc>
          <w:tcPr>
            <w:tcW w:w="1935" w:type="dxa"/>
            <w:vMerge w:val="restart"/>
            <w:vAlign w:val="center"/>
          </w:tcPr>
          <w:p>
            <w:pPr>
              <w:pStyle w:val="84"/>
              <w:rPr>
                <w:rFonts w:hAnsi="Times New Roman"/>
                <w:color w:val="auto"/>
                <w:szCs w:val="22"/>
              </w:rPr>
            </w:pPr>
            <w:r>
              <w:rPr>
                <w:rFonts w:hAnsi="Times New Roman"/>
                <w:color w:val="auto"/>
                <w:szCs w:val="22"/>
              </w:rPr>
              <w:t>建设行政管理部门及环境管理部门进行定期检查。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0" w:type="dxa"/>
            <w:vMerge w:val="continue"/>
            <w:vAlign w:val="center"/>
          </w:tcPr>
          <w:p>
            <w:pPr>
              <w:pStyle w:val="84"/>
              <w:rPr>
                <w:rFonts w:hAnsi="Times New Roman"/>
                <w:color w:val="auto"/>
                <w:szCs w:val="22"/>
              </w:rPr>
            </w:pPr>
          </w:p>
        </w:tc>
        <w:tc>
          <w:tcPr>
            <w:tcW w:w="4107" w:type="dxa"/>
            <w:vAlign w:val="center"/>
          </w:tcPr>
          <w:p>
            <w:pPr>
              <w:pStyle w:val="84"/>
              <w:rPr>
                <w:rFonts w:hAnsi="Times New Roman"/>
                <w:color w:val="auto"/>
                <w:szCs w:val="22"/>
              </w:rPr>
            </w:pPr>
            <w:r>
              <w:rPr>
                <w:rFonts w:hAnsi="Times New Roman"/>
                <w:color w:val="auto"/>
                <w:szCs w:val="22"/>
              </w:rPr>
              <w:t>建筑垃圾及多余弃土及时清运</w:t>
            </w:r>
          </w:p>
        </w:tc>
        <w:tc>
          <w:tcPr>
            <w:tcW w:w="1380" w:type="dxa"/>
            <w:vMerge w:val="continue"/>
            <w:vAlign w:val="center"/>
          </w:tcPr>
          <w:p>
            <w:pPr>
              <w:pStyle w:val="84"/>
              <w:rPr>
                <w:rFonts w:hAnsi="Times New Roman"/>
                <w:color w:val="auto"/>
                <w:szCs w:val="22"/>
              </w:rPr>
            </w:pPr>
          </w:p>
        </w:tc>
        <w:tc>
          <w:tcPr>
            <w:tcW w:w="1935" w:type="dxa"/>
            <w:vMerge w:val="continue"/>
            <w:vAlign w:val="center"/>
          </w:tcPr>
          <w:p>
            <w:pPr>
              <w:pStyle w:val="84"/>
              <w:rPr>
                <w:rFonts w:hAnsi="Times New Roman"/>
                <w:color w:val="auto"/>
                <w:szCs w:val="22"/>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0" w:type="dxa"/>
            <w:vMerge w:val="continue"/>
            <w:vAlign w:val="center"/>
          </w:tcPr>
          <w:p>
            <w:pPr>
              <w:pStyle w:val="84"/>
              <w:rPr>
                <w:rFonts w:hAnsi="Times New Roman"/>
                <w:color w:val="auto"/>
                <w:szCs w:val="22"/>
              </w:rPr>
            </w:pPr>
          </w:p>
        </w:tc>
        <w:tc>
          <w:tcPr>
            <w:tcW w:w="4107" w:type="dxa"/>
            <w:vAlign w:val="center"/>
          </w:tcPr>
          <w:p>
            <w:pPr>
              <w:pStyle w:val="84"/>
              <w:rPr>
                <w:rFonts w:hAnsi="Times New Roman"/>
                <w:color w:val="auto"/>
                <w:szCs w:val="22"/>
              </w:rPr>
            </w:pPr>
            <w:r>
              <w:rPr>
                <w:rFonts w:hAnsi="Times New Roman"/>
                <w:color w:val="auto"/>
                <w:szCs w:val="22"/>
              </w:rPr>
              <w:t>施工场地车辆出入口设置车辆冲洗及沉淀设施</w:t>
            </w:r>
          </w:p>
        </w:tc>
        <w:tc>
          <w:tcPr>
            <w:tcW w:w="1380" w:type="dxa"/>
            <w:vMerge w:val="continue"/>
            <w:vAlign w:val="center"/>
          </w:tcPr>
          <w:p>
            <w:pPr>
              <w:pStyle w:val="84"/>
              <w:rPr>
                <w:rFonts w:hAnsi="Times New Roman"/>
                <w:color w:val="auto"/>
                <w:szCs w:val="22"/>
              </w:rPr>
            </w:pPr>
          </w:p>
        </w:tc>
        <w:tc>
          <w:tcPr>
            <w:tcW w:w="1935" w:type="dxa"/>
            <w:vMerge w:val="continue"/>
            <w:vAlign w:val="center"/>
          </w:tcPr>
          <w:p>
            <w:pPr>
              <w:pStyle w:val="84"/>
              <w:rPr>
                <w:rFonts w:hAnsi="Times New Roman"/>
                <w:color w:val="auto"/>
                <w:szCs w:val="22"/>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46" w:hRule="atLeast"/>
          <w:jc w:val="center"/>
        </w:trPr>
        <w:tc>
          <w:tcPr>
            <w:tcW w:w="1100" w:type="dxa"/>
            <w:vMerge w:val="continue"/>
            <w:vAlign w:val="center"/>
          </w:tcPr>
          <w:p>
            <w:pPr>
              <w:pStyle w:val="84"/>
              <w:rPr>
                <w:rFonts w:hAnsi="Times New Roman"/>
                <w:color w:val="auto"/>
                <w:szCs w:val="22"/>
              </w:rPr>
            </w:pPr>
          </w:p>
        </w:tc>
        <w:tc>
          <w:tcPr>
            <w:tcW w:w="4107" w:type="dxa"/>
            <w:vAlign w:val="center"/>
          </w:tcPr>
          <w:p>
            <w:pPr>
              <w:pStyle w:val="84"/>
              <w:rPr>
                <w:rFonts w:hAnsi="Times New Roman"/>
                <w:color w:val="auto"/>
                <w:szCs w:val="22"/>
              </w:rPr>
            </w:pPr>
            <w:r>
              <w:rPr>
                <w:rFonts w:hAnsi="Times New Roman"/>
                <w:color w:val="auto"/>
                <w:szCs w:val="22"/>
              </w:rPr>
              <w:t>对工地及进出口定期洒水抑尘、清扫，保持工地整齐干净</w:t>
            </w:r>
          </w:p>
        </w:tc>
        <w:tc>
          <w:tcPr>
            <w:tcW w:w="1380" w:type="dxa"/>
            <w:vMerge w:val="continue"/>
            <w:vAlign w:val="center"/>
          </w:tcPr>
          <w:p>
            <w:pPr>
              <w:pStyle w:val="84"/>
              <w:rPr>
                <w:rFonts w:hAnsi="Times New Roman"/>
                <w:color w:val="auto"/>
                <w:szCs w:val="22"/>
              </w:rPr>
            </w:pPr>
          </w:p>
        </w:tc>
        <w:tc>
          <w:tcPr>
            <w:tcW w:w="1935" w:type="dxa"/>
            <w:vMerge w:val="continue"/>
            <w:vAlign w:val="center"/>
          </w:tcPr>
          <w:p>
            <w:pPr>
              <w:pStyle w:val="84"/>
              <w:rPr>
                <w:rFonts w:hAnsi="Times New Roman"/>
                <w:color w:val="auto"/>
                <w:szCs w:val="22"/>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0" w:type="dxa"/>
            <w:vMerge w:val="continue"/>
            <w:vAlign w:val="center"/>
          </w:tcPr>
          <w:p>
            <w:pPr>
              <w:pStyle w:val="84"/>
              <w:rPr>
                <w:rFonts w:hAnsi="Times New Roman"/>
                <w:color w:val="auto"/>
                <w:szCs w:val="22"/>
              </w:rPr>
            </w:pPr>
          </w:p>
        </w:tc>
        <w:tc>
          <w:tcPr>
            <w:tcW w:w="4107" w:type="dxa"/>
            <w:vAlign w:val="center"/>
          </w:tcPr>
          <w:p>
            <w:pPr>
              <w:pStyle w:val="84"/>
              <w:rPr>
                <w:rFonts w:hAnsi="Times New Roman"/>
                <w:color w:val="auto"/>
                <w:szCs w:val="22"/>
              </w:rPr>
            </w:pPr>
            <w:r>
              <w:rPr>
                <w:rFonts w:hAnsi="Times New Roman"/>
                <w:color w:val="auto"/>
                <w:szCs w:val="22"/>
              </w:rPr>
              <w:t>禁止焚烧熔化沥青</w:t>
            </w:r>
          </w:p>
        </w:tc>
        <w:tc>
          <w:tcPr>
            <w:tcW w:w="1380" w:type="dxa"/>
            <w:vMerge w:val="restart"/>
            <w:vAlign w:val="center"/>
          </w:tcPr>
          <w:p>
            <w:pPr>
              <w:pStyle w:val="84"/>
              <w:rPr>
                <w:rFonts w:hAnsi="Times New Roman"/>
                <w:color w:val="auto"/>
                <w:szCs w:val="22"/>
              </w:rPr>
            </w:pPr>
            <w:r>
              <w:rPr>
                <w:rFonts w:hAnsi="Times New Roman"/>
                <w:color w:val="auto"/>
                <w:szCs w:val="22"/>
              </w:rPr>
              <w:t>施工单位环保措施要落实到人，做好施工场地环境管理和保洁工作，不外排</w:t>
            </w:r>
          </w:p>
        </w:tc>
        <w:tc>
          <w:tcPr>
            <w:tcW w:w="1935" w:type="dxa"/>
            <w:vMerge w:val="restart"/>
            <w:vAlign w:val="center"/>
          </w:tcPr>
          <w:p>
            <w:pPr>
              <w:pStyle w:val="84"/>
              <w:rPr>
                <w:rFonts w:hAnsi="Times New Roman"/>
                <w:color w:val="auto"/>
                <w:szCs w:val="22"/>
              </w:rPr>
            </w:pPr>
            <w:r>
              <w:rPr>
                <w:rFonts w:hAnsi="Times New Roman"/>
                <w:color w:val="auto"/>
                <w:szCs w:val="22"/>
              </w:rPr>
              <w:t>建设行政管理部门及环境管理部门进行定期检查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0" w:type="dxa"/>
            <w:vMerge w:val="continue"/>
            <w:vAlign w:val="center"/>
          </w:tcPr>
          <w:p>
            <w:pPr>
              <w:pStyle w:val="84"/>
              <w:rPr>
                <w:rFonts w:hAnsi="Times New Roman"/>
                <w:color w:val="auto"/>
                <w:szCs w:val="22"/>
              </w:rPr>
            </w:pPr>
          </w:p>
        </w:tc>
        <w:tc>
          <w:tcPr>
            <w:tcW w:w="4107" w:type="dxa"/>
            <w:vAlign w:val="center"/>
          </w:tcPr>
          <w:p>
            <w:pPr>
              <w:pStyle w:val="84"/>
              <w:rPr>
                <w:rFonts w:hAnsi="Times New Roman"/>
                <w:color w:val="auto"/>
                <w:szCs w:val="22"/>
              </w:rPr>
            </w:pPr>
            <w:r>
              <w:rPr>
                <w:rFonts w:hAnsi="Times New Roman"/>
                <w:color w:val="auto"/>
                <w:szCs w:val="22"/>
              </w:rPr>
              <w:t>对回填土方进行压实或喷覆盖剂处理</w:t>
            </w:r>
          </w:p>
        </w:tc>
        <w:tc>
          <w:tcPr>
            <w:tcW w:w="1380" w:type="dxa"/>
            <w:vMerge w:val="continue"/>
            <w:vAlign w:val="center"/>
          </w:tcPr>
          <w:p>
            <w:pPr>
              <w:pStyle w:val="84"/>
              <w:rPr>
                <w:rFonts w:hAnsi="Times New Roman"/>
                <w:color w:val="auto"/>
                <w:szCs w:val="22"/>
              </w:rPr>
            </w:pPr>
          </w:p>
        </w:tc>
        <w:tc>
          <w:tcPr>
            <w:tcW w:w="1935" w:type="dxa"/>
            <w:vMerge w:val="continue"/>
            <w:vAlign w:val="center"/>
          </w:tcPr>
          <w:p>
            <w:pPr>
              <w:pStyle w:val="84"/>
              <w:rPr>
                <w:rFonts w:hAnsi="Times New Roman"/>
                <w:color w:val="auto"/>
                <w:szCs w:val="22"/>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0" w:type="dxa"/>
            <w:vMerge w:val="continue"/>
            <w:vAlign w:val="center"/>
          </w:tcPr>
          <w:p>
            <w:pPr>
              <w:pStyle w:val="84"/>
              <w:rPr>
                <w:rFonts w:hAnsi="Times New Roman"/>
                <w:color w:val="auto"/>
                <w:szCs w:val="22"/>
              </w:rPr>
            </w:pPr>
          </w:p>
        </w:tc>
        <w:tc>
          <w:tcPr>
            <w:tcW w:w="4107" w:type="dxa"/>
            <w:vAlign w:val="center"/>
          </w:tcPr>
          <w:p>
            <w:pPr>
              <w:pStyle w:val="84"/>
              <w:rPr>
                <w:rFonts w:hAnsi="Times New Roman"/>
                <w:color w:val="auto"/>
                <w:szCs w:val="22"/>
              </w:rPr>
            </w:pPr>
            <w:r>
              <w:rPr>
                <w:rFonts w:hAnsi="Times New Roman"/>
                <w:color w:val="auto"/>
                <w:szCs w:val="22"/>
              </w:rPr>
              <w:t>建筑工地按有关规定进行围挡</w:t>
            </w:r>
          </w:p>
        </w:tc>
        <w:tc>
          <w:tcPr>
            <w:tcW w:w="1380" w:type="dxa"/>
            <w:vMerge w:val="continue"/>
            <w:vAlign w:val="center"/>
          </w:tcPr>
          <w:p>
            <w:pPr>
              <w:pStyle w:val="84"/>
              <w:rPr>
                <w:rFonts w:hAnsi="Times New Roman"/>
                <w:color w:val="auto"/>
                <w:szCs w:val="22"/>
              </w:rPr>
            </w:pPr>
          </w:p>
        </w:tc>
        <w:tc>
          <w:tcPr>
            <w:tcW w:w="1935" w:type="dxa"/>
            <w:vMerge w:val="continue"/>
            <w:vAlign w:val="center"/>
          </w:tcPr>
          <w:p>
            <w:pPr>
              <w:pStyle w:val="84"/>
              <w:rPr>
                <w:rFonts w:hAnsi="Times New Roman"/>
                <w:color w:val="auto"/>
                <w:szCs w:val="22"/>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73" w:hRule="atLeast"/>
          <w:jc w:val="center"/>
        </w:trPr>
        <w:tc>
          <w:tcPr>
            <w:tcW w:w="1100" w:type="dxa"/>
            <w:vMerge w:val="restart"/>
            <w:vAlign w:val="center"/>
          </w:tcPr>
          <w:p>
            <w:pPr>
              <w:pStyle w:val="84"/>
              <w:rPr>
                <w:rFonts w:hAnsi="Times New Roman"/>
                <w:color w:val="auto"/>
                <w:szCs w:val="22"/>
              </w:rPr>
            </w:pPr>
            <w:r>
              <w:rPr>
                <w:rFonts w:hAnsi="Times New Roman"/>
                <w:color w:val="auto"/>
                <w:szCs w:val="22"/>
              </w:rPr>
              <w:t>施工噪声</w:t>
            </w:r>
          </w:p>
        </w:tc>
        <w:tc>
          <w:tcPr>
            <w:tcW w:w="4107" w:type="dxa"/>
            <w:vAlign w:val="center"/>
          </w:tcPr>
          <w:p>
            <w:pPr>
              <w:pStyle w:val="84"/>
              <w:rPr>
                <w:rFonts w:hAnsi="Times New Roman"/>
                <w:color w:val="auto"/>
                <w:szCs w:val="22"/>
              </w:rPr>
            </w:pPr>
            <w:r>
              <w:rPr>
                <w:rFonts w:hAnsi="Times New Roman"/>
                <w:color w:val="auto"/>
                <w:szCs w:val="22"/>
              </w:rPr>
              <w:t>将投标方的低噪声施工设备和技术作为中标内容</w:t>
            </w:r>
          </w:p>
        </w:tc>
        <w:tc>
          <w:tcPr>
            <w:tcW w:w="1380" w:type="dxa"/>
            <w:vMerge w:val="continue"/>
            <w:vAlign w:val="center"/>
          </w:tcPr>
          <w:p>
            <w:pPr>
              <w:pStyle w:val="84"/>
              <w:rPr>
                <w:rFonts w:hAnsi="Times New Roman"/>
                <w:color w:val="auto"/>
                <w:szCs w:val="22"/>
              </w:rPr>
            </w:pPr>
          </w:p>
        </w:tc>
        <w:tc>
          <w:tcPr>
            <w:tcW w:w="1935" w:type="dxa"/>
            <w:vMerge w:val="restart"/>
            <w:vAlign w:val="center"/>
          </w:tcPr>
          <w:p>
            <w:pPr>
              <w:pStyle w:val="84"/>
              <w:rPr>
                <w:rFonts w:hAnsi="Times New Roman"/>
                <w:color w:val="auto"/>
                <w:szCs w:val="22"/>
              </w:rPr>
            </w:pPr>
            <w:r>
              <w:rPr>
                <w:rFonts w:hAnsi="Times New Roman"/>
                <w:color w:val="auto"/>
                <w:szCs w:val="22"/>
              </w:rPr>
              <w:t>环保监理部门对夜间施工噪声进行监督检查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0" w:type="dxa"/>
            <w:vMerge w:val="continue"/>
            <w:vAlign w:val="center"/>
          </w:tcPr>
          <w:p>
            <w:pPr>
              <w:pStyle w:val="84"/>
              <w:rPr>
                <w:rFonts w:hAnsi="Times New Roman"/>
                <w:color w:val="auto"/>
                <w:szCs w:val="22"/>
              </w:rPr>
            </w:pPr>
          </w:p>
        </w:tc>
        <w:tc>
          <w:tcPr>
            <w:tcW w:w="4107" w:type="dxa"/>
            <w:vAlign w:val="center"/>
          </w:tcPr>
          <w:p>
            <w:pPr>
              <w:pStyle w:val="84"/>
              <w:rPr>
                <w:rFonts w:hAnsi="Times New Roman"/>
                <w:color w:val="auto"/>
                <w:szCs w:val="22"/>
              </w:rPr>
            </w:pPr>
            <w:r>
              <w:rPr>
                <w:rFonts w:hAnsi="Times New Roman"/>
                <w:color w:val="auto"/>
                <w:szCs w:val="22"/>
              </w:rPr>
              <w:t>施工单位开工15日前，携带施工资料等到当地环保部门申报《建设施工环保审批表》，经批准后方可施工</w:t>
            </w:r>
          </w:p>
        </w:tc>
        <w:tc>
          <w:tcPr>
            <w:tcW w:w="1380" w:type="dxa"/>
            <w:vMerge w:val="continue"/>
            <w:vAlign w:val="center"/>
          </w:tcPr>
          <w:p>
            <w:pPr>
              <w:pStyle w:val="84"/>
              <w:rPr>
                <w:rFonts w:hAnsi="Times New Roman"/>
                <w:color w:val="auto"/>
                <w:szCs w:val="22"/>
              </w:rPr>
            </w:pPr>
          </w:p>
        </w:tc>
        <w:tc>
          <w:tcPr>
            <w:tcW w:w="1935" w:type="dxa"/>
            <w:vMerge w:val="continue"/>
            <w:vAlign w:val="center"/>
          </w:tcPr>
          <w:p>
            <w:pPr>
              <w:pStyle w:val="84"/>
              <w:jc w:val="both"/>
              <w:rPr>
                <w:rFonts w:hAnsi="Times New Roman"/>
                <w:color w:val="auto"/>
                <w:szCs w:val="22"/>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0" w:type="dxa"/>
            <w:vMerge w:val="continue"/>
            <w:vAlign w:val="center"/>
          </w:tcPr>
          <w:p>
            <w:pPr>
              <w:pStyle w:val="84"/>
              <w:rPr>
                <w:rFonts w:hAnsi="Times New Roman"/>
                <w:color w:val="auto"/>
                <w:szCs w:val="22"/>
              </w:rPr>
            </w:pPr>
          </w:p>
        </w:tc>
        <w:tc>
          <w:tcPr>
            <w:tcW w:w="4107" w:type="dxa"/>
            <w:vAlign w:val="center"/>
          </w:tcPr>
          <w:p>
            <w:pPr>
              <w:pStyle w:val="84"/>
              <w:rPr>
                <w:rFonts w:hAnsi="Times New Roman"/>
                <w:color w:val="auto"/>
                <w:szCs w:val="22"/>
              </w:rPr>
            </w:pPr>
            <w:r>
              <w:rPr>
                <w:rFonts w:hAnsi="Times New Roman"/>
                <w:color w:val="auto"/>
                <w:szCs w:val="22"/>
              </w:rPr>
              <w:t>禁止在22：00～6：00进行产生噪声污染的施工作业</w:t>
            </w:r>
          </w:p>
        </w:tc>
        <w:tc>
          <w:tcPr>
            <w:tcW w:w="1380" w:type="dxa"/>
            <w:vMerge w:val="continue"/>
            <w:vAlign w:val="center"/>
          </w:tcPr>
          <w:p>
            <w:pPr>
              <w:pStyle w:val="84"/>
              <w:rPr>
                <w:rFonts w:hAnsi="Times New Roman"/>
                <w:color w:val="auto"/>
                <w:szCs w:val="22"/>
              </w:rPr>
            </w:pPr>
          </w:p>
        </w:tc>
        <w:tc>
          <w:tcPr>
            <w:tcW w:w="1935" w:type="dxa"/>
            <w:vMerge w:val="continue"/>
            <w:vAlign w:val="center"/>
          </w:tcPr>
          <w:p>
            <w:pPr>
              <w:pStyle w:val="84"/>
              <w:jc w:val="both"/>
              <w:rPr>
                <w:rFonts w:hAnsi="Times New Roman"/>
                <w:color w:val="auto"/>
                <w:szCs w:val="22"/>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0" w:type="dxa"/>
            <w:vMerge w:val="continue"/>
            <w:vAlign w:val="center"/>
          </w:tcPr>
          <w:p>
            <w:pPr>
              <w:pStyle w:val="84"/>
              <w:rPr>
                <w:rFonts w:hAnsi="Times New Roman"/>
                <w:color w:val="auto"/>
                <w:szCs w:val="22"/>
              </w:rPr>
            </w:pPr>
          </w:p>
        </w:tc>
        <w:tc>
          <w:tcPr>
            <w:tcW w:w="4107" w:type="dxa"/>
            <w:vAlign w:val="center"/>
          </w:tcPr>
          <w:p>
            <w:pPr>
              <w:pStyle w:val="84"/>
              <w:rPr>
                <w:rFonts w:hAnsi="Times New Roman"/>
                <w:color w:val="auto"/>
                <w:szCs w:val="22"/>
              </w:rPr>
            </w:pPr>
            <w:r>
              <w:rPr>
                <w:rFonts w:hAnsi="Times New Roman"/>
                <w:color w:val="auto"/>
                <w:szCs w:val="22"/>
              </w:rPr>
              <w:t>因施工浇筑需要连续作业的施工前3天内，由施工单位报环保部门审批</w:t>
            </w:r>
          </w:p>
        </w:tc>
        <w:tc>
          <w:tcPr>
            <w:tcW w:w="1380" w:type="dxa"/>
            <w:vMerge w:val="continue"/>
            <w:vAlign w:val="center"/>
          </w:tcPr>
          <w:p>
            <w:pPr>
              <w:pStyle w:val="84"/>
              <w:rPr>
                <w:rFonts w:hAnsi="Times New Roman"/>
                <w:color w:val="auto"/>
                <w:szCs w:val="22"/>
              </w:rPr>
            </w:pPr>
          </w:p>
        </w:tc>
        <w:tc>
          <w:tcPr>
            <w:tcW w:w="1935" w:type="dxa"/>
            <w:vMerge w:val="continue"/>
            <w:vAlign w:val="center"/>
          </w:tcPr>
          <w:p>
            <w:pPr>
              <w:pStyle w:val="84"/>
              <w:jc w:val="both"/>
              <w:rPr>
                <w:rFonts w:hAnsi="Times New Roman"/>
                <w:color w:val="auto"/>
                <w:szCs w:val="22"/>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1" w:hRule="atLeast"/>
          <w:jc w:val="center"/>
        </w:trPr>
        <w:tc>
          <w:tcPr>
            <w:tcW w:w="1100" w:type="dxa"/>
            <w:vMerge w:val="restart"/>
            <w:vAlign w:val="center"/>
          </w:tcPr>
          <w:p>
            <w:pPr>
              <w:pStyle w:val="84"/>
              <w:rPr>
                <w:rFonts w:hAnsi="Times New Roman"/>
                <w:color w:val="auto"/>
                <w:szCs w:val="22"/>
              </w:rPr>
            </w:pPr>
            <w:r>
              <w:rPr>
                <w:rFonts w:hAnsi="Times New Roman"/>
                <w:color w:val="auto"/>
                <w:szCs w:val="22"/>
              </w:rPr>
              <w:t>废水</w:t>
            </w:r>
          </w:p>
        </w:tc>
        <w:tc>
          <w:tcPr>
            <w:tcW w:w="4107" w:type="dxa"/>
            <w:vAlign w:val="center"/>
          </w:tcPr>
          <w:p>
            <w:pPr>
              <w:pStyle w:val="84"/>
              <w:rPr>
                <w:rFonts w:hAnsi="Times New Roman"/>
                <w:color w:val="auto"/>
                <w:szCs w:val="22"/>
              </w:rPr>
            </w:pPr>
            <w:r>
              <w:rPr>
                <w:rFonts w:hAnsi="Times New Roman"/>
                <w:color w:val="auto"/>
                <w:szCs w:val="22"/>
              </w:rPr>
              <w:t>施工人员生活污水应集中排入防渗旱厕</w:t>
            </w:r>
          </w:p>
        </w:tc>
        <w:tc>
          <w:tcPr>
            <w:tcW w:w="1380" w:type="dxa"/>
            <w:vMerge w:val="continue"/>
            <w:vAlign w:val="center"/>
          </w:tcPr>
          <w:p>
            <w:pPr>
              <w:pStyle w:val="84"/>
              <w:rPr>
                <w:rFonts w:hAnsi="Times New Roman"/>
                <w:color w:val="auto"/>
                <w:szCs w:val="22"/>
              </w:rPr>
            </w:pPr>
          </w:p>
        </w:tc>
        <w:tc>
          <w:tcPr>
            <w:tcW w:w="1935" w:type="dxa"/>
            <w:vMerge w:val="restart"/>
            <w:vAlign w:val="center"/>
          </w:tcPr>
          <w:p>
            <w:pPr>
              <w:pStyle w:val="84"/>
              <w:rPr>
                <w:rFonts w:hAnsi="Times New Roman"/>
                <w:color w:val="auto"/>
                <w:szCs w:val="22"/>
              </w:rPr>
            </w:pPr>
            <w:r>
              <w:rPr>
                <w:rFonts w:hAnsi="Times New Roman"/>
                <w:color w:val="auto"/>
                <w:szCs w:val="22"/>
              </w:rPr>
              <w:t>对于污水收集设施进行认真检查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0" w:type="dxa"/>
            <w:vMerge w:val="continue"/>
            <w:vAlign w:val="center"/>
          </w:tcPr>
          <w:p>
            <w:pPr>
              <w:pStyle w:val="84"/>
              <w:rPr>
                <w:rFonts w:hAnsi="Times New Roman"/>
                <w:color w:val="auto"/>
                <w:szCs w:val="22"/>
              </w:rPr>
            </w:pPr>
          </w:p>
        </w:tc>
        <w:tc>
          <w:tcPr>
            <w:tcW w:w="4107" w:type="dxa"/>
            <w:vAlign w:val="center"/>
          </w:tcPr>
          <w:p>
            <w:pPr>
              <w:pStyle w:val="84"/>
              <w:rPr>
                <w:rFonts w:hAnsi="Times New Roman"/>
                <w:color w:val="auto"/>
                <w:szCs w:val="22"/>
              </w:rPr>
            </w:pPr>
            <w:r>
              <w:rPr>
                <w:rFonts w:hAnsi="Times New Roman"/>
                <w:color w:val="auto"/>
                <w:szCs w:val="22"/>
              </w:rPr>
              <w:t>避免在雨季进行基础开挖施工</w:t>
            </w:r>
          </w:p>
        </w:tc>
        <w:tc>
          <w:tcPr>
            <w:tcW w:w="1380" w:type="dxa"/>
            <w:vMerge w:val="continue"/>
            <w:vAlign w:val="center"/>
          </w:tcPr>
          <w:p>
            <w:pPr>
              <w:pStyle w:val="84"/>
              <w:rPr>
                <w:rFonts w:hAnsi="Times New Roman"/>
                <w:color w:val="auto"/>
                <w:szCs w:val="22"/>
              </w:rPr>
            </w:pPr>
          </w:p>
        </w:tc>
        <w:tc>
          <w:tcPr>
            <w:tcW w:w="1935" w:type="dxa"/>
            <w:vMerge w:val="continue"/>
            <w:vAlign w:val="center"/>
          </w:tcPr>
          <w:p>
            <w:pPr>
              <w:pStyle w:val="84"/>
              <w:rPr>
                <w:rFonts w:hAnsi="Times New Roman"/>
                <w:color w:val="auto"/>
                <w:szCs w:val="22"/>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6" w:hRule="atLeast"/>
          <w:jc w:val="center"/>
        </w:trPr>
        <w:tc>
          <w:tcPr>
            <w:tcW w:w="1100" w:type="dxa"/>
            <w:vAlign w:val="center"/>
          </w:tcPr>
          <w:p>
            <w:pPr>
              <w:pStyle w:val="84"/>
              <w:rPr>
                <w:rFonts w:hAnsi="Times New Roman"/>
                <w:color w:val="auto"/>
                <w:szCs w:val="22"/>
              </w:rPr>
            </w:pPr>
            <w:r>
              <w:rPr>
                <w:rFonts w:hAnsi="Times New Roman"/>
                <w:color w:val="auto"/>
                <w:szCs w:val="22"/>
              </w:rPr>
              <w:t>建筑垃圾</w:t>
            </w:r>
          </w:p>
        </w:tc>
        <w:tc>
          <w:tcPr>
            <w:tcW w:w="4107" w:type="dxa"/>
            <w:vAlign w:val="center"/>
          </w:tcPr>
          <w:p>
            <w:pPr>
              <w:pStyle w:val="84"/>
              <w:rPr>
                <w:rFonts w:hAnsi="Times New Roman"/>
                <w:color w:val="auto"/>
                <w:szCs w:val="22"/>
              </w:rPr>
            </w:pPr>
            <w:r>
              <w:rPr>
                <w:rFonts w:hAnsi="Times New Roman"/>
                <w:color w:val="auto"/>
                <w:szCs w:val="22"/>
              </w:rPr>
              <w:t>建筑垃圾及多余弃土及时用于场地平整，及时压实</w:t>
            </w:r>
          </w:p>
        </w:tc>
        <w:tc>
          <w:tcPr>
            <w:tcW w:w="1380" w:type="dxa"/>
            <w:vMerge w:val="continue"/>
            <w:vAlign w:val="center"/>
          </w:tcPr>
          <w:p>
            <w:pPr>
              <w:pStyle w:val="84"/>
              <w:rPr>
                <w:rFonts w:hAnsi="Times New Roman"/>
                <w:color w:val="auto"/>
                <w:szCs w:val="22"/>
              </w:rPr>
            </w:pPr>
          </w:p>
        </w:tc>
        <w:tc>
          <w:tcPr>
            <w:tcW w:w="1935" w:type="dxa"/>
            <w:vAlign w:val="center"/>
          </w:tcPr>
          <w:p>
            <w:pPr>
              <w:pStyle w:val="84"/>
              <w:rPr>
                <w:rFonts w:hAnsi="Times New Roman"/>
                <w:color w:val="auto"/>
                <w:szCs w:val="22"/>
              </w:rPr>
            </w:pPr>
            <w:r>
              <w:rPr>
                <w:rFonts w:hAnsi="Times New Roman"/>
                <w:color w:val="auto"/>
                <w:szCs w:val="22"/>
              </w:rPr>
              <w:t>不外排</w:t>
            </w:r>
          </w:p>
        </w:tc>
      </w:tr>
    </w:tbl>
    <w:p>
      <w:pPr>
        <w:pStyle w:val="6"/>
        <w:spacing w:before="0" w:after="0" w:line="360" w:lineRule="auto"/>
        <w:contextualSpacing/>
        <w:rPr>
          <w:rFonts w:ascii="Times New Roman" w:hAnsi="Times New Roman" w:eastAsia="宋体" w:cs="Times New Roman"/>
          <w:bCs w:val="0"/>
          <w:color w:val="auto"/>
        </w:rPr>
      </w:pPr>
      <w:bookmarkStart w:id="247" w:name="_Toc15991719"/>
      <w:r>
        <w:rPr>
          <w:rFonts w:ascii="Times New Roman" w:hAnsi="Times New Roman" w:eastAsia="宋体" w:cs="Times New Roman"/>
          <w:bCs w:val="0"/>
          <w:color w:val="auto"/>
        </w:rPr>
        <w:t>8.1.2运行期环境管理计划</w:t>
      </w:r>
      <w:bookmarkEnd w:id="247"/>
    </w:p>
    <w:p>
      <w:pPr>
        <w:pStyle w:val="74"/>
        <w:adjustRightInd/>
        <w:snapToGrid/>
        <w:rPr>
          <w:rFonts w:ascii="Times New Roman" w:hAnsi="Times New Roman" w:eastAsia="宋体" w:cs="Times New Roman"/>
          <w:color w:val="auto"/>
        </w:rPr>
      </w:pPr>
      <w:r>
        <w:rPr>
          <w:rFonts w:ascii="Times New Roman" w:hAnsi="Times New Roman" w:eastAsia="宋体" w:cs="Times New Roman"/>
          <w:color w:val="auto"/>
        </w:rPr>
        <w:t>1、环保管理机构应对厂内环保实行统一管理，并对厂区的环境质量全面进行监测。</w:t>
      </w:r>
    </w:p>
    <w:p>
      <w:pPr>
        <w:pStyle w:val="74"/>
        <w:adjustRightInd/>
        <w:snapToGrid/>
        <w:rPr>
          <w:rFonts w:ascii="Times New Roman" w:hAnsi="Times New Roman" w:eastAsia="宋体" w:cs="Times New Roman"/>
          <w:color w:val="auto"/>
        </w:rPr>
      </w:pPr>
      <w:r>
        <w:rPr>
          <w:rFonts w:ascii="Times New Roman" w:hAnsi="Times New Roman" w:eastAsia="宋体" w:cs="Times New Roman"/>
          <w:color w:val="auto"/>
        </w:rPr>
        <w:t>2、环保管理机构应做好日常环保设施与生产主体设备的统一管理，加强维护、定期检查，确保污染治理设施与主体设备正常运行。当治理设施发生故障时，应启动应急预案，防止污染事故的发生。</w:t>
      </w:r>
    </w:p>
    <w:p>
      <w:pPr>
        <w:pStyle w:val="74"/>
        <w:adjustRightInd/>
        <w:snapToGrid/>
        <w:rPr>
          <w:rFonts w:ascii="Times New Roman" w:hAnsi="Times New Roman" w:eastAsia="宋体" w:cs="Times New Roman"/>
          <w:color w:val="auto"/>
        </w:rPr>
      </w:pPr>
      <w:r>
        <w:rPr>
          <w:rFonts w:ascii="Times New Roman" w:hAnsi="Times New Roman" w:eastAsia="宋体" w:cs="Times New Roman"/>
          <w:color w:val="auto"/>
        </w:rPr>
        <w:t>3、定期对各项环保工作情况进行考核，制定考核与奖惩的具体办法，将环保考核纳入生产考核的主要部分。</w:t>
      </w:r>
    </w:p>
    <w:p>
      <w:pPr>
        <w:pStyle w:val="74"/>
        <w:adjustRightInd/>
        <w:snapToGrid/>
        <w:rPr>
          <w:rFonts w:ascii="Times New Roman" w:hAnsi="Times New Roman" w:eastAsia="宋体" w:cs="Times New Roman"/>
          <w:color w:val="auto"/>
        </w:rPr>
      </w:pPr>
      <w:r>
        <w:rPr>
          <w:rFonts w:ascii="Times New Roman" w:hAnsi="Times New Roman" w:eastAsia="宋体" w:cs="Times New Roman"/>
          <w:color w:val="auto"/>
        </w:rPr>
        <w:t>4、对主要污染源进行定期监测，建立污染源档案。发现污染物非正常排放时，应分析原因，并及时采取相应措施，以控制污染，使污染物满足达标排放要求。</w:t>
      </w:r>
    </w:p>
    <w:p>
      <w:pPr>
        <w:pStyle w:val="74"/>
        <w:adjustRightInd/>
        <w:snapToGrid/>
        <w:rPr>
          <w:rFonts w:ascii="Times New Roman" w:hAnsi="Times New Roman" w:eastAsia="宋体" w:cs="Times New Roman"/>
          <w:color w:val="auto"/>
        </w:rPr>
      </w:pPr>
      <w:r>
        <w:rPr>
          <w:rFonts w:ascii="Times New Roman" w:hAnsi="Times New Roman" w:eastAsia="宋体" w:cs="Times New Roman"/>
          <w:color w:val="auto"/>
        </w:rPr>
        <w:t>5、接受省市环保部门的检查、指导，参加有关会议及经验交流活动。</w:t>
      </w:r>
    </w:p>
    <w:p>
      <w:pPr>
        <w:pStyle w:val="6"/>
        <w:spacing w:before="0" w:after="0" w:line="360" w:lineRule="auto"/>
        <w:contextualSpacing/>
        <w:rPr>
          <w:rFonts w:ascii="Times New Roman" w:hAnsi="Times New Roman" w:eastAsia="宋体" w:cs="Times New Roman"/>
          <w:bCs w:val="0"/>
          <w:color w:val="auto"/>
        </w:rPr>
      </w:pPr>
      <w:bookmarkStart w:id="248" w:name="_Toc15991720"/>
      <w:bookmarkStart w:id="249" w:name="_Toc527121434"/>
      <w:r>
        <w:rPr>
          <w:rFonts w:ascii="Times New Roman" w:hAnsi="Times New Roman" w:eastAsia="宋体" w:cs="Times New Roman"/>
          <w:bCs w:val="0"/>
          <w:color w:val="auto"/>
        </w:rPr>
        <w:t>8.1.3污染物排放清单及管理要求</w:t>
      </w:r>
      <w:bookmarkEnd w:id="248"/>
      <w:bookmarkEnd w:id="249"/>
    </w:p>
    <w:p>
      <w:pPr>
        <w:keepNext/>
        <w:keepLines/>
        <w:spacing w:line="360" w:lineRule="auto"/>
        <w:outlineLvl w:val="3"/>
        <w:rPr>
          <w:b/>
          <w:color w:val="auto"/>
          <w:sz w:val="24"/>
          <w:lang w:val="zh-CN"/>
        </w:rPr>
      </w:pPr>
      <w:r>
        <w:rPr>
          <w:b/>
          <w:color w:val="auto"/>
          <w:sz w:val="24"/>
          <w:lang w:val="zh-CN"/>
        </w:rPr>
        <w:t>8.1.3.1污染物排放清单</w:t>
      </w:r>
    </w:p>
    <w:p>
      <w:pPr>
        <w:spacing w:line="360" w:lineRule="auto"/>
        <w:rPr>
          <w:snapToGrid w:val="0"/>
          <w:color w:val="auto"/>
          <w:kern w:val="0"/>
          <w:sz w:val="24"/>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snapToGrid w:val="0"/>
          <w:color w:val="auto"/>
          <w:kern w:val="0"/>
          <w:sz w:val="24"/>
        </w:rPr>
        <w:t>本项目污染物排放清单及管理要求详见表8-1-2。</w:t>
      </w:r>
    </w:p>
    <w:p>
      <w:pPr>
        <w:spacing w:line="360" w:lineRule="auto"/>
        <w:contextualSpacing/>
        <w:jc w:val="center"/>
        <w:rPr>
          <w:b/>
          <w:snapToGrid w:val="0"/>
          <w:color w:val="auto"/>
          <w:kern w:val="0"/>
          <w:sz w:val="24"/>
          <w:lang w:val="zh-CN"/>
        </w:rPr>
      </w:pPr>
      <w:r>
        <w:rPr>
          <w:b/>
          <w:snapToGrid w:val="0"/>
          <w:color w:val="auto"/>
          <w:kern w:val="0"/>
          <w:sz w:val="24"/>
          <w:lang w:val="zh-CN"/>
        </w:rPr>
        <w:t>表8-1-2污染物排放清单一览表</w:t>
      </w:r>
    </w:p>
    <w:tbl>
      <w:tblPr>
        <w:tblStyle w:val="46"/>
        <w:tblW w:w="14732" w:type="dxa"/>
        <w:tblInd w:w="-46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00"/>
        <w:gridCol w:w="421"/>
        <w:gridCol w:w="1273"/>
        <w:gridCol w:w="1122"/>
        <w:gridCol w:w="1851"/>
        <w:gridCol w:w="1422"/>
        <w:gridCol w:w="8"/>
        <w:gridCol w:w="1701"/>
        <w:gridCol w:w="1134"/>
        <w:gridCol w:w="2977"/>
        <w:gridCol w:w="1674"/>
        <w:gridCol w:w="1"/>
        <w:gridCol w:w="145"/>
        <w:gridCol w:w="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228" w:hRule="atLeast"/>
        </w:trPr>
        <w:tc>
          <w:tcPr>
            <w:tcW w:w="1000" w:type="dxa"/>
            <w:tcBorders>
              <w:top w:val="single" w:color="auto" w:sz="12" w:space="0"/>
              <w:bottom w:val="single" w:color="auto" w:sz="4" w:space="0"/>
            </w:tcBorders>
            <w:shd w:val="clear" w:color="auto" w:fill="DDD9C3"/>
            <w:vAlign w:val="center"/>
          </w:tcPr>
          <w:p>
            <w:pPr>
              <w:tabs>
                <w:tab w:val="left" w:pos="360"/>
              </w:tabs>
              <w:autoSpaceDE w:val="0"/>
              <w:autoSpaceDN w:val="0"/>
              <w:spacing w:line="0" w:lineRule="atLeast"/>
              <w:rPr>
                <w:b/>
                <w:bCs/>
                <w:color w:val="auto"/>
                <w:szCs w:val="21"/>
              </w:rPr>
            </w:pPr>
            <w:r>
              <w:rPr>
                <w:b/>
                <w:bCs/>
                <w:color w:val="auto"/>
                <w:szCs w:val="21"/>
              </w:rPr>
              <w:t>类别</w:t>
            </w:r>
          </w:p>
        </w:tc>
        <w:tc>
          <w:tcPr>
            <w:tcW w:w="1694" w:type="dxa"/>
            <w:gridSpan w:val="2"/>
            <w:tcBorders>
              <w:top w:val="single" w:color="auto" w:sz="12" w:space="0"/>
              <w:bottom w:val="single" w:color="auto" w:sz="4" w:space="0"/>
            </w:tcBorders>
            <w:shd w:val="clear" w:color="auto" w:fill="DDD9C3"/>
            <w:vAlign w:val="center"/>
          </w:tcPr>
          <w:p>
            <w:pPr>
              <w:tabs>
                <w:tab w:val="left" w:pos="360"/>
              </w:tabs>
              <w:autoSpaceDE w:val="0"/>
              <w:autoSpaceDN w:val="0"/>
              <w:spacing w:line="0" w:lineRule="atLeast"/>
              <w:jc w:val="center"/>
              <w:rPr>
                <w:b/>
                <w:bCs/>
                <w:color w:val="auto"/>
                <w:szCs w:val="21"/>
              </w:rPr>
            </w:pPr>
            <w:r>
              <w:rPr>
                <w:b/>
                <w:bCs/>
                <w:color w:val="auto"/>
                <w:szCs w:val="21"/>
              </w:rPr>
              <w:t>项目</w:t>
            </w:r>
          </w:p>
        </w:tc>
        <w:tc>
          <w:tcPr>
            <w:tcW w:w="1122" w:type="dxa"/>
            <w:tcBorders>
              <w:top w:val="single" w:color="auto" w:sz="12" w:space="0"/>
              <w:bottom w:val="single" w:color="auto" w:sz="4" w:space="0"/>
            </w:tcBorders>
            <w:shd w:val="clear" w:color="auto" w:fill="DDD9C3"/>
            <w:vAlign w:val="center"/>
          </w:tcPr>
          <w:p>
            <w:pPr>
              <w:tabs>
                <w:tab w:val="left" w:pos="360"/>
              </w:tabs>
              <w:autoSpaceDE w:val="0"/>
              <w:autoSpaceDN w:val="0"/>
              <w:spacing w:line="0" w:lineRule="atLeast"/>
              <w:jc w:val="center"/>
              <w:rPr>
                <w:b/>
                <w:bCs/>
                <w:color w:val="auto"/>
                <w:szCs w:val="21"/>
              </w:rPr>
            </w:pPr>
            <w:r>
              <w:rPr>
                <w:b/>
                <w:bCs/>
                <w:color w:val="auto"/>
                <w:szCs w:val="21"/>
              </w:rPr>
              <w:t>污染因子</w:t>
            </w:r>
          </w:p>
        </w:tc>
        <w:tc>
          <w:tcPr>
            <w:tcW w:w="3281" w:type="dxa"/>
            <w:gridSpan w:val="3"/>
            <w:tcBorders>
              <w:top w:val="single" w:color="auto" w:sz="12" w:space="0"/>
              <w:bottom w:val="single" w:color="auto" w:sz="4" w:space="0"/>
            </w:tcBorders>
            <w:shd w:val="clear" w:color="auto" w:fill="DDD9C3"/>
            <w:vAlign w:val="center"/>
          </w:tcPr>
          <w:p>
            <w:pPr>
              <w:tabs>
                <w:tab w:val="left" w:pos="360"/>
              </w:tabs>
              <w:autoSpaceDE w:val="0"/>
              <w:autoSpaceDN w:val="0"/>
              <w:spacing w:line="0" w:lineRule="atLeast"/>
              <w:jc w:val="center"/>
              <w:rPr>
                <w:b/>
                <w:bCs/>
                <w:color w:val="auto"/>
                <w:szCs w:val="21"/>
              </w:rPr>
            </w:pPr>
            <w:r>
              <w:rPr>
                <w:b/>
                <w:bCs/>
                <w:color w:val="auto"/>
                <w:szCs w:val="21"/>
              </w:rPr>
              <w:t>污染防治措施</w:t>
            </w:r>
          </w:p>
        </w:tc>
        <w:tc>
          <w:tcPr>
            <w:tcW w:w="1701" w:type="dxa"/>
            <w:tcBorders>
              <w:top w:val="single" w:color="auto" w:sz="12" w:space="0"/>
              <w:bottom w:val="single" w:color="auto" w:sz="4" w:space="0"/>
            </w:tcBorders>
            <w:shd w:val="clear" w:color="auto" w:fill="DDD9C3"/>
            <w:vAlign w:val="center"/>
          </w:tcPr>
          <w:p>
            <w:pPr>
              <w:tabs>
                <w:tab w:val="left" w:pos="360"/>
              </w:tabs>
              <w:autoSpaceDE w:val="0"/>
              <w:autoSpaceDN w:val="0"/>
              <w:spacing w:line="0" w:lineRule="atLeast"/>
              <w:jc w:val="center"/>
              <w:rPr>
                <w:b/>
                <w:bCs/>
                <w:color w:val="auto"/>
                <w:szCs w:val="21"/>
              </w:rPr>
            </w:pPr>
            <w:r>
              <w:rPr>
                <w:b/>
                <w:bCs/>
                <w:color w:val="auto"/>
                <w:szCs w:val="21"/>
              </w:rPr>
              <w:t>排放浓度</w:t>
            </w:r>
          </w:p>
        </w:tc>
        <w:tc>
          <w:tcPr>
            <w:tcW w:w="1134" w:type="dxa"/>
            <w:tcBorders>
              <w:top w:val="single" w:color="auto" w:sz="12" w:space="0"/>
              <w:bottom w:val="single" w:color="auto" w:sz="4" w:space="0"/>
            </w:tcBorders>
            <w:shd w:val="clear" w:color="auto" w:fill="DDD9C3"/>
            <w:vAlign w:val="center"/>
          </w:tcPr>
          <w:p>
            <w:pPr>
              <w:tabs>
                <w:tab w:val="left" w:pos="360"/>
              </w:tabs>
              <w:autoSpaceDE w:val="0"/>
              <w:autoSpaceDN w:val="0"/>
              <w:spacing w:line="0" w:lineRule="atLeast"/>
              <w:jc w:val="center"/>
              <w:rPr>
                <w:b/>
                <w:bCs/>
                <w:color w:val="auto"/>
                <w:spacing w:val="-20"/>
                <w:szCs w:val="21"/>
              </w:rPr>
            </w:pPr>
            <w:r>
              <w:rPr>
                <w:b/>
                <w:bCs/>
                <w:color w:val="auto"/>
                <w:spacing w:val="-20"/>
                <w:szCs w:val="21"/>
              </w:rPr>
              <w:t>总量指标</w:t>
            </w:r>
          </w:p>
        </w:tc>
        <w:tc>
          <w:tcPr>
            <w:tcW w:w="2977" w:type="dxa"/>
            <w:tcBorders>
              <w:top w:val="single" w:color="auto" w:sz="12" w:space="0"/>
              <w:bottom w:val="single" w:color="auto" w:sz="4" w:space="0"/>
            </w:tcBorders>
            <w:shd w:val="clear" w:color="auto" w:fill="DDD9C3"/>
            <w:vAlign w:val="center"/>
          </w:tcPr>
          <w:p>
            <w:pPr>
              <w:tabs>
                <w:tab w:val="left" w:pos="360"/>
              </w:tabs>
              <w:autoSpaceDE w:val="0"/>
              <w:autoSpaceDN w:val="0"/>
              <w:spacing w:line="0" w:lineRule="atLeast"/>
              <w:jc w:val="center"/>
              <w:rPr>
                <w:b/>
                <w:bCs/>
                <w:color w:val="auto"/>
                <w:szCs w:val="21"/>
              </w:rPr>
            </w:pPr>
            <w:r>
              <w:rPr>
                <w:b/>
                <w:bCs/>
                <w:color w:val="auto"/>
                <w:szCs w:val="21"/>
              </w:rPr>
              <w:t>排放标准</w:t>
            </w:r>
          </w:p>
        </w:tc>
        <w:tc>
          <w:tcPr>
            <w:tcW w:w="1674" w:type="dxa"/>
            <w:tcBorders>
              <w:top w:val="single" w:color="auto" w:sz="12" w:space="0"/>
              <w:bottom w:val="single" w:color="auto" w:sz="4" w:space="0"/>
            </w:tcBorders>
            <w:shd w:val="clear" w:color="auto" w:fill="DDD9C3"/>
            <w:vAlign w:val="center"/>
          </w:tcPr>
          <w:p>
            <w:pPr>
              <w:tabs>
                <w:tab w:val="left" w:pos="360"/>
              </w:tabs>
              <w:autoSpaceDE w:val="0"/>
              <w:autoSpaceDN w:val="0"/>
              <w:spacing w:line="0" w:lineRule="atLeast"/>
              <w:jc w:val="center"/>
              <w:rPr>
                <w:b/>
                <w:bCs/>
                <w:color w:val="auto"/>
                <w:szCs w:val="21"/>
              </w:rPr>
            </w:pPr>
            <w:r>
              <w:rPr>
                <w:b/>
                <w:bCs/>
                <w:color w:val="auto"/>
                <w:szCs w:val="21"/>
              </w:rPr>
              <w:t>排放口信息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665" w:hRule="atLeast"/>
        </w:trPr>
        <w:tc>
          <w:tcPr>
            <w:tcW w:w="1000" w:type="dxa"/>
            <w:vMerge w:val="restart"/>
            <w:tcBorders>
              <w:top w:val="single" w:color="auto" w:sz="4" w:space="0"/>
            </w:tcBorders>
            <w:vAlign w:val="center"/>
          </w:tcPr>
          <w:p>
            <w:pPr>
              <w:spacing w:line="0" w:lineRule="atLeast"/>
              <w:rPr>
                <w:color w:val="auto"/>
                <w:szCs w:val="21"/>
              </w:rPr>
            </w:pPr>
            <w:r>
              <w:rPr>
                <w:color w:val="auto"/>
                <w:szCs w:val="21"/>
              </w:rPr>
              <w:t>废气</w:t>
            </w:r>
          </w:p>
        </w:tc>
        <w:tc>
          <w:tcPr>
            <w:tcW w:w="421" w:type="dxa"/>
            <w:vMerge w:val="restart"/>
            <w:tcBorders>
              <w:top w:val="single" w:color="auto" w:sz="4" w:space="0"/>
            </w:tcBorders>
            <w:vAlign w:val="center"/>
          </w:tcPr>
          <w:p>
            <w:pPr>
              <w:spacing w:line="0" w:lineRule="atLeast"/>
              <w:rPr>
                <w:color w:val="auto"/>
                <w:szCs w:val="21"/>
              </w:rPr>
            </w:pPr>
            <w:r>
              <w:rPr>
                <w:color w:val="auto"/>
                <w:szCs w:val="21"/>
              </w:rPr>
              <w:t>有组织</w:t>
            </w:r>
          </w:p>
        </w:tc>
        <w:tc>
          <w:tcPr>
            <w:tcW w:w="1273" w:type="dxa"/>
            <w:vMerge w:val="restart"/>
            <w:tcBorders>
              <w:top w:val="single" w:color="auto" w:sz="4" w:space="0"/>
            </w:tcBorders>
            <w:vAlign w:val="center"/>
          </w:tcPr>
          <w:p>
            <w:pPr>
              <w:spacing w:line="0" w:lineRule="atLeast"/>
              <w:jc w:val="center"/>
              <w:rPr>
                <w:color w:val="auto"/>
                <w:szCs w:val="21"/>
              </w:rPr>
            </w:pPr>
            <w:r>
              <w:rPr>
                <w:rFonts w:hint="eastAsia"/>
                <w:color w:val="auto"/>
                <w:szCs w:val="21"/>
              </w:rPr>
              <w:t>屠宰车间</w:t>
            </w:r>
            <w:r>
              <w:rPr>
                <w:color w:val="auto"/>
                <w:szCs w:val="21"/>
              </w:rPr>
              <w:t>排气筒</w:t>
            </w:r>
          </w:p>
        </w:tc>
        <w:tc>
          <w:tcPr>
            <w:tcW w:w="1122" w:type="dxa"/>
            <w:tcBorders>
              <w:top w:val="single" w:color="auto" w:sz="4" w:space="0"/>
              <w:bottom w:val="single" w:color="auto" w:sz="4" w:space="0"/>
            </w:tcBorders>
            <w:vAlign w:val="center"/>
          </w:tcPr>
          <w:p>
            <w:pPr>
              <w:spacing w:line="0" w:lineRule="atLeast"/>
              <w:jc w:val="center"/>
              <w:rPr>
                <w:color w:val="auto"/>
                <w:szCs w:val="21"/>
              </w:rPr>
            </w:pPr>
            <w:r>
              <w:rPr>
                <w:color w:val="auto"/>
                <w:szCs w:val="21"/>
              </w:rPr>
              <w:t>NH</w:t>
            </w:r>
            <w:r>
              <w:rPr>
                <w:color w:val="auto"/>
                <w:szCs w:val="21"/>
                <w:vertAlign w:val="subscript"/>
              </w:rPr>
              <w:t>3</w:t>
            </w:r>
          </w:p>
        </w:tc>
        <w:tc>
          <w:tcPr>
            <w:tcW w:w="3281" w:type="dxa"/>
            <w:gridSpan w:val="3"/>
            <w:vMerge w:val="restart"/>
            <w:tcBorders>
              <w:top w:val="single" w:color="auto" w:sz="4" w:space="0"/>
            </w:tcBorders>
            <w:vAlign w:val="center"/>
          </w:tcPr>
          <w:p>
            <w:pPr>
              <w:spacing w:line="0" w:lineRule="atLeast"/>
              <w:jc w:val="center"/>
              <w:rPr>
                <w:color w:val="auto"/>
                <w:szCs w:val="21"/>
              </w:rPr>
            </w:pPr>
            <w:r>
              <w:rPr>
                <w:rFonts w:hint="eastAsia"/>
                <w:snapToGrid w:val="0"/>
                <w:color w:val="auto"/>
                <w:kern w:val="0"/>
                <w:szCs w:val="21"/>
              </w:rPr>
              <w:t>屠宰车间封闭，</w:t>
            </w:r>
            <w:r>
              <w:rPr>
                <w:bCs/>
                <w:snapToGrid w:val="0"/>
                <w:color w:val="auto"/>
                <w:kern w:val="0"/>
                <w:szCs w:val="21"/>
              </w:rPr>
              <w:t>产生的恶臭气体经负压集中收集后，通过活性炭吸附净化后由15m高排气筒（</w:t>
            </w:r>
            <w:r>
              <w:rPr>
                <w:rFonts w:hint="eastAsia"/>
                <w:bCs/>
                <w:snapToGrid w:val="0"/>
                <w:color w:val="auto"/>
                <w:kern w:val="0"/>
                <w:szCs w:val="21"/>
              </w:rPr>
              <w:t>DA001</w:t>
            </w:r>
            <w:r>
              <w:rPr>
                <w:bCs/>
                <w:snapToGrid w:val="0"/>
                <w:color w:val="auto"/>
                <w:kern w:val="0"/>
                <w:szCs w:val="21"/>
              </w:rPr>
              <w:t>）排放</w:t>
            </w:r>
          </w:p>
        </w:tc>
        <w:tc>
          <w:tcPr>
            <w:tcW w:w="1701" w:type="dxa"/>
            <w:tcBorders>
              <w:top w:val="single" w:color="auto" w:sz="4" w:space="0"/>
              <w:bottom w:val="single" w:color="auto" w:sz="4" w:space="0"/>
            </w:tcBorders>
            <w:vAlign w:val="center"/>
          </w:tcPr>
          <w:p>
            <w:pPr>
              <w:pStyle w:val="84"/>
              <w:spacing w:line="0" w:lineRule="atLeast"/>
              <w:rPr>
                <w:rFonts w:hAnsi="Times New Roman"/>
                <w:snapToGrid w:val="0"/>
                <w:color w:val="auto"/>
              </w:rPr>
            </w:pPr>
            <w:r>
              <w:rPr>
                <w:rFonts w:hint="eastAsia" w:hAnsi="Times New Roman"/>
                <w:snapToGrid w:val="0"/>
                <w:color w:val="auto"/>
                <w:lang w:val="en-US" w:eastAsia="zh-CN"/>
              </w:rPr>
              <w:t>6.2</w:t>
            </w:r>
            <w:r>
              <w:rPr>
                <w:rFonts w:hAnsi="Times New Roman"/>
                <w:color w:val="auto"/>
              </w:rPr>
              <w:t>mg/m</w:t>
            </w:r>
            <w:r>
              <w:rPr>
                <w:rFonts w:hAnsi="Times New Roman"/>
                <w:color w:val="auto"/>
                <w:vertAlign w:val="superscript"/>
              </w:rPr>
              <w:t>3</w:t>
            </w:r>
          </w:p>
        </w:tc>
        <w:tc>
          <w:tcPr>
            <w:tcW w:w="1134" w:type="dxa"/>
            <w:tcBorders>
              <w:top w:val="single" w:color="auto" w:sz="4" w:space="0"/>
              <w:bottom w:val="single" w:color="auto" w:sz="4" w:space="0"/>
            </w:tcBorders>
            <w:vAlign w:val="center"/>
          </w:tcPr>
          <w:p>
            <w:pPr>
              <w:spacing w:line="0" w:lineRule="atLeast"/>
              <w:jc w:val="center"/>
              <w:rPr>
                <w:color w:val="auto"/>
                <w:szCs w:val="21"/>
              </w:rPr>
            </w:pPr>
            <w:r>
              <w:rPr>
                <w:color w:val="auto"/>
                <w:szCs w:val="21"/>
              </w:rPr>
              <w:t>/</w:t>
            </w:r>
          </w:p>
        </w:tc>
        <w:tc>
          <w:tcPr>
            <w:tcW w:w="2977" w:type="dxa"/>
            <w:vMerge w:val="restart"/>
            <w:tcBorders>
              <w:top w:val="single" w:color="auto" w:sz="4" w:space="0"/>
            </w:tcBorders>
            <w:vAlign w:val="center"/>
          </w:tcPr>
          <w:p>
            <w:pPr>
              <w:spacing w:line="0" w:lineRule="atLeast"/>
              <w:jc w:val="center"/>
              <w:rPr>
                <w:color w:val="auto"/>
                <w:szCs w:val="21"/>
              </w:rPr>
            </w:pPr>
            <w:r>
              <w:rPr>
                <w:color w:val="auto"/>
                <w:szCs w:val="21"/>
              </w:rPr>
              <w:t>满足《恶臭污染物排放标准》（GB14554-93）表2标准要求</w:t>
            </w:r>
          </w:p>
        </w:tc>
        <w:tc>
          <w:tcPr>
            <w:tcW w:w="1674" w:type="dxa"/>
            <w:vMerge w:val="restart"/>
            <w:tcBorders>
              <w:top w:val="single" w:color="auto" w:sz="4" w:space="0"/>
            </w:tcBorders>
            <w:vAlign w:val="center"/>
          </w:tcPr>
          <w:p>
            <w:pPr>
              <w:spacing w:line="0" w:lineRule="atLeast"/>
              <w:rPr>
                <w:color w:val="auto"/>
                <w:szCs w:val="21"/>
              </w:rPr>
            </w:pPr>
          </w:p>
          <w:p>
            <w:pPr>
              <w:spacing w:line="0" w:lineRule="atLeast"/>
              <w:rPr>
                <w:color w:val="auto"/>
                <w:szCs w:val="21"/>
              </w:rPr>
            </w:pPr>
            <w:r>
              <w:rPr>
                <w:color w:val="auto"/>
                <w:szCs w:val="21"/>
              </w:rPr>
              <w:drawing>
                <wp:anchor distT="0" distB="0" distL="114300" distR="114300" simplePos="0" relativeHeight="251672576" behindDoc="0" locked="0" layoutInCell="1" allowOverlap="1">
                  <wp:simplePos x="0" y="0"/>
                  <wp:positionH relativeFrom="column">
                    <wp:posOffset>229870</wp:posOffset>
                  </wp:positionH>
                  <wp:positionV relativeFrom="paragraph">
                    <wp:posOffset>-13970</wp:posOffset>
                  </wp:positionV>
                  <wp:extent cx="640080" cy="609600"/>
                  <wp:effectExtent l="19050" t="0" r="7620" b="0"/>
                  <wp:wrapNone/>
                  <wp:docPr id="44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39"/>
                          <pic:cNvPicPr>
                            <a:picLocks noChangeAspect="1" noChangeArrowheads="1"/>
                          </pic:cNvPicPr>
                        </pic:nvPicPr>
                        <pic:blipFill>
                          <a:blip r:embed="rId81" cstate="print"/>
                          <a:srcRect/>
                          <a:stretch>
                            <a:fillRect/>
                          </a:stretch>
                        </pic:blipFill>
                        <pic:spPr>
                          <a:xfrm>
                            <a:off x="0" y="0"/>
                            <a:ext cx="640080" cy="609600"/>
                          </a:xfrm>
                          <a:prstGeom prst="rect">
                            <a:avLst/>
                          </a:prstGeom>
                          <a:noFill/>
                          <a:ln w="9525">
                            <a:noFill/>
                            <a:miter lim="800000"/>
                            <a:headEnd/>
                            <a:tailEnd/>
                          </a:ln>
                        </pic:spPr>
                      </pic:pic>
                    </a:graphicData>
                  </a:graphic>
                </wp:anchor>
              </w:drawing>
            </w:r>
          </w:p>
          <w:p>
            <w:pPr>
              <w:spacing w:line="0" w:lineRule="atLeast"/>
              <w:jc w:val="center"/>
              <w:rPr>
                <w:color w:val="auto"/>
                <w:szCs w:val="21"/>
              </w:rPr>
            </w:pPr>
          </w:p>
          <w:p>
            <w:pPr>
              <w:spacing w:line="0" w:lineRule="atLeast"/>
              <w:jc w:val="center"/>
              <w:rPr>
                <w:color w:val="auto"/>
                <w:szCs w:val="21"/>
              </w:rPr>
            </w:pPr>
          </w:p>
          <w:p>
            <w:pPr>
              <w:spacing w:line="0" w:lineRule="atLeast"/>
              <w:jc w:val="center"/>
              <w:rPr>
                <w:color w:val="auto"/>
                <w:szCs w:val="21"/>
              </w:rPr>
            </w:pPr>
          </w:p>
          <w:p>
            <w:pPr>
              <w:spacing w:line="0" w:lineRule="atLeast"/>
              <w:jc w:val="center"/>
              <w:rPr>
                <w:b/>
                <w:bCs/>
                <w:color w:val="auto"/>
                <w:szCs w:val="21"/>
              </w:rPr>
            </w:pPr>
            <w:r>
              <w:rPr>
                <w:color w:val="auto"/>
                <w:szCs w:val="21"/>
              </w:rPr>
              <w:drawing>
                <wp:anchor distT="0" distB="0" distL="114300" distR="114300" simplePos="0" relativeHeight="251673600" behindDoc="0" locked="0" layoutInCell="1" allowOverlap="1">
                  <wp:simplePos x="0" y="0"/>
                  <wp:positionH relativeFrom="column">
                    <wp:posOffset>239395</wp:posOffset>
                  </wp:positionH>
                  <wp:positionV relativeFrom="paragraph">
                    <wp:posOffset>153670</wp:posOffset>
                  </wp:positionV>
                  <wp:extent cx="772795" cy="542925"/>
                  <wp:effectExtent l="19050" t="0" r="8255" b="0"/>
                  <wp:wrapNone/>
                  <wp:docPr id="451"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40"/>
                          <pic:cNvPicPr>
                            <a:picLocks noChangeAspect="1" noChangeArrowheads="1"/>
                          </pic:cNvPicPr>
                        </pic:nvPicPr>
                        <pic:blipFill>
                          <a:blip r:embed="rId82" cstate="print"/>
                          <a:srcRect/>
                          <a:stretch>
                            <a:fillRect/>
                          </a:stretch>
                        </pic:blipFill>
                        <pic:spPr>
                          <a:xfrm>
                            <a:off x="0" y="0"/>
                            <a:ext cx="772795" cy="542925"/>
                          </a:xfrm>
                          <a:prstGeom prst="rect">
                            <a:avLst/>
                          </a:prstGeom>
                          <a:noFill/>
                          <a:ln w="9525">
                            <a:noFill/>
                            <a:miter lim="800000"/>
                            <a:headEnd/>
                            <a:tailEnd/>
                          </a:ln>
                        </pic:spPr>
                      </pic:pic>
                    </a:graphicData>
                  </a:graphic>
                </wp:anchor>
              </w:drawing>
            </w:r>
            <w:r>
              <w:rPr>
                <w:b/>
                <w:bCs/>
                <w:color w:val="auto"/>
                <w:szCs w:val="21"/>
              </w:rPr>
              <w:t>提示图形符号</w:t>
            </w:r>
          </w:p>
          <w:p>
            <w:pPr>
              <w:spacing w:line="0" w:lineRule="atLeast"/>
              <w:rPr>
                <w:color w:val="auto"/>
                <w:szCs w:val="21"/>
              </w:rPr>
            </w:pPr>
          </w:p>
          <w:p>
            <w:pPr>
              <w:spacing w:line="0" w:lineRule="atLeast"/>
              <w:rPr>
                <w:color w:val="auto"/>
                <w:szCs w:val="21"/>
              </w:rPr>
            </w:pPr>
          </w:p>
          <w:p>
            <w:pPr>
              <w:spacing w:line="0" w:lineRule="atLeast"/>
              <w:rPr>
                <w:color w:val="auto"/>
                <w:szCs w:val="21"/>
              </w:rPr>
            </w:pPr>
          </w:p>
          <w:p>
            <w:pPr>
              <w:spacing w:line="0" w:lineRule="atLeast"/>
              <w:rPr>
                <w:color w:val="auto"/>
                <w:szCs w:val="21"/>
              </w:rPr>
            </w:pPr>
          </w:p>
          <w:p>
            <w:pPr>
              <w:spacing w:line="0" w:lineRule="atLeast"/>
              <w:rPr>
                <w:color w:val="auto"/>
                <w:szCs w:val="21"/>
              </w:rPr>
            </w:pPr>
            <w:r>
              <w:rPr>
                <w:b/>
                <w:bCs/>
                <w:color w:val="auto"/>
                <w:szCs w:val="21"/>
              </w:rPr>
              <w:t>警告图形符号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56" w:hRule="atLeast"/>
        </w:trPr>
        <w:tc>
          <w:tcPr>
            <w:tcW w:w="1000" w:type="dxa"/>
            <w:vMerge w:val="continue"/>
            <w:vAlign w:val="center"/>
          </w:tcPr>
          <w:p>
            <w:pPr>
              <w:spacing w:line="0" w:lineRule="atLeast"/>
              <w:rPr>
                <w:color w:val="auto"/>
                <w:szCs w:val="21"/>
              </w:rPr>
            </w:pPr>
          </w:p>
        </w:tc>
        <w:tc>
          <w:tcPr>
            <w:tcW w:w="421" w:type="dxa"/>
            <w:vMerge w:val="continue"/>
            <w:vAlign w:val="center"/>
          </w:tcPr>
          <w:p>
            <w:pPr>
              <w:spacing w:line="0" w:lineRule="atLeast"/>
              <w:rPr>
                <w:color w:val="auto"/>
                <w:szCs w:val="21"/>
              </w:rPr>
            </w:pPr>
          </w:p>
        </w:tc>
        <w:tc>
          <w:tcPr>
            <w:tcW w:w="1273" w:type="dxa"/>
            <w:vMerge w:val="continue"/>
            <w:vAlign w:val="center"/>
          </w:tcPr>
          <w:p>
            <w:pPr>
              <w:spacing w:line="0" w:lineRule="atLeast"/>
              <w:jc w:val="center"/>
              <w:rPr>
                <w:color w:val="auto"/>
                <w:szCs w:val="21"/>
              </w:rPr>
            </w:pPr>
          </w:p>
        </w:tc>
        <w:tc>
          <w:tcPr>
            <w:tcW w:w="1122" w:type="dxa"/>
            <w:tcBorders>
              <w:top w:val="single" w:color="auto" w:sz="4" w:space="0"/>
            </w:tcBorders>
            <w:vAlign w:val="center"/>
          </w:tcPr>
          <w:p>
            <w:pPr>
              <w:autoSpaceDE w:val="0"/>
              <w:autoSpaceDN w:val="0"/>
              <w:spacing w:line="0" w:lineRule="atLeast"/>
              <w:jc w:val="center"/>
              <w:rPr>
                <w:color w:val="auto"/>
                <w:szCs w:val="21"/>
              </w:rPr>
            </w:pPr>
            <w:r>
              <w:rPr>
                <w:color w:val="auto"/>
                <w:szCs w:val="21"/>
              </w:rPr>
              <w:t>H</w:t>
            </w:r>
            <w:r>
              <w:rPr>
                <w:color w:val="auto"/>
                <w:szCs w:val="21"/>
                <w:vertAlign w:val="subscript"/>
              </w:rPr>
              <w:t>2</w:t>
            </w:r>
            <w:r>
              <w:rPr>
                <w:color w:val="auto"/>
                <w:szCs w:val="21"/>
              </w:rPr>
              <w:t>S</w:t>
            </w:r>
          </w:p>
        </w:tc>
        <w:tc>
          <w:tcPr>
            <w:tcW w:w="3281" w:type="dxa"/>
            <w:gridSpan w:val="3"/>
            <w:vMerge w:val="continue"/>
            <w:vAlign w:val="center"/>
          </w:tcPr>
          <w:p>
            <w:pPr>
              <w:spacing w:line="0" w:lineRule="atLeast"/>
              <w:jc w:val="center"/>
              <w:rPr>
                <w:color w:val="auto"/>
                <w:szCs w:val="21"/>
              </w:rPr>
            </w:pPr>
          </w:p>
        </w:tc>
        <w:tc>
          <w:tcPr>
            <w:tcW w:w="1701" w:type="dxa"/>
            <w:tcBorders>
              <w:top w:val="single" w:color="auto" w:sz="4" w:space="0"/>
            </w:tcBorders>
            <w:vAlign w:val="center"/>
          </w:tcPr>
          <w:p>
            <w:pPr>
              <w:pStyle w:val="84"/>
              <w:spacing w:line="0" w:lineRule="atLeast"/>
              <w:rPr>
                <w:rFonts w:hAnsi="Times New Roman"/>
                <w:snapToGrid w:val="0"/>
                <w:color w:val="auto"/>
              </w:rPr>
            </w:pPr>
            <w:r>
              <w:rPr>
                <w:rFonts w:hint="eastAsia" w:hAnsi="Times New Roman"/>
                <w:snapToGrid w:val="0"/>
                <w:color w:val="auto"/>
                <w:lang w:val="en-US" w:eastAsia="zh-CN"/>
              </w:rPr>
              <w:t>0.66</w:t>
            </w:r>
            <w:r>
              <w:rPr>
                <w:rFonts w:hAnsi="Times New Roman"/>
                <w:color w:val="auto"/>
              </w:rPr>
              <w:t>mg/m</w:t>
            </w:r>
            <w:r>
              <w:rPr>
                <w:rFonts w:hAnsi="Times New Roman"/>
                <w:color w:val="auto"/>
                <w:vertAlign w:val="superscript"/>
              </w:rPr>
              <w:t>3</w:t>
            </w:r>
          </w:p>
        </w:tc>
        <w:tc>
          <w:tcPr>
            <w:tcW w:w="1134" w:type="dxa"/>
            <w:tcBorders>
              <w:top w:val="single" w:color="auto" w:sz="4" w:space="0"/>
            </w:tcBorders>
            <w:vAlign w:val="center"/>
          </w:tcPr>
          <w:p>
            <w:pPr>
              <w:spacing w:line="0" w:lineRule="atLeast"/>
              <w:jc w:val="center"/>
              <w:rPr>
                <w:color w:val="auto"/>
                <w:szCs w:val="21"/>
              </w:rPr>
            </w:pPr>
            <w:r>
              <w:rPr>
                <w:color w:val="auto"/>
                <w:szCs w:val="21"/>
              </w:rPr>
              <w:t>/</w:t>
            </w:r>
          </w:p>
        </w:tc>
        <w:tc>
          <w:tcPr>
            <w:tcW w:w="2977" w:type="dxa"/>
            <w:vMerge w:val="continue"/>
            <w:vAlign w:val="center"/>
          </w:tcPr>
          <w:p>
            <w:pPr>
              <w:spacing w:line="0" w:lineRule="atLeast"/>
              <w:rPr>
                <w:color w:val="FF0000"/>
                <w:szCs w:val="21"/>
              </w:rPr>
            </w:pPr>
          </w:p>
        </w:tc>
        <w:tc>
          <w:tcPr>
            <w:tcW w:w="1674" w:type="dxa"/>
            <w:vMerge w:val="continue"/>
            <w:vAlign w:val="center"/>
          </w:tcPr>
          <w:p>
            <w:pPr>
              <w:spacing w:line="0" w:lineRule="atLeast"/>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56" w:hRule="atLeast"/>
        </w:trPr>
        <w:tc>
          <w:tcPr>
            <w:tcW w:w="1000" w:type="dxa"/>
            <w:vMerge w:val="continue"/>
            <w:vAlign w:val="center"/>
          </w:tcPr>
          <w:p>
            <w:pPr>
              <w:spacing w:line="0" w:lineRule="atLeast"/>
              <w:rPr>
                <w:color w:val="auto"/>
                <w:szCs w:val="21"/>
              </w:rPr>
            </w:pPr>
          </w:p>
        </w:tc>
        <w:tc>
          <w:tcPr>
            <w:tcW w:w="421" w:type="dxa"/>
            <w:vMerge w:val="continue"/>
            <w:vAlign w:val="center"/>
          </w:tcPr>
          <w:p>
            <w:pPr>
              <w:spacing w:line="0" w:lineRule="atLeast"/>
              <w:rPr>
                <w:color w:val="auto"/>
                <w:szCs w:val="21"/>
              </w:rPr>
            </w:pPr>
          </w:p>
        </w:tc>
        <w:tc>
          <w:tcPr>
            <w:tcW w:w="1273" w:type="dxa"/>
            <w:vMerge w:val="continue"/>
            <w:vAlign w:val="center"/>
          </w:tcPr>
          <w:p>
            <w:pPr>
              <w:spacing w:line="0" w:lineRule="atLeast"/>
              <w:jc w:val="center"/>
              <w:rPr>
                <w:color w:val="auto"/>
                <w:szCs w:val="21"/>
              </w:rPr>
            </w:pPr>
          </w:p>
        </w:tc>
        <w:tc>
          <w:tcPr>
            <w:tcW w:w="1122" w:type="dxa"/>
            <w:tcBorders>
              <w:top w:val="single" w:color="auto" w:sz="4" w:space="0"/>
            </w:tcBorders>
            <w:vAlign w:val="center"/>
          </w:tcPr>
          <w:p>
            <w:pPr>
              <w:autoSpaceDE w:val="0"/>
              <w:autoSpaceDN w:val="0"/>
              <w:spacing w:line="0" w:lineRule="atLeast"/>
              <w:jc w:val="center"/>
              <w:rPr>
                <w:color w:val="auto"/>
                <w:szCs w:val="21"/>
              </w:rPr>
            </w:pPr>
            <w:r>
              <w:rPr>
                <w:color w:val="auto"/>
                <w:szCs w:val="21"/>
              </w:rPr>
              <w:t>臭气浓度</w:t>
            </w:r>
          </w:p>
        </w:tc>
        <w:tc>
          <w:tcPr>
            <w:tcW w:w="3281" w:type="dxa"/>
            <w:gridSpan w:val="3"/>
            <w:vMerge w:val="continue"/>
            <w:vAlign w:val="center"/>
          </w:tcPr>
          <w:p>
            <w:pPr>
              <w:spacing w:line="0" w:lineRule="atLeast"/>
              <w:jc w:val="center"/>
              <w:rPr>
                <w:color w:val="auto"/>
                <w:szCs w:val="21"/>
              </w:rPr>
            </w:pPr>
          </w:p>
        </w:tc>
        <w:tc>
          <w:tcPr>
            <w:tcW w:w="1701" w:type="dxa"/>
            <w:tcBorders>
              <w:top w:val="single" w:color="auto" w:sz="4" w:space="0"/>
            </w:tcBorders>
            <w:vAlign w:val="center"/>
          </w:tcPr>
          <w:p>
            <w:pPr>
              <w:pStyle w:val="84"/>
              <w:spacing w:line="0" w:lineRule="atLeast"/>
              <w:rPr>
                <w:rFonts w:hAnsi="Times New Roman"/>
                <w:snapToGrid w:val="0"/>
                <w:color w:val="auto"/>
              </w:rPr>
            </w:pPr>
            <w:r>
              <w:rPr>
                <w:rFonts w:hint="eastAsia" w:hAnsi="Times New Roman"/>
                <w:color w:val="auto"/>
                <w:lang w:val="en-US" w:eastAsia="zh-CN"/>
              </w:rPr>
              <w:t>1316</w:t>
            </w:r>
            <w:r>
              <w:rPr>
                <w:rFonts w:hint="eastAsia" w:hAnsi="Times New Roman"/>
                <w:color w:val="auto"/>
              </w:rPr>
              <w:t>（无量纲）</w:t>
            </w:r>
          </w:p>
        </w:tc>
        <w:tc>
          <w:tcPr>
            <w:tcW w:w="1134" w:type="dxa"/>
            <w:tcBorders>
              <w:top w:val="single" w:color="auto" w:sz="4" w:space="0"/>
            </w:tcBorders>
            <w:vAlign w:val="center"/>
          </w:tcPr>
          <w:p>
            <w:pPr>
              <w:spacing w:line="0" w:lineRule="atLeast"/>
              <w:jc w:val="center"/>
              <w:rPr>
                <w:color w:val="auto"/>
                <w:szCs w:val="21"/>
              </w:rPr>
            </w:pPr>
            <w:r>
              <w:rPr>
                <w:rFonts w:hint="eastAsia"/>
                <w:color w:val="auto"/>
                <w:szCs w:val="21"/>
              </w:rPr>
              <w:t>/</w:t>
            </w:r>
          </w:p>
        </w:tc>
        <w:tc>
          <w:tcPr>
            <w:tcW w:w="2977" w:type="dxa"/>
            <w:vMerge w:val="continue"/>
            <w:vAlign w:val="center"/>
          </w:tcPr>
          <w:p>
            <w:pPr>
              <w:spacing w:line="0" w:lineRule="atLeast"/>
              <w:rPr>
                <w:color w:val="FF0000"/>
                <w:szCs w:val="21"/>
              </w:rPr>
            </w:pPr>
          </w:p>
        </w:tc>
        <w:tc>
          <w:tcPr>
            <w:tcW w:w="1674" w:type="dxa"/>
            <w:vMerge w:val="continue"/>
            <w:vAlign w:val="center"/>
          </w:tcPr>
          <w:p>
            <w:pPr>
              <w:spacing w:line="0" w:lineRule="atLeast"/>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56" w:hRule="atLeast"/>
        </w:trPr>
        <w:tc>
          <w:tcPr>
            <w:tcW w:w="1000" w:type="dxa"/>
            <w:vMerge w:val="continue"/>
            <w:vAlign w:val="center"/>
          </w:tcPr>
          <w:p>
            <w:pPr>
              <w:spacing w:line="0" w:lineRule="atLeast"/>
              <w:rPr>
                <w:color w:val="auto"/>
                <w:szCs w:val="21"/>
              </w:rPr>
            </w:pPr>
          </w:p>
        </w:tc>
        <w:tc>
          <w:tcPr>
            <w:tcW w:w="421" w:type="dxa"/>
            <w:vMerge w:val="continue"/>
            <w:vAlign w:val="center"/>
          </w:tcPr>
          <w:p>
            <w:pPr>
              <w:spacing w:line="0" w:lineRule="atLeast"/>
              <w:rPr>
                <w:color w:val="auto"/>
                <w:szCs w:val="21"/>
              </w:rPr>
            </w:pPr>
          </w:p>
        </w:tc>
        <w:tc>
          <w:tcPr>
            <w:tcW w:w="1273" w:type="dxa"/>
            <w:vMerge w:val="restart"/>
            <w:vAlign w:val="center"/>
          </w:tcPr>
          <w:p>
            <w:pPr>
              <w:spacing w:line="0" w:lineRule="atLeast"/>
              <w:jc w:val="center"/>
              <w:rPr>
                <w:color w:val="auto"/>
                <w:szCs w:val="21"/>
              </w:rPr>
            </w:pPr>
            <w:r>
              <w:rPr>
                <w:color w:val="auto"/>
                <w:szCs w:val="21"/>
              </w:rPr>
              <w:t>污水处理站排气筒</w:t>
            </w:r>
          </w:p>
        </w:tc>
        <w:tc>
          <w:tcPr>
            <w:tcW w:w="1122" w:type="dxa"/>
            <w:tcBorders>
              <w:top w:val="single" w:color="auto" w:sz="4" w:space="0"/>
            </w:tcBorders>
            <w:vAlign w:val="center"/>
          </w:tcPr>
          <w:p>
            <w:pPr>
              <w:spacing w:line="0" w:lineRule="atLeast"/>
              <w:jc w:val="center"/>
              <w:rPr>
                <w:color w:val="auto"/>
                <w:szCs w:val="21"/>
              </w:rPr>
            </w:pPr>
            <w:r>
              <w:rPr>
                <w:color w:val="auto"/>
                <w:szCs w:val="21"/>
              </w:rPr>
              <w:t>NH</w:t>
            </w:r>
            <w:r>
              <w:rPr>
                <w:color w:val="auto"/>
                <w:szCs w:val="21"/>
                <w:vertAlign w:val="subscript"/>
              </w:rPr>
              <w:t>3</w:t>
            </w:r>
          </w:p>
        </w:tc>
        <w:tc>
          <w:tcPr>
            <w:tcW w:w="3281" w:type="dxa"/>
            <w:gridSpan w:val="3"/>
            <w:vMerge w:val="restart"/>
            <w:vAlign w:val="center"/>
          </w:tcPr>
          <w:p>
            <w:pPr>
              <w:spacing w:line="0" w:lineRule="atLeast"/>
              <w:jc w:val="center"/>
              <w:rPr>
                <w:color w:val="auto"/>
                <w:szCs w:val="21"/>
              </w:rPr>
            </w:pPr>
            <w:r>
              <w:rPr>
                <w:snapToGrid w:val="0"/>
                <w:color w:val="auto"/>
                <w:kern w:val="0"/>
                <w:szCs w:val="21"/>
              </w:rPr>
              <w:t>污水处理站封闭，</w:t>
            </w:r>
            <w:r>
              <w:rPr>
                <w:bCs/>
                <w:snapToGrid w:val="0"/>
                <w:color w:val="auto"/>
                <w:kern w:val="0"/>
                <w:szCs w:val="21"/>
              </w:rPr>
              <w:t>产生的恶臭气体经负压集中收集后，通过活性炭吸附净化后由15m高排气筒（</w:t>
            </w:r>
            <w:r>
              <w:rPr>
                <w:rFonts w:hint="eastAsia"/>
                <w:bCs/>
                <w:snapToGrid w:val="0"/>
                <w:color w:val="auto"/>
                <w:kern w:val="0"/>
                <w:szCs w:val="21"/>
              </w:rPr>
              <w:t>DA002</w:t>
            </w:r>
            <w:r>
              <w:rPr>
                <w:bCs/>
                <w:snapToGrid w:val="0"/>
                <w:color w:val="auto"/>
                <w:kern w:val="0"/>
                <w:szCs w:val="21"/>
              </w:rPr>
              <w:t>）排放</w:t>
            </w:r>
          </w:p>
        </w:tc>
        <w:tc>
          <w:tcPr>
            <w:tcW w:w="1701" w:type="dxa"/>
            <w:tcBorders>
              <w:top w:val="single" w:color="auto" w:sz="4" w:space="0"/>
            </w:tcBorders>
            <w:vAlign w:val="center"/>
          </w:tcPr>
          <w:p>
            <w:pPr>
              <w:pStyle w:val="84"/>
              <w:spacing w:line="0" w:lineRule="atLeast"/>
              <w:rPr>
                <w:rFonts w:hAnsi="Times New Roman"/>
                <w:snapToGrid w:val="0"/>
                <w:color w:val="auto"/>
              </w:rPr>
            </w:pPr>
            <w:r>
              <w:rPr>
                <w:rFonts w:hint="eastAsia"/>
                <w:bCs/>
                <w:color w:val="auto"/>
                <w:kern w:val="0"/>
                <w:lang w:val="en-US" w:eastAsia="zh-CN"/>
              </w:rPr>
              <w:t>0.92</w:t>
            </w:r>
            <w:r>
              <w:rPr>
                <w:rFonts w:hAnsi="Times New Roman"/>
                <w:color w:val="auto"/>
              </w:rPr>
              <w:t>mg/m</w:t>
            </w:r>
            <w:r>
              <w:rPr>
                <w:rFonts w:hAnsi="Times New Roman"/>
                <w:color w:val="auto"/>
                <w:vertAlign w:val="superscript"/>
              </w:rPr>
              <w:t>3</w:t>
            </w:r>
          </w:p>
        </w:tc>
        <w:tc>
          <w:tcPr>
            <w:tcW w:w="1134" w:type="dxa"/>
            <w:tcBorders>
              <w:top w:val="single" w:color="auto" w:sz="4" w:space="0"/>
            </w:tcBorders>
            <w:vAlign w:val="center"/>
          </w:tcPr>
          <w:p>
            <w:pPr>
              <w:spacing w:line="0" w:lineRule="atLeast"/>
              <w:jc w:val="center"/>
              <w:rPr>
                <w:color w:val="auto"/>
                <w:szCs w:val="21"/>
              </w:rPr>
            </w:pPr>
            <w:r>
              <w:rPr>
                <w:color w:val="auto"/>
                <w:szCs w:val="21"/>
              </w:rPr>
              <w:t>/</w:t>
            </w:r>
          </w:p>
        </w:tc>
        <w:tc>
          <w:tcPr>
            <w:tcW w:w="2977" w:type="dxa"/>
            <w:vMerge w:val="continue"/>
            <w:vAlign w:val="center"/>
          </w:tcPr>
          <w:p>
            <w:pPr>
              <w:spacing w:line="0" w:lineRule="atLeast"/>
              <w:rPr>
                <w:color w:val="FF0000"/>
                <w:szCs w:val="21"/>
              </w:rPr>
            </w:pPr>
          </w:p>
        </w:tc>
        <w:tc>
          <w:tcPr>
            <w:tcW w:w="1674" w:type="dxa"/>
            <w:vMerge w:val="continue"/>
            <w:vAlign w:val="center"/>
          </w:tcPr>
          <w:p>
            <w:pPr>
              <w:spacing w:line="0" w:lineRule="atLeast"/>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56" w:hRule="atLeast"/>
        </w:trPr>
        <w:tc>
          <w:tcPr>
            <w:tcW w:w="1000" w:type="dxa"/>
            <w:vMerge w:val="continue"/>
            <w:vAlign w:val="center"/>
          </w:tcPr>
          <w:p>
            <w:pPr>
              <w:spacing w:line="0" w:lineRule="atLeast"/>
              <w:rPr>
                <w:color w:val="auto"/>
                <w:szCs w:val="21"/>
              </w:rPr>
            </w:pPr>
          </w:p>
        </w:tc>
        <w:tc>
          <w:tcPr>
            <w:tcW w:w="421" w:type="dxa"/>
            <w:vMerge w:val="continue"/>
            <w:vAlign w:val="center"/>
          </w:tcPr>
          <w:p>
            <w:pPr>
              <w:spacing w:line="0" w:lineRule="atLeast"/>
              <w:rPr>
                <w:color w:val="auto"/>
                <w:szCs w:val="21"/>
              </w:rPr>
            </w:pPr>
          </w:p>
        </w:tc>
        <w:tc>
          <w:tcPr>
            <w:tcW w:w="1273" w:type="dxa"/>
            <w:vMerge w:val="continue"/>
            <w:vAlign w:val="center"/>
          </w:tcPr>
          <w:p>
            <w:pPr>
              <w:spacing w:line="0" w:lineRule="atLeast"/>
              <w:jc w:val="center"/>
              <w:rPr>
                <w:color w:val="auto"/>
                <w:szCs w:val="21"/>
              </w:rPr>
            </w:pPr>
          </w:p>
        </w:tc>
        <w:tc>
          <w:tcPr>
            <w:tcW w:w="1122" w:type="dxa"/>
            <w:tcBorders>
              <w:top w:val="single" w:color="auto" w:sz="4" w:space="0"/>
            </w:tcBorders>
            <w:vAlign w:val="center"/>
          </w:tcPr>
          <w:p>
            <w:pPr>
              <w:autoSpaceDE w:val="0"/>
              <w:autoSpaceDN w:val="0"/>
              <w:spacing w:line="0" w:lineRule="atLeast"/>
              <w:jc w:val="center"/>
              <w:rPr>
                <w:color w:val="auto"/>
                <w:szCs w:val="21"/>
              </w:rPr>
            </w:pPr>
            <w:r>
              <w:rPr>
                <w:color w:val="auto"/>
                <w:szCs w:val="21"/>
              </w:rPr>
              <w:t>H</w:t>
            </w:r>
            <w:r>
              <w:rPr>
                <w:color w:val="auto"/>
                <w:szCs w:val="21"/>
                <w:vertAlign w:val="subscript"/>
              </w:rPr>
              <w:t>2</w:t>
            </w:r>
            <w:r>
              <w:rPr>
                <w:color w:val="auto"/>
                <w:szCs w:val="21"/>
              </w:rPr>
              <w:t>S</w:t>
            </w:r>
          </w:p>
        </w:tc>
        <w:tc>
          <w:tcPr>
            <w:tcW w:w="3281" w:type="dxa"/>
            <w:gridSpan w:val="3"/>
            <w:vMerge w:val="continue"/>
            <w:vAlign w:val="center"/>
          </w:tcPr>
          <w:p>
            <w:pPr>
              <w:spacing w:line="0" w:lineRule="atLeast"/>
              <w:jc w:val="center"/>
              <w:rPr>
                <w:color w:val="auto"/>
                <w:szCs w:val="21"/>
              </w:rPr>
            </w:pPr>
          </w:p>
        </w:tc>
        <w:tc>
          <w:tcPr>
            <w:tcW w:w="1701" w:type="dxa"/>
            <w:tcBorders>
              <w:top w:val="single" w:color="auto" w:sz="4" w:space="0"/>
            </w:tcBorders>
            <w:vAlign w:val="center"/>
          </w:tcPr>
          <w:p>
            <w:pPr>
              <w:pStyle w:val="84"/>
              <w:spacing w:line="0" w:lineRule="atLeast"/>
              <w:rPr>
                <w:rFonts w:hAnsi="Times New Roman"/>
                <w:snapToGrid w:val="0"/>
                <w:color w:val="auto"/>
              </w:rPr>
            </w:pPr>
            <w:r>
              <w:rPr>
                <w:rFonts w:hint="eastAsia"/>
                <w:bCs/>
                <w:color w:val="auto"/>
                <w:kern w:val="0"/>
                <w:lang w:val="en-US" w:eastAsia="zh-CN"/>
              </w:rPr>
              <w:t>0.036</w:t>
            </w:r>
            <w:r>
              <w:rPr>
                <w:rFonts w:hAnsi="Times New Roman"/>
                <w:color w:val="auto"/>
              </w:rPr>
              <w:t>mg/m</w:t>
            </w:r>
            <w:r>
              <w:rPr>
                <w:rFonts w:hAnsi="Times New Roman"/>
                <w:color w:val="auto"/>
                <w:vertAlign w:val="superscript"/>
              </w:rPr>
              <w:t>3</w:t>
            </w:r>
          </w:p>
        </w:tc>
        <w:tc>
          <w:tcPr>
            <w:tcW w:w="1134" w:type="dxa"/>
            <w:tcBorders>
              <w:top w:val="single" w:color="auto" w:sz="4" w:space="0"/>
            </w:tcBorders>
            <w:vAlign w:val="center"/>
          </w:tcPr>
          <w:p>
            <w:pPr>
              <w:spacing w:line="0" w:lineRule="atLeast"/>
              <w:jc w:val="center"/>
              <w:rPr>
                <w:color w:val="auto"/>
                <w:szCs w:val="21"/>
              </w:rPr>
            </w:pPr>
            <w:r>
              <w:rPr>
                <w:color w:val="auto"/>
                <w:szCs w:val="21"/>
              </w:rPr>
              <w:t>/</w:t>
            </w:r>
          </w:p>
        </w:tc>
        <w:tc>
          <w:tcPr>
            <w:tcW w:w="2977" w:type="dxa"/>
            <w:vMerge w:val="continue"/>
            <w:vAlign w:val="center"/>
          </w:tcPr>
          <w:p>
            <w:pPr>
              <w:spacing w:line="0" w:lineRule="atLeast"/>
              <w:rPr>
                <w:color w:val="FF0000"/>
                <w:szCs w:val="21"/>
              </w:rPr>
            </w:pPr>
          </w:p>
        </w:tc>
        <w:tc>
          <w:tcPr>
            <w:tcW w:w="1674" w:type="dxa"/>
            <w:vMerge w:val="continue"/>
            <w:vAlign w:val="center"/>
          </w:tcPr>
          <w:p>
            <w:pPr>
              <w:spacing w:line="0" w:lineRule="atLeast"/>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56" w:hRule="atLeast"/>
        </w:trPr>
        <w:tc>
          <w:tcPr>
            <w:tcW w:w="1000" w:type="dxa"/>
            <w:vMerge w:val="continue"/>
            <w:vAlign w:val="center"/>
          </w:tcPr>
          <w:p>
            <w:pPr>
              <w:spacing w:line="0" w:lineRule="atLeast"/>
              <w:rPr>
                <w:color w:val="auto"/>
                <w:szCs w:val="21"/>
              </w:rPr>
            </w:pPr>
          </w:p>
        </w:tc>
        <w:tc>
          <w:tcPr>
            <w:tcW w:w="421" w:type="dxa"/>
            <w:vMerge w:val="continue"/>
            <w:vAlign w:val="center"/>
          </w:tcPr>
          <w:p>
            <w:pPr>
              <w:spacing w:line="0" w:lineRule="atLeast"/>
              <w:rPr>
                <w:color w:val="auto"/>
                <w:szCs w:val="21"/>
              </w:rPr>
            </w:pPr>
          </w:p>
        </w:tc>
        <w:tc>
          <w:tcPr>
            <w:tcW w:w="1273" w:type="dxa"/>
            <w:vMerge w:val="continue"/>
            <w:vAlign w:val="center"/>
          </w:tcPr>
          <w:p>
            <w:pPr>
              <w:spacing w:line="0" w:lineRule="atLeast"/>
              <w:jc w:val="center"/>
              <w:rPr>
                <w:color w:val="auto"/>
                <w:szCs w:val="21"/>
              </w:rPr>
            </w:pPr>
          </w:p>
        </w:tc>
        <w:tc>
          <w:tcPr>
            <w:tcW w:w="1122" w:type="dxa"/>
            <w:tcBorders>
              <w:top w:val="single" w:color="auto" w:sz="4" w:space="0"/>
            </w:tcBorders>
            <w:vAlign w:val="center"/>
          </w:tcPr>
          <w:p>
            <w:pPr>
              <w:autoSpaceDE w:val="0"/>
              <w:autoSpaceDN w:val="0"/>
              <w:spacing w:line="0" w:lineRule="atLeast"/>
              <w:jc w:val="center"/>
              <w:rPr>
                <w:color w:val="auto"/>
                <w:szCs w:val="21"/>
              </w:rPr>
            </w:pPr>
            <w:r>
              <w:rPr>
                <w:color w:val="auto"/>
                <w:szCs w:val="21"/>
              </w:rPr>
              <w:t>臭气浓度</w:t>
            </w:r>
          </w:p>
        </w:tc>
        <w:tc>
          <w:tcPr>
            <w:tcW w:w="3281" w:type="dxa"/>
            <w:gridSpan w:val="3"/>
            <w:vMerge w:val="continue"/>
            <w:vAlign w:val="center"/>
          </w:tcPr>
          <w:p>
            <w:pPr>
              <w:spacing w:line="0" w:lineRule="atLeast"/>
              <w:jc w:val="center"/>
              <w:rPr>
                <w:color w:val="auto"/>
                <w:szCs w:val="21"/>
              </w:rPr>
            </w:pPr>
          </w:p>
        </w:tc>
        <w:tc>
          <w:tcPr>
            <w:tcW w:w="1701" w:type="dxa"/>
            <w:tcBorders>
              <w:top w:val="single" w:color="auto" w:sz="4" w:space="0"/>
            </w:tcBorders>
            <w:vAlign w:val="center"/>
          </w:tcPr>
          <w:p>
            <w:pPr>
              <w:pStyle w:val="84"/>
              <w:spacing w:line="0" w:lineRule="atLeast"/>
              <w:rPr>
                <w:rFonts w:hAnsi="Times New Roman"/>
                <w:bCs/>
                <w:snapToGrid w:val="0"/>
                <w:color w:val="auto"/>
                <w:szCs w:val="22"/>
              </w:rPr>
            </w:pPr>
            <w:r>
              <w:rPr>
                <w:rFonts w:hint="eastAsia" w:hAnsi="Times New Roman"/>
                <w:bCs/>
                <w:color w:val="auto"/>
              </w:rPr>
              <w:t>810</w:t>
            </w:r>
            <w:r>
              <w:rPr>
                <w:rFonts w:hAnsi="Times New Roman"/>
                <w:bCs/>
                <w:color w:val="auto"/>
              </w:rPr>
              <w:t>（无量纲）</w:t>
            </w:r>
          </w:p>
        </w:tc>
        <w:tc>
          <w:tcPr>
            <w:tcW w:w="1134" w:type="dxa"/>
            <w:tcBorders>
              <w:top w:val="single" w:color="auto" w:sz="4" w:space="0"/>
            </w:tcBorders>
            <w:vAlign w:val="center"/>
          </w:tcPr>
          <w:p>
            <w:pPr>
              <w:spacing w:line="0" w:lineRule="atLeast"/>
              <w:jc w:val="center"/>
              <w:rPr>
                <w:color w:val="auto"/>
                <w:szCs w:val="21"/>
              </w:rPr>
            </w:pPr>
            <w:r>
              <w:rPr>
                <w:rFonts w:hint="eastAsia"/>
                <w:color w:val="auto"/>
                <w:szCs w:val="21"/>
              </w:rPr>
              <w:t>/</w:t>
            </w:r>
          </w:p>
        </w:tc>
        <w:tc>
          <w:tcPr>
            <w:tcW w:w="2977" w:type="dxa"/>
            <w:vMerge w:val="continue"/>
            <w:vAlign w:val="center"/>
          </w:tcPr>
          <w:p>
            <w:pPr>
              <w:spacing w:line="0" w:lineRule="atLeast"/>
              <w:rPr>
                <w:color w:val="FF0000"/>
                <w:szCs w:val="21"/>
              </w:rPr>
            </w:pPr>
          </w:p>
        </w:tc>
        <w:tc>
          <w:tcPr>
            <w:tcW w:w="1674" w:type="dxa"/>
            <w:vMerge w:val="continue"/>
            <w:vAlign w:val="center"/>
          </w:tcPr>
          <w:p>
            <w:pPr>
              <w:spacing w:line="0" w:lineRule="atLeast"/>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56" w:hRule="atLeast"/>
        </w:trPr>
        <w:tc>
          <w:tcPr>
            <w:tcW w:w="1000" w:type="dxa"/>
            <w:vMerge w:val="continue"/>
            <w:vAlign w:val="center"/>
          </w:tcPr>
          <w:p>
            <w:pPr>
              <w:spacing w:line="0" w:lineRule="atLeast"/>
              <w:rPr>
                <w:color w:val="FF0000"/>
                <w:szCs w:val="21"/>
              </w:rPr>
            </w:pPr>
          </w:p>
        </w:tc>
        <w:tc>
          <w:tcPr>
            <w:tcW w:w="421" w:type="dxa"/>
            <w:vMerge w:val="continue"/>
            <w:vAlign w:val="center"/>
          </w:tcPr>
          <w:p>
            <w:pPr>
              <w:spacing w:line="0" w:lineRule="atLeast"/>
              <w:rPr>
                <w:color w:val="FF0000"/>
                <w:szCs w:val="21"/>
              </w:rPr>
            </w:pPr>
          </w:p>
        </w:tc>
        <w:tc>
          <w:tcPr>
            <w:tcW w:w="1273" w:type="dxa"/>
            <w:vMerge w:val="restart"/>
            <w:vAlign w:val="center"/>
          </w:tcPr>
          <w:p>
            <w:pPr>
              <w:spacing w:line="0" w:lineRule="atLeast"/>
              <w:jc w:val="center"/>
              <w:rPr>
                <w:color w:val="auto"/>
                <w:szCs w:val="21"/>
              </w:rPr>
            </w:pPr>
            <w:r>
              <w:rPr>
                <w:color w:val="auto"/>
                <w:szCs w:val="21"/>
              </w:rPr>
              <w:t>待宰间排气筒</w:t>
            </w:r>
          </w:p>
        </w:tc>
        <w:tc>
          <w:tcPr>
            <w:tcW w:w="1122" w:type="dxa"/>
            <w:tcBorders>
              <w:top w:val="single" w:color="auto" w:sz="4" w:space="0"/>
            </w:tcBorders>
            <w:vAlign w:val="center"/>
          </w:tcPr>
          <w:p>
            <w:pPr>
              <w:spacing w:line="0" w:lineRule="atLeast"/>
              <w:jc w:val="center"/>
              <w:rPr>
                <w:color w:val="auto"/>
                <w:szCs w:val="21"/>
              </w:rPr>
            </w:pPr>
            <w:r>
              <w:rPr>
                <w:color w:val="auto"/>
                <w:szCs w:val="21"/>
              </w:rPr>
              <w:t>NH</w:t>
            </w:r>
            <w:r>
              <w:rPr>
                <w:color w:val="auto"/>
                <w:szCs w:val="21"/>
                <w:vertAlign w:val="subscript"/>
              </w:rPr>
              <w:t>3</w:t>
            </w:r>
          </w:p>
        </w:tc>
        <w:tc>
          <w:tcPr>
            <w:tcW w:w="3281" w:type="dxa"/>
            <w:gridSpan w:val="3"/>
            <w:vMerge w:val="restart"/>
            <w:vAlign w:val="center"/>
          </w:tcPr>
          <w:p>
            <w:pPr>
              <w:spacing w:line="0" w:lineRule="atLeast"/>
              <w:jc w:val="center"/>
              <w:rPr>
                <w:color w:val="auto"/>
                <w:szCs w:val="21"/>
              </w:rPr>
            </w:pPr>
            <w:r>
              <w:rPr>
                <w:color w:val="auto"/>
                <w:szCs w:val="21"/>
              </w:rPr>
              <w:t>待宰</w:t>
            </w:r>
            <w:r>
              <w:rPr>
                <w:rFonts w:hint="eastAsia"/>
                <w:color w:val="auto"/>
                <w:szCs w:val="21"/>
              </w:rPr>
              <w:t>间封闭，</w:t>
            </w:r>
            <w:r>
              <w:rPr>
                <w:bCs/>
                <w:color w:val="auto"/>
                <w:szCs w:val="21"/>
              </w:rPr>
              <w:t>及时清扫，并投加或喷洒除臭剂，产生的</w:t>
            </w:r>
            <w:r>
              <w:rPr>
                <w:rFonts w:hint="eastAsia"/>
                <w:bCs/>
                <w:color w:val="auto"/>
                <w:szCs w:val="21"/>
              </w:rPr>
              <w:t>恶臭气体</w:t>
            </w:r>
            <w:r>
              <w:rPr>
                <w:bCs/>
                <w:color w:val="auto"/>
                <w:szCs w:val="21"/>
              </w:rPr>
              <w:t>经负压集中收集后，通过活性炭吸附净化后由15m高排气筒（</w:t>
            </w:r>
            <w:r>
              <w:rPr>
                <w:rFonts w:hint="eastAsia"/>
                <w:bCs/>
                <w:color w:val="auto"/>
                <w:szCs w:val="21"/>
              </w:rPr>
              <w:t>DA00</w:t>
            </w:r>
            <w:r>
              <w:rPr>
                <w:rFonts w:hint="eastAsia"/>
                <w:bCs/>
                <w:color w:val="auto"/>
                <w:szCs w:val="21"/>
                <w:lang w:val="en-US" w:eastAsia="zh-CN"/>
              </w:rPr>
              <w:t>3</w:t>
            </w:r>
            <w:r>
              <w:rPr>
                <w:bCs/>
                <w:color w:val="auto"/>
                <w:szCs w:val="21"/>
              </w:rPr>
              <w:t>）排放</w:t>
            </w:r>
          </w:p>
        </w:tc>
        <w:tc>
          <w:tcPr>
            <w:tcW w:w="1701" w:type="dxa"/>
            <w:tcBorders>
              <w:top w:val="single" w:color="auto" w:sz="4" w:space="0"/>
            </w:tcBorders>
            <w:vAlign w:val="center"/>
          </w:tcPr>
          <w:p>
            <w:pPr>
              <w:pStyle w:val="84"/>
              <w:spacing w:line="0" w:lineRule="atLeast"/>
              <w:rPr>
                <w:rFonts w:hAnsi="Times New Roman"/>
                <w:bCs/>
                <w:snapToGrid w:val="0"/>
                <w:color w:val="auto"/>
                <w:szCs w:val="22"/>
              </w:rPr>
            </w:pPr>
            <w:r>
              <w:rPr>
                <w:rFonts w:hint="eastAsia" w:hAnsi="Times New Roman"/>
                <w:snapToGrid w:val="0"/>
                <w:color w:val="auto"/>
                <w:szCs w:val="22"/>
                <w:lang w:val="en-US" w:eastAsia="zh-CN"/>
              </w:rPr>
              <w:t>0.136</w:t>
            </w:r>
            <w:r>
              <w:rPr>
                <w:rFonts w:hAnsi="Times New Roman"/>
                <w:color w:val="auto"/>
              </w:rPr>
              <w:t>mg/m</w:t>
            </w:r>
            <w:r>
              <w:rPr>
                <w:rFonts w:hAnsi="Times New Roman"/>
                <w:color w:val="auto"/>
                <w:vertAlign w:val="superscript"/>
              </w:rPr>
              <w:t>3</w:t>
            </w:r>
          </w:p>
        </w:tc>
        <w:tc>
          <w:tcPr>
            <w:tcW w:w="1134" w:type="dxa"/>
            <w:tcBorders>
              <w:top w:val="single" w:color="auto" w:sz="4" w:space="0"/>
            </w:tcBorders>
            <w:vAlign w:val="center"/>
          </w:tcPr>
          <w:p>
            <w:pPr>
              <w:spacing w:line="0" w:lineRule="atLeast"/>
              <w:jc w:val="center"/>
              <w:rPr>
                <w:color w:val="auto"/>
                <w:szCs w:val="21"/>
              </w:rPr>
            </w:pPr>
            <w:r>
              <w:rPr>
                <w:rFonts w:hint="eastAsia"/>
                <w:color w:val="auto"/>
                <w:szCs w:val="21"/>
              </w:rPr>
              <w:t>/</w:t>
            </w:r>
          </w:p>
        </w:tc>
        <w:tc>
          <w:tcPr>
            <w:tcW w:w="2977" w:type="dxa"/>
            <w:vMerge w:val="continue"/>
            <w:vAlign w:val="center"/>
          </w:tcPr>
          <w:p>
            <w:pPr>
              <w:spacing w:line="0" w:lineRule="atLeast"/>
              <w:rPr>
                <w:color w:val="FF0000"/>
                <w:szCs w:val="21"/>
              </w:rPr>
            </w:pPr>
          </w:p>
        </w:tc>
        <w:tc>
          <w:tcPr>
            <w:tcW w:w="1674" w:type="dxa"/>
            <w:vMerge w:val="continue"/>
            <w:vAlign w:val="center"/>
          </w:tcPr>
          <w:p>
            <w:pPr>
              <w:spacing w:line="0" w:lineRule="atLeast"/>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56" w:hRule="atLeast"/>
        </w:trPr>
        <w:tc>
          <w:tcPr>
            <w:tcW w:w="1000" w:type="dxa"/>
            <w:vMerge w:val="continue"/>
            <w:vAlign w:val="center"/>
          </w:tcPr>
          <w:p>
            <w:pPr>
              <w:spacing w:line="0" w:lineRule="atLeast"/>
              <w:rPr>
                <w:color w:val="FF0000"/>
                <w:szCs w:val="21"/>
              </w:rPr>
            </w:pPr>
          </w:p>
        </w:tc>
        <w:tc>
          <w:tcPr>
            <w:tcW w:w="421" w:type="dxa"/>
            <w:vMerge w:val="continue"/>
            <w:vAlign w:val="center"/>
          </w:tcPr>
          <w:p>
            <w:pPr>
              <w:spacing w:line="0" w:lineRule="atLeast"/>
              <w:rPr>
                <w:color w:val="FF0000"/>
                <w:szCs w:val="21"/>
              </w:rPr>
            </w:pPr>
          </w:p>
        </w:tc>
        <w:tc>
          <w:tcPr>
            <w:tcW w:w="1273" w:type="dxa"/>
            <w:vMerge w:val="continue"/>
            <w:vAlign w:val="center"/>
          </w:tcPr>
          <w:p>
            <w:pPr>
              <w:spacing w:line="0" w:lineRule="atLeast"/>
              <w:jc w:val="center"/>
              <w:rPr>
                <w:color w:val="auto"/>
                <w:szCs w:val="21"/>
              </w:rPr>
            </w:pPr>
          </w:p>
        </w:tc>
        <w:tc>
          <w:tcPr>
            <w:tcW w:w="1122" w:type="dxa"/>
            <w:tcBorders>
              <w:top w:val="single" w:color="auto" w:sz="4" w:space="0"/>
            </w:tcBorders>
            <w:vAlign w:val="center"/>
          </w:tcPr>
          <w:p>
            <w:pPr>
              <w:autoSpaceDE w:val="0"/>
              <w:autoSpaceDN w:val="0"/>
              <w:spacing w:line="0" w:lineRule="atLeast"/>
              <w:jc w:val="center"/>
              <w:rPr>
                <w:color w:val="auto"/>
                <w:szCs w:val="21"/>
              </w:rPr>
            </w:pPr>
            <w:r>
              <w:rPr>
                <w:color w:val="auto"/>
                <w:szCs w:val="21"/>
              </w:rPr>
              <w:t>H</w:t>
            </w:r>
            <w:r>
              <w:rPr>
                <w:color w:val="auto"/>
                <w:szCs w:val="21"/>
                <w:vertAlign w:val="subscript"/>
              </w:rPr>
              <w:t>2</w:t>
            </w:r>
            <w:r>
              <w:rPr>
                <w:color w:val="auto"/>
                <w:szCs w:val="21"/>
              </w:rPr>
              <w:t>S</w:t>
            </w:r>
          </w:p>
        </w:tc>
        <w:tc>
          <w:tcPr>
            <w:tcW w:w="3281" w:type="dxa"/>
            <w:gridSpan w:val="3"/>
            <w:vMerge w:val="continue"/>
            <w:vAlign w:val="center"/>
          </w:tcPr>
          <w:p>
            <w:pPr>
              <w:spacing w:line="0" w:lineRule="atLeast"/>
              <w:jc w:val="center"/>
              <w:rPr>
                <w:color w:val="auto"/>
                <w:szCs w:val="21"/>
              </w:rPr>
            </w:pPr>
          </w:p>
        </w:tc>
        <w:tc>
          <w:tcPr>
            <w:tcW w:w="1701" w:type="dxa"/>
            <w:tcBorders>
              <w:top w:val="single" w:color="auto" w:sz="4" w:space="0"/>
            </w:tcBorders>
            <w:vAlign w:val="center"/>
          </w:tcPr>
          <w:p>
            <w:pPr>
              <w:pStyle w:val="84"/>
              <w:spacing w:line="0" w:lineRule="atLeast"/>
              <w:rPr>
                <w:rFonts w:hAnsi="Times New Roman"/>
                <w:bCs/>
                <w:snapToGrid w:val="0"/>
                <w:color w:val="auto"/>
                <w:szCs w:val="22"/>
              </w:rPr>
            </w:pPr>
            <w:r>
              <w:rPr>
                <w:rFonts w:hint="eastAsia" w:hAnsi="Times New Roman"/>
                <w:snapToGrid w:val="0"/>
                <w:color w:val="auto"/>
                <w:szCs w:val="22"/>
                <w:lang w:val="en-US" w:eastAsia="zh-CN"/>
              </w:rPr>
              <w:t>0.022</w:t>
            </w:r>
            <w:r>
              <w:rPr>
                <w:rFonts w:hAnsi="Times New Roman"/>
                <w:color w:val="auto"/>
              </w:rPr>
              <w:t>mg/m</w:t>
            </w:r>
            <w:r>
              <w:rPr>
                <w:rFonts w:hAnsi="Times New Roman"/>
                <w:color w:val="auto"/>
                <w:vertAlign w:val="superscript"/>
              </w:rPr>
              <w:t>3</w:t>
            </w:r>
          </w:p>
        </w:tc>
        <w:tc>
          <w:tcPr>
            <w:tcW w:w="1134" w:type="dxa"/>
            <w:tcBorders>
              <w:top w:val="single" w:color="auto" w:sz="4" w:space="0"/>
            </w:tcBorders>
            <w:vAlign w:val="center"/>
          </w:tcPr>
          <w:p>
            <w:pPr>
              <w:spacing w:line="0" w:lineRule="atLeast"/>
              <w:jc w:val="center"/>
              <w:rPr>
                <w:color w:val="auto"/>
                <w:szCs w:val="21"/>
              </w:rPr>
            </w:pPr>
            <w:r>
              <w:rPr>
                <w:rFonts w:hint="eastAsia"/>
                <w:color w:val="auto"/>
                <w:szCs w:val="21"/>
              </w:rPr>
              <w:t>/</w:t>
            </w:r>
          </w:p>
        </w:tc>
        <w:tc>
          <w:tcPr>
            <w:tcW w:w="2977" w:type="dxa"/>
            <w:vMerge w:val="continue"/>
            <w:vAlign w:val="center"/>
          </w:tcPr>
          <w:p>
            <w:pPr>
              <w:spacing w:line="0" w:lineRule="atLeast"/>
              <w:rPr>
                <w:color w:val="FF0000"/>
                <w:szCs w:val="21"/>
              </w:rPr>
            </w:pPr>
          </w:p>
        </w:tc>
        <w:tc>
          <w:tcPr>
            <w:tcW w:w="1674" w:type="dxa"/>
            <w:vMerge w:val="continue"/>
            <w:vAlign w:val="center"/>
          </w:tcPr>
          <w:p>
            <w:pPr>
              <w:spacing w:line="0" w:lineRule="atLeast"/>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56" w:hRule="atLeast"/>
        </w:trPr>
        <w:tc>
          <w:tcPr>
            <w:tcW w:w="1000" w:type="dxa"/>
            <w:vMerge w:val="continue"/>
            <w:vAlign w:val="center"/>
          </w:tcPr>
          <w:p>
            <w:pPr>
              <w:spacing w:line="0" w:lineRule="atLeast"/>
              <w:rPr>
                <w:color w:val="FF0000"/>
                <w:szCs w:val="21"/>
              </w:rPr>
            </w:pPr>
          </w:p>
        </w:tc>
        <w:tc>
          <w:tcPr>
            <w:tcW w:w="421" w:type="dxa"/>
            <w:vMerge w:val="continue"/>
            <w:vAlign w:val="center"/>
          </w:tcPr>
          <w:p>
            <w:pPr>
              <w:spacing w:line="0" w:lineRule="atLeast"/>
              <w:rPr>
                <w:color w:val="FF0000"/>
                <w:szCs w:val="21"/>
              </w:rPr>
            </w:pPr>
          </w:p>
        </w:tc>
        <w:tc>
          <w:tcPr>
            <w:tcW w:w="1273" w:type="dxa"/>
            <w:vMerge w:val="continue"/>
            <w:vAlign w:val="center"/>
          </w:tcPr>
          <w:p>
            <w:pPr>
              <w:spacing w:line="0" w:lineRule="atLeast"/>
              <w:jc w:val="center"/>
              <w:rPr>
                <w:color w:val="auto"/>
                <w:szCs w:val="21"/>
              </w:rPr>
            </w:pPr>
          </w:p>
        </w:tc>
        <w:tc>
          <w:tcPr>
            <w:tcW w:w="1122" w:type="dxa"/>
            <w:tcBorders>
              <w:top w:val="single" w:color="auto" w:sz="4" w:space="0"/>
            </w:tcBorders>
            <w:vAlign w:val="center"/>
          </w:tcPr>
          <w:p>
            <w:pPr>
              <w:autoSpaceDE w:val="0"/>
              <w:autoSpaceDN w:val="0"/>
              <w:spacing w:line="0" w:lineRule="atLeast"/>
              <w:jc w:val="center"/>
              <w:rPr>
                <w:color w:val="auto"/>
                <w:szCs w:val="21"/>
              </w:rPr>
            </w:pPr>
            <w:r>
              <w:rPr>
                <w:color w:val="auto"/>
                <w:szCs w:val="21"/>
              </w:rPr>
              <w:t>臭气浓度</w:t>
            </w:r>
          </w:p>
        </w:tc>
        <w:tc>
          <w:tcPr>
            <w:tcW w:w="3281" w:type="dxa"/>
            <w:gridSpan w:val="3"/>
            <w:vMerge w:val="continue"/>
            <w:vAlign w:val="center"/>
          </w:tcPr>
          <w:p>
            <w:pPr>
              <w:spacing w:line="0" w:lineRule="atLeast"/>
              <w:jc w:val="center"/>
              <w:rPr>
                <w:color w:val="auto"/>
                <w:szCs w:val="21"/>
              </w:rPr>
            </w:pPr>
          </w:p>
        </w:tc>
        <w:tc>
          <w:tcPr>
            <w:tcW w:w="1701" w:type="dxa"/>
            <w:tcBorders>
              <w:top w:val="single" w:color="auto" w:sz="4" w:space="0"/>
            </w:tcBorders>
            <w:vAlign w:val="center"/>
          </w:tcPr>
          <w:p>
            <w:pPr>
              <w:pStyle w:val="84"/>
              <w:spacing w:line="0" w:lineRule="atLeast"/>
              <w:rPr>
                <w:rFonts w:hAnsi="Times New Roman"/>
                <w:bCs/>
                <w:snapToGrid w:val="0"/>
                <w:color w:val="auto"/>
                <w:szCs w:val="22"/>
              </w:rPr>
            </w:pPr>
            <w:r>
              <w:rPr>
                <w:rFonts w:hint="eastAsia" w:hAnsi="Times New Roman"/>
                <w:bCs/>
                <w:snapToGrid w:val="0"/>
                <w:color w:val="auto"/>
                <w:szCs w:val="24"/>
              </w:rPr>
              <w:t>405（无量纲）</w:t>
            </w:r>
          </w:p>
        </w:tc>
        <w:tc>
          <w:tcPr>
            <w:tcW w:w="1134" w:type="dxa"/>
            <w:tcBorders>
              <w:top w:val="single" w:color="auto" w:sz="4" w:space="0"/>
            </w:tcBorders>
            <w:vAlign w:val="center"/>
          </w:tcPr>
          <w:p>
            <w:pPr>
              <w:spacing w:line="0" w:lineRule="atLeast"/>
              <w:jc w:val="center"/>
              <w:rPr>
                <w:color w:val="auto"/>
                <w:szCs w:val="21"/>
              </w:rPr>
            </w:pPr>
            <w:r>
              <w:rPr>
                <w:rFonts w:hint="eastAsia"/>
                <w:color w:val="auto"/>
                <w:szCs w:val="21"/>
              </w:rPr>
              <w:t>/</w:t>
            </w:r>
          </w:p>
        </w:tc>
        <w:tc>
          <w:tcPr>
            <w:tcW w:w="2977" w:type="dxa"/>
            <w:vMerge w:val="continue"/>
            <w:vAlign w:val="center"/>
          </w:tcPr>
          <w:p>
            <w:pPr>
              <w:spacing w:line="0" w:lineRule="atLeast"/>
              <w:rPr>
                <w:color w:val="FF0000"/>
                <w:szCs w:val="21"/>
              </w:rPr>
            </w:pPr>
          </w:p>
        </w:tc>
        <w:tc>
          <w:tcPr>
            <w:tcW w:w="1674" w:type="dxa"/>
            <w:vMerge w:val="continue"/>
            <w:vAlign w:val="center"/>
          </w:tcPr>
          <w:p>
            <w:pPr>
              <w:spacing w:line="0" w:lineRule="atLeast"/>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56" w:hRule="atLeast"/>
        </w:trPr>
        <w:tc>
          <w:tcPr>
            <w:tcW w:w="1000" w:type="dxa"/>
            <w:vMerge w:val="continue"/>
            <w:vAlign w:val="center"/>
          </w:tcPr>
          <w:p>
            <w:pPr>
              <w:spacing w:line="0" w:lineRule="atLeast"/>
              <w:rPr>
                <w:color w:val="FF0000"/>
                <w:szCs w:val="21"/>
              </w:rPr>
            </w:pPr>
          </w:p>
        </w:tc>
        <w:tc>
          <w:tcPr>
            <w:tcW w:w="421" w:type="dxa"/>
            <w:vMerge w:val="continue"/>
            <w:vAlign w:val="center"/>
          </w:tcPr>
          <w:p>
            <w:pPr>
              <w:spacing w:line="0" w:lineRule="atLeast"/>
              <w:rPr>
                <w:color w:val="FF0000"/>
                <w:szCs w:val="21"/>
              </w:rPr>
            </w:pPr>
          </w:p>
        </w:tc>
        <w:tc>
          <w:tcPr>
            <w:tcW w:w="1273" w:type="dxa"/>
            <w:vMerge w:val="restart"/>
            <w:vAlign w:val="center"/>
          </w:tcPr>
          <w:p>
            <w:pPr>
              <w:spacing w:line="0" w:lineRule="atLeast"/>
              <w:jc w:val="center"/>
              <w:rPr>
                <w:rFonts w:hint="default" w:eastAsia="宋体"/>
                <w:color w:val="auto"/>
                <w:szCs w:val="21"/>
                <w:lang w:val="en-US" w:eastAsia="zh-CN"/>
              </w:rPr>
            </w:pPr>
            <w:r>
              <w:rPr>
                <w:rFonts w:hint="eastAsia"/>
                <w:color w:val="auto"/>
                <w:szCs w:val="21"/>
                <w:lang w:val="en-US" w:eastAsia="zh-CN"/>
              </w:rPr>
              <w:t>锅炉房烟囱</w:t>
            </w:r>
          </w:p>
        </w:tc>
        <w:tc>
          <w:tcPr>
            <w:tcW w:w="1122" w:type="dxa"/>
            <w:tcBorders>
              <w:top w:val="single" w:color="auto" w:sz="4" w:space="0"/>
            </w:tcBorders>
            <w:vAlign w:val="center"/>
          </w:tcPr>
          <w:p>
            <w:pPr>
              <w:pStyle w:val="84"/>
              <w:rPr>
                <w:color w:val="auto"/>
                <w:szCs w:val="21"/>
              </w:rPr>
            </w:pPr>
            <w:r>
              <w:rPr>
                <w:color w:val="auto"/>
                <w:highlight w:val="none"/>
              </w:rPr>
              <w:t>颗粒物</w:t>
            </w:r>
          </w:p>
        </w:tc>
        <w:tc>
          <w:tcPr>
            <w:tcW w:w="3281" w:type="dxa"/>
            <w:gridSpan w:val="3"/>
            <w:vMerge w:val="restart"/>
            <w:vAlign w:val="center"/>
          </w:tcPr>
          <w:p>
            <w:pPr>
              <w:spacing w:line="0" w:lineRule="atLeast"/>
              <w:jc w:val="center"/>
              <w:rPr>
                <w:color w:val="auto"/>
                <w:szCs w:val="21"/>
              </w:rPr>
            </w:pPr>
            <w:r>
              <w:rPr>
                <w:rFonts w:hint="eastAsia"/>
                <w:color w:val="auto"/>
                <w:lang w:val="en-US" w:eastAsia="zh-CN"/>
              </w:rPr>
              <w:t>烟气经布袋除尘器处理后，通过30m高烟囱（DA005）排放</w:t>
            </w:r>
          </w:p>
        </w:tc>
        <w:tc>
          <w:tcPr>
            <w:tcW w:w="1701" w:type="dxa"/>
            <w:tcBorders>
              <w:top w:val="single" w:color="auto" w:sz="4" w:space="0"/>
            </w:tcBorders>
            <w:vAlign w:val="center"/>
          </w:tcPr>
          <w:p>
            <w:pPr>
              <w:pStyle w:val="84"/>
              <w:rPr>
                <w:rFonts w:hint="eastAsia" w:hAnsi="Times New Roman"/>
                <w:snapToGrid w:val="0"/>
                <w:color w:val="auto"/>
                <w:szCs w:val="22"/>
                <w:lang w:eastAsia="zh-CN"/>
              </w:rPr>
            </w:pPr>
            <w:r>
              <w:rPr>
                <w:rFonts w:hint="eastAsia" w:hAnsi="Times New Roman"/>
                <w:snapToGrid w:val="0"/>
                <w:color w:val="auto"/>
                <w:szCs w:val="22"/>
                <w:lang w:val="en-US" w:eastAsia="zh-CN"/>
              </w:rPr>
              <w:t>26.05</w:t>
            </w:r>
            <w:r>
              <w:rPr>
                <w:rFonts w:hAnsi="Times New Roman"/>
                <w:color w:val="auto"/>
              </w:rPr>
              <w:t>mg/m</w:t>
            </w:r>
            <w:r>
              <w:rPr>
                <w:rFonts w:hAnsi="Times New Roman"/>
                <w:color w:val="auto"/>
                <w:vertAlign w:val="superscript"/>
              </w:rPr>
              <w:t>3</w:t>
            </w:r>
          </w:p>
        </w:tc>
        <w:tc>
          <w:tcPr>
            <w:tcW w:w="1134" w:type="dxa"/>
            <w:tcBorders>
              <w:top w:val="single" w:color="auto" w:sz="4" w:space="0"/>
            </w:tcBorders>
            <w:vAlign w:val="center"/>
          </w:tcPr>
          <w:p>
            <w:pPr>
              <w:jc w:val="center"/>
              <w:rPr>
                <w:rFonts w:hint="default"/>
                <w:color w:val="FF0000"/>
                <w:szCs w:val="21"/>
                <w:lang w:val="en-US"/>
              </w:rPr>
            </w:pPr>
            <w:r>
              <w:rPr>
                <w:rFonts w:hint="eastAsia"/>
                <w:b w:val="0"/>
                <w:bCs w:val="0"/>
                <w:color w:val="auto"/>
                <w:kern w:val="0"/>
                <w:sz w:val="21"/>
                <w:szCs w:val="21"/>
                <w:lang w:val="en-US" w:eastAsia="zh-CN"/>
              </w:rPr>
              <w:t>0.085t/a</w:t>
            </w:r>
          </w:p>
        </w:tc>
        <w:tc>
          <w:tcPr>
            <w:tcW w:w="2977" w:type="dxa"/>
            <w:vMerge w:val="restart"/>
            <w:vAlign w:val="center"/>
          </w:tcPr>
          <w:p>
            <w:pPr>
              <w:spacing w:line="0" w:lineRule="atLeast"/>
              <w:jc w:val="center"/>
              <w:rPr>
                <w:color w:val="FF0000"/>
                <w:szCs w:val="21"/>
              </w:rPr>
            </w:pPr>
            <w:r>
              <w:rPr>
                <w:highlight w:val="none"/>
              </w:rPr>
              <w:t>《锅炉大气污染物排放标准》（GB13271-2014）表3燃煤锅炉大气污染物特别排放限值要求</w:t>
            </w:r>
          </w:p>
        </w:tc>
        <w:tc>
          <w:tcPr>
            <w:tcW w:w="1674" w:type="dxa"/>
            <w:vMerge w:val="restart"/>
            <w:vAlign w:val="center"/>
          </w:tcPr>
          <w:p>
            <w:pPr>
              <w:spacing w:line="0" w:lineRule="atLeast"/>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56" w:hRule="atLeast"/>
        </w:trPr>
        <w:tc>
          <w:tcPr>
            <w:tcW w:w="1000" w:type="dxa"/>
            <w:vMerge w:val="continue"/>
            <w:vAlign w:val="center"/>
          </w:tcPr>
          <w:p>
            <w:pPr>
              <w:spacing w:line="0" w:lineRule="atLeast"/>
              <w:rPr>
                <w:color w:val="FF0000"/>
                <w:szCs w:val="21"/>
              </w:rPr>
            </w:pPr>
          </w:p>
        </w:tc>
        <w:tc>
          <w:tcPr>
            <w:tcW w:w="421" w:type="dxa"/>
            <w:vMerge w:val="continue"/>
            <w:vAlign w:val="center"/>
          </w:tcPr>
          <w:p>
            <w:pPr>
              <w:spacing w:line="0" w:lineRule="atLeast"/>
              <w:rPr>
                <w:color w:val="FF0000"/>
                <w:szCs w:val="21"/>
              </w:rPr>
            </w:pPr>
          </w:p>
        </w:tc>
        <w:tc>
          <w:tcPr>
            <w:tcW w:w="1273" w:type="dxa"/>
            <w:vMerge w:val="continue"/>
            <w:vAlign w:val="center"/>
          </w:tcPr>
          <w:p>
            <w:pPr>
              <w:spacing w:line="0" w:lineRule="atLeast"/>
              <w:jc w:val="center"/>
              <w:rPr>
                <w:color w:val="auto"/>
                <w:szCs w:val="21"/>
              </w:rPr>
            </w:pPr>
          </w:p>
        </w:tc>
        <w:tc>
          <w:tcPr>
            <w:tcW w:w="1122" w:type="dxa"/>
            <w:tcBorders>
              <w:top w:val="single" w:color="auto" w:sz="4" w:space="0"/>
            </w:tcBorders>
            <w:vAlign w:val="center"/>
          </w:tcPr>
          <w:p>
            <w:pPr>
              <w:pStyle w:val="84"/>
              <w:rPr>
                <w:color w:val="auto"/>
                <w:szCs w:val="21"/>
              </w:rPr>
            </w:pPr>
            <w:r>
              <w:rPr>
                <w:color w:val="auto"/>
                <w:highlight w:val="none"/>
              </w:rPr>
              <w:t>SO</w:t>
            </w:r>
            <w:r>
              <w:rPr>
                <w:color w:val="auto"/>
                <w:highlight w:val="none"/>
                <w:vertAlign w:val="subscript"/>
              </w:rPr>
              <w:t>2</w:t>
            </w:r>
          </w:p>
        </w:tc>
        <w:tc>
          <w:tcPr>
            <w:tcW w:w="3281" w:type="dxa"/>
            <w:gridSpan w:val="3"/>
            <w:vMerge w:val="continue"/>
            <w:vAlign w:val="center"/>
          </w:tcPr>
          <w:p>
            <w:pPr>
              <w:spacing w:line="0" w:lineRule="atLeast"/>
              <w:jc w:val="center"/>
              <w:rPr>
                <w:color w:val="auto"/>
                <w:szCs w:val="21"/>
              </w:rPr>
            </w:pPr>
          </w:p>
        </w:tc>
        <w:tc>
          <w:tcPr>
            <w:tcW w:w="1701" w:type="dxa"/>
            <w:tcBorders>
              <w:top w:val="single" w:color="auto" w:sz="4" w:space="0"/>
            </w:tcBorders>
            <w:vAlign w:val="center"/>
          </w:tcPr>
          <w:p>
            <w:pPr>
              <w:pStyle w:val="84"/>
              <w:rPr>
                <w:rFonts w:hint="eastAsia" w:hAnsi="Times New Roman"/>
                <w:snapToGrid w:val="0"/>
                <w:color w:val="auto"/>
                <w:szCs w:val="22"/>
                <w:lang w:eastAsia="zh-CN"/>
              </w:rPr>
            </w:pPr>
            <w:r>
              <w:rPr>
                <w:rFonts w:hint="eastAsia" w:hAnsi="Times New Roman" w:eastAsia="宋体"/>
                <w:snapToGrid w:val="0"/>
                <w:color w:val="auto"/>
                <w:szCs w:val="22"/>
                <w:lang w:val="en-US" w:eastAsia="zh-CN"/>
              </w:rPr>
              <w:t>35.53</w:t>
            </w:r>
            <w:r>
              <w:rPr>
                <w:rFonts w:hAnsi="Times New Roman"/>
                <w:color w:val="auto"/>
              </w:rPr>
              <w:t>mg/m</w:t>
            </w:r>
            <w:r>
              <w:rPr>
                <w:rFonts w:hAnsi="Times New Roman"/>
                <w:color w:val="auto"/>
                <w:vertAlign w:val="superscript"/>
              </w:rPr>
              <w:t>3</w:t>
            </w:r>
          </w:p>
        </w:tc>
        <w:tc>
          <w:tcPr>
            <w:tcW w:w="1134" w:type="dxa"/>
            <w:tcBorders>
              <w:top w:val="single" w:color="auto" w:sz="4" w:space="0"/>
            </w:tcBorders>
            <w:vAlign w:val="center"/>
          </w:tcPr>
          <w:p>
            <w:pPr>
              <w:jc w:val="center"/>
              <w:rPr>
                <w:rFonts w:hint="default"/>
                <w:color w:val="FF0000"/>
                <w:szCs w:val="21"/>
                <w:lang w:val="en-US"/>
              </w:rPr>
            </w:pPr>
            <w:r>
              <w:rPr>
                <w:rFonts w:hint="eastAsia"/>
                <w:b w:val="0"/>
                <w:bCs w:val="0"/>
                <w:color w:val="auto"/>
                <w:kern w:val="0"/>
                <w:sz w:val="21"/>
                <w:szCs w:val="21"/>
                <w:lang w:val="en-US" w:eastAsia="zh-CN"/>
              </w:rPr>
              <w:t>0.455t/a</w:t>
            </w:r>
          </w:p>
        </w:tc>
        <w:tc>
          <w:tcPr>
            <w:tcW w:w="2977" w:type="dxa"/>
            <w:vMerge w:val="continue"/>
            <w:vAlign w:val="center"/>
          </w:tcPr>
          <w:p>
            <w:pPr>
              <w:spacing w:line="0" w:lineRule="atLeast"/>
              <w:jc w:val="center"/>
              <w:rPr>
                <w:color w:val="FF0000"/>
                <w:szCs w:val="21"/>
              </w:rPr>
            </w:pPr>
          </w:p>
        </w:tc>
        <w:tc>
          <w:tcPr>
            <w:tcW w:w="1674" w:type="dxa"/>
            <w:vMerge w:val="continue"/>
            <w:vAlign w:val="center"/>
          </w:tcPr>
          <w:p>
            <w:pPr>
              <w:spacing w:line="0" w:lineRule="atLeast"/>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56" w:hRule="atLeast"/>
        </w:trPr>
        <w:tc>
          <w:tcPr>
            <w:tcW w:w="1000" w:type="dxa"/>
            <w:vMerge w:val="continue"/>
            <w:vAlign w:val="center"/>
          </w:tcPr>
          <w:p>
            <w:pPr>
              <w:spacing w:line="0" w:lineRule="atLeast"/>
              <w:rPr>
                <w:color w:val="FF0000"/>
                <w:szCs w:val="21"/>
              </w:rPr>
            </w:pPr>
          </w:p>
        </w:tc>
        <w:tc>
          <w:tcPr>
            <w:tcW w:w="421" w:type="dxa"/>
            <w:vMerge w:val="continue"/>
            <w:vAlign w:val="center"/>
          </w:tcPr>
          <w:p>
            <w:pPr>
              <w:spacing w:line="0" w:lineRule="atLeast"/>
              <w:rPr>
                <w:color w:val="FF0000"/>
                <w:szCs w:val="21"/>
              </w:rPr>
            </w:pPr>
          </w:p>
        </w:tc>
        <w:tc>
          <w:tcPr>
            <w:tcW w:w="1273" w:type="dxa"/>
            <w:vMerge w:val="continue"/>
            <w:vAlign w:val="center"/>
          </w:tcPr>
          <w:p>
            <w:pPr>
              <w:spacing w:line="0" w:lineRule="atLeast"/>
              <w:jc w:val="center"/>
              <w:rPr>
                <w:color w:val="auto"/>
                <w:szCs w:val="21"/>
              </w:rPr>
            </w:pPr>
          </w:p>
        </w:tc>
        <w:tc>
          <w:tcPr>
            <w:tcW w:w="1122" w:type="dxa"/>
            <w:tcBorders>
              <w:top w:val="single" w:color="auto" w:sz="4" w:space="0"/>
            </w:tcBorders>
            <w:vAlign w:val="center"/>
          </w:tcPr>
          <w:p>
            <w:pPr>
              <w:pStyle w:val="84"/>
              <w:rPr>
                <w:color w:val="auto"/>
                <w:szCs w:val="21"/>
              </w:rPr>
            </w:pPr>
            <w:r>
              <w:rPr>
                <w:color w:val="auto"/>
                <w:highlight w:val="none"/>
              </w:rPr>
              <w:t>NOx</w:t>
            </w:r>
          </w:p>
        </w:tc>
        <w:tc>
          <w:tcPr>
            <w:tcW w:w="3281" w:type="dxa"/>
            <w:gridSpan w:val="3"/>
            <w:vMerge w:val="continue"/>
            <w:vAlign w:val="center"/>
          </w:tcPr>
          <w:p>
            <w:pPr>
              <w:spacing w:line="0" w:lineRule="atLeast"/>
              <w:jc w:val="center"/>
              <w:rPr>
                <w:color w:val="auto"/>
                <w:szCs w:val="21"/>
              </w:rPr>
            </w:pPr>
          </w:p>
        </w:tc>
        <w:tc>
          <w:tcPr>
            <w:tcW w:w="1701" w:type="dxa"/>
            <w:tcBorders>
              <w:top w:val="single" w:color="auto" w:sz="4" w:space="0"/>
            </w:tcBorders>
            <w:vAlign w:val="center"/>
          </w:tcPr>
          <w:p>
            <w:pPr>
              <w:pStyle w:val="84"/>
              <w:rPr>
                <w:rFonts w:hint="eastAsia" w:hAnsi="Times New Roman"/>
                <w:snapToGrid w:val="0"/>
                <w:color w:val="auto"/>
                <w:szCs w:val="22"/>
                <w:lang w:eastAsia="zh-CN"/>
              </w:rPr>
            </w:pPr>
            <w:r>
              <w:rPr>
                <w:rFonts w:hint="eastAsia" w:hAnsi="Times New Roman" w:eastAsia="宋体"/>
                <w:snapToGrid w:val="0"/>
                <w:color w:val="auto"/>
                <w:szCs w:val="22"/>
                <w:lang w:val="en-US" w:eastAsia="zh-CN"/>
              </w:rPr>
              <w:t>150</w:t>
            </w:r>
            <w:r>
              <w:rPr>
                <w:rFonts w:hAnsi="Times New Roman"/>
                <w:color w:val="auto"/>
              </w:rPr>
              <w:t>mg/m</w:t>
            </w:r>
            <w:r>
              <w:rPr>
                <w:rFonts w:hAnsi="Times New Roman"/>
                <w:color w:val="auto"/>
                <w:vertAlign w:val="superscript"/>
              </w:rPr>
              <w:t>3</w:t>
            </w:r>
          </w:p>
        </w:tc>
        <w:tc>
          <w:tcPr>
            <w:tcW w:w="1134" w:type="dxa"/>
            <w:tcBorders>
              <w:top w:val="single" w:color="auto" w:sz="4" w:space="0"/>
            </w:tcBorders>
            <w:vAlign w:val="center"/>
          </w:tcPr>
          <w:p>
            <w:pPr>
              <w:jc w:val="center"/>
              <w:rPr>
                <w:rFonts w:hint="default"/>
                <w:color w:val="FF0000"/>
                <w:szCs w:val="21"/>
                <w:lang w:val="en-US"/>
              </w:rPr>
            </w:pPr>
            <w:r>
              <w:rPr>
                <w:rFonts w:hint="eastAsia"/>
                <w:b w:val="0"/>
                <w:bCs w:val="0"/>
                <w:color w:val="auto"/>
                <w:kern w:val="0"/>
                <w:sz w:val="21"/>
                <w:szCs w:val="21"/>
                <w:lang w:val="en-US" w:eastAsia="zh-CN"/>
              </w:rPr>
              <w:t>0.569t/a</w:t>
            </w:r>
          </w:p>
        </w:tc>
        <w:tc>
          <w:tcPr>
            <w:tcW w:w="2977" w:type="dxa"/>
            <w:vMerge w:val="continue"/>
            <w:vAlign w:val="center"/>
          </w:tcPr>
          <w:p>
            <w:pPr>
              <w:spacing w:line="0" w:lineRule="atLeast"/>
              <w:jc w:val="center"/>
              <w:rPr>
                <w:color w:val="FF0000"/>
                <w:szCs w:val="21"/>
              </w:rPr>
            </w:pPr>
          </w:p>
        </w:tc>
        <w:tc>
          <w:tcPr>
            <w:tcW w:w="1674" w:type="dxa"/>
            <w:vMerge w:val="continue"/>
            <w:vAlign w:val="center"/>
          </w:tcPr>
          <w:p>
            <w:pPr>
              <w:spacing w:line="0" w:lineRule="atLeast"/>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131" w:hRule="atLeast"/>
        </w:trPr>
        <w:tc>
          <w:tcPr>
            <w:tcW w:w="1000" w:type="dxa"/>
            <w:vMerge w:val="continue"/>
            <w:vAlign w:val="center"/>
          </w:tcPr>
          <w:p>
            <w:pPr>
              <w:spacing w:line="0" w:lineRule="atLeast"/>
              <w:rPr>
                <w:color w:val="FF0000"/>
                <w:szCs w:val="21"/>
              </w:rPr>
            </w:pPr>
          </w:p>
        </w:tc>
        <w:tc>
          <w:tcPr>
            <w:tcW w:w="421" w:type="dxa"/>
            <w:vMerge w:val="continue"/>
            <w:vAlign w:val="center"/>
          </w:tcPr>
          <w:p>
            <w:pPr>
              <w:spacing w:line="0" w:lineRule="atLeast"/>
              <w:rPr>
                <w:color w:val="FF0000"/>
                <w:szCs w:val="21"/>
              </w:rPr>
            </w:pPr>
          </w:p>
        </w:tc>
        <w:tc>
          <w:tcPr>
            <w:tcW w:w="1273" w:type="dxa"/>
            <w:vAlign w:val="center"/>
          </w:tcPr>
          <w:p>
            <w:pPr>
              <w:spacing w:line="0" w:lineRule="atLeast"/>
              <w:jc w:val="center"/>
              <w:rPr>
                <w:color w:val="auto"/>
                <w:szCs w:val="21"/>
              </w:rPr>
            </w:pPr>
            <w:r>
              <w:rPr>
                <w:color w:val="auto"/>
                <w:szCs w:val="21"/>
              </w:rPr>
              <w:t>食堂排烟通道</w:t>
            </w:r>
          </w:p>
        </w:tc>
        <w:tc>
          <w:tcPr>
            <w:tcW w:w="1122" w:type="dxa"/>
            <w:tcBorders>
              <w:top w:val="single" w:color="auto" w:sz="4" w:space="0"/>
            </w:tcBorders>
            <w:vAlign w:val="center"/>
          </w:tcPr>
          <w:p>
            <w:pPr>
              <w:autoSpaceDE w:val="0"/>
              <w:autoSpaceDN w:val="0"/>
              <w:spacing w:line="0" w:lineRule="atLeast"/>
              <w:jc w:val="center"/>
              <w:rPr>
                <w:color w:val="auto"/>
                <w:szCs w:val="21"/>
              </w:rPr>
            </w:pPr>
            <w:r>
              <w:rPr>
                <w:color w:val="auto"/>
                <w:szCs w:val="21"/>
              </w:rPr>
              <w:t>油烟</w:t>
            </w:r>
          </w:p>
        </w:tc>
        <w:tc>
          <w:tcPr>
            <w:tcW w:w="3281" w:type="dxa"/>
            <w:gridSpan w:val="3"/>
            <w:vAlign w:val="center"/>
          </w:tcPr>
          <w:p>
            <w:pPr>
              <w:spacing w:line="0" w:lineRule="atLeast"/>
              <w:jc w:val="center"/>
              <w:rPr>
                <w:color w:val="auto"/>
                <w:szCs w:val="21"/>
              </w:rPr>
            </w:pPr>
            <w:r>
              <w:rPr>
                <w:color w:val="auto"/>
                <w:szCs w:val="21"/>
              </w:rPr>
              <w:t>食堂油烟经油烟净化器处理后经高于楼顶的专用烟道排放</w:t>
            </w:r>
          </w:p>
        </w:tc>
        <w:tc>
          <w:tcPr>
            <w:tcW w:w="1701" w:type="dxa"/>
            <w:tcBorders>
              <w:top w:val="single" w:color="auto" w:sz="4" w:space="0"/>
            </w:tcBorders>
            <w:vAlign w:val="center"/>
          </w:tcPr>
          <w:p>
            <w:pPr>
              <w:pStyle w:val="84"/>
              <w:spacing w:line="0" w:lineRule="atLeast"/>
              <w:rPr>
                <w:rFonts w:hAnsi="Times New Roman"/>
                <w:snapToGrid w:val="0"/>
                <w:color w:val="auto"/>
              </w:rPr>
            </w:pPr>
            <w:r>
              <w:rPr>
                <w:rFonts w:hint="eastAsia" w:hAnsi="Times New Roman"/>
                <w:snapToGrid w:val="0"/>
                <w:color w:val="auto"/>
                <w:szCs w:val="22"/>
                <w:lang w:eastAsia="zh-CN"/>
              </w:rPr>
              <w:t>1.6</w:t>
            </w:r>
            <w:r>
              <w:rPr>
                <w:rFonts w:hAnsi="Times New Roman"/>
                <w:color w:val="auto"/>
              </w:rPr>
              <w:t>mg/m</w:t>
            </w:r>
            <w:r>
              <w:rPr>
                <w:rFonts w:hAnsi="Times New Roman"/>
                <w:color w:val="auto"/>
                <w:vertAlign w:val="superscript"/>
              </w:rPr>
              <w:t>3</w:t>
            </w:r>
          </w:p>
        </w:tc>
        <w:tc>
          <w:tcPr>
            <w:tcW w:w="1134" w:type="dxa"/>
            <w:tcBorders>
              <w:top w:val="single" w:color="auto" w:sz="4" w:space="0"/>
            </w:tcBorders>
            <w:vAlign w:val="center"/>
          </w:tcPr>
          <w:p>
            <w:pPr>
              <w:spacing w:line="0" w:lineRule="atLeast"/>
              <w:jc w:val="center"/>
              <w:rPr>
                <w:color w:val="auto"/>
                <w:szCs w:val="21"/>
              </w:rPr>
            </w:pPr>
            <w:r>
              <w:rPr>
                <w:color w:val="auto"/>
                <w:szCs w:val="21"/>
              </w:rPr>
              <w:t>/</w:t>
            </w:r>
          </w:p>
        </w:tc>
        <w:tc>
          <w:tcPr>
            <w:tcW w:w="2977" w:type="dxa"/>
            <w:vAlign w:val="center"/>
          </w:tcPr>
          <w:p>
            <w:pPr>
              <w:spacing w:line="0" w:lineRule="atLeast"/>
              <w:jc w:val="center"/>
              <w:rPr>
                <w:color w:val="auto"/>
                <w:szCs w:val="21"/>
              </w:rPr>
            </w:pPr>
            <w:r>
              <w:rPr>
                <w:color w:val="auto"/>
                <w:szCs w:val="21"/>
              </w:rPr>
              <w:t>《饮食业油烟排放标准（试行）》（GB18483-2001）中小型食堂油烟的标准限值要求</w:t>
            </w:r>
          </w:p>
        </w:tc>
        <w:tc>
          <w:tcPr>
            <w:tcW w:w="1674" w:type="dxa"/>
            <w:vMerge w:val="continue"/>
            <w:vAlign w:val="center"/>
          </w:tcPr>
          <w:p>
            <w:pPr>
              <w:spacing w:line="0" w:lineRule="atLeast"/>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02" w:hRule="atLeast"/>
        </w:trPr>
        <w:tc>
          <w:tcPr>
            <w:tcW w:w="1000" w:type="dxa"/>
            <w:vMerge w:val="continue"/>
            <w:vAlign w:val="center"/>
          </w:tcPr>
          <w:p>
            <w:pPr>
              <w:spacing w:line="0" w:lineRule="atLeast"/>
              <w:rPr>
                <w:color w:val="FF0000"/>
                <w:szCs w:val="21"/>
              </w:rPr>
            </w:pPr>
          </w:p>
        </w:tc>
        <w:tc>
          <w:tcPr>
            <w:tcW w:w="421" w:type="dxa"/>
            <w:vMerge w:val="restart"/>
            <w:vAlign w:val="center"/>
          </w:tcPr>
          <w:p>
            <w:pPr>
              <w:spacing w:line="0" w:lineRule="atLeast"/>
              <w:rPr>
                <w:color w:val="auto"/>
                <w:szCs w:val="21"/>
              </w:rPr>
            </w:pPr>
            <w:r>
              <w:rPr>
                <w:color w:val="auto"/>
                <w:szCs w:val="21"/>
              </w:rPr>
              <w:t>无组织</w:t>
            </w:r>
          </w:p>
        </w:tc>
        <w:tc>
          <w:tcPr>
            <w:tcW w:w="1273" w:type="dxa"/>
            <w:vMerge w:val="restart"/>
            <w:vAlign w:val="center"/>
          </w:tcPr>
          <w:p>
            <w:pPr>
              <w:spacing w:line="0" w:lineRule="atLeast"/>
              <w:jc w:val="center"/>
              <w:rPr>
                <w:color w:val="auto"/>
                <w:szCs w:val="21"/>
              </w:rPr>
            </w:pPr>
            <w:r>
              <w:rPr>
                <w:rFonts w:hint="eastAsia"/>
                <w:color w:val="auto"/>
                <w:szCs w:val="21"/>
              </w:rPr>
              <w:t>屠宰车间</w:t>
            </w:r>
          </w:p>
        </w:tc>
        <w:tc>
          <w:tcPr>
            <w:tcW w:w="1122" w:type="dxa"/>
            <w:vAlign w:val="center"/>
          </w:tcPr>
          <w:p>
            <w:pPr>
              <w:spacing w:line="0" w:lineRule="atLeast"/>
              <w:jc w:val="center"/>
              <w:rPr>
                <w:color w:val="auto"/>
                <w:szCs w:val="21"/>
              </w:rPr>
            </w:pPr>
            <w:r>
              <w:rPr>
                <w:color w:val="auto"/>
                <w:szCs w:val="21"/>
              </w:rPr>
              <w:t>NH</w:t>
            </w:r>
            <w:r>
              <w:rPr>
                <w:color w:val="auto"/>
                <w:szCs w:val="21"/>
                <w:vertAlign w:val="subscript"/>
              </w:rPr>
              <w:t>3</w:t>
            </w:r>
          </w:p>
        </w:tc>
        <w:tc>
          <w:tcPr>
            <w:tcW w:w="3281" w:type="dxa"/>
            <w:gridSpan w:val="3"/>
            <w:vMerge w:val="restart"/>
            <w:vAlign w:val="center"/>
          </w:tcPr>
          <w:p>
            <w:pPr>
              <w:spacing w:line="0" w:lineRule="atLeast"/>
              <w:jc w:val="center"/>
              <w:rPr>
                <w:color w:val="auto"/>
                <w:szCs w:val="21"/>
              </w:rPr>
            </w:pPr>
            <w:r>
              <w:rPr>
                <w:color w:val="auto"/>
                <w:szCs w:val="21"/>
              </w:rPr>
              <w:t>增加通风次数，及时清洗</w:t>
            </w:r>
          </w:p>
        </w:tc>
        <w:tc>
          <w:tcPr>
            <w:tcW w:w="1701" w:type="dxa"/>
            <w:vMerge w:val="restart"/>
            <w:vAlign w:val="center"/>
          </w:tcPr>
          <w:p>
            <w:pPr>
              <w:spacing w:line="0" w:lineRule="atLeast"/>
              <w:jc w:val="center"/>
              <w:rPr>
                <w:color w:val="auto"/>
                <w:szCs w:val="21"/>
              </w:rPr>
            </w:pPr>
            <w:r>
              <w:rPr>
                <w:color w:val="auto"/>
                <w:szCs w:val="21"/>
              </w:rPr>
              <w:t>/</w:t>
            </w:r>
          </w:p>
        </w:tc>
        <w:tc>
          <w:tcPr>
            <w:tcW w:w="1134" w:type="dxa"/>
            <w:vAlign w:val="center"/>
          </w:tcPr>
          <w:p>
            <w:pPr>
              <w:spacing w:line="0" w:lineRule="atLeast"/>
              <w:jc w:val="center"/>
              <w:rPr>
                <w:color w:val="auto"/>
                <w:szCs w:val="21"/>
              </w:rPr>
            </w:pPr>
            <w:r>
              <w:rPr>
                <w:color w:val="auto"/>
                <w:szCs w:val="21"/>
              </w:rPr>
              <w:t>/</w:t>
            </w:r>
          </w:p>
        </w:tc>
        <w:tc>
          <w:tcPr>
            <w:tcW w:w="2977" w:type="dxa"/>
            <w:vMerge w:val="restart"/>
            <w:vAlign w:val="center"/>
          </w:tcPr>
          <w:p>
            <w:pPr>
              <w:spacing w:line="0" w:lineRule="atLeast"/>
              <w:jc w:val="center"/>
              <w:rPr>
                <w:color w:val="auto"/>
                <w:szCs w:val="21"/>
              </w:rPr>
            </w:pPr>
            <w:r>
              <w:rPr>
                <w:color w:val="auto"/>
                <w:szCs w:val="21"/>
              </w:rPr>
              <w:t>《恶臭污染物排放标准》（GB14554-1993）表1中二级新改扩建标准</w:t>
            </w:r>
          </w:p>
        </w:tc>
        <w:tc>
          <w:tcPr>
            <w:tcW w:w="1674" w:type="dxa"/>
            <w:vMerge w:val="restart"/>
            <w:vAlign w:val="center"/>
          </w:tcPr>
          <w:p>
            <w:pPr>
              <w:spacing w:line="0" w:lineRule="atLeast"/>
              <w:jc w:val="center"/>
              <w:rPr>
                <w:color w:val="auto"/>
                <w:szCs w:val="21"/>
              </w:rPr>
            </w:pP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126" w:hRule="atLeast"/>
        </w:trPr>
        <w:tc>
          <w:tcPr>
            <w:tcW w:w="1000" w:type="dxa"/>
            <w:vMerge w:val="continue"/>
            <w:vAlign w:val="center"/>
          </w:tcPr>
          <w:p>
            <w:pPr>
              <w:spacing w:line="0" w:lineRule="atLeast"/>
              <w:rPr>
                <w:color w:val="FF0000"/>
                <w:szCs w:val="21"/>
              </w:rPr>
            </w:pPr>
          </w:p>
        </w:tc>
        <w:tc>
          <w:tcPr>
            <w:tcW w:w="421" w:type="dxa"/>
            <w:vMerge w:val="continue"/>
            <w:vAlign w:val="center"/>
          </w:tcPr>
          <w:p>
            <w:pPr>
              <w:spacing w:line="0" w:lineRule="atLeast"/>
              <w:rPr>
                <w:color w:val="auto"/>
                <w:szCs w:val="21"/>
              </w:rPr>
            </w:pPr>
          </w:p>
        </w:tc>
        <w:tc>
          <w:tcPr>
            <w:tcW w:w="1273" w:type="dxa"/>
            <w:vMerge w:val="continue"/>
            <w:vAlign w:val="center"/>
          </w:tcPr>
          <w:p>
            <w:pPr>
              <w:spacing w:line="0" w:lineRule="atLeast"/>
              <w:jc w:val="center"/>
              <w:rPr>
                <w:color w:val="auto"/>
                <w:szCs w:val="21"/>
              </w:rPr>
            </w:pPr>
          </w:p>
        </w:tc>
        <w:tc>
          <w:tcPr>
            <w:tcW w:w="1122" w:type="dxa"/>
            <w:vAlign w:val="center"/>
          </w:tcPr>
          <w:p>
            <w:pPr>
              <w:autoSpaceDE w:val="0"/>
              <w:autoSpaceDN w:val="0"/>
              <w:spacing w:line="0" w:lineRule="atLeast"/>
              <w:jc w:val="center"/>
              <w:rPr>
                <w:color w:val="auto"/>
                <w:szCs w:val="21"/>
              </w:rPr>
            </w:pPr>
            <w:r>
              <w:rPr>
                <w:color w:val="auto"/>
                <w:szCs w:val="21"/>
              </w:rPr>
              <w:t>H</w:t>
            </w:r>
            <w:r>
              <w:rPr>
                <w:color w:val="auto"/>
                <w:szCs w:val="21"/>
                <w:vertAlign w:val="subscript"/>
              </w:rPr>
              <w:t>2</w:t>
            </w:r>
            <w:r>
              <w:rPr>
                <w:color w:val="auto"/>
                <w:szCs w:val="21"/>
              </w:rPr>
              <w:t>S</w:t>
            </w:r>
          </w:p>
        </w:tc>
        <w:tc>
          <w:tcPr>
            <w:tcW w:w="3281" w:type="dxa"/>
            <w:gridSpan w:val="3"/>
            <w:vMerge w:val="continue"/>
            <w:vAlign w:val="center"/>
          </w:tcPr>
          <w:p>
            <w:pPr>
              <w:spacing w:line="0" w:lineRule="atLeast"/>
              <w:jc w:val="center"/>
              <w:rPr>
                <w:color w:val="auto"/>
                <w:szCs w:val="21"/>
              </w:rPr>
            </w:pPr>
          </w:p>
        </w:tc>
        <w:tc>
          <w:tcPr>
            <w:tcW w:w="1701" w:type="dxa"/>
            <w:vMerge w:val="continue"/>
            <w:vAlign w:val="center"/>
          </w:tcPr>
          <w:p>
            <w:pPr>
              <w:spacing w:line="0" w:lineRule="atLeast"/>
              <w:jc w:val="center"/>
              <w:rPr>
                <w:color w:val="auto"/>
                <w:szCs w:val="21"/>
              </w:rPr>
            </w:pPr>
          </w:p>
        </w:tc>
        <w:tc>
          <w:tcPr>
            <w:tcW w:w="1134" w:type="dxa"/>
            <w:vAlign w:val="center"/>
          </w:tcPr>
          <w:p>
            <w:pPr>
              <w:spacing w:line="0" w:lineRule="atLeast"/>
              <w:jc w:val="center"/>
              <w:rPr>
                <w:color w:val="auto"/>
                <w:szCs w:val="21"/>
              </w:rPr>
            </w:pPr>
            <w:r>
              <w:rPr>
                <w:color w:val="auto"/>
                <w:szCs w:val="21"/>
              </w:rPr>
              <w:t>/</w:t>
            </w:r>
          </w:p>
        </w:tc>
        <w:tc>
          <w:tcPr>
            <w:tcW w:w="2977" w:type="dxa"/>
            <w:vMerge w:val="continue"/>
            <w:vAlign w:val="center"/>
          </w:tcPr>
          <w:p>
            <w:pPr>
              <w:spacing w:line="0" w:lineRule="atLeast"/>
              <w:ind w:firstLine="420"/>
              <w:jc w:val="center"/>
              <w:rPr>
                <w:color w:val="auto"/>
                <w:szCs w:val="21"/>
              </w:rPr>
            </w:pPr>
          </w:p>
        </w:tc>
        <w:tc>
          <w:tcPr>
            <w:tcW w:w="1674" w:type="dxa"/>
            <w:vMerge w:val="continue"/>
            <w:vAlign w:val="center"/>
          </w:tcPr>
          <w:p>
            <w:pPr>
              <w:spacing w:line="0" w:lineRule="atLeast"/>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126" w:hRule="atLeast"/>
        </w:trPr>
        <w:tc>
          <w:tcPr>
            <w:tcW w:w="1000" w:type="dxa"/>
            <w:vMerge w:val="continue"/>
            <w:vAlign w:val="center"/>
          </w:tcPr>
          <w:p>
            <w:pPr>
              <w:spacing w:line="0" w:lineRule="atLeast"/>
              <w:rPr>
                <w:color w:val="FF0000"/>
                <w:szCs w:val="21"/>
              </w:rPr>
            </w:pPr>
          </w:p>
        </w:tc>
        <w:tc>
          <w:tcPr>
            <w:tcW w:w="421" w:type="dxa"/>
            <w:vMerge w:val="continue"/>
            <w:vAlign w:val="center"/>
          </w:tcPr>
          <w:p>
            <w:pPr>
              <w:spacing w:line="0" w:lineRule="atLeast"/>
              <w:rPr>
                <w:color w:val="auto"/>
                <w:szCs w:val="21"/>
              </w:rPr>
            </w:pPr>
          </w:p>
        </w:tc>
        <w:tc>
          <w:tcPr>
            <w:tcW w:w="1273" w:type="dxa"/>
            <w:vMerge w:val="restart"/>
            <w:vAlign w:val="center"/>
          </w:tcPr>
          <w:p>
            <w:pPr>
              <w:spacing w:line="0" w:lineRule="atLeast"/>
              <w:jc w:val="center"/>
              <w:rPr>
                <w:color w:val="auto"/>
                <w:szCs w:val="21"/>
              </w:rPr>
            </w:pPr>
            <w:r>
              <w:rPr>
                <w:rFonts w:hint="eastAsia"/>
                <w:color w:val="auto"/>
                <w:szCs w:val="21"/>
              </w:rPr>
              <w:t>污水处理站</w:t>
            </w:r>
          </w:p>
        </w:tc>
        <w:tc>
          <w:tcPr>
            <w:tcW w:w="1122" w:type="dxa"/>
            <w:vAlign w:val="center"/>
          </w:tcPr>
          <w:p>
            <w:pPr>
              <w:spacing w:line="0" w:lineRule="atLeast"/>
              <w:jc w:val="center"/>
              <w:rPr>
                <w:color w:val="auto"/>
                <w:szCs w:val="21"/>
              </w:rPr>
            </w:pPr>
            <w:r>
              <w:rPr>
                <w:color w:val="auto"/>
                <w:szCs w:val="21"/>
              </w:rPr>
              <w:t>NH</w:t>
            </w:r>
            <w:r>
              <w:rPr>
                <w:color w:val="auto"/>
                <w:szCs w:val="21"/>
                <w:vertAlign w:val="subscript"/>
              </w:rPr>
              <w:t>3</w:t>
            </w:r>
          </w:p>
        </w:tc>
        <w:tc>
          <w:tcPr>
            <w:tcW w:w="3281" w:type="dxa"/>
            <w:gridSpan w:val="3"/>
            <w:vMerge w:val="restart"/>
            <w:vAlign w:val="center"/>
          </w:tcPr>
          <w:p>
            <w:pPr>
              <w:spacing w:line="0" w:lineRule="atLeast"/>
              <w:jc w:val="center"/>
              <w:rPr>
                <w:color w:val="auto"/>
                <w:szCs w:val="21"/>
              </w:rPr>
            </w:pPr>
            <w:r>
              <w:rPr>
                <w:color w:val="auto"/>
                <w:szCs w:val="21"/>
              </w:rPr>
              <w:t>增加通风次数</w:t>
            </w:r>
          </w:p>
        </w:tc>
        <w:tc>
          <w:tcPr>
            <w:tcW w:w="1701" w:type="dxa"/>
            <w:vMerge w:val="restart"/>
            <w:vAlign w:val="center"/>
          </w:tcPr>
          <w:p>
            <w:pPr>
              <w:spacing w:line="0" w:lineRule="atLeast"/>
              <w:jc w:val="center"/>
              <w:rPr>
                <w:color w:val="auto"/>
                <w:szCs w:val="21"/>
              </w:rPr>
            </w:pPr>
            <w:r>
              <w:rPr>
                <w:color w:val="auto"/>
                <w:szCs w:val="21"/>
              </w:rPr>
              <w:t>/</w:t>
            </w:r>
          </w:p>
        </w:tc>
        <w:tc>
          <w:tcPr>
            <w:tcW w:w="1134" w:type="dxa"/>
            <w:vAlign w:val="center"/>
          </w:tcPr>
          <w:p>
            <w:pPr>
              <w:spacing w:line="0" w:lineRule="atLeast"/>
              <w:jc w:val="center"/>
              <w:rPr>
                <w:color w:val="auto"/>
                <w:szCs w:val="21"/>
              </w:rPr>
            </w:pPr>
            <w:r>
              <w:rPr>
                <w:color w:val="auto"/>
                <w:szCs w:val="21"/>
              </w:rPr>
              <w:t>/</w:t>
            </w:r>
          </w:p>
        </w:tc>
        <w:tc>
          <w:tcPr>
            <w:tcW w:w="2977" w:type="dxa"/>
            <w:vMerge w:val="continue"/>
            <w:vAlign w:val="center"/>
          </w:tcPr>
          <w:p>
            <w:pPr>
              <w:spacing w:line="0" w:lineRule="atLeast"/>
              <w:ind w:firstLine="420"/>
              <w:jc w:val="center"/>
              <w:rPr>
                <w:color w:val="auto"/>
                <w:szCs w:val="21"/>
              </w:rPr>
            </w:pPr>
          </w:p>
        </w:tc>
        <w:tc>
          <w:tcPr>
            <w:tcW w:w="1674" w:type="dxa"/>
            <w:vMerge w:val="continue"/>
            <w:vAlign w:val="center"/>
          </w:tcPr>
          <w:p>
            <w:pPr>
              <w:spacing w:line="0" w:lineRule="atLeast"/>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126" w:hRule="atLeast"/>
        </w:trPr>
        <w:tc>
          <w:tcPr>
            <w:tcW w:w="1000" w:type="dxa"/>
            <w:vMerge w:val="continue"/>
            <w:vAlign w:val="center"/>
          </w:tcPr>
          <w:p>
            <w:pPr>
              <w:spacing w:line="0" w:lineRule="atLeast"/>
              <w:rPr>
                <w:color w:val="FF0000"/>
                <w:szCs w:val="21"/>
              </w:rPr>
            </w:pPr>
          </w:p>
        </w:tc>
        <w:tc>
          <w:tcPr>
            <w:tcW w:w="421" w:type="dxa"/>
            <w:vMerge w:val="continue"/>
            <w:vAlign w:val="center"/>
          </w:tcPr>
          <w:p>
            <w:pPr>
              <w:spacing w:line="0" w:lineRule="atLeast"/>
              <w:rPr>
                <w:color w:val="auto"/>
                <w:szCs w:val="21"/>
              </w:rPr>
            </w:pPr>
          </w:p>
        </w:tc>
        <w:tc>
          <w:tcPr>
            <w:tcW w:w="1273" w:type="dxa"/>
            <w:vMerge w:val="continue"/>
            <w:vAlign w:val="center"/>
          </w:tcPr>
          <w:p>
            <w:pPr>
              <w:spacing w:line="0" w:lineRule="atLeast"/>
              <w:jc w:val="center"/>
              <w:rPr>
                <w:color w:val="auto"/>
                <w:szCs w:val="21"/>
              </w:rPr>
            </w:pPr>
          </w:p>
        </w:tc>
        <w:tc>
          <w:tcPr>
            <w:tcW w:w="1122" w:type="dxa"/>
            <w:vAlign w:val="center"/>
          </w:tcPr>
          <w:p>
            <w:pPr>
              <w:autoSpaceDE w:val="0"/>
              <w:autoSpaceDN w:val="0"/>
              <w:spacing w:line="0" w:lineRule="atLeast"/>
              <w:jc w:val="center"/>
              <w:rPr>
                <w:color w:val="auto"/>
                <w:szCs w:val="21"/>
              </w:rPr>
            </w:pPr>
            <w:r>
              <w:rPr>
                <w:color w:val="auto"/>
                <w:szCs w:val="21"/>
              </w:rPr>
              <w:t>H</w:t>
            </w:r>
            <w:r>
              <w:rPr>
                <w:color w:val="auto"/>
                <w:szCs w:val="21"/>
                <w:vertAlign w:val="subscript"/>
              </w:rPr>
              <w:t>2</w:t>
            </w:r>
            <w:r>
              <w:rPr>
                <w:color w:val="auto"/>
                <w:szCs w:val="21"/>
              </w:rPr>
              <w:t>S</w:t>
            </w:r>
          </w:p>
        </w:tc>
        <w:tc>
          <w:tcPr>
            <w:tcW w:w="3281" w:type="dxa"/>
            <w:gridSpan w:val="3"/>
            <w:vMerge w:val="continue"/>
            <w:vAlign w:val="center"/>
          </w:tcPr>
          <w:p>
            <w:pPr>
              <w:spacing w:line="0" w:lineRule="atLeast"/>
              <w:jc w:val="center"/>
              <w:rPr>
                <w:color w:val="auto"/>
                <w:szCs w:val="21"/>
              </w:rPr>
            </w:pPr>
          </w:p>
        </w:tc>
        <w:tc>
          <w:tcPr>
            <w:tcW w:w="1701" w:type="dxa"/>
            <w:vMerge w:val="continue"/>
            <w:vAlign w:val="center"/>
          </w:tcPr>
          <w:p>
            <w:pPr>
              <w:spacing w:line="0" w:lineRule="atLeast"/>
              <w:jc w:val="center"/>
              <w:rPr>
                <w:color w:val="auto"/>
                <w:szCs w:val="21"/>
              </w:rPr>
            </w:pPr>
          </w:p>
        </w:tc>
        <w:tc>
          <w:tcPr>
            <w:tcW w:w="1134" w:type="dxa"/>
            <w:vAlign w:val="center"/>
          </w:tcPr>
          <w:p>
            <w:pPr>
              <w:spacing w:line="0" w:lineRule="atLeast"/>
              <w:jc w:val="center"/>
              <w:rPr>
                <w:color w:val="auto"/>
                <w:szCs w:val="21"/>
              </w:rPr>
            </w:pPr>
            <w:r>
              <w:rPr>
                <w:color w:val="auto"/>
                <w:szCs w:val="21"/>
              </w:rPr>
              <w:t>/</w:t>
            </w:r>
          </w:p>
        </w:tc>
        <w:tc>
          <w:tcPr>
            <w:tcW w:w="2977" w:type="dxa"/>
            <w:vMerge w:val="continue"/>
            <w:vAlign w:val="center"/>
          </w:tcPr>
          <w:p>
            <w:pPr>
              <w:spacing w:line="0" w:lineRule="atLeast"/>
              <w:ind w:firstLine="420"/>
              <w:jc w:val="center"/>
              <w:rPr>
                <w:color w:val="auto"/>
                <w:szCs w:val="21"/>
              </w:rPr>
            </w:pPr>
          </w:p>
        </w:tc>
        <w:tc>
          <w:tcPr>
            <w:tcW w:w="1674" w:type="dxa"/>
            <w:vMerge w:val="continue"/>
            <w:vAlign w:val="center"/>
          </w:tcPr>
          <w:p>
            <w:pPr>
              <w:spacing w:line="0" w:lineRule="atLeast"/>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126" w:hRule="atLeast"/>
        </w:trPr>
        <w:tc>
          <w:tcPr>
            <w:tcW w:w="1000" w:type="dxa"/>
            <w:vMerge w:val="continue"/>
            <w:vAlign w:val="center"/>
          </w:tcPr>
          <w:p>
            <w:pPr>
              <w:spacing w:line="0" w:lineRule="atLeast"/>
              <w:rPr>
                <w:color w:val="FF0000"/>
                <w:szCs w:val="21"/>
              </w:rPr>
            </w:pPr>
          </w:p>
        </w:tc>
        <w:tc>
          <w:tcPr>
            <w:tcW w:w="421" w:type="dxa"/>
            <w:vMerge w:val="continue"/>
            <w:vAlign w:val="center"/>
          </w:tcPr>
          <w:p>
            <w:pPr>
              <w:spacing w:line="0" w:lineRule="atLeast"/>
              <w:rPr>
                <w:color w:val="auto"/>
                <w:szCs w:val="21"/>
              </w:rPr>
            </w:pPr>
          </w:p>
        </w:tc>
        <w:tc>
          <w:tcPr>
            <w:tcW w:w="1273" w:type="dxa"/>
            <w:vMerge w:val="restart"/>
            <w:vAlign w:val="center"/>
          </w:tcPr>
          <w:p>
            <w:pPr>
              <w:spacing w:line="0" w:lineRule="atLeast"/>
              <w:jc w:val="center"/>
              <w:rPr>
                <w:color w:val="auto"/>
                <w:szCs w:val="21"/>
              </w:rPr>
            </w:pPr>
            <w:r>
              <w:rPr>
                <w:rFonts w:hint="eastAsia"/>
                <w:color w:val="auto"/>
                <w:szCs w:val="21"/>
              </w:rPr>
              <w:t>待宰间</w:t>
            </w:r>
          </w:p>
        </w:tc>
        <w:tc>
          <w:tcPr>
            <w:tcW w:w="1122" w:type="dxa"/>
            <w:vAlign w:val="center"/>
          </w:tcPr>
          <w:p>
            <w:pPr>
              <w:spacing w:line="0" w:lineRule="atLeast"/>
              <w:jc w:val="center"/>
              <w:rPr>
                <w:color w:val="auto"/>
                <w:szCs w:val="21"/>
              </w:rPr>
            </w:pPr>
            <w:r>
              <w:rPr>
                <w:color w:val="auto"/>
                <w:szCs w:val="21"/>
              </w:rPr>
              <w:t>NH</w:t>
            </w:r>
            <w:r>
              <w:rPr>
                <w:color w:val="auto"/>
                <w:szCs w:val="21"/>
                <w:vertAlign w:val="subscript"/>
              </w:rPr>
              <w:t>3</w:t>
            </w:r>
          </w:p>
        </w:tc>
        <w:tc>
          <w:tcPr>
            <w:tcW w:w="3273" w:type="dxa"/>
            <w:gridSpan w:val="2"/>
            <w:vMerge w:val="restart"/>
            <w:vAlign w:val="center"/>
          </w:tcPr>
          <w:p>
            <w:pPr>
              <w:spacing w:line="0" w:lineRule="atLeast"/>
              <w:jc w:val="center"/>
              <w:rPr>
                <w:color w:val="auto"/>
                <w:szCs w:val="21"/>
              </w:rPr>
            </w:pPr>
            <w:r>
              <w:rPr>
                <w:rFonts w:hint="eastAsia"/>
                <w:color w:val="auto"/>
                <w:szCs w:val="21"/>
              </w:rPr>
              <w:t>采取干清粪工艺，日产日清</w:t>
            </w:r>
            <w:r>
              <w:rPr>
                <w:color w:val="auto"/>
                <w:szCs w:val="21"/>
              </w:rPr>
              <w:t>，并投加或喷洒除臭剂</w:t>
            </w:r>
          </w:p>
        </w:tc>
        <w:tc>
          <w:tcPr>
            <w:tcW w:w="1709" w:type="dxa"/>
            <w:gridSpan w:val="2"/>
            <w:vMerge w:val="restart"/>
            <w:vAlign w:val="center"/>
          </w:tcPr>
          <w:p>
            <w:pPr>
              <w:spacing w:line="0" w:lineRule="atLeast"/>
              <w:jc w:val="center"/>
              <w:rPr>
                <w:color w:val="auto"/>
                <w:szCs w:val="21"/>
              </w:rPr>
            </w:pPr>
            <w:r>
              <w:rPr>
                <w:color w:val="auto"/>
                <w:szCs w:val="21"/>
              </w:rPr>
              <w:t>/</w:t>
            </w:r>
          </w:p>
        </w:tc>
        <w:tc>
          <w:tcPr>
            <w:tcW w:w="4111" w:type="dxa"/>
            <w:gridSpan w:val="2"/>
            <w:vMerge w:val="restart"/>
            <w:vAlign w:val="center"/>
          </w:tcPr>
          <w:p>
            <w:pPr>
              <w:spacing w:line="0" w:lineRule="atLeast"/>
              <w:ind w:firstLine="420"/>
              <w:jc w:val="center"/>
              <w:rPr>
                <w:color w:val="auto"/>
                <w:szCs w:val="21"/>
              </w:rPr>
            </w:pPr>
            <w:r>
              <w:rPr>
                <w:color w:val="auto"/>
                <w:szCs w:val="21"/>
              </w:rPr>
              <w:t>《恶臭污染物排放标准》（GB14554-1993）表1中二级新改扩建标准</w:t>
            </w:r>
          </w:p>
        </w:tc>
        <w:tc>
          <w:tcPr>
            <w:tcW w:w="1674" w:type="dxa"/>
            <w:vMerge w:val="restart"/>
            <w:vAlign w:val="center"/>
          </w:tcPr>
          <w:p>
            <w:pPr>
              <w:spacing w:line="0" w:lineRule="atLeast"/>
              <w:jc w:val="center"/>
              <w:rPr>
                <w:color w:val="auto"/>
                <w:szCs w:val="21"/>
              </w:rPr>
            </w:pPr>
            <w:r>
              <w:rPr>
                <w:rFonts w:hint="eastAsia"/>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64" w:hRule="atLeast"/>
        </w:trPr>
        <w:tc>
          <w:tcPr>
            <w:tcW w:w="1000" w:type="dxa"/>
            <w:vMerge w:val="continue"/>
            <w:vAlign w:val="center"/>
          </w:tcPr>
          <w:p>
            <w:pPr>
              <w:spacing w:line="0" w:lineRule="atLeast"/>
              <w:rPr>
                <w:color w:val="FF0000"/>
                <w:szCs w:val="21"/>
              </w:rPr>
            </w:pPr>
          </w:p>
        </w:tc>
        <w:tc>
          <w:tcPr>
            <w:tcW w:w="421" w:type="dxa"/>
            <w:vMerge w:val="continue"/>
            <w:vAlign w:val="center"/>
          </w:tcPr>
          <w:p>
            <w:pPr>
              <w:spacing w:line="0" w:lineRule="atLeast"/>
              <w:rPr>
                <w:color w:val="FF0000"/>
                <w:szCs w:val="21"/>
              </w:rPr>
            </w:pPr>
          </w:p>
        </w:tc>
        <w:tc>
          <w:tcPr>
            <w:tcW w:w="1273" w:type="dxa"/>
            <w:vMerge w:val="continue"/>
            <w:vAlign w:val="center"/>
          </w:tcPr>
          <w:p>
            <w:pPr>
              <w:spacing w:line="0" w:lineRule="atLeast"/>
              <w:jc w:val="center"/>
              <w:rPr>
                <w:color w:val="auto"/>
                <w:szCs w:val="21"/>
              </w:rPr>
            </w:pPr>
          </w:p>
        </w:tc>
        <w:tc>
          <w:tcPr>
            <w:tcW w:w="1122" w:type="dxa"/>
            <w:vAlign w:val="center"/>
          </w:tcPr>
          <w:p>
            <w:pPr>
              <w:autoSpaceDE w:val="0"/>
              <w:autoSpaceDN w:val="0"/>
              <w:spacing w:line="0" w:lineRule="atLeast"/>
              <w:jc w:val="center"/>
              <w:rPr>
                <w:color w:val="auto"/>
                <w:szCs w:val="21"/>
              </w:rPr>
            </w:pPr>
            <w:r>
              <w:rPr>
                <w:color w:val="auto"/>
                <w:szCs w:val="21"/>
              </w:rPr>
              <w:t>H</w:t>
            </w:r>
            <w:r>
              <w:rPr>
                <w:color w:val="auto"/>
                <w:szCs w:val="21"/>
                <w:vertAlign w:val="subscript"/>
              </w:rPr>
              <w:t>2</w:t>
            </w:r>
            <w:r>
              <w:rPr>
                <w:color w:val="auto"/>
                <w:szCs w:val="21"/>
              </w:rPr>
              <w:t>S</w:t>
            </w:r>
          </w:p>
        </w:tc>
        <w:tc>
          <w:tcPr>
            <w:tcW w:w="3273" w:type="dxa"/>
            <w:gridSpan w:val="2"/>
            <w:vMerge w:val="continue"/>
            <w:vAlign w:val="center"/>
          </w:tcPr>
          <w:p>
            <w:pPr>
              <w:spacing w:line="0" w:lineRule="atLeast"/>
              <w:jc w:val="center"/>
              <w:rPr>
                <w:color w:val="auto"/>
                <w:szCs w:val="21"/>
              </w:rPr>
            </w:pPr>
          </w:p>
        </w:tc>
        <w:tc>
          <w:tcPr>
            <w:tcW w:w="1709" w:type="dxa"/>
            <w:gridSpan w:val="2"/>
            <w:vMerge w:val="continue"/>
            <w:vAlign w:val="center"/>
          </w:tcPr>
          <w:p>
            <w:pPr>
              <w:spacing w:line="0" w:lineRule="atLeast"/>
              <w:jc w:val="center"/>
              <w:rPr>
                <w:color w:val="auto"/>
                <w:szCs w:val="21"/>
              </w:rPr>
            </w:pPr>
          </w:p>
        </w:tc>
        <w:tc>
          <w:tcPr>
            <w:tcW w:w="4111" w:type="dxa"/>
            <w:gridSpan w:val="2"/>
            <w:vMerge w:val="continue"/>
            <w:vAlign w:val="center"/>
          </w:tcPr>
          <w:p>
            <w:pPr>
              <w:spacing w:line="0" w:lineRule="atLeast"/>
              <w:ind w:firstLine="420"/>
              <w:jc w:val="center"/>
              <w:rPr>
                <w:color w:val="FF0000"/>
                <w:szCs w:val="21"/>
              </w:rPr>
            </w:pPr>
          </w:p>
        </w:tc>
        <w:tc>
          <w:tcPr>
            <w:tcW w:w="1674" w:type="dxa"/>
            <w:vMerge w:val="continue"/>
            <w:vAlign w:val="center"/>
          </w:tcPr>
          <w:p>
            <w:pPr>
              <w:spacing w:line="0" w:lineRule="atLeast"/>
              <w:jc w:val="center"/>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94" w:hRule="atLeast"/>
        </w:trPr>
        <w:tc>
          <w:tcPr>
            <w:tcW w:w="1000" w:type="dxa"/>
            <w:vMerge w:val="continue"/>
            <w:vAlign w:val="center"/>
          </w:tcPr>
          <w:p>
            <w:pPr>
              <w:spacing w:line="0" w:lineRule="atLeast"/>
              <w:rPr>
                <w:color w:val="FF0000"/>
                <w:szCs w:val="21"/>
              </w:rPr>
            </w:pPr>
          </w:p>
        </w:tc>
        <w:tc>
          <w:tcPr>
            <w:tcW w:w="421" w:type="dxa"/>
            <w:vMerge w:val="continue"/>
            <w:vAlign w:val="center"/>
          </w:tcPr>
          <w:p>
            <w:pPr>
              <w:spacing w:line="0" w:lineRule="atLeast"/>
              <w:rPr>
                <w:color w:val="FF0000"/>
                <w:szCs w:val="21"/>
              </w:rPr>
            </w:pPr>
          </w:p>
        </w:tc>
        <w:tc>
          <w:tcPr>
            <w:tcW w:w="1273" w:type="dxa"/>
            <w:vMerge w:val="restart"/>
            <w:vAlign w:val="center"/>
          </w:tcPr>
          <w:p>
            <w:pPr>
              <w:spacing w:line="0" w:lineRule="atLeast"/>
              <w:jc w:val="center"/>
              <w:rPr>
                <w:color w:val="auto"/>
                <w:szCs w:val="21"/>
              </w:rPr>
            </w:pPr>
            <w:r>
              <w:rPr>
                <w:rFonts w:hint="eastAsia"/>
                <w:color w:val="auto"/>
                <w:szCs w:val="21"/>
              </w:rPr>
              <w:t>厂界</w:t>
            </w:r>
          </w:p>
        </w:tc>
        <w:tc>
          <w:tcPr>
            <w:tcW w:w="1122" w:type="dxa"/>
            <w:vAlign w:val="center"/>
          </w:tcPr>
          <w:p>
            <w:pPr>
              <w:autoSpaceDE w:val="0"/>
              <w:autoSpaceDN w:val="0"/>
              <w:spacing w:line="0" w:lineRule="atLeast"/>
              <w:jc w:val="center"/>
              <w:rPr>
                <w:color w:val="auto"/>
                <w:szCs w:val="21"/>
              </w:rPr>
            </w:pPr>
            <w:r>
              <w:rPr>
                <w:rFonts w:hint="eastAsia"/>
                <w:color w:val="auto"/>
                <w:szCs w:val="21"/>
              </w:rPr>
              <w:t>臭气浓度</w:t>
            </w:r>
          </w:p>
        </w:tc>
        <w:tc>
          <w:tcPr>
            <w:tcW w:w="3273" w:type="dxa"/>
            <w:gridSpan w:val="2"/>
            <w:vMerge w:val="restart"/>
            <w:vAlign w:val="center"/>
          </w:tcPr>
          <w:p>
            <w:pPr>
              <w:spacing w:line="0" w:lineRule="atLeast"/>
              <w:jc w:val="center"/>
              <w:rPr>
                <w:color w:val="auto"/>
                <w:szCs w:val="21"/>
              </w:rPr>
            </w:pPr>
            <w:r>
              <w:rPr>
                <w:rFonts w:hint="eastAsia"/>
                <w:color w:val="auto"/>
                <w:szCs w:val="21"/>
              </w:rPr>
              <w:t>/</w:t>
            </w:r>
          </w:p>
        </w:tc>
        <w:tc>
          <w:tcPr>
            <w:tcW w:w="1709" w:type="dxa"/>
            <w:gridSpan w:val="2"/>
            <w:vMerge w:val="restart"/>
            <w:vAlign w:val="center"/>
          </w:tcPr>
          <w:p>
            <w:pPr>
              <w:spacing w:line="0" w:lineRule="atLeast"/>
              <w:jc w:val="center"/>
              <w:rPr>
                <w:color w:val="auto"/>
                <w:szCs w:val="21"/>
              </w:rPr>
            </w:pPr>
            <w:r>
              <w:rPr>
                <w:rFonts w:hint="eastAsia"/>
                <w:color w:val="auto"/>
                <w:szCs w:val="21"/>
              </w:rPr>
              <w:t>/</w:t>
            </w:r>
          </w:p>
        </w:tc>
        <w:tc>
          <w:tcPr>
            <w:tcW w:w="4111" w:type="dxa"/>
            <w:gridSpan w:val="2"/>
            <w:vMerge w:val="continue"/>
            <w:vAlign w:val="center"/>
          </w:tcPr>
          <w:p>
            <w:pPr>
              <w:spacing w:line="0" w:lineRule="atLeast"/>
              <w:ind w:firstLine="420"/>
              <w:jc w:val="center"/>
              <w:rPr>
                <w:color w:val="FF0000"/>
                <w:szCs w:val="21"/>
              </w:rPr>
            </w:pPr>
          </w:p>
        </w:tc>
        <w:tc>
          <w:tcPr>
            <w:tcW w:w="1674" w:type="dxa"/>
            <w:vMerge w:val="continue"/>
            <w:vAlign w:val="center"/>
          </w:tcPr>
          <w:p>
            <w:pPr>
              <w:spacing w:line="0" w:lineRule="atLeast"/>
              <w:jc w:val="center"/>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142" w:hRule="atLeast"/>
        </w:trPr>
        <w:tc>
          <w:tcPr>
            <w:tcW w:w="1000" w:type="dxa"/>
            <w:vMerge w:val="continue"/>
            <w:vAlign w:val="center"/>
          </w:tcPr>
          <w:p>
            <w:pPr>
              <w:spacing w:line="0" w:lineRule="atLeast"/>
              <w:rPr>
                <w:color w:val="FF0000"/>
                <w:szCs w:val="21"/>
              </w:rPr>
            </w:pPr>
          </w:p>
        </w:tc>
        <w:tc>
          <w:tcPr>
            <w:tcW w:w="421" w:type="dxa"/>
            <w:vMerge w:val="continue"/>
            <w:vAlign w:val="center"/>
          </w:tcPr>
          <w:p>
            <w:pPr>
              <w:spacing w:line="0" w:lineRule="atLeast"/>
              <w:rPr>
                <w:color w:val="FF0000"/>
                <w:szCs w:val="21"/>
              </w:rPr>
            </w:pPr>
          </w:p>
        </w:tc>
        <w:tc>
          <w:tcPr>
            <w:tcW w:w="1273" w:type="dxa"/>
            <w:vMerge w:val="continue"/>
            <w:vAlign w:val="center"/>
          </w:tcPr>
          <w:p>
            <w:pPr>
              <w:spacing w:line="0" w:lineRule="atLeast"/>
              <w:jc w:val="center"/>
              <w:rPr>
                <w:rFonts w:hint="eastAsia"/>
                <w:color w:val="auto"/>
                <w:szCs w:val="21"/>
              </w:rPr>
            </w:pPr>
          </w:p>
        </w:tc>
        <w:tc>
          <w:tcPr>
            <w:tcW w:w="1122" w:type="dxa"/>
            <w:vAlign w:val="center"/>
          </w:tcPr>
          <w:p>
            <w:pPr>
              <w:spacing w:line="0" w:lineRule="atLeast"/>
              <w:jc w:val="center"/>
              <w:rPr>
                <w:rFonts w:hint="eastAsia"/>
                <w:color w:val="auto"/>
                <w:szCs w:val="21"/>
              </w:rPr>
            </w:pPr>
            <w:r>
              <w:rPr>
                <w:color w:val="auto"/>
                <w:szCs w:val="21"/>
              </w:rPr>
              <w:t>NH</w:t>
            </w:r>
            <w:r>
              <w:rPr>
                <w:color w:val="auto"/>
                <w:szCs w:val="21"/>
                <w:vertAlign w:val="subscript"/>
              </w:rPr>
              <w:t>3</w:t>
            </w:r>
          </w:p>
        </w:tc>
        <w:tc>
          <w:tcPr>
            <w:tcW w:w="3273" w:type="dxa"/>
            <w:gridSpan w:val="2"/>
            <w:vMerge w:val="continue"/>
            <w:vAlign w:val="center"/>
          </w:tcPr>
          <w:p>
            <w:pPr>
              <w:spacing w:line="0" w:lineRule="atLeast"/>
              <w:jc w:val="center"/>
              <w:rPr>
                <w:rFonts w:hint="eastAsia"/>
                <w:color w:val="auto"/>
                <w:szCs w:val="21"/>
              </w:rPr>
            </w:pPr>
          </w:p>
        </w:tc>
        <w:tc>
          <w:tcPr>
            <w:tcW w:w="1709" w:type="dxa"/>
            <w:gridSpan w:val="2"/>
            <w:vMerge w:val="continue"/>
            <w:vAlign w:val="center"/>
          </w:tcPr>
          <w:p>
            <w:pPr>
              <w:spacing w:line="0" w:lineRule="atLeast"/>
              <w:jc w:val="center"/>
              <w:rPr>
                <w:rFonts w:hint="eastAsia"/>
                <w:color w:val="auto"/>
                <w:szCs w:val="21"/>
              </w:rPr>
            </w:pPr>
          </w:p>
        </w:tc>
        <w:tc>
          <w:tcPr>
            <w:tcW w:w="4111" w:type="dxa"/>
            <w:gridSpan w:val="2"/>
            <w:vMerge w:val="continue"/>
            <w:vAlign w:val="center"/>
          </w:tcPr>
          <w:p>
            <w:pPr>
              <w:spacing w:line="0" w:lineRule="atLeast"/>
              <w:ind w:firstLine="420"/>
              <w:jc w:val="center"/>
              <w:rPr>
                <w:color w:val="FF0000"/>
                <w:szCs w:val="21"/>
              </w:rPr>
            </w:pPr>
          </w:p>
        </w:tc>
        <w:tc>
          <w:tcPr>
            <w:tcW w:w="1674" w:type="dxa"/>
            <w:vMerge w:val="continue"/>
            <w:vAlign w:val="center"/>
          </w:tcPr>
          <w:p>
            <w:pPr>
              <w:spacing w:line="0" w:lineRule="atLeast"/>
              <w:jc w:val="center"/>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109" w:hRule="atLeast"/>
        </w:trPr>
        <w:tc>
          <w:tcPr>
            <w:tcW w:w="1000" w:type="dxa"/>
            <w:vMerge w:val="continue"/>
            <w:vAlign w:val="center"/>
          </w:tcPr>
          <w:p>
            <w:pPr>
              <w:spacing w:line="0" w:lineRule="atLeast"/>
              <w:rPr>
                <w:color w:val="FF0000"/>
                <w:szCs w:val="21"/>
              </w:rPr>
            </w:pPr>
          </w:p>
        </w:tc>
        <w:tc>
          <w:tcPr>
            <w:tcW w:w="421" w:type="dxa"/>
            <w:vMerge w:val="continue"/>
            <w:vAlign w:val="center"/>
          </w:tcPr>
          <w:p>
            <w:pPr>
              <w:spacing w:line="0" w:lineRule="atLeast"/>
              <w:rPr>
                <w:color w:val="FF0000"/>
                <w:szCs w:val="21"/>
              </w:rPr>
            </w:pPr>
          </w:p>
        </w:tc>
        <w:tc>
          <w:tcPr>
            <w:tcW w:w="1273" w:type="dxa"/>
            <w:vMerge w:val="continue"/>
            <w:vAlign w:val="center"/>
          </w:tcPr>
          <w:p>
            <w:pPr>
              <w:spacing w:line="0" w:lineRule="atLeast"/>
              <w:jc w:val="center"/>
              <w:rPr>
                <w:rFonts w:hint="eastAsia"/>
                <w:color w:val="auto"/>
                <w:szCs w:val="21"/>
              </w:rPr>
            </w:pPr>
          </w:p>
        </w:tc>
        <w:tc>
          <w:tcPr>
            <w:tcW w:w="1122" w:type="dxa"/>
            <w:vAlign w:val="center"/>
          </w:tcPr>
          <w:p>
            <w:pPr>
              <w:autoSpaceDE w:val="0"/>
              <w:autoSpaceDN w:val="0"/>
              <w:spacing w:line="0" w:lineRule="atLeast"/>
              <w:jc w:val="center"/>
              <w:rPr>
                <w:rFonts w:hint="eastAsia"/>
                <w:color w:val="auto"/>
                <w:szCs w:val="21"/>
              </w:rPr>
            </w:pPr>
            <w:r>
              <w:rPr>
                <w:color w:val="auto"/>
                <w:szCs w:val="21"/>
              </w:rPr>
              <w:t>H</w:t>
            </w:r>
            <w:r>
              <w:rPr>
                <w:color w:val="auto"/>
                <w:szCs w:val="21"/>
                <w:vertAlign w:val="subscript"/>
              </w:rPr>
              <w:t>2</w:t>
            </w:r>
            <w:r>
              <w:rPr>
                <w:color w:val="auto"/>
                <w:szCs w:val="21"/>
              </w:rPr>
              <w:t>S</w:t>
            </w:r>
          </w:p>
        </w:tc>
        <w:tc>
          <w:tcPr>
            <w:tcW w:w="3273" w:type="dxa"/>
            <w:gridSpan w:val="2"/>
            <w:vMerge w:val="continue"/>
            <w:vAlign w:val="center"/>
          </w:tcPr>
          <w:p>
            <w:pPr>
              <w:spacing w:line="0" w:lineRule="atLeast"/>
              <w:jc w:val="center"/>
              <w:rPr>
                <w:rFonts w:hint="eastAsia"/>
                <w:color w:val="auto"/>
                <w:szCs w:val="21"/>
              </w:rPr>
            </w:pPr>
          </w:p>
        </w:tc>
        <w:tc>
          <w:tcPr>
            <w:tcW w:w="1709" w:type="dxa"/>
            <w:gridSpan w:val="2"/>
            <w:vMerge w:val="continue"/>
            <w:vAlign w:val="center"/>
          </w:tcPr>
          <w:p>
            <w:pPr>
              <w:spacing w:line="0" w:lineRule="atLeast"/>
              <w:jc w:val="center"/>
              <w:rPr>
                <w:rFonts w:hint="eastAsia"/>
                <w:color w:val="auto"/>
                <w:szCs w:val="21"/>
              </w:rPr>
            </w:pPr>
          </w:p>
        </w:tc>
        <w:tc>
          <w:tcPr>
            <w:tcW w:w="4111" w:type="dxa"/>
            <w:gridSpan w:val="2"/>
            <w:vMerge w:val="continue"/>
            <w:vAlign w:val="center"/>
          </w:tcPr>
          <w:p>
            <w:pPr>
              <w:spacing w:line="0" w:lineRule="atLeast"/>
              <w:ind w:firstLine="420"/>
              <w:jc w:val="center"/>
              <w:rPr>
                <w:color w:val="FF0000"/>
                <w:szCs w:val="21"/>
              </w:rPr>
            </w:pPr>
          </w:p>
        </w:tc>
        <w:tc>
          <w:tcPr>
            <w:tcW w:w="1674" w:type="dxa"/>
            <w:vMerge w:val="continue"/>
            <w:vAlign w:val="center"/>
          </w:tcPr>
          <w:p>
            <w:pPr>
              <w:spacing w:line="0" w:lineRule="atLeast"/>
              <w:jc w:val="center"/>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2"/>
          <w:wAfter w:w="148" w:type="dxa"/>
          <w:trHeight w:val="334" w:hRule="atLeast"/>
          <w:jc w:val="center"/>
        </w:trPr>
        <w:tc>
          <w:tcPr>
            <w:tcW w:w="1000" w:type="dxa"/>
            <w:vMerge w:val="restart"/>
            <w:shd w:val="clear" w:color="auto" w:fill="auto"/>
            <w:vAlign w:val="center"/>
          </w:tcPr>
          <w:p>
            <w:pPr>
              <w:tabs>
                <w:tab w:val="left" w:pos="360"/>
              </w:tabs>
              <w:autoSpaceDE w:val="0"/>
              <w:autoSpaceDN w:val="0"/>
              <w:spacing w:line="0" w:lineRule="atLeast"/>
              <w:jc w:val="center"/>
              <w:rPr>
                <w:b/>
                <w:bCs/>
                <w:color w:val="auto"/>
                <w:szCs w:val="21"/>
              </w:rPr>
            </w:pPr>
            <w:r>
              <w:rPr>
                <w:color w:val="auto"/>
                <w:szCs w:val="21"/>
              </w:rPr>
              <w:t>废水</w:t>
            </w:r>
          </w:p>
        </w:tc>
        <w:tc>
          <w:tcPr>
            <w:tcW w:w="1694" w:type="dxa"/>
            <w:gridSpan w:val="2"/>
            <w:vMerge w:val="restart"/>
            <w:shd w:val="clear" w:color="auto" w:fill="auto"/>
            <w:vAlign w:val="center"/>
          </w:tcPr>
          <w:p>
            <w:pPr>
              <w:spacing w:line="0" w:lineRule="atLeast"/>
              <w:jc w:val="center"/>
              <w:rPr>
                <w:color w:val="auto"/>
                <w:szCs w:val="21"/>
              </w:rPr>
            </w:pPr>
            <w:r>
              <w:rPr>
                <w:color w:val="auto"/>
                <w:szCs w:val="21"/>
              </w:rPr>
              <w:t>生活污水及生产废水</w:t>
            </w:r>
          </w:p>
        </w:tc>
        <w:tc>
          <w:tcPr>
            <w:tcW w:w="1122" w:type="dxa"/>
            <w:shd w:val="clear" w:color="auto" w:fill="auto"/>
            <w:vAlign w:val="center"/>
          </w:tcPr>
          <w:p>
            <w:pPr>
              <w:pStyle w:val="84"/>
              <w:rPr>
                <w:rFonts w:hAnsi="Times New Roman"/>
                <w:snapToGrid w:val="0"/>
                <w:color w:val="auto"/>
              </w:rPr>
            </w:pPr>
            <w:r>
              <w:rPr>
                <w:rFonts w:hint="eastAsia" w:hAnsi="Times New Roman"/>
                <w:snapToGrid w:val="0"/>
                <w:color w:val="auto"/>
              </w:rPr>
              <w:t>pH</w:t>
            </w:r>
          </w:p>
        </w:tc>
        <w:tc>
          <w:tcPr>
            <w:tcW w:w="1851" w:type="dxa"/>
            <w:vMerge w:val="restart"/>
            <w:shd w:val="clear" w:color="auto" w:fill="auto"/>
            <w:vAlign w:val="center"/>
          </w:tcPr>
          <w:p>
            <w:pPr>
              <w:spacing w:line="0" w:lineRule="atLeast"/>
              <w:jc w:val="center"/>
              <w:rPr>
                <w:color w:val="auto"/>
                <w:szCs w:val="21"/>
              </w:rPr>
            </w:pPr>
            <w:r>
              <w:rPr>
                <w:rFonts w:hint="eastAsia"/>
                <w:color w:val="auto"/>
                <w:szCs w:val="21"/>
              </w:rPr>
              <w:t>生产</w:t>
            </w:r>
            <w:r>
              <w:rPr>
                <w:color w:val="auto"/>
                <w:szCs w:val="21"/>
              </w:rPr>
              <w:t>废水</w:t>
            </w:r>
            <w:r>
              <w:rPr>
                <w:rFonts w:hint="eastAsia"/>
                <w:color w:val="auto"/>
                <w:szCs w:val="21"/>
              </w:rPr>
              <w:t>和生活污水一起排入污水处理站，采用“</w:t>
            </w:r>
            <w:r>
              <w:rPr>
                <w:bCs/>
                <w:color w:val="auto"/>
                <w:szCs w:val="21"/>
              </w:rPr>
              <w:t>格栅+</w:t>
            </w:r>
            <w:r>
              <w:rPr>
                <w:color w:val="auto"/>
                <w:szCs w:val="21"/>
              </w:rPr>
              <w:t>隔油沉砂+气浮+水解酸化+生物接触氧化+</w:t>
            </w:r>
            <w:r>
              <w:rPr>
                <w:rFonts w:hint="eastAsia"/>
                <w:color w:val="auto"/>
                <w:szCs w:val="21"/>
              </w:rPr>
              <w:t>二沉池+</w:t>
            </w:r>
            <w:r>
              <w:rPr>
                <w:color w:val="auto"/>
                <w:szCs w:val="21"/>
              </w:rPr>
              <w:t>消毒</w:t>
            </w:r>
            <w:r>
              <w:rPr>
                <w:rFonts w:hint="eastAsia"/>
                <w:color w:val="auto"/>
                <w:szCs w:val="21"/>
              </w:rPr>
              <w:t>池”工艺，出水排入贮水池，</w:t>
            </w:r>
            <w:r>
              <w:rPr>
                <w:rFonts w:hint="eastAsia"/>
                <w:bCs/>
                <w:color w:val="auto"/>
                <w:szCs w:val="21"/>
              </w:rPr>
              <w:t>每天</w:t>
            </w:r>
            <w:r>
              <w:rPr>
                <w:bCs/>
                <w:color w:val="auto"/>
                <w:szCs w:val="21"/>
              </w:rPr>
              <w:t>采用专用罐车</w:t>
            </w:r>
            <w:r>
              <w:rPr>
                <w:rFonts w:hint="eastAsia"/>
                <w:bCs/>
                <w:color w:val="auto"/>
                <w:szCs w:val="21"/>
              </w:rPr>
              <w:t>运至</w:t>
            </w:r>
            <w:r>
              <w:rPr>
                <w:rFonts w:hint="eastAsia"/>
                <w:bCs/>
                <w:color w:val="auto"/>
                <w:szCs w:val="21"/>
                <w:lang w:eastAsia="zh-CN"/>
              </w:rPr>
              <w:t>尚志污水处理厂</w:t>
            </w:r>
            <w:r>
              <w:rPr>
                <w:bCs/>
                <w:color w:val="auto"/>
                <w:szCs w:val="21"/>
              </w:rPr>
              <w:t>处理</w:t>
            </w:r>
          </w:p>
        </w:tc>
        <w:tc>
          <w:tcPr>
            <w:tcW w:w="1422" w:type="dxa"/>
            <w:shd w:val="clear" w:color="auto" w:fill="auto"/>
            <w:vAlign w:val="center"/>
          </w:tcPr>
          <w:p>
            <w:pPr>
              <w:widowControl/>
              <w:jc w:val="center"/>
              <w:rPr>
                <w:snapToGrid w:val="0"/>
                <w:color w:val="auto"/>
                <w:szCs w:val="21"/>
              </w:rPr>
            </w:pPr>
            <w:r>
              <w:rPr>
                <w:rFonts w:hint="eastAsia"/>
                <w:bCs/>
                <w:snapToGrid w:val="0"/>
                <w:color w:val="auto"/>
              </w:rPr>
              <w:t>6.5~7.5</w:t>
            </w:r>
          </w:p>
        </w:tc>
        <w:tc>
          <w:tcPr>
            <w:tcW w:w="1709" w:type="dxa"/>
            <w:gridSpan w:val="2"/>
            <w:shd w:val="clear" w:color="auto" w:fill="auto"/>
            <w:vAlign w:val="center"/>
          </w:tcPr>
          <w:p>
            <w:pPr>
              <w:spacing w:line="0" w:lineRule="atLeast"/>
              <w:jc w:val="center"/>
              <w:rPr>
                <w:color w:val="auto"/>
                <w:szCs w:val="21"/>
              </w:rPr>
            </w:pPr>
            <w:r>
              <w:rPr>
                <w:color w:val="auto"/>
                <w:szCs w:val="21"/>
              </w:rPr>
              <w:t>/</w:t>
            </w:r>
          </w:p>
        </w:tc>
        <w:tc>
          <w:tcPr>
            <w:tcW w:w="4111" w:type="dxa"/>
            <w:gridSpan w:val="2"/>
            <w:vMerge w:val="restart"/>
            <w:shd w:val="clear" w:color="auto" w:fill="auto"/>
            <w:vAlign w:val="center"/>
          </w:tcPr>
          <w:p>
            <w:pPr>
              <w:spacing w:line="0" w:lineRule="atLeast"/>
              <w:jc w:val="center"/>
              <w:rPr>
                <w:color w:val="FF0000"/>
                <w:szCs w:val="21"/>
              </w:rPr>
            </w:pPr>
            <w:r>
              <w:rPr>
                <w:bCs/>
                <w:color w:val="auto"/>
                <w:szCs w:val="21"/>
              </w:rPr>
              <w:t>《肉类加工工业水污染物排放标准》（GB13457-92）表3三级畜类屠宰加工标准限值</w:t>
            </w:r>
          </w:p>
        </w:tc>
        <w:tc>
          <w:tcPr>
            <w:tcW w:w="1675" w:type="dxa"/>
            <w:gridSpan w:val="2"/>
            <w:vMerge w:val="restart"/>
            <w:shd w:val="clear" w:color="auto" w:fill="auto"/>
            <w:vAlign w:val="center"/>
          </w:tcPr>
          <w:p>
            <w:pPr>
              <w:jc w:val="center"/>
              <w:rPr>
                <w:b/>
                <w:bCs/>
                <w:color w:val="FF0000"/>
                <w:szCs w:val="21"/>
              </w:rPr>
            </w:pPr>
            <w:r>
              <w:rPr>
                <w:color w:val="FF0000"/>
                <w:szCs w:val="21"/>
              </w:rPr>
              <w:drawing>
                <wp:anchor distT="0" distB="0" distL="114300" distR="114300" simplePos="0" relativeHeight="251671552" behindDoc="0" locked="0" layoutInCell="1" allowOverlap="1">
                  <wp:simplePos x="0" y="0"/>
                  <wp:positionH relativeFrom="column">
                    <wp:posOffset>226695</wp:posOffset>
                  </wp:positionH>
                  <wp:positionV relativeFrom="paragraph">
                    <wp:posOffset>167005</wp:posOffset>
                  </wp:positionV>
                  <wp:extent cx="502920" cy="465455"/>
                  <wp:effectExtent l="0" t="0" r="11430" b="10795"/>
                  <wp:wrapNone/>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noChangeArrowheads="1"/>
                          </pic:cNvPicPr>
                        </pic:nvPicPr>
                        <pic:blipFill>
                          <a:blip r:embed="rId83" cstate="print"/>
                          <a:srcRect/>
                          <a:stretch>
                            <a:fillRect/>
                          </a:stretch>
                        </pic:blipFill>
                        <pic:spPr>
                          <a:xfrm>
                            <a:off x="0" y="0"/>
                            <a:ext cx="502920" cy="465455"/>
                          </a:xfrm>
                          <a:prstGeom prst="rect">
                            <a:avLst/>
                          </a:prstGeom>
                          <a:noFill/>
                          <a:ln w="9525">
                            <a:noFill/>
                            <a:miter lim="800000"/>
                            <a:headEnd/>
                            <a:tailEnd/>
                          </a:ln>
                        </pic:spPr>
                      </pic:pic>
                    </a:graphicData>
                  </a:graphic>
                </wp:anchor>
              </w:drawing>
            </w:r>
          </w:p>
          <w:p>
            <w:pPr>
              <w:jc w:val="center"/>
              <w:rPr>
                <w:b/>
                <w:bCs/>
                <w:color w:val="FF0000"/>
                <w:szCs w:val="21"/>
              </w:rPr>
            </w:pPr>
          </w:p>
          <w:p>
            <w:pPr>
              <w:jc w:val="center"/>
              <w:rPr>
                <w:b/>
                <w:bCs/>
                <w:color w:val="FF0000"/>
                <w:szCs w:val="21"/>
              </w:rPr>
            </w:pPr>
          </w:p>
          <w:p>
            <w:pPr>
              <w:jc w:val="center"/>
              <w:rPr>
                <w:color w:val="auto"/>
                <w:szCs w:val="21"/>
              </w:rPr>
            </w:pPr>
            <w:r>
              <w:rPr>
                <w:b/>
                <w:bCs/>
                <w:color w:val="auto"/>
                <w:szCs w:val="21"/>
              </w:rPr>
              <w:t>提示图形符号</w:t>
            </w:r>
          </w:p>
          <w:p>
            <w:pPr>
              <w:jc w:val="center"/>
              <w:rPr>
                <w:b/>
                <w:bCs/>
                <w:color w:val="auto"/>
                <w:szCs w:val="21"/>
              </w:rPr>
            </w:pPr>
            <w:r>
              <w:rPr>
                <w:color w:val="auto"/>
                <w:szCs w:val="21"/>
              </w:rPr>
              <w:drawing>
                <wp:inline distT="0" distB="0" distL="0" distR="0">
                  <wp:extent cx="467995" cy="457200"/>
                  <wp:effectExtent l="0" t="0" r="8255" b="0"/>
                  <wp:docPr id="4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2"/>
                          <pic:cNvPicPr>
                            <a:picLocks noChangeAspect="1" noChangeArrowheads="1"/>
                          </pic:cNvPicPr>
                        </pic:nvPicPr>
                        <pic:blipFill>
                          <a:blip r:embed="rId84" cstate="print"/>
                          <a:srcRect/>
                          <a:stretch>
                            <a:fillRect/>
                          </a:stretch>
                        </pic:blipFill>
                        <pic:spPr>
                          <a:xfrm>
                            <a:off x="0" y="0"/>
                            <a:ext cx="467995" cy="457200"/>
                          </a:xfrm>
                          <a:prstGeom prst="rect">
                            <a:avLst/>
                          </a:prstGeom>
                          <a:noFill/>
                          <a:ln w="9525">
                            <a:noFill/>
                            <a:miter lim="800000"/>
                            <a:headEnd/>
                            <a:tailEnd/>
                          </a:ln>
                        </pic:spPr>
                      </pic:pic>
                    </a:graphicData>
                  </a:graphic>
                </wp:inline>
              </w:drawing>
            </w:r>
          </w:p>
          <w:p>
            <w:pPr>
              <w:spacing w:line="0" w:lineRule="atLeast"/>
              <w:jc w:val="center"/>
              <w:rPr>
                <w:color w:val="FF0000"/>
                <w:szCs w:val="21"/>
              </w:rPr>
            </w:pPr>
            <w:r>
              <w:rPr>
                <w:b/>
                <w:bCs/>
                <w:color w:val="auto"/>
                <w:szCs w:val="21"/>
              </w:rPr>
              <w:t>警告图形符号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2"/>
          <w:wAfter w:w="148" w:type="dxa"/>
          <w:trHeight w:val="366" w:hRule="atLeast"/>
          <w:jc w:val="center"/>
        </w:trPr>
        <w:tc>
          <w:tcPr>
            <w:tcW w:w="1000" w:type="dxa"/>
            <w:vMerge w:val="continue"/>
            <w:shd w:val="clear" w:color="auto" w:fill="auto"/>
            <w:vAlign w:val="center"/>
          </w:tcPr>
          <w:p>
            <w:pPr>
              <w:tabs>
                <w:tab w:val="left" w:pos="360"/>
              </w:tabs>
              <w:autoSpaceDE w:val="0"/>
              <w:autoSpaceDN w:val="0"/>
              <w:spacing w:line="0" w:lineRule="atLeast"/>
              <w:jc w:val="center"/>
              <w:rPr>
                <w:color w:val="auto"/>
                <w:szCs w:val="21"/>
              </w:rPr>
            </w:pPr>
          </w:p>
        </w:tc>
        <w:tc>
          <w:tcPr>
            <w:tcW w:w="1694" w:type="dxa"/>
            <w:gridSpan w:val="2"/>
            <w:vMerge w:val="continue"/>
            <w:shd w:val="clear" w:color="auto" w:fill="auto"/>
            <w:vAlign w:val="center"/>
          </w:tcPr>
          <w:p>
            <w:pPr>
              <w:spacing w:line="0" w:lineRule="atLeast"/>
              <w:jc w:val="center"/>
              <w:rPr>
                <w:color w:val="auto"/>
                <w:szCs w:val="21"/>
              </w:rPr>
            </w:pPr>
          </w:p>
        </w:tc>
        <w:tc>
          <w:tcPr>
            <w:tcW w:w="1122" w:type="dxa"/>
            <w:shd w:val="clear" w:color="auto" w:fill="auto"/>
            <w:vAlign w:val="center"/>
          </w:tcPr>
          <w:p>
            <w:pPr>
              <w:pStyle w:val="84"/>
              <w:rPr>
                <w:rFonts w:hAnsi="Times New Roman"/>
                <w:snapToGrid w:val="0"/>
                <w:color w:val="auto"/>
              </w:rPr>
            </w:pPr>
            <w:r>
              <w:rPr>
                <w:rFonts w:hAnsi="Times New Roman"/>
                <w:snapToGrid w:val="0"/>
                <w:color w:val="auto"/>
              </w:rPr>
              <w:t>COD</w:t>
            </w:r>
          </w:p>
        </w:tc>
        <w:tc>
          <w:tcPr>
            <w:tcW w:w="1851" w:type="dxa"/>
            <w:vMerge w:val="continue"/>
            <w:shd w:val="clear" w:color="auto" w:fill="auto"/>
            <w:vAlign w:val="center"/>
          </w:tcPr>
          <w:p>
            <w:pPr>
              <w:spacing w:line="0" w:lineRule="atLeast"/>
              <w:jc w:val="center"/>
              <w:rPr>
                <w:color w:val="auto"/>
                <w:szCs w:val="21"/>
              </w:rPr>
            </w:pPr>
          </w:p>
        </w:tc>
        <w:tc>
          <w:tcPr>
            <w:tcW w:w="1422" w:type="dxa"/>
            <w:shd w:val="clear" w:color="auto" w:fill="auto"/>
            <w:vAlign w:val="center"/>
          </w:tcPr>
          <w:p>
            <w:pPr>
              <w:widowControl/>
              <w:jc w:val="center"/>
              <w:rPr>
                <w:snapToGrid w:val="0"/>
                <w:color w:val="auto"/>
                <w:szCs w:val="21"/>
              </w:rPr>
            </w:pPr>
            <w:r>
              <w:rPr>
                <w:rFonts w:hint="eastAsia"/>
                <w:snapToGrid w:val="0"/>
                <w:color w:val="auto"/>
                <w:szCs w:val="21"/>
                <w:lang w:eastAsia="zh-CN"/>
              </w:rPr>
              <w:t>189.11</w:t>
            </w:r>
            <w:r>
              <w:rPr>
                <w:snapToGrid w:val="0"/>
                <w:color w:val="auto"/>
              </w:rPr>
              <w:t>mg/L</w:t>
            </w:r>
          </w:p>
        </w:tc>
        <w:tc>
          <w:tcPr>
            <w:tcW w:w="1709" w:type="dxa"/>
            <w:gridSpan w:val="2"/>
            <w:shd w:val="clear" w:color="auto" w:fill="auto"/>
            <w:vAlign w:val="center"/>
          </w:tcPr>
          <w:p>
            <w:pPr>
              <w:spacing w:line="0" w:lineRule="atLeast"/>
              <w:jc w:val="center"/>
              <w:rPr>
                <w:rFonts w:hint="eastAsia" w:eastAsia="宋体"/>
                <w:color w:val="auto"/>
                <w:szCs w:val="21"/>
                <w:lang w:eastAsia="zh-CN"/>
              </w:rPr>
            </w:pPr>
            <w:r>
              <w:rPr>
                <w:rFonts w:hint="eastAsia"/>
                <w:color w:val="auto"/>
                <w:szCs w:val="21"/>
                <w:lang w:eastAsia="zh-CN"/>
              </w:rPr>
              <w:t>8.76</w:t>
            </w:r>
          </w:p>
        </w:tc>
        <w:tc>
          <w:tcPr>
            <w:tcW w:w="4111" w:type="dxa"/>
            <w:gridSpan w:val="2"/>
            <w:vMerge w:val="continue"/>
            <w:shd w:val="clear" w:color="auto" w:fill="auto"/>
            <w:vAlign w:val="center"/>
          </w:tcPr>
          <w:p>
            <w:pPr>
              <w:spacing w:line="0" w:lineRule="atLeast"/>
              <w:jc w:val="center"/>
              <w:rPr>
                <w:color w:val="FF0000"/>
                <w:szCs w:val="21"/>
              </w:rPr>
            </w:pPr>
          </w:p>
        </w:tc>
        <w:tc>
          <w:tcPr>
            <w:tcW w:w="1675" w:type="dxa"/>
            <w:gridSpan w:val="2"/>
            <w:vMerge w:val="continue"/>
            <w:shd w:val="clear" w:color="auto" w:fill="auto"/>
            <w:vAlign w:val="center"/>
          </w:tcPr>
          <w:p>
            <w:pPr>
              <w:spacing w:line="0" w:lineRule="atLeast"/>
              <w:jc w:val="center"/>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2"/>
          <w:wAfter w:w="148" w:type="dxa"/>
          <w:trHeight w:val="316" w:hRule="atLeast"/>
          <w:jc w:val="center"/>
        </w:trPr>
        <w:tc>
          <w:tcPr>
            <w:tcW w:w="1000" w:type="dxa"/>
            <w:vMerge w:val="continue"/>
            <w:shd w:val="clear" w:color="auto" w:fill="auto"/>
            <w:vAlign w:val="center"/>
          </w:tcPr>
          <w:p>
            <w:pPr>
              <w:tabs>
                <w:tab w:val="left" w:pos="360"/>
              </w:tabs>
              <w:autoSpaceDE w:val="0"/>
              <w:autoSpaceDN w:val="0"/>
              <w:spacing w:line="0" w:lineRule="atLeast"/>
              <w:jc w:val="center"/>
              <w:rPr>
                <w:color w:val="auto"/>
                <w:szCs w:val="21"/>
              </w:rPr>
            </w:pPr>
          </w:p>
        </w:tc>
        <w:tc>
          <w:tcPr>
            <w:tcW w:w="1694" w:type="dxa"/>
            <w:gridSpan w:val="2"/>
            <w:vMerge w:val="continue"/>
            <w:shd w:val="clear" w:color="auto" w:fill="auto"/>
            <w:vAlign w:val="center"/>
          </w:tcPr>
          <w:p>
            <w:pPr>
              <w:spacing w:line="0" w:lineRule="atLeast"/>
              <w:jc w:val="center"/>
              <w:rPr>
                <w:color w:val="auto"/>
                <w:szCs w:val="21"/>
              </w:rPr>
            </w:pPr>
          </w:p>
        </w:tc>
        <w:tc>
          <w:tcPr>
            <w:tcW w:w="1122" w:type="dxa"/>
            <w:shd w:val="clear" w:color="auto" w:fill="auto"/>
            <w:vAlign w:val="center"/>
          </w:tcPr>
          <w:p>
            <w:pPr>
              <w:widowControl/>
              <w:jc w:val="center"/>
              <w:rPr>
                <w:snapToGrid w:val="0"/>
                <w:color w:val="auto"/>
                <w:szCs w:val="21"/>
              </w:rPr>
            </w:pPr>
            <w:r>
              <w:rPr>
                <w:rFonts w:hint="eastAsia"/>
                <w:snapToGrid w:val="0"/>
                <w:color w:val="auto"/>
                <w:szCs w:val="21"/>
              </w:rPr>
              <w:t>BOD</w:t>
            </w:r>
            <w:r>
              <w:rPr>
                <w:rFonts w:hint="eastAsia"/>
                <w:snapToGrid w:val="0"/>
                <w:color w:val="auto"/>
                <w:szCs w:val="21"/>
                <w:vertAlign w:val="subscript"/>
              </w:rPr>
              <w:t>5</w:t>
            </w:r>
          </w:p>
        </w:tc>
        <w:tc>
          <w:tcPr>
            <w:tcW w:w="1851" w:type="dxa"/>
            <w:vMerge w:val="continue"/>
            <w:shd w:val="clear" w:color="auto" w:fill="auto"/>
            <w:vAlign w:val="center"/>
          </w:tcPr>
          <w:p>
            <w:pPr>
              <w:spacing w:line="0" w:lineRule="atLeast"/>
              <w:jc w:val="center"/>
              <w:rPr>
                <w:color w:val="auto"/>
                <w:szCs w:val="21"/>
              </w:rPr>
            </w:pPr>
          </w:p>
        </w:tc>
        <w:tc>
          <w:tcPr>
            <w:tcW w:w="1422" w:type="dxa"/>
            <w:shd w:val="clear" w:color="auto" w:fill="auto"/>
            <w:vAlign w:val="center"/>
          </w:tcPr>
          <w:p>
            <w:pPr>
              <w:widowControl/>
              <w:jc w:val="center"/>
              <w:rPr>
                <w:snapToGrid w:val="0"/>
                <w:color w:val="auto"/>
                <w:szCs w:val="21"/>
              </w:rPr>
            </w:pPr>
            <w:r>
              <w:rPr>
                <w:rFonts w:hint="eastAsia"/>
                <w:color w:val="auto"/>
                <w:szCs w:val="21"/>
                <w:lang w:eastAsia="zh-CN"/>
              </w:rPr>
              <w:t>94.64</w:t>
            </w:r>
            <w:r>
              <w:rPr>
                <w:snapToGrid w:val="0"/>
                <w:color w:val="auto"/>
              </w:rPr>
              <w:t>mg/L</w:t>
            </w:r>
          </w:p>
        </w:tc>
        <w:tc>
          <w:tcPr>
            <w:tcW w:w="1709" w:type="dxa"/>
            <w:gridSpan w:val="2"/>
            <w:shd w:val="clear" w:color="auto" w:fill="auto"/>
            <w:vAlign w:val="center"/>
          </w:tcPr>
          <w:p>
            <w:pPr>
              <w:spacing w:line="0" w:lineRule="atLeast"/>
              <w:jc w:val="center"/>
              <w:rPr>
                <w:color w:val="auto"/>
                <w:szCs w:val="21"/>
              </w:rPr>
            </w:pPr>
            <w:r>
              <w:rPr>
                <w:color w:val="auto"/>
                <w:szCs w:val="21"/>
              </w:rPr>
              <w:t>/</w:t>
            </w:r>
          </w:p>
        </w:tc>
        <w:tc>
          <w:tcPr>
            <w:tcW w:w="4111" w:type="dxa"/>
            <w:gridSpan w:val="2"/>
            <w:vMerge w:val="continue"/>
            <w:shd w:val="clear" w:color="auto" w:fill="auto"/>
            <w:vAlign w:val="center"/>
          </w:tcPr>
          <w:p>
            <w:pPr>
              <w:spacing w:line="0" w:lineRule="atLeast"/>
              <w:jc w:val="center"/>
              <w:rPr>
                <w:color w:val="FF0000"/>
                <w:szCs w:val="21"/>
              </w:rPr>
            </w:pPr>
          </w:p>
        </w:tc>
        <w:tc>
          <w:tcPr>
            <w:tcW w:w="1675" w:type="dxa"/>
            <w:gridSpan w:val="2"/>
            <w:vMerge w:val="continue"/>
            <w:shd w:val="clear" w:color="auto" w:fill="auto"/>
            <w:vAlign w:val="center"/>
          </w:tcPr>
          <w:p>
            <w:pPr>
              <w:spacing w:line="0" w:lineRule="atLeast"/>
              <w:jc w:val="center"/>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2"/>
          <w:wAfter w:w="148" w:type="dxa"/>
          <w:trHeight w:val="278" w:hRule="atLeast"/>
          <w:jc w:val="center"/>
        </w:trPr>
        <w:tc>
          <w:tcPr>
            <w:tcW w:w="1000" w:type="dxa"/>
            <w:vMerge w:val="continue"/>
            <w:shd w:val="clear" w:color="auto" w:fill="auto"/>
            <w:vAlign w:val="center"/>
          </w:tcPr>
          <w:p>
            <w:pPr>
              <w:tabs>
                <w:tab w:val="left" w:pos="360"/>
              </w:tabs>
              <w:autoSpaceDE w:val="0"/>
              <w:autoSpaceDN w:val="0"/>
              <w:spacing w:line="0" w:lineRule="atLeast"/>
              <w:jc w:val="center"/>
              <w:rPr>
                <w:color w:val="auto"/>
                <w:szCs w:val="21"/>
              </w:rPr>
            </w:pPr>
          </w:p>
        </w:tc>
        <w:tc>
          <w:tcPr>
            <w:tcW w:w="1694" w:type="dxa"/>
            <w:gridSpan w:val="2"/>
            <w:vMerge w:val="continue"/>
            <w:shd w:val="clear" w:color="auto" w:fill="auto"/>
            <w:vAlign w:val="center"/>
          </w:tcPr>
          <w:p>
            <w:pPr>
              <w:spacing w:line="0" w:lineRule="atLeast"/>
              <w:jc w:val="center"/>
              <w:rPr>
                <w:color w:val="auto"/>
                <w:szCs w:val="21"/>
              </w:rPr>
            </w:pPr>
          </w:p>
        </w:tc>
        <w:tc>
          <w:tcPr>
            <w:tcW w:w="1122" w:type="dxa"/>
            <w:shd w:val="clear" w:color="auto" w:fill="auto"/>
            <w:vAlign w:val="center"/>
          </w:tcPr>
          <w:p>
            <w:pPr>
              <w:widowControl/>
              <w:jc w:val="center"/>
              <w:rPr>
                <w:snapToGrid w:val="0"/>
                <w:color w:val="auto"/>
                <w:szCs w:val="21"/>
              </w:rPr>
            </w:pPr>
            <w:r>
              <w:rPr>
                <w:rFonts w:hint="eastAsia"/>
                <w:snapToGrid w:val="0"/>
                <w:color w:val="auto"/>
                <w:szCs w:val="21"/>
              </w:rPr>
              <w:t>SS</w:t>
            </w:r>
          </w:p>
        </w:tc>
        <w:tc>
          <w:tcPr>
            <w:tcW w:w="1851" w:type="dxa"/>
            <w:vMerge w:val="continue"/>
            <w:shd w:val="clear" w:color="auto" w:fill="auto"/>
            <w:vAlign w:val="center"/>
          </w:tcPr>
          <w:p>
            <w:pPr>
              <w:spacing w:line="0" w:lineRule="atLeast"/>
              <w:jc w:val="center"/>
              <w:rPr>
                <w:color w:val="auto"/>
                <w:szCs w:val="21"/>
              </w:rPr>
            </w:pPr>
          </w:p>
        </w:tc>
        <w:tc>
          <w:tcPr>
            <w:tcW w:w="1422" w:type="dxa"/>
            <w:shd w:val="clear" w:color="auto" w:fill="auto"/>
            <w:vAlign w:val="center"/>
          </w:tcPr>
          <w:p>
            <w:pPr>
              <w:widowControl/>
              <w:jc w:val="center"/>
              <w:rPr>
                <w:snapToGrid w:val="0"/>
                <w:color w:val="auto"/>
                <w:szCs w:val="21"/>
              </w:rPr>
            </w:pPr>
            <w:r>
              <w:rPr>
                <w:rFonts w:hint="eastAsia"/>
                <w:color w:val="auto"/>
                <w:szCs w:val="21"/>
                <w:lang w:eastAsia="zh-CN"/>
              </w:rPr>
              <w:t>94.76</w:t>
            </w:r>
            <w:r>
              <w:rPr>
                <w:snapToGrid w:val="0"/>
                <w:color w:val="auto"/>
              </w:rPr>
              <w:t>mg/L</w:t>
            </w:r>
          </w:p>
        </w:tc>
        <w:tc>
          <w:tcPr>
            <w:tcW w:w="1709" w:type="dxa"/>
            <w:gridSpan w:val="2"/>
            <w:shd w:val="clear" w:color="auto" w:fill="auto"/>
            <w:vAlign w:val="center"/>
          </w:tcPr>
          <w:p>
            <w:pPr>
              <w:spacing w:line="0" w:lineRule="atLeast"/>
              <w:jc w:val="center"/>
              <w:rPr>
                <w:color w:val="auto"/>
                <w:szCs w:val="21"/>
              </w:rPr>
            </w:pPr>
            <w:r>
              <w:rPr>
                <w:color w:val="auto"/>
                <w:szCs w:val="21"/>
              </w:rPr>
              <w:t>/</w:t>
            </w:r>
          </w:p>
        </w:tc>
        <w:tc>
          <w:tcPr>
            <w:tcW w:w="4111" w:type="dxa"/>
            <w:gridSpan w:val="2"/>
            <w:vMerge w:val="continue"/>
            <w:shd w:val="clear" w:color="auto" w:fill="auto"/>
            <w:vAlign w:val="center"/>
          </w:tcPr>
          <w:p>
            <w:pPr>
              <w:spacing w:line="0" w:lineRule="atLeast"/>
              <w:jc w:val="center"/>
              <w:rPr>
                <w:color w:val="FF0000"/>
                <w:szCs w:val="21"/>
              </w:rPr>
            </w:pPr>
          </w:p>
        </w:tc>
        <w:tc>
          <w:tcPr>
            <w:tcW w:w="1675" w:type="dxa"/>
            <w:gridSpan w:val="2"/>
            <w:vMerge w:val="continue"/>
            <w:shd w:val="clear" w:color="auto" w:fill="auto"/>
            <w:vAlign w:val="center"/>
          </w:tcPr>
          <w:p>
            <w:pPr>
              <w:spacing w:line="0" w:lineRule="atLeast"/>
              <w:jc w:val="center"/>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2"/>
          <w:wAfter w:w="148" w:type="dxa"/>
          <w:trHeight w:val="267" w:hRule="atLeast"/>
          <w:jc w:val="center"/>
        </w:trPr>
        <w:tc>
          <w:tcPr>
            <w:tcW w:w="1000" w:type="dxa"/>
            <w:vMerge w:val="continue"/>
            <w:shd w:val="clear" w:color="auto" w:fill="auto"/>
            <w:vAlign w:val="center"/>
          </w:tcPr>
          <w:p>
            <w:pPr>
              <w:tabs>
                <w:tab w:val="left" w:pos="360"/>
              </w:tabs>
              <w:autoSpaceDE w:val="0"/>
              <w:autoSpaceDN w:val="0"/>
              <w:spacing w:line="0" w:lineRule="atLeast"/>
              <w:jc w:val="center"/>
              <w:rPr>
                <w:color w:val="auto"/>
                <w:szCs w:val="21"/>
              </w:rPr>
            </w:pPr>
          </w:p>
        </w:tc>
        <w:tc>
          <w:tcPr>
            <w:tcW w:w="1694" w:type="dxa"/>
            <w:gridSpan w:val="2"/>
            <w:vMerge w:val="continue"/>
            <w:shd w:val="clear" w:color="auto" w:fill="auto"/>
            <w:vAlign w:val="center"/>
          </w:tcPr>
          <w:p>
            <w:pPr>
              <w:spacing w:line="0" w:lineRule="atLeast"/>
              <w:jc w:val="center"/>
              <w:rPr>
                <w:color w:val="auto"/>
                <w:szCs w:val="21"/>
              </w:rPr>
            </w:pPr>
          </w:p>
        </w:tc>
        <w:tc>
          <w:tcPr>
            <w:tcW w:w="1122" w:type="dxa"/>
            <w:shd w:val="clear" w:color="auto" w:fill="auto"/>
            <w:vAlign w:val="center"/>
          </w:tcPr>
          <w:p>
            <w:pPr>
              <w:widowControl/>
              <w:jc w:val="center"/>
              <w:rPr>
                <w:snapToGrid w:val="0"/>
                <w:color w:val="auto"/>
                <w:szCs w:val="21"/>
              </w:rPr>
            </w:pPr>
            <w:r>
              <w:rPr>
                <w:rFonts w:hint="eastAsia"/>
                <w:snapToGrid w:val="0"/>
                <w:color w:val="auto"/>
                <w:szCs w:val="21"/>
              </w:rPr>
              <w:t>动植物油</w:t>
            </w:r>
          </w:p>
        </w:tc>
        <w:tc>
          <w:tcPr>
            <w:tcW w:w="1851" w:type="dxa"/>
            <w:vMerge w:val="continue"/>
            <w:shd w:val="clear" w:color="auto" w:fill="auto"/>
            <w:vAlign w:val="center"/>
          </w:tcPr>
          <w:p>
            <w:pPr>
              <w:spacing w:line="0" w:lineRule="atLeast"/>
              <w:jc w:val="center"/>
              <w:rPr>
                <w:color w:val="auto"/>
                <w:szCs w:val="21"/>
              </w:rPr>
            </w:pPr>
          </w:p>
        </w:tc>
        <w:tc>
          <w:tcPr>
            <w:tcW w:w="1422" w:type="dxa"/>
            <w:shd w:val="clear" w:color="auto" w:fill="auto"/>
            <w:vAlign w:val="center"/>
          </w:tcPr>
          <w:p>
            <w:pPr>
              <w:widowControl/>
              <w:jc w:val="center"/>
              <w:rPr>
                <w:snapToGrid w:val="0"/>
                <w:color w:val="auto"/>
                <w:szCs w:val="21"/>
              </w:rPr>
            </w:pPr>
            <w:r>
              <w:rPr>
                <w:rFonts w:hint="eastAsia"/>
                <w:color w:val="auto"/>
                <w:szCs w:val="21"/>
                <w:lang w:eastAsia="zh-CN"/>
              </w:rPr>
              <w:t>13.07</w:t>
            </w:r>
            <w:r>
              <w:rPr>
                <w:snapToGrid w:val="0"/>
                <w:color w:val="auto"/>
              </w:rPr>
              <w:t>mg/L</w:t>
            </w:r>
          </w:p>
        </w:tc>
        <w:tc>
          <w:tcPr>
            <w:tcW w:w="1709" w:type="dxa"/>
            <w:gridSpan w:val="2"/>
            <w:shd w:val="clear" w:color="auto" w:fill="auto"/>
            <w:vAlign w:val="center"/>
          </w:tcPr>
          <w:p>
            <w:pPr>
              <w:spacing w:line="0" w:lineRule="atLeast"/>
              <w:jc w:val="center"/>
              <w:rPr>
                <w:color w:val="auto"/>
                <w:szCs w:val="21"/>
              </w:rPr>
            </w:pPr>
            <w:r>
              <w:rPr>
                <w:color w:val="auto"/>
                <w:szCs w:val="21"/>
              </w:rPr>
              <w:t>/</w:t>
            </w:r>
          </w:p>
        </w:tc>
        <w:tc>
          <w:tcPr>
            <w:tcW w:w="4111" w:type="dxa"/>
            <w:gridSpan w:val="2"/>
            <w:vMerge w:val="continue"/>
            <w:shd w:val="clear" w:color="auto" w:fill="auto"/>
            <w:vAlign w:val="center"/>
          </w:tcPr>
          <w:p>
            <w:pPr>
              <w:spacing w:line="0" w:lineRule="atLeast"/>
              <w:jc w:val="center"/>
              <w:rPr>
                <w:color w:val="FF0000"/>
                <w:szCs w:val="21"/>
              </w:rPr>
            </w:pPr>
          </w:p>
        </w:tc>
        <w:tc>
          <w:tcPr>
            <w:tcW w:w="1675" w:type="dxa"/>
            <w:gridSpan w:val="2"/>
            <w:vMerge w:val="continue"/>
            <w:shd w:val="clear" w:color="auto" w:fill="auto"/>
            <w:vAlign w:val="center"/>
          </w:tcPr>
          <w:p>
            <w:pPr>
              <w:spacing w:line="0" w:lineRule="atLeast"/>
              <w:jc w:val="center"/>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2"/>
          <w:wAfter w:w="148" w:type="dxa"/>
          <w:trHeight w:val="286" w:hRule="atLeast"/>
          <w:jc w:val="center"/>
        </w:trPr>
        <w:tc>
          <w:tcPr>
            <w:tcW w:w="1000" w:type="dxa"/>
            <w:vMerge w:val="continue"/>
            <w:shd w:val="clear" w:color="auto" w:fill="auto"/>
            <w:vAlign w:val="center"/>
          </w:tcPr>
          <w:p>
            <w:pPr>
              <w:tabs>
                <w:tab w:val="left" w:pos="360"/>
              </w:tabs>
              <w:autoSpaceDE w:val="0"/>
              <w:autoSpaceDN w:val="0"/>
              <w:spacing w:line="0" w:lineRule="atLeast"/>
              <w:jc w:val="center"/>
              <w:rPr>
                <w:color w:val="auto"/>
                <w:szCs w:val="21"/>
              </w:rPr>
            </w:pPr>
          </w:p>
        </w:tc>
        <w:tc>
          <w:tcPr>
            <w:tcW w:w="1694" w:type="dxa"/>
            <w:gridSpan w:val="2"/>
            <w:vMerge w:val="continue"/>
            <w:shd w:val="clear" w:color="auto" w:fill="auto"/>
            <w:vAlign w:val="center"/>
          </w:tcPr>
          <w:p>
            <w:pPr>
              <w:spacing w:line="0" w:lineRule="atLeast"/>
              <w:jc w:val="center"/>
              <w:rPr>
                <w:color w:val="auto"/>
                <w:szCs w:val="21"/>
              </w:rPr>
            </w:pPr>
          </w:p>
        </w:tc>
        <w:tc>
          <w:tcPr>
            <w:tcW w:w="1122" w:type="dxa"/>
            <w:shd w:val="clear" w:color="auto" w:fill="auto"/>
            <w:vAlign w:val="center"/>
          </w:tcPr>
          <w:p>
            <w:pPr>
              <w:widowControl/>
              <w:jc w:val="center"/>
              <w:rPr>
                <w:snapToGrid w:val="0"/>
                <w:color w:val="auto"/>
                <w:szCs w:val="21"/>
              </w:rPr>
            </w:pPr>
            <w:r>
              <w:rPr>
                <w:snapToGrid w:val="0"/>
                <w:color w:val="auto"/>
                <w:szCs w:val="21"/>
              </w:rPr>
              <w:t>氨氮</w:t>
            </w:r>
          </w:p>
        </w:tc>
        <w:tc>
          <w:tcPr>
            <w:tcW w:w="1851" w:type="dxa"/>
            <w:vMerge w:val="continue"/>
            <w:shd w:val="clear" w:color="auto" w:fill="auto"/>
            <w:vAlign w:val="center"/>
          </w:tcPr>
          <w:p>
            <w:pPr>
              <w:spacing w:line="0" w:lineRule="atLeast"/>
              <w:jc w:val="center"/>
              <w:rPr>
                <w:color w:val="auto"/>
                <w:szCs w:val="21"/>
              </w:rPr>
            </w:pPr>
          </w:p>
        </w:tc>
        <w:tc>
          <w:tcPr>
            <w:tcW w:w="1422" w:type="dxa"/>
            <w:shd w:val="clear" w:color="auto" w:fill="auto"/>
            <w:vAlign w:val="center"/>
          </w:tcPr>
          <w:p>
            <w:pPr>
              <w:widowControl/>
              <w:jc w:val="center"/>
              <w:rPr>
                <w:snapToGrid w:val="0"/>
                <w:color w:val="auto"/>
                <w:szCs w:val="21"/>
              </w:rPr>
            </w:pPr>
            <w:r>
              <w:rPr>
                <w:rFonts w:hint="eastAsia"/>
                <w:color w:val="auto"/>
                <w:szCs w:val="21"/>
                <w:lang w:eastAsia="zh-CN"/>
              </w:rPr>
              <w:t>31.27</w:t>
            </w:r>
            <w:r>
              <w:rPr>
                <w:snapToGrid w:val="0"/>
                <w:color w:val="auto"/>
              </w:rPr>
              <w:t>mg/L</w:t>
            </w:r>
          </w:p>
        </w:tc>
        <w:tc>
          <w:tcPr>
            <w:tcW w:w="1709" w:type="dxa"/>
            <w:gridSpan w:val="2"/>
            <w:shd w:val="clear" w:color="auto" w:fill="auto"/>
            <w:vAlign w:val="center"/>
          </w:tcPr>
          <w:p>
            <w:pPr>
              <w:spacing w:line="0" w:lineRule="atLeast"/>
              <w:jc w:val="center"/>
              <w:rPr>
                <w:color w:val="auto"/>
                <w:szCs w:val="21"/>
              </w:rPr>
            </w:pPr>
            <w:r>
              <w:rPr>
                <w:rFonts w:hint="eastAsia"/>
                <w:color w:val="auto"/>
                <w:szCs w:val="21"/>
              </w:rPr>
              <w:t>0.37</w:t>
            </w:r>
          </w:p>
        </w:tc>
        <w:tc>
          <w:tcPr>
            <w:tcW w:w="4111" w:type="dxa"/>
            <w:gridSpan w:val="2"/>
            <w:vMerge w:val="continue"/>
            <w:shd w:val="clear" w:color="auto" w:fill="auto"/>
            <w:vAlign w:val="center"/>
          </w:tcPr>
          <w:p>
            <w:pPr>
              <w:spacing w:line="0" w:lineRule="atLeast"/>
              <w:jc w:val="center"/>
              <w:rPr>
                <w:color w:val="FF0000"/>
                <w:szCs w:val="21"/>
              </w:rPr>
            </w:pPr>
          </w:p>
        </w:tc>
        <w:tc>
          <w:tcPr>
            <w:tcW w:w="1675" w:type="dxa"/>
            <w:gridSpan w:val="2"/>
            <w:vMerge w:val="continue"/>
            <w:shd w:val="clear" w:color="auto" w:fill="auto"/>
            <w:vAlign w:val="center"/>
          </w:tcPr>
          <w:p>
            <w:pPr>
              <w:spacing w:line="0" w:lineRule="atLeast"/>
              <w:jc w:val="center"/>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2"/>
          <w:wAfter w:w="148" w:type="dxa"/>
          <w:trHeight w:val="403" w:hRule="atLeast"/>
          <w:jc w:val="center"/>
        </w:trPr>
        <w:tc>
          <w:tcPr>
            <w:tcW w:w="1000" w:type="dxa"/>
            <w:vMerge w:val="continue"/>
            <w:shd w:val="clear" w:color="auto" w:fill="auto"/>
            <w:vAlign w:val="center"/>
          </w:tcPr>
          <w:p>
            <w:pPr>
              <w:tabs>
                <w:tab w:val="left" w:pos="360"/>
              </w:tabs>
              <w:autoSpaceDE w:val="0"/>
              <w:autoSpaceDN w:val="0"/>
              <w:spacing w:line="0" w:lineRule="atLeast"/>
              <w:jc w:val="center"/>
              <w:rPr>
                <w:color w:val="auto"/>
                <w:szCs w:val="21"/>
              </w:rPr>
            </w:pPr>
          </w:p>
        </w:tc>
        <w:tc>
          <w:tcPr>
            <w:tcW w:w="1694" w:type="dxa"/>
            <w:gridSpan w:val="2"/>
            <w:vMerge w:val="continue"/>
            <w:shd w:val="clear" w:color="auto" w:fill="auto"/>
            <w:vAlign w:val="center"/>
          </w:tcPr>
          <w:p>
            <w:pPr>
              <w:spacing w:line="0" w:lineRule="atLeast"/>
              <w:jc w:val="center"/>
              <w:rPr>
                <w:color w:val="auto"/>
                <w:szCs w:val="21"/>
              </w:rPr>
            </w:pPr>
          </w:p>
        </w:tc>
        <w:tc>
          <w:tcPr>
            <w:tcW w:w="1122" w:type="dxa"/>
            <w:shd w:val="clear" w:color="auto" w:fill="auto"/>
            <w:vAlign w:val="center"/>
          </w:tcPr>
          <w:p>
            <w:pPr>
              <w:widowControl/>
              <w:jc w:val="center"/>
              <w:rPr>
                <w:snapToGrid w:val="0"/>
                <w:color w:val="auto"/>
                <w:szCs w:val="21"/>
              </w:rPr>
            </w:pPr>
            <w:r>
              <w:rPr>
                <w:rFonts w:hint="eastAsia"/>
                <w:bCs/>
                <w:snapToGrid w:val="0"/>
                <w:color w:val="auto"/>
                <w:szCs w:val="21"/>
              </w:rPr>
              <w:t>大肠菌群数</w:t>
            </w:r>
          </w:p>
        </w:tc>
        <w:tc>
          <w:tcPr>
            <w:tcW w:w="1851" w:type="dxa"/>
            <w:vMerge w:val="continue"/>
            <w:shd w:val="clear" w:color="auto" w:fill="auto"/>
            <w:vAlign w:val="center"/>
          </w:tcPr>
          <w:p>
            <w:pPr>
              <w:spacing w:line="0" w:lineRule="atLeast"/>
              <w:jc w:val="center"/>
              <w:rPr>
                <w:color w:val="auto"/>
                <w:szCs w:val="21"/>
              </w:rPr>
            </w:pPr>
          </w:p>
        </w:tc>
        <w:tc>
          <w:tcPr>
            <w:tcW w:w="1422" w:type="dxa"/>
            <w:shd w:val="clear" w:color="auto" w:fill="auto"/>
            <w:vAlign w:val="center"/>
          </w:tcPr>
          <w:p>
            <w:pPr>
              <w:widowControl/>
              <w:jc w:val="center"/>
              <w:rPr>
                <w:snapToGrid w:val="0"/>
                <w:color w:val="auto"/>
                <w:szCs w:val="21"/>
              </w:rPr>
            </w:pPr>
            <w:r>
              <w:rPr>
                <w:rFonts w:hint="eastAsia"/>
                <w:snapToGrid w:val="0"/>
                <w:color w:val="auto"/>
                <w:szCs w:val="21"/>
                <w:lang w:eastAsia="zh-CN"/>
              </w:rPr>
              <w:t>19150</w:t>
            </w:r>
            <w:r>
              <w:rPr>
                <w:rFonts w:hint="eastAsia"/>
                <w:bCs/>
                <w:snapToGrid w:val="0"/>
                <w:color w:val="auto"/>
                <w:szCs w:val="21"/>
              </w:rPr>
              <w:t>个/L</w:t>
            </w:r>
          </w:p>
        </w:tc>
        <w:tc>
          <w:tcPr>
            <w:tcW w:w="1709" w:type="dxa"/>
            <w:gridSpan w:val="2"/>
            <w:shd w:val="clear" w:color="auto" w:fill="auto"/>
            <w:vAlign w:val="center"/>
          </w:tcPr>
          <w:p>
            <w:pPr>
              <w:spacing w:line="0" w:lineRule="atLeast"/>
              <w:jc w:val="center"/>
              <w:rPr>
                <w:color w:val="auto"/>
                <w:szCs w:val="21"/>
              </w:rPr>
            </w:pPr>
            <w:r>
              <w:rPr>
                <w:color w:val="auto"/>
                <w:szCs w:val="21"/>
              </w:rPr>
              <w:t>/</w:t>
            </w:r>
          </w:p>
        </w:tc>
        <w:tc>
          <w:tcPr>
            <w:tcW w:w="4111" w:type="dxa"/>
            <w:gridSpan w:val="2"/>
            <w:vMerge w:val="continue"/>
            <w:shd w:val="clear" w:color="auto" w:fill="auto"/>
            <w:vAlign w:val="center"/>
          </w:tcPr>
          <w:p>
            <w:pPr>
              <w:spacing w:line="0" w:lineRule="atLeast"/>
              <w:jc w:val="center"/>
              <w:rPr>
                <w:color w:val="FF0000"/>
                <w:szCs w:val="21"/>
              </w:rPr>
            </w:pPr>
          </w:p>
        </w:tc>
        <w:tc>
          <w:tcPr>
            <w:tcW w:w="1675" w:type="dxa"/>
            <w:gridSpan w:val="2"/>
            <w:vMerge w:val="continue"/>
            <w:shd w:val="clear" w:color="auto" w:fill="auto"/>
            <w:vAlign w:val="center"/>
          </w:tcPr>
          <w:p>
            <w:pPr>
              <w:spacing w:line="0" w:lineRule="atLeast"/>
              <w:jc w:val="center"/>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2"/>
          <w:wAfter w:w="148" w:type="dxa"/>
          <w:trHeight w:val="2537" w:hRule="atLeast"/>
          <w:jc w:val="center"/>
        </w:trPr>
        <w:tc>
          <w:tcPr>
            <w:tcW w:w="1000" w:type="dxa"/>
            <w:shd w:val="clear" w:color="auto" w:fill="auto"/>
            <w:vAlign w:val="center"/>
          </w:tcPr>
          <w:p>
            <w:pPr>
              <w:spacing w:line="0" w:lineRule="atLeast"/>
              <w:jc w:val="center"/>
              <w:rPr>
                <w:color w:val="auto"/>
                <w:szCs w:val="21"/>
              </w:rPr>
            </w:pPr>
            <w:r>
              <w:rPr>
                <w:color w:val="auto"/>
                <w:szCs w:val="21"/>
              </w:rPr>
              <w:t>噪声</w:t>
            </w:r>
          </w:p>
        </w:tc>
        <w:tc>
          <w:tcPr>
            <w:tcW w:w="2816" w:type="dxa"/>
            <w:gridSpan w:val="3"/>
            <w:shd w:val="clear" w:color="auto" w:fill="auto"/>
            <w:vAlign w:val="center"/>
          </w:tcPr>
          <w:p>
            <w:pPr>
              <w:spacing w:line="0" w:lineRule="atLeast"/>
              <w:jc w:val="center"/>
              <w:rPr>
                <w:color w:val="auto"/>
                <w:szCs w:val="21"/>
              </w:rPr>
            </w:pPr>
            <w:r>
              <w:rPr>
                <w:rFonts w:hint="eastAsia"/>
                <w:color w:val="auto"/>
                <w:szCs w:val="21"/>
              </w:rPr>
              <w:t>压缩机</w:t>
            </w:r>
            <w:r>
              <w:rPr>
                <w:color w:val="auto"/>
                <w:szCs w:val="21"/>
              </w:rPr>
              <w:t>、风机、</w:t>
            </w:r>
            <w:r>
              <w:rPr>
                <w:rFonts w:hint="eastAsia"/>
                <w:color w:val="auto"/>
                <w:szCs w:val="21"/>
              </w:rPr>
              <w:t>生产设备</w:t>
            </w:r>
            <w:r>
              <w:rPr>
                <w:color w:val="auto"/>
                <w:szCs w:val="21"/>
              </w:rPr>
              <w:t>等</w:t>
            </w:r>
          </w:p>
        </w:tc>
        <w:tc>
          <w:tcPr>
            <w:tcW w:w="4982" w:type="dxa"/>
            <w:gridSpan w:val="4"/>
            <w:shd w:val="clear" w:color="auto" w:fill="auto"/>
            <w:vAlign w:val="center"/>
          </w:tcPr>
          <w:p>
            <w:pPr>
              <w:spacing w:line="0" w:lineRule="atLeast"/>
              <w:jc w:val="center"/>
              <w:rPr>
                <w:color w:val="auto"/>
                <w:szCs w:val="21"/>
              </w:rPr>
            </w:pPr>
            <w:r>
              <w:rPr>
                <w:color w:val="auto"/>
                <w:szCs w:val="21"/>
              </w:rPr>
              <w:t>选用低噪声设备、厂房隔声、</w:t>
            </w:r>
            <w:r>
              <w:rPr>
                <w:rFonts w:hint="eastAsia"/>
                <w:color w:val="auto"/>
                <w:szCs w:val="21"/>
              </w:rPr>
              <w:t>基础减振、</w:t>
            </w:r>
            <w:r>
              <w:rPr>
                <w:color w:val="auto"/>
                <w:szCs w:val="21"/>
              </w:rPr>
              <w:t>绿化降噪措施</w:t>
            </w:r>
          </w:p>
        </w:tc>
        <w:tc>
          <w:tcPr>
            <w:tcW w:w="4111" w:type="dxa"/>
            <w:gridSpan w:val="2"/>
            <w:shd w:val="clear" w:color="auto" w:fill="auto"/>
            <w:vAlign w:val="center"/>
          </w:tcPr>
          <w:p>
            <w:pPr>
              <w:spacing w:line="0" w:lineRule="atLeast"/>
              <w:jc w:val="center"/>
              <w:rPr>
                <w:color w:val="auto"/>
                <w:szCs w:val="21"/>
              </w:rPr>
            </w:pPr>
            <w:r>
              <w:rPr>
                <w:bCs/>
                <w:color w:val="auto"/>
                <w:szCs w:val="21"/>
              </w:rPr>
              <w:t>《工业企业厂界环境噪声排放标准》（GB12348-2008）表1中</w:t>
            </w:r>
            <w:r>
              <w:rPr>
                <w:rFonts w:hint="eastAsia"/>
                <w:bCs/>
                <w:color w:val="auto"/>
                <w:szCs w:val="21"/>
              </w:rPr>
              <w:t>2</w:t>
            </w:r>
            <w:r>
              <w:rPr>
                <w:bCs/>
                <w:color w:val="auto"/>
                <w:szCs w:val="21"/>
              </w:rPr>
              <w:t>类标准</w:t>
            </w:r>
          </w:p>
        </w:tc>
        <w:tc>
          <w:tcPr>
            <w:tcW w:w="1675" w:type="dxa"/>
            <w:gridSpan w:val="2"/>
            <w:shd w:val="clear" w:color="auto" w:fill="auto"/>
            <w:vAlign w:val="center"/>
          </w:tcPr>
          <w:p>
            <w:pPr>
              <w:spacing w:line="0" w:lineRule="atLeast"/>
              <w:jc w:val="center"/>
              <w:rPr>
                <w:color w:val="auto"/>
                <w:szCs w:val="21"/>
              </w:rPr>
            </w:pPr>
            <w:r>
              <w:rPr>
                <w:color w:val="auto"/>
                <w:szCs w:val="21"/>
              </w:rPr>
              <w:drawing>
                <wp:anchor distT="0" distB="0" distL="114300" distR="114300" simplePos="0" relativeHeight="251662336" behindDoc="0" locked="0" layoutInCell="1" allowOverlap="1">
                  <wp:simplePos x="0" y="0"/>
                  <wp:positionH relativeFrom="column">
                    <wp:posOffset>102870</wp:posOffset>
                  </wp:positionH>
                  <wp:positionV relativeFrom="paragraph">
                    <wp:posOffset>12700</wp:posOffset>
                  </wp:positionV>
                  <wp:extent cx="684530" cy="600075"/>
                  <wp:effectExtent l="19050" t="0" r="1270" b="0"/>
                  <wp:wrapNone/>
                  <wp:docPr id="46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41"/>
                          <pic:cNvPicPr>
                            <a:picLocks noChangeAspect="1" noChangeArrowheads="1"/>
                          </pic:cNvPicPr>
                        </pic:nvPicPr>
                        <pic:blipFill>
                          <a:blip r:embed="rId85" cstate="print"/>
                          <a:srcRect/>
                          <a:stretch>
                            <a:fillRect/>
                          </a:stretch>
                        </pic:blipFill>
                        <pic:spPr>
                          <a:xfrm>
                            <a:off x="0" y="0"/>
                            <a:ext cx="684530" cy="600075"/>
                          </a:xfrm>
                          <a:prstGeom prst="rect">
                            <a:avLst/>
                          </a:prstGeom>
                          <a:noFill/>
                          <a:ln w="9525">
                            <a:noFill/>
                            <a:miter lim="800000"/>
                            <a:headEnd/>
                            <a:tailEnd/>
                          </a:ln>
                        </pic:spPr>
                      </pic:pic>
                    </a:graphicData>
                  </a:graphic>
                </wp:anchor>
              </w:drawing>
            </w:r>
          </w:p>
          <w:p>
            <w:pPr>
              <w:spacing w:line="0" w:lineRule="atLeast"/>
              <w:jc w:val="center"/>
              <w:rPr>
                <w:color w:val="auto"/>
                <w:szCs w:val="21"/>
              </w:rPr>
            </w:pPr>
          </w:p>
          <w:p>
            <w:pPr>
              <w:spacing w:line="0" w:lineRule="atLeast"/>
              <w:jc w:val="center"/>
              <w:rPr>
                <w:color w:val="auto"/>
                <w:szCs w:val="21"/>
              </w:rPr>
            </w:pPr>
          </w:p>
          <w:p>
            <w:pPr>
              <w:spacing w:line="0" w:lineRule="atLeast"/>
              <w:jc w:val="center"/>
              <w:rPr>
                <w:b/>
                <w:bCs/>
                <w:color w:val="auto"/>
                <w:szCs w:val="21"/>
              </w:rPr>
            </w:pPr>
          </w:p>
          <w:p>
            <w:pPr>
              <w:spacing w:line="0" w:lineRule="atLeast"/>
              <w:jc w:val="center"/>
              <w:rPr>
                <w:color w:val="auto"/>
                <w:szCs w:val="21"/>
              </w:rPr>
            </w:pPr>
            <w:r>
              <w:rPr>
                <w:b/>
                <w:bCs/>
                <w:color w:val="auto"/>
                <w:szCs w:val="21"/>
              </w:rPr>
              <w:t>提示图形符号</w:t>
            </w:r>
          </w:p>
          <w:p>
            <w:pPr>
              <w:spacing w:line="0" w:lineRule="atLeast"/>
              <w:jc w:val="center"/>
              <w:rPr>
                <w:color w:val="auto"/>
                <w:szCs w:val="21"/>
              </w:rPr>
            </w:pPr>
            <w:r>
              <w:rPr>
                <w:color w:val="auto"/>
                <w:szCs w:val="21"/>
              </w:rPr>
              <w:drawing>
                <wp:inline distT="0" distB="0" distL="0" distR="0">
                  <wp:extent cx="709930" cy="628015"/>
                  <wp:effectExtent l="19050" t="0" r="0" b="0"/>
                  <wp:docPr id="11"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0"/>
                          <pic:cNvPicPr>
                            <a:picLocks noChangeAspect="1" noChangeArrowheads="1"/>
                          </pic:cNvPicPr>
                        </pic:nvPicPr>
                        <pic:blipFill>
                          <a:blip r:embed="rId86" cstate="print"/>
                          <a:srcRect/>
                          <a:stretch>
                            <a:fillRect/>
                          </a:stretch>
                        </pic:blipFill>
                        <pic:spPr>
                          <a:xfrm>
                            <a:off x="0" y="0"/>
                            <a:ext cx="709930" cy="628015"/>
                          </a:xfrm>
                          <a:prstGeom prst="rect">
                            <a:avLst/>
                          </a:prstGeom>
                          <a:noFill/>
                          <a:ln w="9525">
                            <a:noFill/>
                            <a:miter lim="800000"/>
                            <a:headEnd/>
                            <a:tailEnd/>
                          </a:ln>
                        </pic:spPr>
                      </pic:pic>
                    </a:graphicData>
                  </a:graphic>
                </wp:inline>
              </w:drawing>
            </w:r>
          </w:p>
          <w:p>
            <w:pPr>
              <w:spacing w:line="0" w:lineRule="atLeast"/>
              <w:jc w:val="center"/>
              <w:rPr>
                <w:color w:val="auto"/>
                <w:szCs w:val="21"/>
              </w:rPr>
            </w:pPr>
            <w:r>
              <w:rPr>
                <w:b/>
                <w:bCs/>
                <w:color w:val="auto"/>
                <w:szCs w:val="21"/>
              </w:rPr>
              <w:t>警告图形符号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1"/>
          <w:wAfter w:w="3" w:type="dxa"/>
          <w:trHeight w:val="59" w:hRule="atLeast"/>
          <w:jc w:val="center"/>
        </w:trPr>
        <w:tc>
          <w:tcPr>
            <w:tcW w:w="1000" w:type="dxa"/>
            <w:vMerge w:val="restart"/>
            <w:vAlign w:val="center"/>
          </w:tcPr>
          <w:p>
            <w:pPr>
              <w:spacing w:line="0" w:lineRule="atLeast"/>
              <w:jc w:val="center"/>
              <w:rPr>
                <w:color w:val="auto"/>
                <w:szCs w:val="21"/>
              </w:rPr>
            </w:pPr>
            <w:r>
              <w:rPr>
                <w:color w:val="auto"/>
                <w:szCs w:val="21"/>
              </w:rPr>
              <w:t>固废</w:t>
            </w:r>
          </w:p>
        </w:tc>
        <w:tc>
          <w:tcPr>
            <w:tcW w:w="2816" w:type="dxa"/>
            <w:gridSpan w:val="3"/>
            <w:vAlign w:val="center"/>
          </w:tcPr>
          <w:p>
            <w:pPr>
              <w:spacing w:line="0" w:lineRule="atLeast"/>
              <w:jc w:val="center"/>
              <w:rPr>
                <w:color w:val="auto"/>
                <w:szCs w:val="21"/>
              </w:rPr>
            </w:pPr>
            <w:r>
              <w:rPr>
                <w:rFonts w:hint="eastAsia"/>
                <w:color w:val="auto"/>
                <w:szCs w:val="21"/>
              </w:rPr>
              <w:t>粪便</w:t>
            </w:r>
          </w:p>
        </w:tc>
        <w:tc>
          <w:tcPr>
            <w:tcW w:w="4982" w:type="dxa"/>
            <w:gridSpan w:val="4"/>
            <w:vAlign w:val="center"/>
          </w:tcPr>
          <w:p>
            <w:pPr>
              <w:spacing w:line="0" w:lineRule="atLeast"/>
              <w:jc w:val="center"/>
              <w:rPr>
                <w:color w:val="auto"/>
                <w:szCs w:val="21"/>
              </w:rPr>
            </w:pPr>
            <w:r>
              <w:rPr>
                <w:rFonts w:hint="eastAsia"/>
                <w:color w:val="auto"/>
                <w:szCs w:val="21"/>
              </w:rPr>
              <w:t>暂存于待宰间内储粪池内，日产日清，使用密闭运输车运走作为有机肥原料外卖</w:t>
            </w:r>
          </w:p>
        </w:tc>
        <w:tc>
          <w:tcPr>
            <w:tcW w:w="4111" w:type="dxa"/>
            <w:gridSpan w:val="2"/>
            <w:vMerge w:val="restart"/>
            <w:vAlign w:val="center"/>
          </w:tcPr>
          <w:p>
            <w:pPr>
              <w:spacing w:line="0" w:lineRule="atLeast"/>
              <w:jc w:val="center"/>
              <w:rPr>
                <w:color w:val="auto"/>
                <w:szCs w:val="21"/>
              </w:rPr>
            </w:pPr>
            <w:r>
              <w:rPr>
                <w:color w:val="auto"/>
                <w:szCs w:val="21"/>
              </w:rPr>
              <w:t>一般固体废物贮存、处置执行《一般工业固体废物贮存和填埋污染控制标准》（GB18599-2020）中相关要求</w:t>
            </w:r>
          </w:p>
        </w:tc>
        <w:tc>
          <w:tcPr>
            <w:tcW w:w="1820" w:type="dxa"/>
            <w:gridSpan w:val="3"/>
            <w:vMerge w:val="restart"/>
            <w:vAlign w:val="center"/>
          </w:tcPr>
          <w:p>
            <w:pPr>
              <w:spacing w:line="0" w:lineRule="atLeast"/>
              <w:jc w:val="center"/>
              <w:rPr>
                <w:color w:val="FF0000"/>
                <w:szCs w:val="21"/>
              </w:rPr>
            </w:pPr>
          </w:p>
          <w:p>
            <w:pPr>
              <w:spacing w:line="0" w:lineRule="atLeast"/>
              <w:jc w:val="center"/>
              <w:rPr>
                <w:color w:val="FF0000"/>
                <w:szCs w:val="21"/>
              </w:rPr>
            </w:pPr>
          </w:p>
          <w:p>
            <w:pPr>
              <w:pStyle w:val="14"/>
            </w:pPr>
          </w:p>
          <w:p>
            <w:pPr>
              <w:spacing w:line="0" w:lineRule="atLeast"/>
              <w:jc w:val="center"/>
              <w:rPr>
                <w:color w:val="auto"/>
                <w:szCs w:val="21"/>
              </w:rPr>
            </w:pPr>
            <w:r>
              <w:rPr>
                <w:color w:val="auto"/>
                <w:szCs w:val="21"/>
              </w:rPr>
              <w:drawing>
                <wp:inline distT="0" distB="0" distL="0" distR="0">
                  <wp:extent cx="695960" cy="614045"/>
                  <wp:effectExtent l="0" t="0" r="8890" b="14605"/>
                  <wp:docPr id="45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81"/>
                          <pic:cNvPicPr>
                            <a:picLocks noChangeAspect="1" noChangeArrowheads="1"/>
                          </pic:cNvPicPr>
                        </pic:nvPicPr>
                        <pic:blipFill>
                          <a:blip r:embed="rId87" cstate="print"/>
                          <a:srcRect/>
                          <a:stretch>
                            <a:fillRect/>
                          </a:stretch>
                        </pic:blipFill>
                        <pic:spPr>
                          <a:xfrm>
                            <a:off x="0" y="0"/>
                            <a:ext cx="695960" cy="614045"/>
                          </a:xfrm>
                          <a:prstGeom prst="rect">
                            <a:avLst/>
                          </a:prstGeom>
                          <a:noFill/>
                          <a:ln w="9525">
                            <a:noFill/>
                            <a:miter lim="800000"/>
                            <a:headEnd/>
                            <a:tailEnd/>
                          </a:ln>
                        </pic:spPr>
                      </pic:pic>
                    </a:graphicData>
                  </a:graphic>
                </wp:inline>
              </w:drawing>
            </w:r>
          </w:p>
          <w:p>
            <w:pPr>
              <w:spacing w:line="0" w:lineRule="atLeast"/>
              <w:jc w:val="center"/>
              <w:rPr>
                <w:color w:val="auto"/>
                <w:szCs w:val="21"/>
              </w:rPr>
            </w:pPr>
            <w:r>
              <w:rPr>
                <w:b/>
                <w:bCs/>
                <w:color w:val="auto"/>
                <w:szCs w:val="21"/>
              </w:rPr>
              <w:t>一般固体废物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1"/>
          <w:wAfter w:w="3" w:type="dxa"/>
          <w:trHeight w:val="59" w:hRule="atLeast"/>
          <w:jc w:val="center"/>
        </w:trPr>
        <w:tc>
          <w:tcPr>
            <w:tcW w:w="1000" w:type="dxa"/>
            <w:vMerge w:val="continue"/>
            <w:vAlign w:val="center"/>
          </w:tcPr>
          <w:p>
            <w:pPr>
              <w:spacing w:line="0" w:lineRule="atLeast"/>
              <w:jc w:val="center"/>
              <w:rPr>
                <w:color w:val="FF0000"/>
                <w:szCs w:val="21"/>
              </w:rPr>
            </w:pPr>
          </w:p>
        </w:tc>
        <w:tc>
          <w:tcPr>
            <w:tcW w:w="2816" w:type="dxa"/>
            <w:gridSpan w:val="3"/>
            <w:vAlign w:val="center"/>
          </w:tcPr>
          <w:p>
            <w:pPr>
              <w:snapToGrid w:val="0"/>
              <w:jc w:val="center"/>
              <w:rPr>
                <w:color w:val="auto"/>
                <w:szCs w:val="21"/>
              </w:rPr>
            </w:pPr>
            <w:r>
              <w:rPr>
                <w:rFonts w:hint="eastAsia"/>
                <w:color w:val="auto"/>
                <w:szCs w:val="21"/>
              </w:rPr>
              <w:t>污泥</w:t>
            </w:r>
            <w:r>
              <w:rPr>
                <w:color w:val="auto"/>
                <w:szCs w:val="21"/>
              </w:rPr>
              <w:t>及栅渣</w:t>
            </w:r>
          </w:p>
        </w:tc>
        <w:tc>
          <w:tcPr>
            <w:tcW w:w="4982" w:type="dxa"/>
            <w:gridSpan w:val="4"/>
            <w:vAlign w:val="center"/>
          </w:tcPr>
          <w:p>
            <w:pPr>
              <w:spacing w:line="0" w:lineRule="atLeast"/>
              <w:jc w:val="center"/>
              <w:rPr>
                <w:color w:val="auto"/>
                <w:szCs w:val="21"/>
              </w:rPr>
            </w:pPr>
            <w:r>
              <w:rPr>
                <w:color w:val="auto"/>
                <w:szCs w:val="21"/>
              </w:rPr>
              <w:t>采用压滤机脱水后，</w:t>
            </w:r>
            <w:r>
              <w:rPr>
                <w:rFonts w:hint="eastAsia"/>
                <w:color w:val="auto"/>
                <w:szCs w:val="21"/>
              </w:rPr>
              <w:t>送生活垃圾填埋场处理</w:t>
            </w:r>
          </w:p>
        </w:tc>
        <w:tc>
          <w:tcPr>
            <w:tcW w:w="4111" w:type="dxa"/>
            <w:gridSpan w:val="2"/>
            <w:vMerge w:val="continue"/>
            <w:vAlign w:val="center"/>
          </w:tcPr>
          <w:p>
            <w:pPr>
              <w:spacing w:line="0" w:lineRule="atLeast"/>
              <w:jc w:val="center"/>
              <w:rPr>
                <w:color w:val="FF0000"/>
                <w:szCs w:val="21"/>
              </w:rPr>
            </w:pPr>
          </w:p>
        </w:tc>
        <w:tc>
          <w:tcPr>
            <w:tcW w:w="1820" w:type="dxa"/>
            <w:gridSpan w:val="3"/>
            <w:vMerge w:val="continue"/>
            <w:vAlign w:val="center"/>
          </w:tcPr>
          <w:p>
            <w:pPr>
              <w:spacing w:line="0" w:lineRule="atLeast"/>
              <w:jc w:val="center"/>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1"/>
          <w:wAfter w:w="3" w:type="dxa"/>
          <w:trHeight w:val="59" w:hRule="atLeast"/>
          <w:jc w:val="center"/>
        </w:trPr>
        <w:tc>
          <w:tcPr>
            <w:tcW w:w="1000" w:type="dxa"/>
            <w:vMerge w:val="continue"/>
            <w:vAlign w:val="center"/>
          </w:tcPr>
          <w:p>
            <w:pPr>
              <w:spacing w:line="0" w:lineRule="atLeast"/>
              <w:jc w:val="center"/>
              <w:rPr>
                <w:color w:val="auto"/>
                <w:szCs w:val="21"/>
              </w:rPr>
            </w:pPr>
          </w:p>
        </w:tc>
        <w:tc>
          <w:tcPr>
            <w:tcW w:w="2816" w:type="dxa"/>
            <w:gridSpan w:val="3"/>
            <w:vAlign w:val="center"/>
          </w:tcPr>
          <w:p>
            <w:pPr>
              <w:snapToGrid w:val="0"/>
              <w:jc w:val="center"/>
              <w:rPr>
                <w:color w:val="auto"/>
                <w:szCs w:val="21"/>
              </w:rPr>
            </w:pPr>
            <w:r>
              <w:rPr>
                <w:color w:val="auto"/>
                <w:szCs w:val="21"/>
              </w:rPr>
              <w:t>检疫</w:t>
            </w:r>
            <w:r>
              <w:rPr>
                <w:rFonts w:hint="eastAsia"/>
                <w:color w:val="auto"/>
                <w:szCs w:val="21"/>
              </w:rPr>
              <w:t>不合格肉牛及病死牛</w:t>
            </w:r>
          </w:p>
        </w:tc>
        <w:tc>
          <w:tcPr>
            <w:tcW w:w="4982" w:type="dxa"/>
            <w:gridSpan w:val="4"/>
            <w:vAlign w:val="center"/>
          </w:tcPr>
          <w:p>
            <w:pPr>
              <w:spacing w:line="0" w:lineRule="atLeast"/>
              <w:jc w:val="center"/>
              <w:rPr>
                <w:color w:val="auto"/>
                <w:szCs w:val="21"/>
              </w:rPr>
            </w:pPr>
            <w:r>
              <w:rPr>
                <w:rFonts w:hint="eastAsia"/>
                <w:color w:val="auto"/>
                <w:szCs w:val="21"/>
              </w:rPr>
              <w:t>委托</w:t>
            </w:r>
            <w:r>
              <w:rPr>
                <w:rFonts w:hint="eastAsia"/>
                <w:color w:val="auto"/>
                <w:szCs w:val="21"/>
                <w:lang w:eastAsia="zh-CN"/>
              </w:rPr>
              <w:t>无害化处理有限公司</w:t>
            </w:r>
            <w:r>
              <w:rPr>
                <w:rFonts w:hint="eastAsia"/>
                <w:color w:val="auto"/>
                <w:szCs w:val="21"/>
              </w:rPr>
              <w:t>处理</w:t>
            </w:r>
          </w:p>
        </w:tc>
        <w:tc>
          <w:tcPr>
            <w:tcW w:w="4111" w:type="dxa"/>
            <w:gridSpan w:val="2"/>
            <w:vMerge w:val="continue"/>
            <w:vAlign w:val="center"/>
          </w:tcPr>
          <w:p>
            <w:pPr>
              <w:spacing w:line="0" w:lineRule="atLeast"/>
              <w:jc w:val="center"/>
              <w:rPr>
                <w:color w:val="auto"/>
                <w:szCs w:val="21"/>
              </w:rPr>
            </w:pPr>
          </w:p>
        </w:tc>
        <w:tc>
          <w:tcPr>
            <w:tcW w:w="1820" w:type="dxa"/>
            <w:gridSpan w:val="3"/>
            <w:vMerge w:val="continue"/>
            <w:vAlign w:val="center"/>
          </w:tcPr>
          <w:p>
            <w:pPr>
              <w:spacing w:line="0" w:lineRule="atLeast"/>
              <w:jc w:val="center"/>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1"/>
          <w:wAfter w:w="3" w:type="dxa"/>
          <w:trHeight w:val="437" w:hRule="atLeast"/>
          <w:jc w:val="center"/>
        </w:trPr>
        <w:tc>
          <w:tcPr>
            <w:tcW w:w="1000" w:type="dxa"/>
            <w:vMerge w:val="continue"/>
            <w:vAlign w:val="center"/>
          </w:tcPr>
          <w:p>
            <w:pPr>
              <w:spacing w:line="0" w:lineRule="atLeast"/>
              <w:jc w:val="center"/>
              <w:rPr>
                <w:color w:val="FF0000"/>
                <w:szCs w:val="21"/>
              </w:rPr>
            </w:pPr>
          </w:p>
        </w:tc>
        <w:tc>
          <w:tcPr>
            <w:tcW w:w="2816" w:type="dxa"/>
            <w:gridSpan w:val="3"/>
            <w:vAlign w:val="center"/>
          </w:tcPr>
          <w:p>
            <w:pPr>
              <w:spacing w:line="0" w:lineRule="atLeast"/>
              <w:jc w:val="center"/>
              <w:rPr>
                <w:color w:val="auto"/>
                <w:szCs w:val="21"/>
              </w:rPr>
            </w:pPr>
            <w:r>
              <w:rPr>
                <w:rFonts w:hint="eastAsia"/>
                <w:color w:val="auto"/>
                <w:szCs w:val="21"/>
              </w:rPr>
              <w:t>食堂</w:t>
            </w:r>
            <w:r>
              <w:rPr>
                <w:color w:val="auto"/>
                <w:szCs w:val="21"/>
              </w:rPr>
              <w:t>餐馀垃圾及废油脂</w:t>
            </w:r>
          </w:p>
        </w:tc>
        <w:tc>
          <w:tcPr>
            <w:tcW w:w="4982" w:type="dxa"/>
            <w:gridSpan w:val="4"/>
            <w:vAlign w:val="center"/>
          </w:tcPr>
          <w:p>
            <w:pPr>
              <w:spacing w:line="0" w:lineRule="atLeast"/>
              <w:jc w:val="center"/>
              <w:rPr>
                <w:color w:val="auto"/>
                <w:szCs w:val="21"/>
              </w:rPr>
            </w:pPr>
            <w:r>
              <w:rPr>
                <w:bCs/>
                <w:color w:val="auto"/>
                <w:szCs w:val="21"/>
              </w:rPr>
              <w:t>交由符合规定的回收处置单位统一回收处置</w:t>
            </w:r>
          </w:p>
        </w:tc>
        <w:tc>
          <w:tcPr>
            <w:tcW w:w="4111" w:type="dxa"/>
            <w:gridSpan w:val="2"/>
            <w:vMerge w:val="continue"/>
            <w:vAlign w:val="center"/>
          </w:tcPr>
          <w:p>
            <w:pPr>
              <w:spacing w:line="0" w:lineRule="atLeast"/>
              <w:jc w:val="center"/>
              <w:rPr>
                <w:color w:val="FF0000"/>
                <w:szCs w:val="21"/>
              </w:rPr>
            </w:pPr>
          </w:p>
        </w:tc>
        <w:tc>
          <w:tcPr>
            <w:tcW w:w="1820" w:type="dxa"/>
            <w:gridSpan w:val="3"/>
            <w:vMerge w:val="continue"/>
            <w:vAlign w:val="center"/>
          </w:tcPr>
          <w:p>
            <w:pPr>
              <w:spacing w:line="0" w:lineRule="atLeast"/>
              <w:jc w:val="center"/>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58" w:hRule="atLeast"/>
          <w:jc w:val="center"/>
        </w:trPr>
        <w:tc>
          <w:tcPr>
            <w:tcW w:w="1000" w:type="dxa"/>
            <w:vMerge w:val="continue"/>
            <w:vAlign w:val="center"/>
          </w:tcPr>
          <w:p>
            <w:pPr>
              <w:spacing w:line="0" w:lineRule="atLeast"/>
              <w:jc w:val="center"/>
              <w:rPr>
                <w:color w:val="auto"/>
                <w:szCs w:val="21"/>
              </w:rPr>
            </w:pPr>
          </w:p>
        </w:tc>
        <w:tc>
          <w:tcPr>
            <w:tcW w:w="2816" w:type="dxa"/>
            <w:gridSpan w:val="3"/>
            <w:vAlign w:val="center"/>
          </w:tcPr>
          <w:p>
            <w:pPr>
              <w:spacing w:line="0" w:lineRule="atLeast"/>
              <w:jc w:val="center"/>
              <w:rPr>
                <w:color w:val="auto"/>
                <w:szCs w:val="21"/>
              </w:rPr>
            </w:pPr>
            <w:r>
              <w:rPr>
                <w:color w:val="auto"/>
                <w:szCs w:val="21"/>
              </w:rPr>
              <w:t>污水处理站废油脂</w:t>
            </w:r>
          </w:p>
        </w:tc>
        <w:tc>
          <w:tcPr>
            <w:tcW w:w="4982" w:type="dxa"/>
            <w:gridSpan w:val="4"/>
            <w:vAlign w:val="center"/>
          </w:tcPr>
          <w:p>
            <w:pPr>
              <w:spacing w:line="0" w:lineRule="atLeast"/>
              <w:jc w:val="center"/>
              <w:rPr>
                <w:color w:val="auto"/>
                <w:szCs w:val="21"/>
              </w:rPr>
            </w:pPr>
            <w:r>
              <w:rPr>
                <w:color w:val="auto"/>
                <w:szCs w:val="21"/>
              </w:rPr>
              <w:t>集中收集交由有资质单位处置</w:t>
            </w:r>
          </w:p>
        </w:tc>
        <w:tc>
          <w:tcPr>
            <w:tcW w:w="4111" w:type="dxa"/>
            <w:gridSpan w:val="2"/>
            <w:vMerge w:val="continue"/>
            <w:vAlign w:val="center"/>
          </w:tcPr>
          <w:p>
            <w:pPr>
              <w:spacing w:line="0" w:lineRule="atLeast"/>
              <w:jc w:val="center"/>
              <w:rPr>
                <w:color w:val="auto"/>
                <w:szCs w:val="21"/>
              </w:rPr>
            </w:pPr>
          </w:p>
        </w:tc>
        <w:tc>
          <w:tcPr>
            <w:tcW w:w="1823" w:type="dxa"/>
            <w:gridSpan w:val="4"/>
            <w:vMerge w:val="restart"/>
            <w:vAlign w:val="center"/>
          </w:tcPr>
          <w:p>
            <w:pPr>
              <w:spacing w:line="0" w:lineRule="atLeast"/>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58" w:hRule="atLeast"/>
          <w:jc w:val="center"/>
        </w:trPr>
        <w:tc>
          <w:tcPr>
            <w:tcW w:w="1000" w:type="dxa"/>
            <w:vMerge w:val="continue"/>
            <w:vAlign w:val="center"/>
          </w:tcPr>
          <w:p>
            <w:pPr>
              <w:spacing w:line="0" w:lineRule="atLeast"/>
              <w:jc w:val="center"/>
              <w:rPr>
                <w:color w:val="auto"/>
                <w:szCs w:val="21"/>
              </w:rPr>
            </w:pPr>
          </w:p>
        </w:tc>
        <w:tc>
          <w:tcPr>
            <w:tcW w:w="2816" w:type="dxa"/>
            <w:gridSpan w:val="3"/>
            <w:vAlign w:val="center"/>
          </w:tcPr>
          <w:p>
            <w:pPr>
              <w:spacing w:line="0" w:lineRule="atLeast"/>
              <w:jc w:val="center"/>
              <w:rPr>
                <w:color w:val="auto"/>
                <w:szCs w:val="21"/>
              </w:rPr>
            </w:pPr>
            <w:r>
              <w:rPr>
                <w:rFonts w:hint="eastAsia"/>
                <w:bCs/>
                <w:color w:val="auto"/>
                <w:szCs w:val="21"/>
              </w:rPr>
              <w:t>肠胃内容物</w:t>
            </w:r>
          </w:p>
        </w:tc>
        <w:tc>
          <w:tcPr>
            <w:tcW w:w="4982" w:type="dxa"/>
            <w:gridSpan w:val="4"/>
            <w:vAlign w:val="center"/>
          </w:tcPr>
          <w:p>
            <w:pPr>
              <w:spacing w:line="0" w:lineRule="atLeast"/>
              <w:jc w:val="center"/>
              <w:rPr>
                <w:color w:val="auto"/>
                <w:szCs w:val="21"/>
              </w:rPr>
            </w:pPr>
            <w:r>
              <w:rPr>
                <w:rFonts w:hint="eastAsia"/>
                <w:bCs/>
                <w:color w:val="auto"/>
              </w:rPr>
              <w:t>同粪便暂存于待宰间内储粪池内，日产日清，使用密闭运输车运走作为有机肥原料外卖</w:t>
            </w:r>
          </w:p>
        </w:tc>
        <w:tc>
          <w:tcPr>
            <w:tcW w:w="4111" w:type="dxa"/>
            <w:gridSpan w:val="2"/>
            <w:vMerge w:val="continue"/>
            <w:vAlign w:val="center"/>
          </w:tcPr>
          <w:p>
            <w:pPr>
              <w:spacing w:line="0" w:lineRule="atLeast"/>
              <w:jc w:val="center"/>
              <w:rPr>
                <w:color w:val="auto"/>
                <w:szCs w:val="21"/>
              </w:rPr>
            </w:pPr>
          </w:p>
        </w:tc>
        <w:tc>
          <w:tcPr>
            <w:tcW w:w="1823" w:type="dxa"/>
            <w:gridSpan w:val="4"/>
            <w:vMerge w:val="continue"/>
            <w:vAlign w:val="center"/>
          </w:tcPr>
          <w:p>
            <w:pPr>
              <w:spacing w:line="0" w:lineRule="atLeast"/>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58" w:hRule="atLeast"/>
          <w:jc w:val="center"/>
        </w:trPr>
        <w:tc>
          <w:tcPr>
            <w:tcW w:w="1000" w:type="dxa"/>
            <w:vMerge w:val="continue"/>
            <w:vAlign w:val="center"/>
          </w:tcPr>
          <w:p>
            <w:pPr>
              <w:spacing w:line="0" w:lineRule="atLeast"/>
              <w:jc w:val="center"/>
              <w:rPr>
                <w:color w:val="auto"/>
                <w:szCs w:val="21"/>
              </w:rPr>
            </w:pPr>
          </w:p>
        </w:tc>
        <w:tc>
          <w:tcPr>
            <w:tcW w:w="2816" w:type="dxa"/>
            <w:gridSpan w:val="3"/>
            <w:vAlign w:val="center"/>
          </w:tcPr>
          <w:p>
            <w:pPr>
              <w:spacing w:line="0" w:lineRule="atLeast"/>
              <w:jc w:val="center"/>
              <w:rPr>
                <w:color w:val="auto"/>
                <w:szCs w:val="21"/>
              </w:rPr>
            </w:pPr>
            <w:r>
              <w:rPr>
                <w:rFonts w:hint="eastAsia"/>
                <w:bCs/>
                <w:color w:val="auto"/>
              </w:rPr>
              <w:t>不可食用内脏</w:t>
            </w:r>
          </w:p>
        </w:tc>
        <w:tc>
          <w:tcPr>
            <w:tcW w:w="4982" w:type="dxa"/>
            <w:gridSpan w:val="4"/>
            <w:vAlign w:val="center"/>
          </w:tcPr>
          <w:p>
            <w:pPr>
              <w:spacing w:line="0" w:lineRule="atLeast"/>
              <w:jc w:val="center"/>
              <w:rPr>
                <w:color w:val="auto"/>
                <w:szCs w:val="21"/>
              </w:rPr>
            </w:pPr>
            <w:r>
              <w:rPr>
                <w:rFonts w:hint="eastAsia"/>
                <w:bCs/>
                <w:color w:val="auto"/>
              </w:rPr>
              <w:t>采用专用存储桶暂存屠宰车间内，日产日清，</w:t>
            </w:r>
            <w:r>
              <w:rPr>
                <w:bCs/>
                <w:color w:val="auto"/>
              </w:rPr>
              <w:t>集中收集交由</w:t>
            </w:r>
            <w:r>
              <w:rPr>
                <w:rFonts w:hint="eastAsia"/>
                <w:bCs/>
                <w:color w:val="auto"/>
                <w:lang w:eastAsia="zh-CN"/>
              </w:rPr>
              <w:t>无害化处理有限公司</w:t>
            </w:r>
            <w:r>
              <w:rPr>
                <w:rFonts w:hint="eastAsia"/>
                <w:bCs/>
                <w:color w:val="auto"/>
              </w:rPr>
              <w:t>处理</w:t>
            </w:r>
          </w:p>
        </w:tc>
        <w:tc>
          <w:tcPr>
            <w:tcW w:w="4111" w:type="dxa"/>
            <w:gridSpan w:val="2"/>
            <w:vMerge w:val="continue"/>
            <w:vAlign w:val="center"/>
          </w:tcPr>
          <w:p>
            <w:pPr>
              <w:spacing w:line="0" w:lineRule="atLeast"/>
              <w:jc w:val="center"/>
              <w:rPr>
                <w:color w:val="auto"/>
                <w:szCs w:val="21"/>
              </w:rPr>
            </w:pPr>
          </w:p>
        </w:tc>
        <w:tc>
          <w:tcPr>
            <w:tcW w:w="1823" w:type="dxa"/>
            <w:gridSpan w:val="4"/>
            <w:vMerge w:val="continue"/>
            <w:vAlign w:val="center"/>
          </w:tcPr>
          <w:p>
            <w:pPr>
              <w:spacing w:line="0" w:lineRule="atLeast"/>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58" w:hRule="atLeast"/>
          <w:jc w:val="center"/>
        </w:trPr>
        <w:tc>
          <w:tcPr>
            <w:tcW w:w="1000" w:type="dxa"/>
            <w:vMerge w:val="continue"/>
            <w:vAlign w:val="center"/>
          </w:tcPr>
          <w:p>
            <w:pPr>
              <w:spacing w:line="0" w:lineRule="atLeast"/>
              <w:jc w:val="center"/>
              <w:rPr>
                <w:color w:val="auto"/>
                <w:szCs w:val="21"/>
              </w:rPr>
            </w:pPr>
          </w:p>
        </w:tc>
        <w:tc>
          <w:tcPr>
            <w:tcW w:w="2816" w:type="dxa"/>
            <w:gridSpan w:val="3"/>
            <w:vAlign w:val="center"/>
          </w:tcPr>
          <w:p>
            <w:pPr>
              <w:spacing w:line="0" w:lineRule="atLeast"/>
              <w:jc w:val="center"/>
              <w:rPr>
                <w:color w:val="auto"/>
                <w:szCs w:val="21"/>
              </w:rPr>
            </w:pPr>
            <w:r>
              <w:rPr>
                <w:rFonts w:hint="eastAsia"/>
                <w:bCs/>
                <w:color w:val="auto"/>
              </w:rPr>
              <w:t>废弃包装物</w:t>
            </w:r>
          </w:p>
        </w:tc>
        <w:tc>
          <w:tcPr>
            <w:tcW w:w="4982" w:type="dxa"/>
            <w:gridSpan w:val="4"/>
            <w:vAlign w:val="center"/>
          </w:tcPr>
          <w:p>
            <w:pPr>
              <w:spacing w:line="0" w:lineRule="atLeast"/>
              <w:jc w:val="center"/>
              <w:rPr>
                <w:color w:val="auto"/>
                <w:szCs w:val="21"/>
              </w:rPr>
            </w:pPr>
            <w:r>
              <w:rPr>
                <w:bCs/>
                <w:color w:val="auto"/>
              </w:rPr>
              <w:t>集中收集，外售综合利用</w:t>
            </w:r>
          </w:p>
        </w:tc>
        <w:tc>
          <w:tcPr>
            <w:tcW w:w="4111" w:type="dxa"/>
            <w:gridSpan w:val="2"/>
            <w:vMerge w:val="continue"/>
            <w:vAlign w:val="center"/>
          </w:tcPr>
          <w:p>
            <w:pPr>
              <w:spacing w:line="0" w:lineRule="atLeast"/>
              <w:jc w:val="center"/>
              <w:rPr>
                <w:color w:val="auto"/>
                <w:szCs w:val="21"/>
              </w:rPr>
            </w:pPr>
          </w:p>
        </w:tc>
        <w:tc>
          <w:tcPr>
            <w:tcW w:w="1823" w:type="dxa"/>
            <w:gridSpan w:val="4"/>
            <w:vMerge w:val="continue"/>
            <w:vAlign w:val="center"/>
          </w:tcPr>
          <w:p>
            <w:pPr>
              <w:spacing w:line="0" w:lineRule="atLeast"/>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58" w:hRule="atLeast"/>
          <w:jc w:val="center"/>
        </w:trPr>
        <w:tc>
          <w:tcPr>
            <w:tcW w:w="1000" w:type="dxa"/>
            <w:vMerge w:val="continue"/>
            <w:vAlign w:val="center"/>
          </w:tcPr>
          <w:p>
            <w:pPr>
              <w:spacing w:line="0" w:lineRule="atLeast"/>
              <w:jc w:val="center"/>
              <w:rPr>
                <w:color w:val="auto"/>
                <w:szCs w:val="21"/>
              </w:rPr>
            </w:pPr>
          </w:p>
        </w:tc>
        <w:tc>
          <w:tcPr>
            <w:tcW w:w="2816" w:type="dxa"/>
            <w:gridSpan w:val="3"/>
            <w:vAlign w:val="center"/>
          </w:tcPr>
          <w:p>
            <w:pPr>
              <w:spacing w:line="0" w:lineRule="atLeast"/>
              <w:jc w:val="center"/>
              <w:rPr>
                <w:color w:val="auto"/>
                <w:szCs w:val="21"/>
              </w:rPr>
            </w:pPr>
            <w:r>
              <w:rPr>
                <w:color w:val="auto"/>
                <w:szCs w:val="21"/>
              </w:rPr>
              <w:t>生活垃圾</w:t>
            </w:r>
          </w:p>
        </w:tc>
        <w:tc>
          <w:tcPr>
            <w:tcW w:w="4982" w:type="dxa"/>
            <w:gridSpan w:val="4"/>
            <w:vAlign w:val="center"/>
          </w:tcPr>
          <w:p>
            <w:pPr>
              <w:spacing w:line="0" w:lineRule="atLeast"/>
              <w:jc w:val="center"/>
              <w:rPr>
                <w:color w:val="auto"/>
                <w:szCs w:val="21"/>
              </w:rPr>
            </w:pPr>
            <w:r>
              <w:rPr>
                <w:color w:val="auto"/>
              </w:rPr>
              <w:t>由市政部门统一处理</w:t>
            </w:r>
          </w:p>
        </w:tc>
        <w:tc>
          <w:tcPr>
            <w:tcW w:w="4111" w:type="dxa"/>
            <w:gridSpan w:val="2"/>
            <w:vMerge w:val="continue"/>
            <w:vAlign w:val="center"/>
          </w:tcPr>
          <w:p>
            <w:pPr>
              <w:spacing w:line="0" w:lineRule="atLeast"/>
              <w:jc w:val="center"/>
              <w:rPr>
                <w:color w:val="auto"/>
                <w:szCs w:val="21"/>
              </w:rPr>
            </w:pPr>
          </w:p>
        </w:tc>
        <w:tc>
          <w:tcPr>
            <w:tcW w:w="1823" w:type="dxa"/>
            <w:gridSpan w:val="4"/>
            <w:vMerge w:val="continue"/>
            <w:vAlign w:val="center"/>
          </w:tcPr>
          <w:p>
            <w:pPr>
              <w:spacing w:line="0" w:lineRule="atLeast"/>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58" w:hRule="atLeast"/>
          <w:jc w:val="center"/>
        </w:trPr>
        <w:tc>
          <w:tcPr>
            <w:tcW w:w="1000" w:type="dxa"/>
            <w:vMerge w:val="continue"/>
            <w:vAlign w:val="center"/>
          </w:tcPr>
          <w:p>
            <w:pPr>
              <w:spacing w:line="0" w:lineRule="atLeast"/>
              <w:jc w:val="center"/>
              <w:rPr>
                <w:color w:val="auto"/>
                <w:szCs w:val="21"/>
              </w:rPr>
            </w:pPr>
          </w:p>
        </w:tc>
        <w:tc>
          <w:tcPr>
            <w:tcW w:w="2816" w:type="dxa"/>
            <w:gridSpan w:val="3"/>
            <w:vAlign w:val="center"/>
          </w:tcPr>
          <w:p>
            <w:pPr>
              <w:spacing w:line="0" w:lineRule="atLeast"/>
              <w:jc w:val="center"/>
              <w:rPr>
                <w:color w:val="auto"/>
                <w:szCs w:val="21"/>
              </w:rPr>
            </w:pPr>
            <w:r>
              <w:rPr>
                <w:rFonts w:hint="eastAsia"/>
                <w:color w:val="auto"/>
              </w:rPr>
              <w:t>废活性炭</w:t>
            </w:r>
          </w:p>
        </w:tc>
        <w:tc>
          <w:tcPr>
            <w:tcW w:w="4982" w:type="dxa"/>
            <w:gridSpan w:val="4"/>
            <w:vAlign w:val="center"/>
          </w:tcPr>
          <w:p>
            <w:pPr>
              <w:spacing w:line="0" w:lineRule="atLeast"/>
              <w:jc w:val="center"/>
              <w:rPr>
                <w:color w:val="auto"/>
              </w:rPr>
            </w:pPr>
            <w:r>
              <w:rPr>
                <w:rFonts w:hint="eastAsia"/>
                <w:color w:val="auto"/>
                <w:lang w:val="en-US" w:eastAsia="zh-CN"/>
              </w:rPr>
              <w:t>交由厂家再生利用</w:t>
            </w:r>
          </w:p>
        </w:tc>
        <w:tc>
          <w:tcPr>
            <w:tcW w:w="4111" w:type="dxa"/>
            <w:gridSpan w:val="2"/>
            <w:vMerge w:val="continue"/>
            <w:vAlign w:val="center"/>
          </w:tcPr>
          <w:p>
            <w:pPr>
              <w:spacing w:line="0" w:lineRule="atLeast"/>
              <w:jc w:val="center"/>
              <w:rPr>
                <w:color w:val="auto"/>
                <w:szCs w:val="21"/>
              </w:rPr>
            </w:pPr>
          </w:p>
        </w:tc>
        <w:tc>
          <w:tcPr>
            <w:tcW w:w="1823" w:type="dxa"/>
            <w:gridSpan w:val="4"/>
            <w:vMerge w:val="continue"/>
            <w:vAlign w:val="center"/>
          </w:tcPr>
          <w:p>
            <w:pPr>
              <w:spacing w:line="0" w:lineRule="atLeast"/>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58" w:hRule="atLeast"/>
          <w:jc w:val="center"/>
        </w:trPr>
        <w:tc>
          <w:tcPr>
            <w:tcW w:w="1000" w:type="dxa"/>
            <w:vMerge w:val="continue"/>
            <w:vAlign w:val="center"/>
          </w:tcPr>
          <w:p>
            <w:pPr>
              <w:spacing w:line="0" w:lineRule="atLeast"/>
              <w:jc w:val="center"/>
              <w:rPr>
                <w:color w:val="auto"/>
                <w:szCs w:val="21"/>
              </w:rPr>
            </w:pPr>
          </w:p>
        </w:tc>
        <w:tc>
          <w:tcPr>
            <w:tcW w:w="2816" w:type="dxa"/>
            <w:gridSpan w:val="3"/>
            <w:vAlign w:val="center"/>
          </w:tcPr>
          <w:p>
            <w:pPr>
              <w:pStyle w:val="84"/>
              <w:rPr>
                <w:rFonts w:hint="eastAsia" w:eastAsia="宋体"/>
                <w:color w:val="auto"/>
                <w:szCs w:val="21"/>
                <w:lang w:val="en-US" w:eastAsia="zh-CN"/>
              </w:rPr>
            </w:pPr>
            <w:r>
              <w:rPr>
                <w:rFonts w:hint="eastAsia" w:hAnsi="Times New Roman"/>
                <w:snapToGrid w:val="0"/>
                <w:color w:val="auto"/>
                <w:lang w:val="en-US" w:eastAsia="zh-CN"/>
              </w:rPr>
              <w:t>废离子交换树脂</w:t>
            </w:r>
          </w:p>
        </w:tc>
        <w:tc>
          <w:tcPr>
            <w:tcW w:w="4982" w:type="dxa"/>
            <w:gridSpan w:val="4"/>
            <w:vAlign w:val="center"/>
          </w:tcPr>
          <w:p>
            <w:pPr>
              <w:pStyle w:val="84"/>
              <w:rPr>
                <w:color w:val="auto"/>
              </w:rPr>
            </w:pPr>
            <w:r>
              <w:rPr>
                <w:rFonts w:hint="eastAsia" w:hAnsi="Times New Roman"/>
                <w:color w:val="auto"/>
                <w:lang w:val="en-US" w:eastAsia="zh-CN"/>
              </w:rPr>
              <w:t>由厂家回收利用</w:t>
            </w:r>
          </w:p>
        </w:tc>
        <w:tc>
          <w:tcPr>
            <w:tcW w:w="4111" w:type="dxa"/>
            <w:gridSpan w:val="2"/>
            <w:vMerge w:val="continue"/>
            <w:vAlign w:val="center"/>
          </w:tcPr>
          <w:p>
            <w:pPr>
              <w:spacing w:line="0" w:lineRule="atLeast"/>
              <w:jc w:val="center"/>
              <w:rPr>
                <w:color w:val="auto"/>
                <w:szCs w:val="21"/>
              </w:rPr>
            </w:pPr>
          </w:p>
        </w:tc>
        <w:tc>
          <w:tcPr>
            <w:tcW w:w="1823" w:type="dxa"/>
            <w:gridSpan w:val="4"/>
            <w:vMerge w:val="continue"/>
            <w:vAlign w:val="center"/>
          </w:tcPr>
          <w:p>
            <w:pPr>
              <w:spacing w:line="0" w:lineRule="atLeast"/>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58" w:hRule="atLeast"/>
          <w:jc w:val="center"/>
        </w:trPr>
        <w:tc>
          <w:tcPr>
            <w:tcW w:w="1000" w:type="dxa"/>
            <w:vMerge w:val="continue"/>
            <w:vAlign w:val="center"/>
          </w:tcPr>
          <w:p>
            <w:pPr>
              <w:spacing w:line="0" w:lineRule="atLeast"/>
              <w:jc w:val="center"/>
              <w:rPr>
                <w:color w:val="auto"/>
                <w:szCs w:val="21"/>
              </w:rPr>
            </w:pPr>
          </w:p>
        </w:tc>
        <w:tc>
          <w:tcPr>
            <w:tcW w:w="2816" w:type="dxa"/>
            <w:gridSpan w:val="3"/>
            <w:vAlign w:val="center"/>
          </w:tcPr>
          <w:p>
            <w:pPr>
              <w:pStyle w:val="84"/>
              <w:rPr>
                <w:rFonts w:hint="eastAsia" w:eastAsia="宋体"/>
                <w:color w:val="auto"/>
                <w:szCs w:val="21"/>
                <w:lang w:val="en-US" w:eastAsia="zh-CN"/>
              </w:rPr>
            </w:pPr>
            <w:r>
              <w:rPr>
                <w:rFonts w:hint="eastAsia" w:hAnsi="Times New Roman"/>
                <w:snapToGrid w:val="0"/>
                <w:color w:val="auto"/>
                <w:lang w:val="en-US" w:eastAsia="zh-CN"/>
              </w:rPr>
              <w:t>锅炉灰渣（含布袋除尘器收尘）</w:t>
            </w:r>
          </w:p>
        </w:tc>
        <w:tc>
          <w:tcPr>
            <w:tcW w:w="4982" w:type="dxa"/>
            <w:gridSpan w:val="4"/>
            <w:vAlign w:val="center"/>
          </w:tcPr>
          <w:p>
            <w:pPr>
              <w:pStyle w:val="84"/>
              <w:rPr>
                <w:color w:val="auto"/>
              </w:rPr>
            </w:pPr>
            <w:r>
              <w:rPr>
                <w:rFonts w:hAnsi="Times New Roman"/>
                <w:color w:val="auto"/>
              </w:rPr>
              <w:t>定期封闭清运，</w:t>
            </w:r>
            <w:r>
              <w:rPr>
                <w:rFonts w:hint="default" w:hAnsi="Times New Roman"/>
                <w:color w:val="auto"/>
                <w:lang w:val="en-US" w:eastAsia="zh-CN"/>
              </w:rPr>
              <w:t>外售综合利用</w:t>
            </w:r>
          </w:p>
        </w:tc>
        <w:tc>
          <w:tcPr>
            <w:tcW w:w="4111" w:type="dxa"/>
            <w:gridSpan w:val="2"/>
            <w:vMerge w:val="continue"/>
            <w:vAlign w:val="center"/>
          </w:tcPr>
          <w:p>
            <w:pPr>
              <w:spacing w:line="0" w:lineRule="atLeast"/>
              <w:jc w:val="center"/>
              <w:rPr>
                <w:color w:val="auto"/>
                <w:szCs w:val="21"/>
              </w:rPr>
            </w:pPr>
          </w:p>
        </w:tc>
        <w:tc>
          <w:tcPr>
            <w:tcW w:w="1823" w:type="dxa"/>
            <w:gridSpan w:val="4"/>
            <w:vMerge w:val="continue"/>
            <w:vAlign w:val="center"/>
          </w:tcPr>
          <w:p>
            <w:pPr>
              <w:spacing w:line="0" w:lineRule="atLeast"/>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58" w:hRule="atLeast"/>
          <w:jc w:val="center"/>
        </w:trPr>
        <w:tc>
          <w:tcPr>
            <w:tcW w:w="1000" w:type="dxa"/>
            <w:vMerge w:val="continue"/>
            <w:vAlign w:val="center"/>
          </w:tcPr>
          <w:p>
            <w:pPr>
              <w:spacing w:line="0" w:lineRule="atLeast"/>
              <w:jc w:val="center"/>
              <w:rPr>
                <w:color w:val="auto"/>
                <w:szCs w:val="21"/>
              </w:rPr>
            </w:pPr>
          </w:p>
        </w:tc>
        <w:tc>
          <w:tcPr>
            <w:tcW w:w="2816" w:type="dxa"/>
            <w:gridSpan w:val="3"/>
            <w:vAlign w:val="center"/>
          </w:tcPr>
          <w:p>
            <w:pPr>
              <w:pStyle w:val="84"/>
              <w:rPr>
                <w:rFonts w:hint="default"/>
                <w:color w:val="auto"/>
                <w:szCs w:val="21"/>
                <w:lang w:val="en-US" w:eastAsia="zh-CN"/>
              </w:rPr>
            </w:pPr>
            <w:r>
              <w:rPr>
                <w:rFonts w:hint="eastAsia" w:hAnsi="Times New Roman"/>
                <w:snapToGrid w:val="0"/>
                <w:color w:val="auto"/>
                <w:lang w:val="en-US" w:eastAsia="zh-CN"/>
              </w:rPr>
              <w:t>废布袋</w:t>
            </w:r>
          </w:p>
        </w:tc>
        <w:tc>
          <w:tcPr>
            <w:tcW w:w="4982" w:type="dxa"/>
            <w:gridSpan w:val="4"/>
            <w:vAlign w:val="center"/>
          </w:tcPr>
          <w:p>
            <w:pPr>
              <w:pStyle w:val="84"/>
              <w:rPr>
                <w:color w:val="auto"/>
              </w:rPr>
            </w:pPr>
            <w:r>
              <w:rPr>
                <w:rFonts w:hint="eastAsia" w:hAnsi="Times New Roman"/>
                <w:color w:val="auto"/>
                <w:lang w:val="en-US" w:eastAsia="zh-CN"/>
              </w:rPr>
              <w:t>由除尘器厂家回收利用</w:t>
            </w:r>
          </w:p>
        </w:tc>
        <w:tc>
          <w:tcPr>
            <w:tcW w:w="4111" w:type="dxa"/>
            <w:gridSpan w:val="2"/>
            <w:vMerge w:val="continue"/>
            <w:vAlign w:val="center"/>
          </w:tcPr>
          <w:p>
            <w:pPr>
              <w:spacing w:line="0" w:lineRule="atLeast"/>
              <w:jc w:val="center"/>
              <w:rPr>
                <w:color w:val="auto"/>
                <w:szCs w:val="21"/>
              </w:rPr>
            </w:pPr>
          </w:p>
        </w:tc>
        <w:tc>
          <w:tcPr>
            <w:tcW w:w="1823" w:type="dxa"/>
            <w:gridSpan w:val="4"/>
            <w:vMerge w:val="continue"/>
            <w:vAlign w:val="center"/>
          </w:tcPr>
          <w:p>
            <w:pPr>
              <w:spacing w:line="0" w:lineRule="atLeast"/>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1000" w:type="dxa"/>
            <w:vAlign w:val="center"/>
          </w:tcPr>
          <w:p>
            <w:pPr>
              <w:spacing w:line="0" w:lineRule="atLeast"/>
              <w:jc w:val="center"/>
              <w:rPr>
                <w:color w:val="auto"/>
                <w:szCs w:val="21"/>
              </w:rPr>
            </w:pPr>
            <w:r>
              <w:rPr>
                <w:color w:val="auto"/>
                <w:szCs w:val="21"/>
              </w:rPr>
              <w:t>固废</w:t>
            </w:r>
          </w:p>
        </w:tc>
        <w:tc>
          <w:tcPr>
            <w:tcW w:w="2816" w:type="dxa"/>
            <w:gridSpan w:val="3"/>
            <w:vAlign w:val="center"/>
          </w:tcPr>
          <w:p>
            <w:pPr>
              <w:spacing w:line="0" w:lineRule="atLeast"/>
              <w:jc w:val="center"/>
              <w:rPr>
                <w:color w:val="auto"/>
                <w:szCs w:val="21"/>
              </w:rPr>
            </w:pPr>
            <w:r>
              <w:rPr>
                <w:rFonts w:hint="eastAsia"/>
                <w:color w:val="auto"/>
                <w:szCs w:val="21"/>
              </w:rPr>
              <w:t>检疫废物</w:t>
            </w:r>
            <w:r>
              <w:rPr>
                <w:color w:val="auto"/>
                <w:szCs w:val="21"/>
              </w:rPr>
              <w:t>（类别HW01、代码841-005-01）</w:t>
            </w:r>
          </w:p>
        </w:tc>
        <w:tc>
          <w:tcPr>
            <w:tcW w:w="4982" w:type="dxa"/>
            <w:gridSpan w:val="4"/>
            <w:vAlign w:val="center"/>
          </w:tcPr>
          <w:p>
            <w:pPr>
              <w:spacing w:line="0" w:lineRule="atLeast"/>
              <w:jc w:val="center"/>
              <w:rPr>
                <w:color w:val="auto"/>
                <w:szCs w:val="21"/>
              </w:rPr>
            </w:pPr>
            <w:r>
              <w:rPr>
                <w:color w:val="auto"/>
              </w:rPr>
              <w:t>暂存于</w:t>
            </w:r>
            <w:r>
              <w:rPr>
                <w:rFonts w:hint="eastAsia"/>
                <w:color w:val="auto"/>
                <w:lang w:eastAsia="zh-CN"/>
              </w:rPr>
              <w:t>危险废物贮存点</w:t>
            </w:r>
            <w:r>
              <w:rPr>
                <w:color w:val="auto"/>
              </w:rPr>
              <w:t>内，交由有资质的单位处</w:t>
            </w:r>
            <w:r>
              <w:rPr>
                <w:color w:val="auto"/>
                <w:szCs w:val="21"/>
              </w:rPr>
              <w:t>理</w:t>
            </w:r>
          </w:p>
        </w:tc>
        <w:tc>
          <w:tcPr>
            <w:tcW w:w="4111" w:type="dxa"/>
            <w:gridSpan w:val="2"/>
            <w:vAlign w:val="center"/>
          </w:tcPr>
          <w:p>
            <w:pPr>
              <w:spacing w:line="0" w:lineRule="atLeast"/>
              <w:jc w:val="center"/>
              <w:rPr>
                <w:color w:val="auto"/>
                <w:szCs w:val="21"/>
              </w:rPr>
            </w:pPr>
            <w:r>
              <w:rPr>
                <w:color w:val="auto"/>
                <w:szCs w:val="21"/>
              </w:rPr>
              <w:t>危险废物执行《危险废物贮存污染控制标准》（GB 18597-2023）</w:t>
            </w:r>
          </w:p>
        </w:tc>
        <w:tc>
          <w:tcPr>
            <w:tcW w:w="1823" w:type="dxa"/>
            <w:gridSpan w:val="4"/>
            <w:vAlign w:val="center"/>
          </w:tcPr>
          <w:p>
            <w:pPr>
              <w:spacing w:line="0" w:lineRule="atLeast"/>
              <w:jc w:val="center"/>
              <w:rPr>
                <w:rFonts w:hint="eastAsia" w:eastAsia="宋体"/>
                <w:color w:val="auto"/>
                <w:szCs w:val="21"/>
                <w:lang w:eastAsia="zh-CN"/>
              </w:rPr>
            </w:pPr>
            <w:r>
              <w:rPr>
                <w:rFonts w:hint="eastAsia" w:eastAsia="宋体"/>
                <w:color w:val="auto"/>
                <w:szCs w:val="21"/>
                <w:lang w:eastAsia="zh-CN"/>
              </w:rPr>
              <w:drawing>
                <wp:inline distT="0" distB="0" distL="114300" distR="114300">
                  <wp:extent cx="895350" cy="567055"/>
                  <wp:effectExtent l="0" t="0" r="0" b="4445"/>
                  <wp:docPr id="38" name="图片 38" descr="f42aa3a3ef58b3040b4b01b465d50c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f42aa3a3ef58b3040b4b01b465d50cf0"/>
                          <pic:cNvPicPr>
                            <a:picLocks noChangeAspect="1"/>
                          </pic:cNvPicPr>
                        </pic:nvPicPr>
                        <pic:blipFill>
                          <a:blip r:embed="rId88"/>
                          <a:stretch>
                            <a:fillRect/>
                          </a:stretch>
                        </pic:blipFill>
                        <pic:spPr>
                          <a:xfrm>
                            <a:off x="0" y="0"/>
                            <a:ext cx="895350" cy="567055"/>
                          </a:xfrm>
                          <a:prstGeom prst="rect">
                            <a:avLst/>
                          </a:prstGeom>
                        </pic:spPr>
                      </pic:pic>
                    </a:graphicData>
                  </a:graphic>
                </wp:inline>
              </w:drawing>
            </w:r>
          </w:p>
          <w:p>
            <w:pPr>
              <w:spacing w:line="0" w:lineRule="atLeast"/>
              <w:jc w:val="center"/>
              <w:rPr>
                <w:color w:val="auto"/>
                <w:szCs w:val="21"/>
              </w:rPr>
            </w:pPr>
            <w:r>
              <w:rPr>
                <w:b/>
                <w:bCs/>
                <w:color w:val="auto"/>
                <w:szCs w:val="21"/>
              </w:rPr>
              <w:t>危险废物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180" w:hRule="atLeast"/>
          <w:jc w:val="center"/>
        </w:trPr>
        <w:tc>
          <w:tcPr>
            <w:tcW w:w="1000" w:type="dxa"/>
            <w:vAlign w:val="center"/>
          </w:tcPr>
          <w:p>
            <w:pPr>
              <w:spacing w:line="0" w:lineRule="atLeast"/>
              <w:jc w:val="center"/>
              <w:rPr>
                <w:color w:val="auto"/>
                <w:szCs w:val="21"/>
              </w:rPr>
            </w:pPr>
            <w:r>
              <w:rPr>
                <w:color w:val="auto"/>
                <w:szCs w:val="21"/>
              </w:rPr>
              <w:t>风险防范措施</w:t>
            </w:r>
          </w:p>
        </w:tc>
        <w:tc>
          <w:tcPr>
            <w:tcW w:w="2816" w:type="dxa"/>
            <w:gridSpan w:val="3"/>
            <w:vAlign w:val="center"/>
          </w:tcPr>
          <w:p>
            <w:pPr>
              <w:spacing w:line="0" w:lineRule="atLeast"/>
              <w:jc w:val="center"/>
              <w:rPr>
                <w:rFonts w:hint="eastAsia" w:eastAsia="宋体"/>
                <w:color w:val="auto"/>
                <w:szCs w:val="21"/>
                <w:lang w:eastAsia="zh-CN"/>
              </w:rPr>
            </w:pPr>
            <w:r>
              <w:rPr>
                <w:color w:val="auto"/>
                <w:szCs w:val="21"/>
              </w:rPr>
              <w:t>环境风险</w:t>
            </w:r>
          </w:p>
        </w:tc>
        <w:tc>
          <w:tcPr>
            <w:tcW w:w="10916" w:type="dxa"/>
            <w:gridSpan w:val="10"/>
            <w:vAlign w:val="center"/>
          </w:tcPr>
          <w:p>
            <w:pPr>
              <w:spacing w:line="0" w:lineRule="atLeast"/>
              <w:rPr>
                <w:color w:val="auto"/>
                <w:szCs w:val="21"/>
              </w:rPr>
            </w:pPr>
            <w:r>
              <w:rPr>
                <w:color w:val="auto"/>
                <w:szCs w:val="21"/>
              </w:rPr>
              <w:t>消毒剂存储位置</w:t>
            </w:r>
            <w:r>
              <w:rPr>
                <w:rFonts w:hint="eastAsia"/>
                <w:color w:val="auto"/>
                <w:szCs w:val="21"/>
                <w:lang w:val="en-US" w:eastAsia="zh-CN"/>
              </w:rPr>
              <w:t>及储氨罐</w:t>
            </w:r>
            <w:r>
              <w:rPr>
                <w:color w:val="auto"/>
                <w:szCs w:val="21"/>
              </w:rPr>
              <w:t>周围设置围堰；制定安全生产管理制度、安全操作规程和危险化学品储运方案等方面的程序文件和作业指导书，并严格按要求执行。按设计规范要求配备消防、环保、监控等安全环保设备和实施，确保包装完好。</w:t>
            </w:r>
            <w:r>
              <w:rPr>
                <w:rFonts w:hint="eastAsia"/>
                <w:color w:val="auto"/>
                <w:szCs w:val="21"/>
                <w:lang w:eastAsia="zh-CN"/>
              </w:rPr>
              <w:t>危险废物贮存点</w:t>
            </w:r>
            <w:r>
              <w:rPr>
                <w:color w:val="auto"/>
                <w:szCs w:val="21"/>
              </w:rPr>
              <w:t>按重点防渗区采取防渗措施；</w:t>
            </w:r>
            <w:r>
              <w:rPr>
                <w:rFonts w:hint="eastAsia"/>
                <w:color w:val="auto"/>
                <w:szCs w:val="21"/>
                <w:lang w:val="en-US" w:eastAsia="zh-CN"/>
              </w:rPr>
              <w:t>急宰间、</w:t>
            </w:r>
            <w:r>
              <w:rPr>
                <w:rFonts w:hint="eastAsia"/>
                <w:color w:val="auto"/>
                <w:szCs w:val="21"/>
              </w:rPr>
              <w:t>待宰间、屠宰车间、</w:t>
            </w:r>
            <w:r>
              <w:rPr>
                <w:color w:val="auto"/>
                <w:szCs w:val="21"/>
                <w:lang w:val="en-GB"/>
              </w:rPr>
              <w:t>冷库、</w:t>
            </w:r>
            <w:r>
              <w:rPr>
                <w:color w:val="auto"/>
                <w:szCs w:val="21"/>
              </w:rPr>
              <w:t>污水处理站、贮水池、事故池按一般防渗区采取防渗措施；</w:t>
            </w:r>
            <w:r>
              <w:rPr>
                <w:rFonts w:hint="eastAsia"/>
                <w:color w:val="auto"/>
                <w:szCs w:val="21"/>
                <w:lang w:val="en-GB" w:eastAsia="zh-CN"/>
              </w:rPr>
              <w:t>办公楼</w:t>
            </w:r>
            <w:r>
              <w:rPr>
                <w:color w:val="auto"/>
                <w:szCs w:val="21"/>
                <w:lang w:val="en-GB"/>
              </w:rPr>
              <w:t>、库房等</w:t>
            </w:r>
            <w:r>
              <w:rPr>
                <w:color w:val="auto"/>
                <w:szCs w:val="21"/>
              </w:rPr>
              <w:t>采取简单防渗</w:t>
            </w:r>
            <w:r>
              <w:rPr>
                <w:rFonts w:hint="eastAsia"/>
                <w:color w:val="auto"/>
                <w:szCs w:val="21"/>
              </w:rPr>
              <w:t>，防止泄漏污染地下水及土壤</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180" w:hRule="atLeast"/>
          <w:jc w:val="center"/>
        </w:trPr>
        <w:tc>
          <w:tcPr>
            <w:tcW w:w="1000" w:type="dxa"/>
            <w:vAlign w:val="center"/>
          </w:tcPr>
          <w:p>
            <w:pPr>
              <w:spacing w:line="0" w:lineRule="atLeast"/>
              <w:jc w:val="center"/>
              <w:rPr>
                <w:color w:val="auto"/>
                <w:szCs w:val="21"/>
              </w:rPr>
            </w:pPr>
            <w:r>
              <w:rPr>
                <w:color w:val="auto"/>
                <w:szCs w:val="21"/>
              </w:rPr>
              <w:t>总量</w:t>
            </w:r>
          </w:p>
          <w:p>
            <w:pPr>
              <w:spacing w:line="0" w:lineRule="atLeast"/>
              <w:jc w:val="center"/>
              <w:rPr>
                <w:color w:val="auto"/>
                <w:szCs w:val="21"/>
              </w:rPr>
            </w:pPr>
            <w:r>
              <w:rPr>
                <w:color w:val="auto"/>
                <w:szCs w:val="21"/>
              </w:rPr>
              <w:t>指标</w:t>
            </w:r>
          </w:p>
        </w:tc>
        <w:tc>
          <w:tcPr>
            <w:tcW w:w="13732" w:type="dxa"/>
            <w:gridSpan w:val="13"/>
            <w:vAlign w:val="center"/>
          </w:tcPr>
          <w:p>
            <w:pPr>
              <w:spacing w:line="0" w:lineRule="atLeast"/>
              <w:jc w:val="center"/>
              <w:rPr>
                <w:rFonts w:hint="default" w:eastAsia="宋体"/>
                <w:bCs/>
                <w:color w:val="auto"/>
                <w:szCs w:val="21"/>
                <w:vertAlign w:val="baseline"/>
                <w:lang w:val="en-US" w:eastAsia="zh-CN"/>
              </w:rPr>
            </w:pPr>
            <w:r>
              <w:rPr>
                <w:rFonts w:hint="eastAsia"/>
                <w:bCs/>
                <w:color w:val="auto"/>
                <w:sz w:val="21"/>
                <w:szCs w:val="21"/>
                <w:highlight w:val="none"/>
              </w:rPr>
              <w:t>COD：</w:t>
            </w:r>
            <w:r>
              <w:rPr>
                <w:rFonts w:hint="eastAsia"/>
                <w:color w:val="auto"/>
                <w:sz w:val="21"/>
                <w:szCs w:val="21"/>
                <w:highlight w:val="none"/>
                <w:lang w:eastAsia="zh-CN"/>
              </w:rPr>
              <w:t>8.76</w:t>
            </w:r>
            <w:r>
              <w:rPr>
                <w:rFonts w:hint="eastAsia"/>
                <w:bCs/>
                <w:color w:val="auto"/>
                <w:sz w:val="21"/>
                <w:szCs w:val="21"/>
                <w:highlight w:val="none"/>
              </w:rPr>
              <w:t>t/a；氨氮：</w:t>
            </w:r>
            <w:r>
              <w:rPr>
                <w:rFonts w:hint="eastAsia"/>
                <w:color w:val="auto"/>
                <w:sz w:val="21"/>
                <w:szCs w:val="21"/>
                <w:highlight w:val="none"/>
              </w:rPr>
              <w:t>0.</w:t>
            </w:r>
            <w:r>
              <w:rPr>
                <w:rFonts w:hint="eastAsia"/>
                <w:color w:val="auto"/>
                <w:sz w:val="21"/>
                <w:szCs w:val="21"/>
                <w:highlight w:val="none"/>
                <w:lang w:val="en-US" w:eastAsia="zh-CN"/>
              </w:rPr>
              <w:t>55</w:t>
            </w:r>
            <w:r>
              <w:rPr>
                <w:rFonts w:hint="eastAsia"/>
                <w:bCs/>
                <w:color w:val="auto"/>
                <w:sz w:val="21"/>
                <w:szCs w:val="21"/>
                <w:highlight w:val="none"/>
              </w:rPr>
              <w:t>t/a</w:t>
            </w:r>
            <w:r>
              <w:rPr>
                <w:rFonts w:hint="eastAsia"/>
                <w:bCs/>
                <w:color w:val="auto"/>
                <w:sz w:val="21"/>
                <w:szCs w:val="21"/>
                <w:highlight w:val="none"/>
                <w:lang w:eastAsia="zh-CN"/>
              </w:rPr>
              <w:t>；</w:t>
            </w:r>
            <w: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t>颗粒物</w:t>
            </w:r>
            <w:r>
              <w:rPr>
                <w:rFonts w:hint="eastAsia" w:ascii="Times New Roman" w:hAnsi="Times New Roman" w:eastAsia="宋体" w:cs="Times New Roman"/>
                <w:b w:val="0"/>
                <w:bCs w:val="0"/>
                <w:smallCaps w:val="0"/>
                <w:color w:val="auto"/>
                <w:spacing w:val="0"/>
                <w:w w:val="100"/>
                <w:kern w:val="21"/>
                <w:position w:val="0"/>
                <w:sz w:val="21"/>
                <w:szCs w:val="21"/>
                <w:highlight w:val="none"/>
                <w:lang w:val="en-US" w:eastAsia="zh-CN"/>
              </w:rPr>
              <w:t>：</w:t>
            </w:r>
            <w:r>
              <w:rPr>
                <w:rFonts w:hint="eastAsia"/>
                <w:b w:val="0"/>
                <w:bCs w:val="0"/>
                <w:color w:val="auto"/>
                <w:kern w:val="0"/>
                <w:sz w:val="21"/>
                <w:szCs w:val="21"/>
                <w:highlight w:val="none"/>
                <w:lang w:val="en-US" w:eastAsia="zh-CN"/>
              </w:rPr>
              <w:t>0.085t/a；</w:t>
            </w:r>
            <w:r>
              <w:rPr>
                <w:rFonts w:hint="default" w:ascii="Times New Roman" w:hAnsi="Times New Roman" w:eastAsia="宋体" w:cs="Times New Roman"/>
                <w:b w:val="0"/>
                <w:bCs w:val="0"/>
                <w:color w:val="auto"/>
                <w:sz w:val="21"/>
                <w:szCs w:val="21"/>
                <w:highlight w:val="none"/>
              </w:rPr>
              <w:t>SO</w:t>
            </w:r>
            <w:r>
              <w:rPr>
                <w:rFonts w:hint="default" w:ascii="Times New Roman" w:hAnsi="Times New Roman" w:eastAsia="宋体" w:cs="Times New Roman"/>
                <w:b w:val="0"/>
                <w:bCs w:val="0"/>
                <w:color w:val="auto"/>
                <w:sz w:val="21"/>
                <w:szCs w:val="21"/>
                <w:highlight w:val="none"/>
                <w:vertAlign w:val="subscript"/>
              </w:rPr>
              <w:t>2</w:t>
            </w:r>
            <w:r>
              <w:rPr>
                <w:rFonts w:hint="eastAsia" w:ascii="Times New Roman" w:hAnsi="Times New Roman" w:eastAsia="宋体" w:cs="Times New Roman"/>
                <w:b w:val="0"/>
                <w:bCs w:val="0"/>
                <w:color w:val="auto"/>
                <w:sz w:val="21"/>
                <w:szCs w:val="21"/>
                <w:highlight w:val="none"/>
                <w:vertAlign w:val="baseline"/>
                <w:lang w:eastAsia="zh-CN"/>
              </w:rPr>
              <w:t>：</w:t>
            </w:r>
            <w:r>
              <w:rPr>
                <w:rFonts w:hint="eastAsia"/>
                <w:b w:val="0"/>
                <w:bCs w:val="0"/>
                <w:color w:val="auto"/>
                <w:kern w:val="0"/>
                <w:sz w:val="21"/>
                <w:szCs w:val="21"/>
                <w:highlight w:val="none"/>
                <w:lang w:val="en-US" w:eastAsia="zh-CN"/>
              </w:rPr>
              <w:t>0.455t/a；</w:t>
            </w:r>
            <w:r>
              <w:rPr>
                <w:rFonts w:hint="default" w:ascii="Times New Roman" w:hAnsi="Times New Roman" w:eastAsia="宋体" w:cs="Times New Roman"/>
                <w:b w:val="0"/>
                <w:bCs w:val="0"/>
                <w:color w:val="auto"/>
                <w:sz w:val="21"/>
                <w:szCs w:val="21"/>
                <w:highlight w:val="none"/>
              </w:rPr>
              <w:t>NO</w:t>
            </w:r>
            <w:r>
              <w:rPr>
                <w:rFonts w:hint="default" w:ascii="Times New Roman" w:hAnsi="Times New Roman" w:eastAsia="宋体" w:cs="Times New Roman"/>
                <w:b w:val="0"/>
                <w:bCs w:val="0"/>
                <w:color w:val="auto"/>
                <w:sz w:val="21"/>
                <w:szCs w:val="21"/>
                <w:highlight w:val="none"/>
                <w:vertAlign w:val="subscript"/>
              </w:rPr>
              <w:t>X</w:t>
            </w:r>
            <w:r>
              <w:rPr>
                <w:rFonts w:hint="eastAsia" w:ascii="Times New Roman" w:hAnsi="Times New Roman" w:eastAsia="宋体" w:cs="Times New Roman"/>
                <w:b w:val="0"/>
                <w:bCs w:val="0"/>
                <w:color w:val="auto"/>
                <w:sz w:val="21"/>
                <w:szCs w:val="21"/>
                <w:highlight w:val="none"/>
                <w:vertAlign w:val="baseline"/>
                <w:lang w:eastAsia="zh-CN"/>
              </w:rPr>
              <w:t>：</w:t>
            </w:r>
            <w:r>
              <w:rPr>
                <w:rFonts w:hint="eastAsia"/>
                <w:b w:val="0"/>
                <w:bCs w:val="0"/>
                <w:color w:val="auto"/>
                <w:kern w:val="0"/>
                <w:sz w:val="21"/>
                <w:szCs w:val="21"/>
                <w:highlight w:val="none"/>
                <w:lang w:val="en-US" w:eastAsia="zh-CN"/>
              </w:rPr>
              <w:t>0.569t/a</w:t>
            </w:r>
          </w:p>
        </w:tc>
      </w:tr>
    </w:tbl>
    <w:p>
      <w:pPr>
        <w:spacing w:line="500" w:lineRule="exact"/>
        <w:rPr>
          <w:snapToGrid w:val="0"/>
          <w:color w:val="FF0000"/>
          <w:kern w:val="0"/>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pPr>
        <w:keepNext/>
        <w:keepLines/>
        <w:spacing w:line="360" w:lineRule="auto"/>
        <w:outlineLvl w:val="3"/>
        <w:rPr>
          <w:b/>
          <w:color w:val="auto"/>
          <w:sz w:val="24"/>
          <w:lang w:val="zh-CN"/>
        </w:rPr>
      </w:pPr>
      <w:r>
        <w:rPr>
          <w:b/>
          <w:color w:val="auto"/>
          <w:sz w:val="24"/>
          <w:lang w:val="zh-CN"/>
        </w:rPr>
        <w:t>8.1.3.2排放管理要求</w:t>
      </w:r>
    </w:p>
    <w:p>
      <w:pPr>
        <w:spacing w:line="360" w:lineRule="auto"/>
        <w:ind w:firstLine="480" w:firstLineChars="200"/>
        <w:rPr>
          <w:color w:val="auto"/>
          <w:sz w:val="24"/>
        </w:rPr>
      </w:pPr>
      <w:r>
        <w:rPr>
          <w:color w:val="auto"/>
          <w:sz w:val="24"/>
          <w:lang w:val="zh-CN"/>
        </w:rPr>
        <w:t>（1）</w:t>
      </w:r>
      <w:r>
        <w:rPr>
          <w:color w:val="auto"/>
          <w:sz w:val="24"/>
        </w:rPr>
        <w:t>工程组成及原辅材料组分要求</w:t>
      </w:r>
    </w:p>
    <w:p>
      <w:pPr>
        <w:spacing w:line="360" w:lineRule="auto"/>
        <w:ind w:firstLine="480" w:firstLineChars="200"/>
        <w:rPr>
          <w:color w:val="auto"/>
          <w:sz w:val="24"/>
        </w:rPr>
      </w:pPr>
      <w:r>
        <w:rPr>
          <w:color w:val="auto"/>
          <w:sz w:val="24"/>
        </w:rPr>
        <w:t>本项目建设一条屠宰线，年屠宰肉牛</w:t>
      </w:r>
      <w:r>
        <w:rPr>
          <w:rFonts w:hint="eastAsia"/>
          <w:color w:val="auto"/>
          <w:sz w:val="24"/>
          <w:lang w:eastAsia="zh-CN"/>
        </w:rPr>
        <w:t>2万</w:t>
      </w:r>
      <w:r>
        <w:rPr>
          <w:color w:val="auto"/>
          <w:sz w:val="24"/>
        </w:rPr>
        <w:t>头，工程组成包括</w:t>
      </w:r>
      <w:r>
        <w:rPr>
          <w:rFonts w:hint="eastAsia"/>
          <w:color w:val="auto"/>
          <w:sz w:val="24"/>
          <w:lang w:eastAsia="zh-CN"/>
        </w:rPr>
        <w:t>办公楼</w:t>
      </w:r>
      <w:r>
        <w:rPr>
          <w:color w:val="auto"/>
          <w:sz w:val="24"/>
        </w:rPr>
        <w:t>、</w:t>
      </w:r>
      <w:r>
        <w:rPr>
          <w:rFonts w:hint="eastAsia"/>
          <w:color w:val="auto"/>
          <w:sz w:val="24"/>
        </w:rPr>
        <w:t>库房</w:t>
      </w:r>
      <w:r>
        <w:rPr>
          <w:color w:val="auto"/>
          <w:sz w:val="24"/>
        </w:rPr>
        <w:t>、</w:t>
      </w:r>
      <w:r>
        <w:rPr>
          <w:rFonts w:hint="eastAsia"/>
          <w:color w:val="auto"/>
          <w:sz w:val="24"/>
        </w:rPr>
        <w:t>门卫</w:t>
      </w:r>
      <w:r>
        <w:rPr>
          <w:color w:val="auto"/>
          <w:sz w:val="24"/>
        </w:rPr>
        <w:t>、</w:t>
      </w:r>
      <w:r>
        <w:rPr>
          <w:rFonts w:hint="eastAsia"/>
          <w:color w:val="auto"/>
          <w:sz w:val="24"/>
        </w:rPr>
        <w:t>冷库、屠宰</w:t>
      </w:r>
      <w:r>
        <w:rPr>
          <w:color w:val="auto"/>
          <w:sz w:val="24"/>
        </w:rPr>
        <w:t>车间、</w:t>
      </w:r>
      <w:r>
        <w:rPr>
          <w:rFonts w:hint="eastAsia"/>
          <w:color w:val="auto"/>
          <w:sz w:val="24"/>
        </w:rPr>
        <w:t>污水</w:t>
      </w:r>
      <w:r>
        <w:rPr>
          <w:color w:val="auto"/>
          <w:sz w:val="24"/>
        </w:rPr>
        <w:t>处理站、</w:t>
      </w:r>
      <w:r>
        <w:rPr>
          <w:rFonts w:hint="eastAsia"/>
          <w:color w:val="auto"/>
          <w:sz w:val="24"/>
        </w:rPr>
        <w:t>待宰间</w:t>
      </w:r>
      <w:r>
        <w:rPr>
          <w:rFonts w:hint="eastAsia"/>
          <w:color w:val="auto"/>
          <w:sz w:val="24"/>
          <w:lang w:eastAsia="zh-CN"/>
        </w:rPr>
        <w:t>、</w:t>
      </w:r>
      <w:r>
        <w:rPr>
          <w:rFonts w:hint="eastAsia"/>
          <w:color w:val="auto"/>
          <w:sz w:val="24"/>
          <w:lang w:val="en-US" w:eastAsia="zh-CN"/>
        </w:rPr>
        <w:t>急宰间、锅炉房</w:t>
      </w:r>
      <w:r>
        <w:rPr>
          <w:rFonts w:hint="eastAsia"/>
          <w:color w:val="auto"/>
          <w:sz w:val="24"/>
        </w:rPr>
        <w:t>等。</w:t>
      </w:r>
    </w:p>
    <w:p>
      <w:pPr>
        <w:spacing w:line="360" w:lineRule="auto"/>
        <w:ind w:firstLine="480" w:firstLineChars="200"/>
        <w:rPr>
          <w:color w:val="auto"/>
          <w:sz w:val="24"/>
        </w:rPr>
      </w:pPr>
      <w:r>
        <w:rPr>
          <w:color w:val="auto"/>
          <w:sz w:val="24"/>
        </w:rPr>
        <w:t>（2）建设项目拟采取的环境保护措施及主要运行参数</w:t>
      </w:r>
    </w:p>
    <w:p>
      <w:pPr>
        <w:spacing w:line="360" w:lineRule="auto"/>
        <w:ind w:firstLine="480" w:firstLineChars="200"/>
        <w:rPr>
          <w:color w:val="auto"/>
          <w:sz w:val="24"/>
        </w:rPr>
      </w:pPr>
      <w:r>
        <w:rPr>
          <w:color w:val="auto"/>
          <w:sz w:val="24"/>
        </w:rPr>
        <w:fldChar w:fldCharType="begin"/>
      </w:r>
      <w:r>
        <w:rPr>
          <w:color w:val="auto"/>
          <w:sz w:val="24"/>
        </w:rPr>
        <w:instrText xml:space="preserve"> = 1 \* GB3 </w:instrText>
      </w:r>
      <w:r>
        <w:rPr>
          <w:color w:val="auto"/>
          <w:sz w:val="24"/>
        </w:rPr>
        <w:fldChar w:fldCharType="separate"/>
      </w:r>
      <w:r>
        <w:rPr>
          <w:rFonts w:hint="eastAsia"/>
          <w:color w:val="auto"/>
          <w:sz w:val="24"/>
        </w:rPr>
        <w:t>①</w:t>
      </w:r>
      <w:r>
        <w:rPr>
          <w:color w:val="auto"/>
          <w:sz w:val="24"/>
        </w:rPr>
        <w:fldChar w:fldCharType="end"/>
      </w:r>
      <w:r>
        <w:rPr>
          <w:rFonts w:hint="eastAsia"/>
          <w:color w:val="auto"/>
          <w:sz w:val="24"/>
        </w:rPr>
        <w:t>固废分类收集、分类处置</w:t>
      </w:r>
      <w:r>
        <w:rPr>
          <w:color w:val="auto"/>
          <w:sz w:val="24"/>
        </w:rPr>
        <w:t>，实现固废100%</w:t>
      </w:r>
      <w:r>
        <w:rPr>
          <w:rFonts w:hint="eastAsia"/>
          <w:color w:val="auto"/>
          <w:sz w:val="24"/>
        </w:rPr>
        <w:t>处置</w:t>
      </w:r>
      <w:r>
        <w:rPr>
          <w:color w:val="auto"/>
          <w:sz w:val="24"/>
        </w:rPr>
        <w:t>。</w:t>
      </w:r>
    </w:p>
    <w:p>
      <w:pPr>
        <w:spacing w:line="360" w:lineRule="auto"/>
        <w:ind w:firstLine="480" w:firstLineChars="200"/>
        <w:rPr>
          <w:color w:val="auto"/>
          <w:sz w:val="24"/>
        </w:rPr>
      </w:pPr>
      <w:r>
        <w:rPr>
          <w:color w:val="auto"/>
          <w:sz w:val="24"/>
          <w:lang w:val="zh-CN"/>
        </w:rPr>
        <w:fldChar w:fldCharType="begin"/>
      </w:r>
      <w:r>
        <w:rPr>
          <w:color w:val="auto"/>
          <w:sz w:val="24"/>
          <w:lang w:val="zh-CN"/>
        </w:rPr>
        <w:instrText xml:space="preserve"> = 2 \* GB3 </w:instrText>
      </w:r>
      <w:r>
        <w:rPr>
          <w:color w:val="auto"/>
          <w:sz w:val="24"/>
          <w:lang w:val="zh-CN"/>
        </w:rPr>
        <w:fldChar w:fldCharType="separate"/>
      </w:r>
      <w:r>
        <w:rPr>
          <w:rFonts w:hint="eastAsia" w:ascii="宋体" w:hAnsi="宋体" w:cs="宋体"/>
          <w:color w:val="auto"/>
          <w:sz w:val="24"/>
          <w:lang w:val="zh-CN"/>
        </w:rPr>
        <w:t>②</w:t>
      </w:r>
      <w:r>
        <w:rPr>
          <w:color w:val="auto"/>
          <w:sz w:val="24"/>
          <w:lang w:val="zh-CN"/>
        </w:rPr>
        <w:fldChar w:fldCharType="end"/>
      </w:r>
      <w:r>
        <w:rPr>
          <w:color w:val="auto"/>
          <w:sz w:val="24"/>
        </w:rPr>
        <w:t>待宰</w:t>
      </w:r>
      <w:r>
        <w:rPr>
          <w:rFonts w:hint="eastAsia"/>
          <w:color w:val="auto"/>
          <w:sz w:val="24"/>
        </w:rPr>
        <w:t>间采取干清粪工艺，日产日清</w:t>
      </w:r>
      <w:r>
        <w:rPr>
          <w:color w:val="auto"/>
          <w:sz w:val="24"/>
        </w:rPr>
        <w:t>，并投加或喷洒除臭剂</w:t>
      </w:r>
      <w:r>
        <w:rPr>
          <w:rFonts w:hint="eastAsia"/>
          <w:color w:val="auto"/>
          <w:sz w:val="24"/>
        </w:rPr>
        <w:t>可有效去除恶臭污染物浓度，且</w:t>
      </w:r>
      <w:r>
        <w:rPr>
          <w:color w:val="auto"/>
          <w:sz w:val="24"/>
        </w:rPr>
        <w:t>待宰</w:t>
      </w:r>
      <w:r>
        <w:rPr>
          <w:rFonts w:hint="eastAsia"/>
          <w:color w:val="auto"/>
          <w:sz w:val="24"/>
        </w:rPr>
        <w:t>间封闭，</w:t>
      </w:r>
      <w:r>
        <w:rPr>
          <w:bCs/>
          <w:color w:val="auto"/>
          <w:sz w:val="24"/>
        </w:rPr>
        <w:t>产生的</w:t>
      </w:r>
      <w:r>
        <w:rPr>
          <w:rFonts w:hint="eastAsia"/>
          <w:bCs/>
          <w:color w:val="auto"/>
          <w:sz w:val="24"/>
        </w:rPr>
        <w:t>恶臭气体</w:t>
      </w:r>
      <w:r>
        <w:rPr>
          <w:bCs/>
          <w:color w:val="auto"/>
          <w:sz w:val="24"/>
        </w:rPr>
        <w:t>经负压集中收集后，通过活性炭吸附净化后由15m高排气筒排放</w:t>
      </w:r>
      <w:r>
        <w:rPr>
          <w:color w:val="auto"/>
          <w:sz w:val="24"/>
        </w:rPr>
        <w:t>。屠宰车间封闭建设，</w:t>
      </w:r>
      <w:r>
        <w:rPr>
          <w:bCs/>
          <w:color w:val="auto"/>
          <w:sz w:val="24"/>
        </w:rPr>
        <w:t>产生的恶臭气体经负压集中收集后，通过活性炭吸附净化后由15m高排气筒排放</w:t>
      </w:r>
      <w:r>
        <w:rPr>
          <w:color w:val="auto"/>
          <w:sz w:val="24"/>
        </w:rPr>
        <w:t>。</w:t>
      </w:r>
      <w:r>
        <w:rPr>
          <w:bCs/>
          <w:color w:val="auto"/>
          <w:sz w:val="24"/>
        </w:rPr>
        <w:t>污水处理站封闭，产生的恶臭气体经负压集中收集后，通过活性炭吸附净化后由15m高排气筒排放</w:t>
      </w:r>
      <w:r>
        <w:rPr>
          <w:rFonts w:hint="eastAsia"/>
          <w:color w:val="auto"/>
          <w:sz w:val="24"/>
        </w:rPr>
        <w:t>。</w:t>
      </w:r>
      <w:r>
        <w:rPr>
          <w:color w:val="auto"/>
          <w:sz w:val="24"/>
        </w:rPr>
        <w:t>食堂油烟经油烟净化器处理后经高于楼顶的专用烟道排放。</w:t>
      </w:r>
      <w:r>
        <w:rPr>
          <w:rFonts w:hint="eastAsia"/>
          <w:color w:val="auto"/>
          <w:sz w:val="24"/>
          <w:lang w:val="en-US" w:eastAsia="zh-CN"/>
        </w:rPr>
        <w:t>锅炉</w:t>
      </w:r>
      <w:r>
        <w:rPr>
          <w:rFonts w:hint="default" w:ascii="Times New Roman" w:hAnsi="Times New Roman" w:eastAsia="宋体" w:cs="Times New Roman"/>
          <w:color w:val="auto"/>
          <w:kern w:val="2"/>
          <w:sz w:val="24"/>
          <w:szCs w:val="24"/>
          <w:lang w:val="en-US" w:eastAsia="zh-CN" w:bidi="ar-SA"/>
        </w:rPr>
        <w:t>烟气经布袋除尘器处理后，经</w:t>
      </w:r>
      <w:r>
        <w:rPr>
          <w:rFonts w:hint="eastAsia" w:cs="Times New Roman"/>
          <w:color w:val="auto"/>
          <w:kern w:val="2"/>
          <w:sz w:val="24"/>
          <w:szCs w:val="24"/>
          <w:lang w:val="en-US" w:eastAsia="zh-CN" w:bidi="ar-SA"/>
        </w:rPr>
        <w:t>30m</w:t>
      </w:r>
      <w:r>
        <w:rPr>
          <w:rFonts w:hint="default" w:ascii="Times New Roman" w:hAnsi="Times New Roman" w:eastAsia="宋体" w:cs="Times New Roman"/>
          <w:color w:val="auto"/>
          <w:kern w:val="2"/>
          <w:sz w:val="24"/>
          <w:szCs w:val="24"/>
          <w:lang w:val="en-US" w:eastAsia="zh-CN" w:bidi="ar-SA"/>
        </w:rPr>
        <w:t>高烟囱排放</w:t>
      </w:r>
      <w:r>
        <w:rPr>
          <w:rFonts w:hint="eastAsia" w:ascii="Times New Roman" w:hAnsi="Times New Roman" w:eastAsia="宋体" w:cs="Times New Roman"/>
          <w:color w:val="auto"/>
          <w:kern w:val="2"/>
          <w:sz w:val="24"/>
          <w:szCs w:val="24"/>
          <w:lang w:val="en-US" w:eastAsia="zh-CN" w:bidi="ar-SA"/>
        </w:rPr>
        <w:t>。</w:t>
      </w:r>
    </w:p>
    <w:p>
      <w:pPr>
        <w:spacing w:line="360" w:lineRule="auto"/>
        <w:ind w:firstLine="480" w:firstLineChars="200"/>
        <w:rPr>
          <w:color w:val="auto"/>
          <w:sz w:val="24"/>
        </w:rPr>
      </w:pPr>
      <w:r>
        <w:rPr>
          <w:color w:val="auto"/>
          <w:sz w:val="24"/>
        </w:rPr>
        <w:fldChar w:fldCharType="begin"/>
      </w:r>
      <w:r>
        <w:rPr>
          <w:color w:val="auto"/>
          <w:sz w:val="24"/>
        </w:rPr>
        <w:instrText xml:space="preserve"> = 3 \* GB3 </w:instrText>
      </w:r>
      <w:r>
        <w:rPr>
          <w:color w:val="auto"/>
          <w:sz w:val="24"/>
        </w:rPr>
        <w:fldChar w:fldCharType="separate"/>
      </w:r>
      <w:r>
        <w:rPr>
          <w:rFonts w:hint="eastAsia" w:ascii="宋体" w:hAnsi="宋体" w:cs="宋体"/>
          <w:color w:val="auto"/>
          <w:sz w:val="24"/>
        </w:rPr>
        <w:t>③</w:t>
      </w:r>
      <w:r>
        <w:rPr>
          <w:color w:val="auto"/>
          <w:sz w:val="24"/>
        </w:rPr>
        <w:fldChar w:fldCharType="end"/>
      </w:r>
      <w:r>
        <w:rPr>
          <w:color w:val="auto"/>
          <w:sz w:val="24"/>
        </w:rPr>
        <w:t>废水经</w:t>
      </w:r>
      <w:r>
        <w:rPr>
          <w:rFonts w:hint="eastAsia"/>
          <w:color w:val="auto"/>
          <w:sz w:val="24"/>
        </w:rPr>
        <w:t>厂区污水处理站</w:t>
      </w:r>
      <w:r>
        <w:rPr>
          <w:color w:val="auto"/>
          <w:sz w:val="24"/>
        </w:rPr>
        <w:t>处理后达到</w:t>
      </w:r>
      <w:r>
        <w:rPr>
          <w:bCs/>
          <w:color w:val="auto"/>
          <w:sz w:val="24"/>
        </w:rPr>
        <w:t>《肉类加工工业水污染物排放标准》（GB13457-92）表3三级畜类屠宰加工标准限值，</w:t>
      </w:r>
      <w:r>
        <w:rPr>
          <w:rFonts w:hint="eastAsia"/>
          <w:bCs/>
          <w:color w:val="auto"/>
          <w:sz w:val="24"/>
        </w:rPr>
        <w:t>暂存</w:t>
      </w:r>
      <w:r>
        <w:rPr>
          <w:bCs/>
          <w:color w:val="auto"/>
          <w:sz w:val="24"/>
        </w:rPr>
        <w:t>于贮水池，</w:t>
      </w:r>
      <w:r>
        <w:rPr>
          <w:rFonts w:hint="eastAsia"/>
          <w:bCs/>
          <w:color w:val="auto"/>
          <w:sz w:val="24"/>
        </w:rPr>
        <w:t>每天</w:t>
      </w:r>
      <w:r>
        <w:rPr>
          <w:bCs/>
          <w:color w:val="auto"/>
          <w:sz w:val="24"/>
        </w:rPr>
        <w:t>采用专用罐车</w:t>
      </w:r>
      <w:r>
        <w:rPr>
          <w:rFonts w:hint="eastAsia"/>
          <w:bCs/>
          <w:color w:val="auto"/>
          <w:sz w:val="24"/>
        </w:rPr>
        <w:t>运至</w:t>
      </w:r>
      <w:r>
        <w:rPr>
          <w:rFonts w:hint="eastAsia"/>
          <w:bCs/>
          <w:color w:val="auto"/>
          <w:sz w:val="24"/>
          <w:lang w:eastAsia="zh-CN"/>
        </w:rPr>
        <w:t>尚志污水处理厂</w:t>
      </w:r>
      <w:r>
        <w:rPr>
          <w:bCs/>
          <w:color w:val="auto"/>
          <w:sz w:val="24"/>
        </w:rPr>
        <w:t>，经处理后排入</w:t>
      </w:r>
      <w:r>
        <w:rPr>
          <w:rFonts w:hint="eastAsia"/>
          <w:bCs/>
          <w:color w:val="auto"/>
          <w:sz w:val="24"/>
          <w:lang w:eastAsia="zh-CN"/>
        </w:rPr>
        <w:t>乌珠河</w:t>
      </w:r>
      <w:r>
        <w:rPr>
          <w:bCs/>
          <w:color w:val="auto"/>
          <w:sz w:val="24"/>
        </w:rPr>
        <w:t>，最终进入</w:t>
      </w:r>
      <w:r>
        <w:rPr>
          <w:rFonts w:hint="eastAsia"/>
          <w:bCs/>
          <w:color w:val="auto"/>
          <w:sz w:val="24"/>
          <w:lang w:val="en-US" w:eastAsia="zh-CN"/>
        </w:rPr>
        <w:t>蚂蚁河</w:t>
      </w:r>
      <w:r>
        <w:rPr>
          <w:color w:val="auto"/>
          <w:sz w:val="24"/>
        </w:rPr>
        <w:t>。</w:t>
      </w:r>
    </w:p>
    <w:p>
      <w:pPr>
        <w:spacing w:line="360" w:lineRule="auto"/>
        <w:ind w:firstLine="480" w:firstLineChars="200"/>
        <w:rPr>
          <w:color w:val="auto"/>
          <w:sz w:val="24"/>
        </w:rPr>
      </w:pPr>
      <w:r>
        <w:rPr>
          <w:rFonts w:hint="eastAsia"/>
          <w:color w:val="auto"/>
          <w:sz w:val="24"/>
        </w:rPr>
        <w:t>④</w:t>
      </w:r>
      <w:r>
        <w:rPr>
          <w:color w:val="auto"/>
          <w:sz w:val="24"/>
        </w:rPr>
        <w:t>地下水防渗：</w:t>
      </w:r>
      <w:r>
        <w:rPr>
          <w:rFonts w:hint="eastAsia"/>
          <w:color w:val="auto"/>
          <w:sz w:val="24"/>
          <w:lang w:eastAsia="zh-CN"/>
        </w:rPr>
        <w:t>危险废物贮存点</w:t>
      </w:r>
      <w:r>
        <w:rPr>
          <w:color w:val="auto"/>
          <w:sz w:val="24"/>
        </w:rPr>
        <w:t>按重点防渗区采取防渗措施；</w:t>
      </w:r>
      <w:r>
        <w:rPr>
          <w:rFonts w:hint="eastAsia"/>
          <w:color w:val="auto"/>
          <w:sz w:val="24"/>
          <w:lang w:val="en-US" w:eastAsia="zh-CN"/>
        </w:rPr>
        <w:t>急宰间、</w:t>
      </w:r>
      <w:r>
        <w:rPr>
          <w:rFonts w:hint="eastAsia"/>
          <w:color w:val="auto"/>
          <w:sz w:val="24"/>
        </w:rPr>
        <w:t>待宰间、屠宰车间、</w:t>
      </w:r>
      <w:r>
        <w:rPr>
          <w:color w:val="auto"/>
          <w:sz w:val="24"/>
          <w:lang w:val="en-GB"/>
        </w:rPr>
        <w:t>冷库、</w:t>
      </w:r>
      <w:r>
        <w:rPr>
          <w:color w:val="auto"/>
          <w:sz w:val="24"/>
        </w:rPr>
        <w:t>污水处理站、贮水池、事故池按一般防渗区采取防渗措施；</w:t>
      </w:r>
      <w:r>
        <w:rPr>
          <w:rFonts w:hint="eastAsia"/>
          <w:color w:val="auto"/>
          <w:sz w:val="24"/>
          <w:lang w:val="en-GB" w:eastAsia="zh-CN"/>
        </w:rPr>
        <w:t>办公楼</w:t>
      </w:r>
      <w:r>
        <w:rPr>
          <w:color w:val="auto"/>
          <w:sz w:val="24"/>
          <w:lang w:val="en-GB"/>
        </w:rPr>
        <w:t>、库房等</w:t>
      </w:r>
      <w:r>
        <w:rPr>
          <w:color w:val="auto"/>
          <w:sz w:val="24"/>
        </w:rPr>
        <w:t>采取简单防渗，对其地面采用混凝土进行一般地面硬化，避免了对地下水的污染。</w:t>
      </w:r>
    </w:p>
    <w:p>
      <w:pPr>
        <w:spacing w:line="360" w:lineRule="auto"/>
        <w:ind w:firstLine="480" w:firstLineChars="200"/>
        <w:rPr>
          <w:color w:val="auto"/>
          <w:sz w:val="24"/>
        </w:rPr>
      </w:pPr>
      <w:r>
        <w:rPr>
          <w:color w:val="auto"/>
          <w:sz w:val="24"/>
        </w:rPr>
        <w:t>（3）社会公开的信息内容</w:t>
      </w:r>
    </w:p>
    <w:p>
      <w:pPr>
        <w:spacing w:line="360" w:lineRule="auto"/>
        <w:ind w:firstLine="480" w:firstLineChars="200"/>
        <w:rPr>
          <w:snapToGrid w:val="0"/>
          <w:color w:val="auto"/>
          <w:kern w:val="0"/>
          <w:sz w:val="24"/>
        </w:rPr>
      </w:pPr>
      <w:r>
        <w:rPr>
          <w:snapToGrid w:val="0"/>
          <w:color w:val="auto"/>
          <w:kern w:val="0"/>
          <w:sz w:val="24"/>
        </w:rPr>
        <w:t>企业应积极主动对污染物定期监测信息进行公开，采用张贴公示版等形式对污染物排放情况、污染防治措施运行情况进行公开，保证公众知情权。</w:t>
      </w:r>
    </w:p>
    <w:p>
      <w:pPr>
        <w:keepNext/>
        <w:keepLines/>
        <w:spacing w:line="360" w:lineRule="auto"/>
        <w:contextualSpacing/>
        <w:jc w:val="left"/>
        <w:outlineLvl w:val="1"/>
        <w:rPr>
          <w:b/>
          <w:bCs/>
          <w:snapToGrid w:val="0"/>
          <w:color w:val="auto"/>
          <w:kern w:val="0"/>
          <w:sz w:val="30"/>
          <w:szCs w:val="30"/>
        </w:rPr>
      </w:pPr>
      <w:bookmarkStart w:id="250" w:name="_Toc5758"/>
      <w:r>
        <w:rPr>
          <w:b/>
          <w:bCs/>
          <w:snapToGrid w:val="0"/>
          <w:color w:val="auto"/>
          <w:kern w:val="0"/>
          <w:sz w:val="30"/>
          <w:szCs w:val="30"/>
        </w:rPr>
        <w:t>8.2环境监测</w:t>
      </w:r>
      <w:bookmarkEnd w:id="244"/>
      <w:bookmarkEnd w:id="245"/>
      <w:bookmarkEnd w:id="250"/>
    </w:p>
    <w:p>
      <w:pPr>
        <w:spacing w:line="360" w:lineRule="auto"/>
        <w:ind w:firstLine="480" w:firstLineChars="200"/>
        <w:contextualSpacing/>
        <w:rPr>
          <w:color w:val="auto"/>
          <w:sz w:val="24"/>
        </w:rPr>
      </w:pPr>
      <w:r>
        <w:rPr>
          <w:color w:val="auto"/>
          <w:sz w:val="24"/>
        </w:rPr>
        <w:t>环境监测是项目环境保护的“眼睛”，是基本的手段和信息基础，环境监测的特点是以样品的监测结果来推断总体环境质量。因此，必须把握好各个技术环节，包括确定环境监测的项目的范围，采样的位置和数量，采样的时间和方法，样品的分析和数据处理等及其质量保证工作。保证监测数据具有完整的质量特征，准确性、精密性、完整性、代表性和可比性。</w:t>
      </w:r>
    </w:p>
    <w:p>
      <w:pPr>
        <w:pStyle w:val="6"/>
        <w:spacing w:before="0" w:after="0" w:line="360" w:lineRule="auto"/>
        <w:contextualSpacing/>
        <w:rPr>
          <w:rFonts w:ascii="Times New Roman" w:hAnsi="Times New Roman" w:eastAsia="宋体" w:cs="Times New Roman"/>
          <w:bCs w:val="0"/>
          <w:color w:val="auto"/>
        </w:rPr>
      </w:pPr>
      <w:r>
        <w:rPr>
          <w:rFonts w:ascii="Times New Roman" w:hAnsi="Times New Roman" w:eastAsia="宋体" w:cs="Times New Roman"/>
          <w:bCs w:val="0"/>
          <w:color w:val="auto"/>
        </w:rPr>
        <w:t>8.2.1环境监测的必要性</w:t>
      </w:r>
    </w:p>
    <w:p>
      <w:pPr>
        <w:spacing w:line="360" w:lineRule="auto"/>
        <w:ind w:firstLine="480" w:firstLineChars="200"/>
        <w:contextualSpacing/>
        <w:rPr>
          <w:color w:val="auto"/>
          <w:sz w:val="24"/>
        </w:rPr>
      </w:pPr>
      <w:r>
        <w:rPr>
          <w:color w:val="auto"/>
          <w:sz w:val="24"/>
        </w:rPr>
        <w:t>环境监测既是项目执行管理的需要，也是环保部门了解项目执行情况、研究对策，实行宏观指导的依据。通过</w:t>
      </w:r>
      <w:r>
        <w:rPr>
          <w:rFonts w:hint="eastAsia"/>
          <w:color w:val="auto"/>
          <w:sz w:val="24"/>
        </w:rPr>
        <w:t>现场</w:t>
      </w:r>
      <w:r>
        <w:rPr>
          <w:color w:val="auto"/>
          <w:sz w:val="24"/>
        </w:rPr>
        <w:t>监测，能及时发现问题和了解运行数据是否理想，达到总结经验、解决问题、改善管理的目的，以确保项目顺利实现预期目的。</w:t>
      </w:r>
    </w:p>
    <w:p>
      <w:pPr>
        <w:pStyle w:val="6"/>
        <w:spacing w:before="0" w:after="0" w:line="360" w:lineRule="auto"/>
        <w:contextualSpacing/>
        <w:rPr>
          <w:rFonts w:ascii="Times New Roman" w:hAnsi="Times New Roman" w:eastAsia="宋体" w:cs="Times New Roman"/>
          <w:bCs w:val="0"/>
          <w:color w:val="auto"/>
        </w:rPr>
      </w:pPr>
      <w:r>
        <w:rPr>
          <w:rFonts w:ascii="Times New Roman" w:hAnsi="Times New Roman" w:eastAsia="宋体" w:cs="Times New Roman"/>
          <w:bCs w:val="0"/>
          <w:color w:val="auto"/>
        </w:rPr>
        <w:t>8.2.2环境监测机构设置</w:t>
      </w:r>
    </w:p>
    <w:p>
      <w:pPr>
        <w:spacing w:line="360" w:lineRule="auto"/>
        <w:ind w:firstLine="480" w:firstLineChars="200"/>
        <w:contextualSpacing/>
        <w:rPr>
          <w:color w:val="auto"/>
          <w:sz w:val="24"/>
        </w:rPr>
      </w:pPr>
      <w:r>
        <w:rPr>
          <w:color w:val="auto"/>
          <w:sz w:val="24"/>
        </w:rPr>
        <w:t>为了及时准确地了解项目的污染物排放情况和污染物治理设施的运行状况，企业应委托有资质的监测机构进行常规监测。</w:t>
      </w:r>
    </w:p>
    <w:p>
      <w:pPr>
        <w:pStyle w:val="6"/>
        <w:spacing w:before="0" w:after="0" w:line="360" w:lineRule="auto"/>
        <w:contextualSpacing/>
        <w:rPr>
          <w:rFonts w:ascii="Times New Roman" w:hAnsi="Times New Roman" w:eastAsia="宋体" w:cs="Times New Roman"/>
          <w:bCs w:val="0"/>
          <w:color w:val="auto"/>
        </w:rPr>
      </w:pPr>
      <w:r>
        <w:rPr>
          <w:rFonts w:ascii="Times New Roman" w:hAnsi="Times New Roman" w:eastAsia="宋体" w:cs="Times New Roman"/>
          <w:bCs w:val="0"/>
          <w:color w:val="auto"/>
        </w:rPr>
        <w:t>8.2.3环境监测职责</w:t>
      </w:r>
    </w:p>
    <w:p>
      <w:pPr>
        <w:spacing w:line="360" w:lineRule="auto"/>
        <w:ind w:firstLine="480" w:firstLineChars="200"/>
        <w:contextualSpacing/>
        <w:rPr>
          <w:color w:val="auto"/>
          <w:sz w:val="24"/>
        </w:rPr>
      </w:pPr>
      <w:r>
        <w:rPr>
          <w:color w:val="auto"/>
          <w:sz w:val="24"/>
        </w:rPr>
        <w:t>根据国家和主管部门颁布的环保法规、污染物排放标准以及企业内部的要求，制订监测站的工作计划和实施方案。</w:t>
      </w:r>
    </w:p>
    <w:p>
      <w:pPr>
        <w:spacing w:line="360" w:lineRule="auto"/>
        <w:ind w:firstLine="480" w:firstLineChars="200"/>
        <w:rPr>
          <w:color w:val="auto"/>
          <w:sz w:val="24"/>
        </w:rPr>
      </w:pPr>
      <w:r>
        <w:rPr>
          <w:color w:val="auto"/>
          <w:sz w:val="24"/>
        </w:rPr>
        <w:t>对生产过程中污染物的排放状况和污染治理设施的处理效果进行定期监测，为设施的运行控制提供依据。</w:t>
      </w:r>
    </w:p>
    <w:p>
      <w:pPr>
        <w:spacing w:line="360" w:lineRule="auto"/>
        <w:ind w:firstLine="480" w:firstLineChars="200"/>
        <w:rPr>
          <w:color w:val="auto"/>
          <w:sz w:val="24"/>
        </w:rPr>
      </w:pPr>
      <w:r>
        <w:rPr>
          <w:color w:val="auto"/>
          <w:sz w:val="24"/>
        </w:rPr>
        <w:t>监督污染物排放的达标情况。</w:t>
      </w:r>
    </w:p>
    <w:p>
      <w:pPr>
        <w:spacing w:line="360" w:lineRule="auto"/>
        <w:ind w:firstLine="480" w:firstLineChars="200"/>
        <w:rPr>
          <w:color w:val="auto"/>
          <w:sz w:val="24"/>
        </w:rPr>
      </w:pPr>
      <w:r>
        <w:rPr>
          <w:color w:val="auto"/>
          <w:sz w:val="24"/>
        </w:rPr>
        <w:t>对监测仪器设备进行维护和校验，确保监测数据的准确性、可靠性。</w:t>
      </w:r>
    </w:p>
    <w:p>
      <w:pPr>
        <w:spacing w:line="360" w:lineRule="auto"/>
        <w:ind w:firstLine="480" w:firstLineChars="200"/>
        <w:contextualSpacing/>
        <w:rPr>
          <w:color w:val="auto"/>
          <w:sz w:val="24"/>
        </w:rPr>
      </w:pPr>
      <w:r>
        <w:rPr>
          <w:color w:val="auto"/>
          <w:sz w:val="24"/>
        </w:rPr>
        <w:t>作好监测数据的整理记录工作，作好企业污染物排放情况动态变化的档案记载工作。</w:t>
      </w:r>
    </w:p>
    <w:p>
      <w:pPr>
        <w:spacing w:line="360" w:lineRule="auto"/>
        <w:ind w:firstLine="480" w:firstLineChars="200"/>
        <w:contextualSpacing/>
        <w:rPr>
          <w:color w:val="auto"/>
          <w:sz w:val="24"/>
        </w:rPr>
      </w:pPr>
      <w:r>
        <w:rPr>
          <w:color w:val="auto"/>
          <w:sz w:val="24"/>
        </w:rPr>
        <w:t>努力学习，不断提高站内工作人员的业务素质和工作能力。</w:t>
      </w:r>
    </w:p>
    <w:p>
      <w:pPr>
        <w:pStyle w:val="6"/>
        <w:spacing w:before="0" w:after="0" w:line="360" w:lineRule="auto"/>
        <w:contextualSpacing/>
        <w:rPr>
          <w:rFonts w:ascii="Times New Roman" w:hAnsi="Times New Roman" w:eastAsia="宋体" w:cs="Times New Roman"/>
          <w:bCs w:val="0"/>
          <w:color w:val="auto"/>
        </w:rPr>
      </w:pPr>
      <w:bookmarkStart w:id="251" w:name="_Toc11758577"/>
      <w:r>
        <w:rPr>
          <w:rFonts w:ascii="Times New Roman" w:hAnsi="Times New Roman" w:eastAsia="宋体" w:cs="Times New Roman"/>
          <w:bCs w:val="0"/>
          <w:color w:val="auto"/>
        </w:rPr>
        <w:t>8.2.4设立排放口（源）标识</w:t>
      </w:r>
      <w:bookmarkEnd w:id="251"/>
    </w:p>
    <w:p>
      <w:pPr>
        <w:spacing w:line="360" w:lineRule="auto"/>
        <w:ind w:firstLine="480" w:firstLineChars="200"/>
        <w:contextualSpacing/>
        <w:rPr>
          <w:snapToGrid w:val="0"/>
          <w:color w:val="auto"/>
          <w:kern w:val="0"/>
          <w:sz w:val="24"/>
        </w:rPr>
      </w:pPr>
      <w:r>
        <w:rPr>
          <w:snapToGrid w:val="0"/>
          <w:color w:val="auto"/>
          <w:kern w:val="0"/>
          <w:sz w:val="24"/>
        </w:rPr>
        <w:t>本项目的各排污口按照环境管理要求，必须进行规范化建设，在本项</w:t>
      </w:r>
      <w:r>
        <w:rPr>
          <w:rFonts w:hint="eastAsia"/>
          <w:snapToGrid w:val="0"/>
          <w:color w:val="auto"/>
          <w:kern w:val="0"/>
          <w:sz w:val="24"/>
        </w:rPr>
        <w:t>目</w:t>
      </w:r>
      <w:r>
        <w:rPr>
          <w:snapToGrid w:val="0"/>
          <w:color w:val="auto"/>
          <w:kern w:val="0"/>
          <w:sz w:val="24"/>
        </w:rPr>
        <w:t>大气排放源、</w:t>
      </w:r>
      <w:r>
        <w:rPr>
          <w:rFonts w:hint="eastAsia"/>
          <w:snapToGrid w:val="0"/>
          <w:color w:val="auto"/>
          <w:kern w:val="0"/>
          <w:sz w:val="24"/>
          <w:lang w:val="en-US" w:eastAsia="zh-CN"/>
        </w:rPr>
        <w:t>废水、</w:t>
      </w:r>
      <w:r>
        <w:rPr>
          <w:snapToGrid w:val="0"/>
          <w:color w:val="auto"/>
          <w:kern w:val="0"/>
          <w:sz w:val="24"/>
        </w:rPr>
        <w:t>噪声、固废排放源设立规范的环境保护图形标志，按照《环境保护图形标志―排放口（源）》（GB15562.1-1995）</w:t>
      </w:r>
      <w:r>
        <w:rPr>
          <w:rFonts w:hint="eastAsia"/>
          <w:snapToGrid w:val="0"/>
          <w:color w:val="auto"/>
          <w:kern w:val="0"/>
          <w:sz w:val="24"/>
          <w:lang w:val="en-US" w:eastAsia="zh-CN"/>
        </w:rPr>
        <w:t>及《危险废物识别标志设置技术规范》（HJ1276-2022）</w:t>
      </w:r>
      <w:r>
        <w:rPr>
          <w:snapToGrid w:val="0"/>
          <w:color w:val="auto"/>
          <w:kern w:val="0"/>
          <w:sz w:val="24"/>
        </w:rPr>
        <w:t>执行，以利于环境保护行政主管部门对各排放口的监督管理。标志牌制作由国家环境保护总局统一监制，标志牌应设置在与之功能相应的醒目处。</w:t>
      </w:r>
    </w:p>
    <w:p>
      <w:pPr>
        <w:spacing w:line="360" w:lineRule="auto"/>
        <w:ind w:firstLine="480" w:firstLineChars="200"/>
        <w:contextualSpacing/>
        <w:rPr>
          <w:snapToGrid w:val="0"/>
          <w:color w:val="FF0000"/>
          <w:kern w:val="0"/>
          <w:sz w:val="24"/>
        </w:rPr>
      </w:pPr>
      <w:r>
        <w:rPr>
          <w:rFonts w:hint="eastAsia"/>
          <w:snapToGrid w:val="0"/>
          <w:color w:val="auto"/>
          <w:kern w:val="0"/>
          <w:sz w:val="24"/>
          <w:lang w:val="en-US" w:eastAsia="zh-CN"/>
        </w:rPr>
        <w:t>废水排放口、</w:t>
      </w:r>
      <w:r>
        <w:rPr>
          <w:snapToGrid w:val="0"/>
          <w:color w:val="auto"/>
          <w:kern w:val="0"/>
          <w:sz w:val="24"/>
        </w:rPr>
        <w:t>废气排放口、固废</w:t>
      </w:r>
      <w:r>
        <w:rPr>
          <w:rFonts w:hint="eastAsia"/>
          <w:snapToGrid w:val="0"/>
          <w:color w:val="auto"/>
          <w:kern w:val="0"/>
          <w:sz w:val="24"/>
          <w:lang w:eastAsia="zh-CN"/>
        </w:rPr>
        <w:t>、</w:t>
      </w:r>
      <w:r>
        <w:rPr>
          <w:snapToGrid w:val="0"/>
          <w:color w:val="auto"/>
          <w:kern w:val="0"/>
          <w:sz w:val="24"/>
        </w:rPr>
        <w:t>噪声排放源图形符号分为提示图形符号和警告图形符号两种，图形符号与说明见下图。</w:t>
      </w:r>
    </w:p>
    <w:p>
      <w:pPr>
        <w:spacing w:line="360" w:lineRule="auto"/>
        <w:ind w:firstLine="420" w:firstLineChars="200"/>
        <w:jc w:val="center"/>
        <w:rPr>
          <w:b/>
          <w:snapToGrid w:val="0"/>
          <w:color w:val="FF0000"/>
          <w:kern w:val="0"/>
          <w:sz w:val="24"/>
          <w:lang w:val="zh-CN"/>
        </w:rPr>
      </w:pPr>
      <w:r>
        <w:rPr>
          <w:highlight w:val="none"/>
        </w:rPr>
        <w:object>
          <v:shape id="_x0000_i1038" o:spt="75" type="#_x0000_t75" style="height:365.3pt;width:407.65pt;" o:ole="t" filled="f" o:preferrelative="t" stroked="f" coordsize="21600,21600">
            <v:path/>
            <v:fill on="f" focussize="0,0"/>
            <v:stroke on="f"/>
            <v:imagedata r:id="rId90" o:title=""/>
            <o:lock v:ext="edit" aspectratio="f"/>
            <w10:wrap type="none"/>
            <w10:anchorlock/>
          </v:shape>
          <o:OLEObject Type="Embed" ProgID="Visio.Drawing.11" ShapeID="_x0000_i1038" DrawAspect="Content" ObjectID="_1468075738" r:id="rId89">
            <o:LockedField>false</o:LockedField>
          </o:OLEObject>
        </w:object>
      </w:r>
      <w:r>
        <w:rPr>
          <w:b/>
          <w:snapToGrid w:val="0"/>
          <w:color w:val="auto"/>
          <w:kern w:val="0"/>
          <w:sz w:val="24"/>
          <w:lang w:val="zh-CN"/>
        </w:rPr>
        <w:t>图8-2-1</w:t>
      </w:r>
      <w:r>
        <w:rPr>
          <w:rFonts w:hint="eastAsia"/>
          <w:b/>
          <w:snapToGrid w:val="0"/>
          <w:color w:val="auto"/>
          <w:kern w:val="0"/>
          <w:sz w:val="24"/>
          <w:lang w:val="en-US" w:eastAsia="zh-CN"/>
        </w:rPr>
        <w:t>污水、</w:t>
      </w:r>
      <w:r>
        <w:rPr>
          <w:b/>
          <w:snapToGrid w:val="0"/>
          <w:color w:val="auto"/>
          <w:kern w:val="0"/>
          <w:sz w:val="24"/>
          <w:lang w:val="zh-CN"/>
        </w:rPr>
        <w:t>废气、噪声和固废排放口（源）图形符号与说明</w:t>
      </w:r>
    </w:p>
    <w:p>
      <w:pPr>
        <w:pStyle w:val="6"/>
        <w:spacing w:before="0" w:after="0" w:line="360" w:lineRule="auto"/>
        <w:contextualSpacing/>
        <w:rPr>
          <w:rFonts w:ascii="Times New Roman" w:hAnsi="Times New Roman" w:eastAsia="宋体" w:cs="Times New Roman"/>
          <w:bCs w:val="0"/>
          <w:color w:val="auto"/>
        </w:rPr>
      </w:pPr>
      <w:bookmarkStart w:id="252" w:name="_Toc11758578"/>
      <w:r>
        <w:rPr>
          <w:rFonts w:ascii="Times New Roman" w:hAnsi="Times New Roman" w:eastAsia="宋体" w:cs="Times New Roman"/>
          <w:bCs w:val="0"/>
          <w:color w:val="auto"/>
        </w:rPr>
        <w:t>8.2.5环境监测计划</w:t>
      </w:r>
      <w:bookmarkEnd w:id="252"/>
    </w:p>
    <w:p>
      <w:pPr>
        <w:spacing w:line="360" w:lineRule="auto"/>
        <w:ind w:firstLine="480" w:firstLineChars="200"/>
        <w:contextualSpacing/>
        <w:rPr>
          <w:snapToGrid w:val="0"/>
          <w:color w:val="auto"/>
          <w:kern w:val="0"/>
          <w:sz w:val="24"/>
        </w:rPr>
      </w:pPr>
      <w:r>
        <w:rPr>
          <w:snapToGrid w:val="0"/>
          <w:color w:val="auto"/>
          <w:kern w:val="0"/>
          <w:sz w:val="24"/>
        </w:rPr>
        <w:t>《环保法》第四十二条明确提出“重点排污单位应当按照国家有关规定和监测规范安装使用监测设备，保证监测设备正常运行，保存原始监测记录”；第五十五条要求“重点排污单位应当如实向社会公开其主要污染物的名称、排放方式、排放浓度和总量、超标排放情况，以及防治污染设施的建设和运行情况，接受社会监督”。根据《排污单位自行监测技术指南总则》（HJ819-2017）</w:t>
      </w:r>
      <w:r>
        <w:rPr>
          <w:rFonts w:hint="eastAsia"/>
          <w:snapToGrid w:val="0"/>
          <w:color w:val="auto"/>
          <w:kern w:val="0"/>
          <w:sz w:val="24"/>
        </w:rPr>
        <w:t>、</w:t>
      </w:r>
      <w:r>
        <w:rPr>
          <w:rFonts w:hint="eastAsia" w:eastAsiaTheme="minorEastAsia"/>
          <w:snapToGrid w:val="0"/>
          <w:color w:val="auto"/>
          <w:kern w:val="0"/>
          <w:sz w:val="24"/>
        </w:rPr>
        <w:t>《排污单位自行监测技术指南 农副食品加工业》（HJ986-2018）</w:t>
      </w:r>
      <w:r>
        <w:rPr>
          <w:snapToGrid w:val="0"/>
          <w:color w:val="auto"/>
          <w:kern w:val="0"/>
          <w:sz w:val="24"/>
        </w:rPr>
        <w:t>，排污单位应掌握本单位的污染排放状况及其对周边环境质量的影响，对污染物排放、周边环境质量影响进行监测。</w:t>
      </w:r>
    </w:p>
    <w:p>
      <w:pPr>
        <w:spacing w:line="360" w:lineRule="auto"/>
        <w:ind w:firstLine="480" w:firstLineChars="200"/>
        <w:contextualSpacing/>
        <w:rPr>
          <w:snapToGrid w:val="0"/>
          <w:color w:val="auto"/>
          <w:kern w:val="0"/>
          <w:sz w:val="24"/>
        </w:rPr>
      </w:pPr>
      <w:r>
        <w:rPr>
          <w:snapToGrid w:val="0"/>
          <w:color w:val="auto"/>
          <w:kern w:val="0"/>
          <w:sz w:val="24"/>
        </w:rPr>
        <w:t>（1）污染物排放监测</w:t>
      </w:r>
    </w:p>
    <w:p>
      <w:pPr>
        <w:spacing w:line="360" w:lineRule="auto"/>
        <w:ind w:firstLine="480" w:firstLineChars="200"/>
        <w:contextualSpacing/>
        <w:rPr>
          <w:snapToGrid w:val="0"/>
          <w:color w:val="auto"/>
          <w:kern w:val="0"/>
          <w:sz w:val="24"/>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snapToGrid w:val="0"/>
          <w:color w:val="auto"/>
          <w:kern w:val="0"/>
          <w:sz w:val="24"/>
        </w:rPr>
        <w:t>本项目污染源监测计划见表8-2-1。企业委托有资质的监测单位进行污染源监测，并将监测报告存档。</w:t>
      </w:r>
    </w:p>
    <w:p>
      <w:pPr>
        <w:spacing w:line="360" w:lineRule="auto"/>
        <w:jc w:val="center"/>
        <w:rPr>
          <w:b/>
          <w:snapToGrid w:val="0"/>
          <w:color w:val="auto"/>
          <w:kern w:val="0"/>
          <w:sz w:val="24"/>
          <w:lang w:val="zh-CN"/>
        </w:rPr>
      </w:pPr>
      <w:r>
        <w:rPr>
          <w:b/>
          <w:snapToGrid w:val="0"/>
          <w:color w:val="auto"/>
          <w:kern w:val="0"/>
          <w:sz w:val="24"/>
          <w:lang w:val="zh-CN"/>
        </w:rPr>
        <w:t>表8-2-1污染源监测计划一览表</w:t>
      </w:r>
    </w:p>
    <w:tbl>
      <w:tblPr>
        <w:tblStyle w:val="713"/>
        <w:tblW w:w="140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2"/>
        <w:gridCol w:w="850"/>
        <w:gridCol w:w="1276"/>
        <w:gridCol w:w="2410"/>
        <w:gridCol w:w="992"/>
        <w:gridCol w:w="1843"/>
        <w:gridCol w:w="992"/>
        <w:gridCol w:w="851"/>
        <w:gridCol w:w="1842"/>
        <w:gridCol w:w="26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392"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项目</w:t>
            </w:r>
          </w:p>
        </w:tc>
        <w:tc>
          <w:tcPr>
            <w:tcW w:w="850"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污染源</w:t>
            </w:r>
          </w:p>
        </w:tc>
        <w:tc>
          <w:tcPr>
            <w:tcW w:w="1276"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监测指标</w:t>
            </w:r>
          </w:p>
        </w:tc>
        <w:tc>
          <w:tcPr>
            <w:tcW w:w="2410"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环境保护措施</w:t>
            </w:r>
          </w:p>
        </w:tc>
        <w:tc>
          <w:tcPr>
            <w:tcW w:w="992"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监测点位</w:t>
            </w:r>
          </w:p>
        </w:tc>
        <w:tc>
          <w:tcPr>
            <w:tcW w:w="1843"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执行标准</w:t>
            </w:r>
          </w:p>
        </w:tc>
        <w:tc>
          <w:tcPr>
            <w:tcW w:w="992"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监测频次</w:t>
            </w:r>
          </w:p>
        </w:tc>
        <w:tc>
          <w:tcPr>
            <w:tcW w:w="851"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监测技术</w:t>
            </w:r>
          </w:p>
        </w:tc>
        <w:tc>
          <w:tcPr>
            <w:tcW w:w="1842"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采样方法</w:t>
            </w:r>
          </w:p>
        </w:tc>
        <w:tc>
          <w:tcPr>
            <w:tcW w:w="2624"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监测分析方法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8" w:hRule="atLeast"/>
          <w:jc w:val="center"/>
        </w:trPr>
        <w:tc>
          <w:tcPr>
            <w:tcW w:w="392" w:type="dxa"/>
            <w:vMerge w:val="restart"/>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废气</w:t>
            </w:r>
          </w:p>
        </w:tc>
        <w:tc>
          <w:tcPr>
            <w:tcW w:w="850" w:type="dxa"/>
            <w:vMerge w:val="restart"/>
            <w:vAlign w:val="center"/>
          </w:tcPr>
          <w:p>
            <w:pPr>
              <w:adjustRightInd w:val="0"/>
              <w:snapToGrid w:val="0"/>
              <w:jc w:val="center"/>
              <w:rPr>
                <w:snapToGrid w:val="0"/>
                <w:color w:val="auto"/>
                <w:kern w:val="0"/>
                <w:sz w:val="21"/>
                <w:szCs w:val="21"/>
                <w:lang w:val="zh-CN"/>
              </w:rPr>
            </w:pPr>
            <w:r>
              <w:rPr>
                <w:rFonts w:hint="eastAsia"/>
                <w:snapToGrid w:val="0"/>
                <w:color w:val="auto"/>
                <w:kern w:val="0"/>
                <w:sz w:val="21"/>
                <w:szCs w:val="21"/>
                <w:lang w:val="zh-CN"/>
              </w:rPr>
              <w:t>待宰间</w:t>
            </w:r>
            <w:r>
              <w:rPr>
                <w:snapToGrid w:val="0"/>
                <w:color w:val="auto"/>
                <w:kern w:val="0"/>
                <w:sz w:val="21"/>
                <w:szCs w:val="21"/>
                <w:lang w:val="zh-CN"/>
              </w:rPr>
              <w:t>、屠宰车间、污水处理站无组织排放</w:t>
            </w:r>
          </w:p>
        </w:tc>
        <w:tc>
          <w:tcPr>
            <w:tcW w:w="1276" w:type="dxa"/>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臭气浓度</w:t>
            </w:r>
          </w:p>
        </w:tc>
        <w:tc>
          <w:tcPr>
            <w:tcW w:w="2410" w:type="dxa"/>
            <w:vMerge w:val="restart"/>
            <w:vAlign w:val="center"/>
          </w:tcPr>
          <w:p>
            <w:pPr>
              <w:adjustRightInd w:val="0"/>
              <w:snapToGrid w:val="0"/>
              <w:jc w:val="center"/>
              <w:rPr>
                <w:snapToGrid w:val="0"/>
                <w:color w:val="auto"/>
                <w:kern w:val="0"/>
                <w:sz w:val="21"/>
                <w:szCs w:val="21"/>
                <w:lang w:val="zh-CN"/>
              </w:rPr>
            </w:pPr>
            <w:r>
              <w:rPr>
                <w:snapToGrid w:val="0"/>
                <w:color w:val="auto"/>
                <w:kern w:val="0"/>
                <w:sz w:val="21"/>
                <w:szCs w:val="21"/>
              </w:rPr>
              <w:t>待宰</w:t>
            </w:r>
            <w:r>
              <w:rPr>
                <w:rFonts w:hint="eastAsia"/>
                <w:snapToGrid w:val="0"/>
                <w:color w:val="auto"/>
                <w:kern w:val="0"/>
                <w:sz w:val="21"/>
                <w:szCs w:val="21"/>
              </w:rPr>
              <w:t>间</w:t>
            </w:r>
            <w:r>
              <w:rPr>
                <w:snapToGrid w:val="0"/>
                <w:color w:val="auto"/>
                <w:kern w:val="0"/>
                <w:sz w:val="21"/>
                <w:szCs w:val="21"/>
              </w:rPr>
              <w:t>及时清扫，并采取投加或喷洒除臭剂</w:t>
            </w:r>
          </w:p>
        </w:tc>
        <w:tc>
          <w:tcPr>
            <w:tcW w:w="992" w:type="dxa"/>
            <w:vMerge w:val="restart"/>
            <w:vAlign w:val="center"/>
          </w:tcPr>
          <w:p>
            <w:pPr>
              <w:adjustRightInd w:val="0"/>
              <w:snapToGrid w:val="0"/>
              <w:jc w:val="center"/>
              <w:rPr>
                <w:snapToGrid w:val="0"/>
                <w:color w:val="auto"/>
                <w:kern w:val="0"/>
                <w:sz w:val="21"/>
                <w:szCs w:val="21"/>
                <w:lang w:val="zh-CN"/>
              </w:rPr>
            </w:pPr>
            <w:r>
              <w:rPr>
                <w:rFonts w:hint="eastAsia"/>
                <w:snapToGrid w:val="0"/>
                <w:color w:val="auto"/>
                <w:kern w:val="0"/>
                <w:sz w:val="21"/>
                <w:szCs w:val="21"/>
                <w:lang w:val="zh-CN"/>
              </w:rPr>
              <w:t>厂界</w:t>
            </w:r>
          </w:p>
        </w:tc>
        <w:tc>
          <w:tcPr>
            <w:tcW w:w="1843" w:type="dxa"/>
            <w:vMerge w:val="restart"/>
            <w:vAlign w:val="center"/>
          </w:tcPr>
          <w:p>
            <w:pPr>
              <w:adjustRightInd w:val="0"/>
              <w:snapToGrid w:val="0"/>
              <w:jc w:val="center"/>
              <w:rPr>
                <w:snapToGrid w:val="0"/>
                <w:color w:val="auto"/>
                <w:kern w:val="0"/>
                <w:sz w:val="21"/>
                <w:szCs w:val="21"/>
                <w:lang w:val="zh-CN"/>
              </w:rPr>
            </w:pPr>
            <w:r>
              <w:rPr>
                <w:snapToGrid w:val="0"/>
                <w:color w:val="auto"/>
                <w:kern w:val="0"/>
                <w:sz w:val="21"/>
                <w:szCs w:val="21"/>
              </w:rPr>
              <w:t>《恶臭污染物排放标准》（GB14554-1993）表1中二级新改扩建标准</w:t>
            </w:r>
          </w:p>
        </w:tc>
        <w:tc>
          <w:tcPr>
            <w:tcW w:w="992" w:type="dxa"/>
            <w:vMerge w:val="restart"/>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1次/半年</w:t>
            </w:r>
          </w:p>
        </w:tc>
        <w:tc>
          <w:tcPr>
            <w:tcW w:w="851" w:type="dxa"/>
            <w:vMerge w:val="restart"/>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手工监测技术</w:t>
            </w:r>
          </w:p>
        </w:tc>
        <w:tc>
          <w:tcPr>
            <w:tcW w:w="1842" w:type="dxa"/>
            <w:vMerge w:val="restart"/>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参照《恶臭污染物排放标准》(GB14554-93)及GB/T16157、HJ/T397执行</w:t>
            </w:r>
          </w:p>
        </w:tc>
        <w:tc>
          <w:tcPr>
            <w:tcW w:w="2624"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《空气质量恶臭的测定三点比较式臭袋法》（GB/T 14675-1993）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392" w:type="dxa"/>
            <w:vMerge w:val="continue"/>
            <w:vAlign w:val="center"/>
          </w:tcPr>
          <w:p>
            <w:pPr>
              <w:adjustRightInd w:val="0"/>
              <w:snapToGrid w:val="0"/>
              <w:jc w:val="center"/>
              <w:rPr>
                <w:snapToGrid w:val="0"/>
                <w:color w:val="auto"/>
                <w:kern w:val="0"/>
                <w:sz w:val="21"/>
                <w:szCs w:val="21"/>
                <w:lang w:val="zh-CN"/>
              </w:rPr>
            </w:pPr>
          </w:p>
        </w:tc>
        <w:tc>
          <w:tcPr>
            <w:tcW w:w="850" w:type="dxa"/>
            <w:vMerge w:val="continue"/>
            <w:vAlign w:val="center"/>
          </w:tcPr>
          <w:p>
            <w:pPr>
              <w:adjustRightInd w:val="0"/>
              <w:snapToGrid w:val="0"/>
              <w:jc w:val="center"/>
              <w:rPr>
                <w:snapToGrid w:val="0"/>
                <w:color w:val="auto"/>
                <w:kern w:val="0"/>
                <w:sz w:val="21"/>
                <w:szCs w:val="21"/>
                <w:lang w:val="zh-CN"/>
              </w:rPr>
            </w:pPr>
          </w:p>
        </w:tc>
        <w:tc>
          <w:tcPr>
            <w:tcW w:w="1276" w:type="dxa"/>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硫化氢</w:t>
            </w:r>
          </w:p>
        </w:tc>
        <w:tc>
          <w:tcPr>
            <w:tcW w:w="2410" w:type="dxa"/>
            <w:vMerge w:val="continue"/>
            <w:vAlign w:val="center"/>
          </w:tcPr>
          <w:p>
            <w:pPr>
              <w:adjustRightInd w:val="0"/>
              <w:snapToGrid w:val="0"/>
              <w:jc w:val="center"/>
              <w:rPr>
                <w:snapToGrid w:val="0"/>
                <w:color w:val="auto"/>
                <w:kern w:val="0"/>
                <w:sz w:val="21"/>
                <w:szCs w:val="21"/>
                <w:lang w:val="zh-CN"/>
              </w:rPr>
            </w:pPr>
          </w:p>
        </w:tc>
        <w:tc>
          <w:tcPr>
            <w:tcW w:w="992" w:type="dxa"/>
            <w:vMerge w:val="continue"/>
            <w:vAlign w:val="center"/>
          </w:tcPr>
          <w:p>
            <w:pPr>
              <w:adjustRightInd w:val="0"/>
              <w:snapToGrid w:val="0"/>
              <w:jc w:val="center"/>
              <w:rPr>
                <w:snapToGrid w:val="0"/>
                <w:color w:val="auto"/>
                <w:kern w:val="0"/>
                <w:sz w:val="21"/>
                <w:szCs w:val="21"/>
                <w:lang w:val="zh-CN"/>
              </w:rPr>
            </w:pPr>
          </w:p>
        </w:tc>
        <w:tc>
          <w:tcPr>
            <w:tcW w:w="1843" w:type="dxa"/>
            <w:vMerge w:val="continue"/>
            <w:vAlign w:val="center"/>
          </w:tcPr>
          <w:p>
            <w:pPr>
              <w:adjustRightInd w:val="0"/>
              <w:snapToGrid w:val="0"/>
              <w:jc w:val="center"/>
              <w:rPr>
                <w:snapToGrid w:val="0"/>
                <w:color w:val="auto"/>
                <w:kern w:val="0"/>
                <w:sz w:val="21"/>
                <w:szCs w:val="21"/>
                <w:lang w:val="zh-CN"/>
              </w:rPr>
            </w:pPr>
          </w:p>
        </w:tc>
        <w:tc>
          <w:tcPr>
            <w:tcW w:w="992" w:type="dxa"/>
            <w:vMerge w:val="continue"/>
            <w:vAlign w:val="center"/>
          </w:tcPr>
          <w:p>
            <w:pPr>
              <w:adjustRightInd w:val="0"/>
              <w:snapToGrid w:val="0"/>
              <w:jc w:val="center"/>
              <w:rPr>
                <w:snapToGrid w:val="0"/>
                <w:color w:val="auto"/>
                <w:kern w:val="0"/>
                <w:sz w:val="21"/>
                <w:szCs w:val="21"/>
                <w:lang w:val="zh-CN"/>
              </w:rPr>
            </w:pPr>
          </w:p>
        </w:tc>
        <w:tc>
          <w:tcPr>
            <w:tcW w:w="851" w:type="dxa"/>
            <w:vMerge w:val="continue"/>
            <w:vAlign w:val="center"/>
          </w:tcPr>
          <w:p>
            <w:pPr>
              <w:adjustRightInd w:val="0"/>
              <w:snapToGrid w:val="0"/>
              <w:jc w:val="center"/>
              <w:rPr>
                <w:snapToGrid w:val="0"/>
                <w:color w:val="auto"/>
                <w:kern w:val="0"/>
                <w:sz w:val="21"/>
                <w:szCs w:val="21"/>
                <w:lang w:val="zh-CN"/>
              </w:rPr>
            </w:pPr>
          </w:p>
        </w:tc>
        <w:tc>
          <w:tcPr>
            <w:tcW w:w="1842" w:type="dxa"/>
            <w:vMerge w:val="continue"/>
            <w:vAlign w:val="center"/>
          </w:tcPr>
          <w:p>
            <w:pPr>
              <w:adjustRightInd w:val="0"/>
              <w:snapToGrid w:val="0"/>
              <w:jc w:val="center"/>
              <w:rPr>
                <w:snapToGrid w:val="0"/>
                <w:color w:val="auto"/>
                <w:kern w:val="0"/>
                <w:sz w:val="21"/>
                <w:szCs w:val="21"/>
                <w:lang w:val="zh-CN"/>
              </w:rPr>
            </w:pPr>
          </w:p>
        </w:tc>
        <w:tc>
          <w:tcPr>
            <w:tcW w:w="2624"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亚甲蓝分光光度法《空气和废气监测分析方法》(第四版增补版)国家环保总局(2003) P171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392" w:type="dxa"/>
            <w:vMerge w:val="continue"/>
            <w:vAlign w:val="center"/>
          </w:tcPr>
          <w:p>
            <w:pPr>
              <w:adjustRightInd w:val="0"/>
              <w:snapToGrid w:val="0"/>
              <w:jc w:val="center"/>
              <w:rPr>
                <w:snapToGrid w:val="0"/>
                <w:color w:val="auto"/>
                <w:kern w:val="0"/>
                <w:sz w:val="21"/>
                <w:szCs w:val="21"/>
                <w:lang w:val="zh-CN"/>
              </w:rPr>
            </w:pPr>
          </w:p>
        </w:tc>
        <w:tc>
          <w:tcPr>
            <w:tcW w:w="850" w:type="dxa"/>
            <w:vMerge w:val="continue"/>
            <w:vAlign w:val="center"/>
          </w:tcPr>
          <w:p>
            <w:pPr>
              <w:adjustRightInd w:val="0"/>
              <w:snapToGrid w:val="0"/>
              <w:jc w:val="center"/>
              <w:rPr>
                <w:snapToGrid w:val="0"/>
                <w:color w:val="auto"/>
                <w:kern w:val="0"/>
                <w:sz w:val="21"/>
                <w:szCs w:val="21"/>
                <w:lang w:val="zh-CN"/>
              </w:rPr>
            </w:pPr>
          </w:p>
        </w:tc>
        <w:tc>
          <w:tcPr>
            <w:tcW w:w="1276" w:type="dxa"/>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氨</w:t>
            </w:r>
          </w:p>
        </w:tc>
        <w:tc>
          <w:tcPr>
            <w:tcW w:w="2410" w:type="dxa"/>
            <w:vMerge w:val="continue"/>
            <w:vAlign w:val="center"/>
          </w:tcPr>
          <w:p>
            <w:pPr>
              <w:adjustRightInd w:val="0"/>
              <w:snapToGrid w:val="0"/>
              <w:jc w:val="center"/>
              <w:rPr>
                <w:snapToGrid w:val="0"/>
                <w:color w:val="auto"/>
                <w:kern w:val="0"/>
                <w:sz w:val="21"/>
                <w:szCs w:val="21"/>
                <w:lang w:val="zh-CN"/>
              </w:rPr>
            </w:pPr>
          </w:p>
        </w:tc>
        <w:tc>
          <w:tcPr>
            <w:tcW w:w="992" w:type="dxa"/>
            <w:vMerge w:val="continue"/>
            <w:vAlign w:val="center"/>
          </w:tcPr>
          <w:p>
            <w:pPr>
              <w:adjustRightInd w:val="0"/>
              <w:snapToGrid w:val="0"/>
              <w:jc w:val="center"/>
              <w:rPr>
                <w:snapToGrid w:val="0"/>
                <w:color w:val="auto"/>
                <w:kern w:val="0"/>
                <w:sz w:val="21"/>
                <w:szCs w:val="21"/>
                <w:lang w:val="zh-CN"/>
              </w:rPr>
            </w:pPr>
          </w:p>
        </w:tc>
        <w:tc>
          <w:tcPr>
            <w:tcW w:w="1843" w:type="dxa"/>
            <w:vMerge w:val="continue"/>
            <w:vAlign w:val="center"/>
          </w:tcPr>
          <w:p>
            <w:pPr>
              <w:adjustRightInd w:val="0"/>
              <w:snapToGrid w:val="0"/>
              <w:jc w:val="center"/>
              <w:rPr>
                <w:snapToGrid w:val="0"/>
                <w:color w:val="auto"/>
                <w:kern w:val="0"/>
                <w:sz w:val="21"/>
                <w:szCs w:val="21"/>
                <w:lang w:val="zh-CN"/>
              </w:rPr>
            </w:pPr>
          </w:p>
        </w:tc>
        <w:tc>
          <w:tcPr>
            <w:tcW w:w="992" w:type="dxa"/>
            <w:vMerge w:val="continue"/>
            <w:vAlign w:val="center"/>
          </w:tcPr>
          <w:p>
            <w:pPr>
              <w:adjustRightInd w:val="0"/>
              <w:snapToGrid w:val="0"/>
              <w:jc w:val="center"/>
              <w:rPr>
                <w:snapToGrid w:val="0"/>
                <w:color w:val="auto"/>
                <w:kern w:val="0"/>
                <w:sz w:val="21"/>
                <w:szCs w:val="21"/>
                <w:lang w:val="zh-CN"/>
              </w:rPr>
            </w:pPr>
          </w:p>
        </w:tc>
        <w:tc>
          <w:tcPr>
            <w:tcW w:w="851" w:type="dxa"/>
            <w:vMerge w:val="continue"/>
            <w:vAlign w:val="center"/>
          </w:tcPr>
          <w:p>
            <w:pPr>
              <w:adjustRightInd w:val="0"/>
              <w:snapToGrid w:val="0"/>
              <w:jc w:val="center"/>
              <w:rPr>
                <w:snapToGrid w:val="0"/>
                <w:color w:val="auto"/>
                <w:kern w:val="0"/>
                <w:sz w:val="21"/>
                <w:szCs w:val="21"/>
                <w:lang w:val="zh-CN"/>
              </w:rPr>
            </w:pPr>
          </w:p>
        </w:tc>
        <w:tc>
          <w:tcPr>
            <w:tcW w:w="1842" w:type="dxa"/>
            <w:vMerge w:val="continue"/>
            <w:vAlign w:val="center"/>
          </w:tcPr>
          <w:p>
            <w:pPr>
              <w:adjustRightInd w:val="0"/>
              <w:snapToGrid w:val="0"/>
              <w:jc w:val="center"/>
              <w:rPr>
                <w:snapToGrid w:val="0"/>
                <w:color w:val="auto"/>
                <w:kern w:val="0"/>
                <w:sz w:val="21"/>
                <w:szCs w:val="21"/>
                <w:lang w:val="zh-CN"/>
              </w:rPr>
            </w:pPr>
          </w:p>
        </w:tc>
        <w:tc>
          <w:tcPr>
            <w:tcW w:w="2624"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环境空气和废气氨的测定纳氏试剂分光光度法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392" w:type="dxa"/>
            <w:vMerge w:val="restart"/>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废气</w:t>
            </w:r>
          </w:p>
        </w:tc>
        <w:tc>
          <w:tcPr>
            <w:tcW w:w="850" w:type="dxa"/>
            <w:vMerge w:val="restart"/>
            <w:vAlign w:val="center"/>
          </w:tcPr>
          <w:p>
            <w:pPr>
              <w:adjustRightInd w:val="0"/>
              <w:snapToGrid w:val="0"/>
              <w:spacing w:line="0" w:lineRule="atLeast"/>
              <w:contextualSpacing/>
              <w:jc w:val="center"/>
              <w:rPr>
                <w:snapToGrid w:val="0"/>
                <w:color w:val="auto"/>
                <w:kern w:val="0"/>
                <w:sz w:val="21"/>
                <w:szCs w:val="21"/>
                <w:lang w:val="zh-CN"/>
              </w:rPr>
            </w:pPr>
            <w:r>
              <w:rPr>
                <w:rFonts w:hint="eastAsia"/>
                <w:snapToGrid w:val="0"/>
                <w:color w:val="auto"/>
                <w:kern w:val="0"/>
                <w:sz w:val="21"/>
                <w:szCs w:val="21"/>
                <w:lang w:val="zh-CN"/>
              </w:rPr>
              <w:t>屠宰车</w:t>
            </w:r>
            <w:r>
              <w:rPr>
                <w:snapToGrid w:val="0"/>
                <w:color w:val="auto"/>
                <w:kern w:val="0"/>
                <w:sz w:val="21"/>
                <w:szCs w:val="21"/>
                <w:lang w:val="zh-CN"/>
              </w:rPr>
              <w:t>间</w:t>
            </w:r>
          </w:p>
        </w:tc>
        <w:tc>
          <w:tcPr>
            <w:tcW w:w="1276" w:type="dxa"/>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臭气浓度</w:t>
            </w:r>
          </w:p>
        </w:tc>
        <w:tc>
          <w:tcPr>
            <w:tcW w:w="2410" w:type="dxa"/>
            <w:vMerge w:val="restart"/>
            <w:vAlign w:val="center"/>
          </w:tcPr>
          <w:p>
            <w:pPr>
              <w:adjustRightInd w:val="0"/>
              <w:snapToGrid w:val="0"/>
              <w:spacing w:line="0" w:lineRule="atLeast"/>
              <w:contextualSpacing/>
              <w:jc w:val="center"/>
              <w:rPr>
                <w:rFonts w:eastAsiaTheme="minorEastAsia"/>
                <w:snapToGrid w:val="0"/>
                <w:color w:val="auto"/>
                <w:kern w:val="0"/>
                <w:sz w:val="21"/>
                <w:szCs w:val="21"/>
                <w:lang w:val="zh-CN"/>
              </w:rPr>
            </w:pPr>
            <w:r>
              <w:rPr>
                <w:rFonts w:hint="eastAsia" w:hAnsiTheme="minorEastAsia" w:eastAsiaTheme="minorEastAsia"/>
                <w:snapToGrid w:val="0"/>
                <w:color w:val="auto"/>
                <w:kern w:val="0"/>
                <w:sz w:val="21"/>
                <w:szCs w:val="21"/>
              </w:rPr>
              <w:t>屠宰车间封闭，</w:t>
            </w:r>
            <w:r>
              <w:rPr>
                <w:rFonts w:hAnsiTheme="minorEastAsia" w:eastAsiaTheme="minorEastAsia"/>
                <w:bCs/>
                <w:snapToGrid w:val="0"/>
                <w:color w:val="auto"/>
                <w:kern w:val="0"/>
                <w:sz w:val="21"/>
                <w:szCs w:val="21"/>
              </w:rPr>
              <w:t>产生的恶臭气体经负压集中收集后，通过活性炭吸附净化后由15m高排气筒（</w:t>
            </w:r>
            <w:r>
              <w:rPr>
                <w:rFonts w:hint="eastAsia" w:hAnsiTheme="minorEastAsia" w:eastAsiaTheme="minorEastAsia"/>
                <w:bCs/>
                <w:snapToGrid w:val="0"/>
                <w:color w:val="auto"/>
                <w:kern w:val="0"/>
                <w:sz w:val="21"/>
                <w:szCs w:val="21"/>
              </w:rPr>
              <w:t>DA001</w:t>
            </w:r>
            <w:r>
              <w:rPr>
                <w:rFonts w:hAnsiTheme="minorEastAsia" w:eastAsiaTheme="minorEastAsia"/>
                <w:bCs/>
                <w:snapToGrid w:val="0"/>
                <w:color w:val="auto"/>
                <w:kern w:val="0"/>
                <w:sz w:val="21"/>
                <w:szCs w:val="21"/>
              </w:rPr>
              <w:t>）排放</w:t>
            </w:r>
          </w:p>
        </w:tc>
        <w:tc>
          <w:tcPr>
            <w:tcW w:w="992" w:type="dxa"/>
            <w:vMerge w:val="restart"/>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排气筒</w:t>
            </w:r>
            <w:r>
              <w:rPr>
                <w:rFonts w:hint="eastAsia"/>
                <w:snapToGrid w:val="0"/>
                <w:color w:val="auto"/>
                <w:kern w:val="0"/>
                <w:sz w:val="21"/>
                <w:szCs w:val="21"/>
              </w:rPr>
              <w:t>（DA001）</w:t>
            </w:r>
          </w:p>
        </w:tc>
        <w:tc>
          <w:tcPr>
            <w:tcW w:w="1843" w:type="dxa"/>
            <w:vMerge w:val="restart"/>
            <w:vAlign w:val="center"/>
          </w:tcPr>
          <w:p>
            <w:pPr>
              <w:pStyle w:val="84"/>
              <w:adjustRightInd w:val="0"/>
              <w:snapToGrid w:val="0"/>
              <w:spacing w:line="0" w:lineRule="atLeast"/>
              <w:contextualSpacing/>
              <w:rPr>
                <w:rFonts w:hAnsi="Times New Roman"/>
                <w:snapToGrid w:val="0"/>
                <w:color w:val="auto"/>
                <w:kern w:val="0"/>
                <w:sz w:val="21"/>
              </w:rPr>
            </w:pPr>
            <w:r>
              <w:rPr>
                <w:rFonts w:hAnsi="Times New Roman"/>
                <w:snapToGrid w:val="0"/>
                <w:color w:val="auto"/>
                <w:kern w:val="0"/>
                <w:sz w:val="21"/>
              </w:rPr>
              <w:t>满足《恶臭污染物排放标准》（GB14554-93）表2标准要求</w:t>
            </w:r>
          </w:p>
        </w:tc>
        <w:tc>
          <w:tcPr>
            <w:tcW w:w="992" w:type="dxa"/>
            <w:vMerge w:val="restart"/>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1次/半年</w:t>
            </w:r>
          </w:p>
        </w:tc>
        <w:tc>
          <w:tcPr>
            <w:tcW w:w="851" w:type="dxa"/>
            <w:vMerge w:val="restart"/>
            <w:vAlign w:val="center"/>
          </w:tcPr>
          <w:p>
            <w:pPr>
              <w:pStyle w:val="84"/>
              <w:adjustRightInd w:val="0"/>
              <w:snapToGrid w:val="0"/>
              <w:spacing w:line="0" w:lineRule="atLeast"/>
              <w:contextualSpacing/>
              <w:rPr>
                <w:rFonts w:hAnsi="Times New Roman"/>
                <w:snapToGrid w:val="0"/>
                <w:color w:val="auto"/>
                <w:kern w:val="0"/>
                <w:sz w:val="21"/>
              </w:rPr>
            </w:pPr>
            <w:r>
              <w:rPr>
                <w:rFonts w:hAnsi="Times New Roman"/>
                <w:snapToGrid w:val="0"/>
                <w:color w:val="auto"/>
                <w:kern w:val="0"/>
                <w:sz w:val="21"/>
              </w:rPr>
              <w:t>手工监测技术</w:t>
            </w:r>
          </w:p>
        </w:tc>
        <w:tc>
          <w:tcPr>
            <w:tcW w:w="1842" w:type="dxa"/>
            <w:vMerge w:val="restart"/>
            <w:vAlign w:val="center"/>
          </w:tcPr>
          <w:p>
            <w:pPr>
              <w:pStyle w:val="84"/>
              <w:adjustRightInd w:val="0"/>
              <w:snapToGrid w:val="0"/>
              <w:spacing w:line="0" w:lineRule="atLeast"/>
              <w:contextualSpacing/>
              <w:rPr>
                <w:rFonts w:hAnsi="Times New Roman"/>
                <w:snapToGrid w:val="0"/>
                <w:color w:val="auto"/>
                <w:kern w:val="0"/>
                <w:sz w:val="21"/>
              </w:rPr>
            </w:pPr>
            <w:r>
              <w:rPr>
                <w:rFonts w:hAnsi="Times New Roman"/>
                <w:snapToGrid w:val="0"/>
                <w:color w:val="auto"/>
                <w:kern w:val="0"/>
                <w:sz w:val="21"/>
                <w:lang w:val="zh-CN"/>
              </w:rPr>
              <w:t>参照《恶臭污染物排放标准》(GB14554-93)及GB/T16157、HJ/T397执行</w:t>
            </w:r>
          </w:p>
        </w:tc>
        <w:tc>
          <w:tcPr>
            <w:tcW w:w="2624" w:type="dxa"/>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《空气质量恶臭的测定三点比较式臭袋法》（GB/T 14675-1993）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392"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850"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1276" w:type="dxa"/>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硫化氢</w:t>
            </w:r>
          </w:p>
        </w:tc>
        <w:tc>
          <w:tcPr>
            <w:tcW w:w="2410"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992"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1843"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992"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851"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1842"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2624" w:type="dxa"/>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亚甲蓝分光光度法《空气和废气监测分析方法》(第四版增补版)国家环保总局(2003) P171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392"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850"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1276" w:type="dxa"/>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氨</w:t>
            </w:r>
          </w:p>
        </w:tc>
        <w:tc>
          <w:tcPr>
            <w:tcW w:w="2410"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992"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1843"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992"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851"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1842"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2624" w:type="dxa"/>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环境空气和废气氨的测定纳氏试剂分光光度法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392"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850" w:type="dxa"/>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污水处理站</w:t>
            </w:r>
          </w:p>
        </w:tc>
        <w:tc>
          <w:tcPr>
            <w:tcW w:w="1276" w:type="dxa"/>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臭气浓度</w:t>
            </w:r>
          </w:p>
        </w:tc>
        <w:tc>
          <w:tcPr>
            <w:tcW w:w="2410" w:type="dxa"/>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rPr>
              <w:t>污水处理站封闭，</w:t>
            </w:r>
            <w:r>
              <w:rPr>
                <w:bCs/>
                <w:snapToGrid w:val="0"/>
                <w:color w:val="auto"/>
                <w:kern w:val="0"/>
                <w:sz w:val="21"/>
                <w:szCs w:val="21"/>
              </w:rPr>
              <w:t>产生的恶臭气体经负压集中收集后，通过活性炭吸附净化后由15m高排气筒（</w:t>
            </w:r>
            <w:r>
              <w:rPr>
                <w:rFonts w:hint="eastAsia"/>
                <w:bCs/>
                <w:snapToGrid w:val="0"/>
                <w:color w:val="auto"/>
                <w:kern w:val="0"/>
                <w:sz w:val="21"/>
                <w:szCs w:val="21"/>
              </w:rPr>
              <w:t>DA002</w:t>
            </w:r>
            <w:r>
              <w:rPr>
                <w:bCs/>
                <w:snapToGrid w:val="0"/>
                <w:color w:val="auto"/>
                <w:kern w:val="0"/>
                <w:sz w:val="21"/>
                <w:szCs w:val="21"/>
              </w:rPr>
              <w:t>）排放</w:t>
            </w:r>
          </w:p>
        </w:tc>
        <w:tc>
          <w:tcPr>
            <w:tcW w:w="992" w:type="dxa"/>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排气筒</w:t>
            </w:r>
            <w:r>
              <w:rPr>
                <w:rFonts w:hint="eastAsia"/>
                <w:snapToGrid w:val="0"/>
                <w:color w:val="auto"/>
                <w:kern w:val="0"/>
                <w:sz w:val="21"/>
                <w:szCs w:val="21"/>
              </w:rPr>
              <w:t>（DA002）</w:t>
            </w:r>
          </w:p>
        </w:tc>
        <w:tc>
          <w:tcPr>
            <w:tcW w:w="1843"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992" w:type="dxa"/>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1次/半年</w:t>
            </w:r>
          </w:p>
        </w:tc>
        <w:tc>
          <w:tcPr>
            <w:tcW w:w="851" w:type="dxa"/>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rPr>
              <w:t>手工监测技术</w:t>
            </w:r>
          </w:p>
        </w:tc>
        <w:tc>
          <w:tcPr>
            <w:tcW w:w="1842" w:type="dxa"/>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参照《恶臭污染物排放标准》(GB14554-93)及GB/T16157、HJ/T397执行</w:t>
            </w:r>
          </w:p>
        </w:tc>
        <w:tc>
          <w:tcPr>
            <w:tcW w:w="2624" w:type="dxa"/>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《空气质量恶臭的测定三点比较式臭袋法》（GB/T 14675-1993）</w:t>
            </w:r>
          </w:p>
        </w:tc>
      </w:tr>
    </w:tbl>
    <w:p>
      <w:pPr>
        <w:rPr>
          <w:color w:val="auto"/>
        </w:rPr>
      </w:pPr>
    </w:p>
    <w:p>
      <w:pPr>
        <w:spacing w:line="360" w:lineRule="auto"/>
        <w:jc w:val="center"/>
        <w:rPr>
          <w:b/>
          <w:snapToGrid w:val="0"/>
          <w:color w:val="auto"/>
          <w:kern w:val="0"/>
          <w:sz w:val="24"/>
          <w:highlight w:val="yellow"/>
          <w:lang w:val="zh-CN"/>
        </w:rPr>
      </w:pPr>
      <w:r>
        <w:rPr>
          <w:b/>
          <w:snapToGrid w:val="0"/>
          <w:color w:val="auto"/>
          <w:kern w:val="0"/>
          <w:sz w:val="24"/>
          <w:lang w:val="zh-CN"/>
        </w:rPr>
        <w:t>续表8-2-1污染源监测计划一览表</w:t>
      </w:r>
    </w:p>
    <w:tbl>
      <w:tblPr>
        <w:tblStyle w:val="713"/>
        <w:tblW w:w="1449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2"/>
        <w:gridCol w:w="850"/>
        <w:gridCol w:w="1276"/>
        <w:gridCol w:w="2410"/>
        <w:gridCol w:w="992"/>
        <w:gridCol w:w="1843"/>
        <w:gridCol w:w="992"/>
        <w:gridCol w:w="851"/>
        <w:gridCol w:w="1842"/>
        <w:gridCol w:w="2998"/>
        <w:gridCol w:w="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392"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项目</w:t>
            </w:r>
          </w:p>
        </w:tc>
        <w:tc>
          <w:tcPr>
            <w:tcW w:w="850"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污染源</w:t>
            </w:r>
          </w:p>
        </w:tc>
        <w:tc>
          <w:tcPr>
            <w:tcW w:w="1276"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监测指标</w:t>
            </w:r>
          </w:p>
        </w:tc>
        <w:tc>
          <w:tcPr>
            <w:tcW w:w="2410"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环境保护措施</w:t>
            </w:r>
          </w:p>
        </w:tc>
        <w:tc>
          <w:tcPr>
            <w:tcW w:w="992"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监测点位</w:t>
            </w:r>
          </w:p>
        </w:tc>
        <w:tc>
          <w:tcPr>
            <w:tcW w:w="1843"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执行标准</w:t>
            </w:r>
          </w:p>
        </w:tc>
        <w:tc>
          <w:tcPr>
            <w:tcW w:w="992"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监测频次</w:t>
            </w:r>
          </w:p>
        </w:tc>
        <w:tc>
          <w:tcPr>
            <w:tcW w:w="851"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监测技术</w:t>
            </w:r>
          </w:p>
        </w:tc>
        <w:tc>
          <w:tcPr>
            <w:tcW w:w="1842"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采样方法</w:t>
            </w:r>
          </w:p>
        </w:tc>
        <w:tc>
          <w:tcPr>
            <w:tcW w:w="3051" w:type="dxa"/>
            <w:gridSpan w:val="2"/>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监测分析方法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392" w:type="dxa"/>
            <w:vMerge w:val="restart"/>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废气</w:t>
            </w:r>
          </w:p>
        </w:tc>
        <w:tc>
          <w:tcPr>
            <w:tcW w:w="850" w:type="dxa"/>
            <w:vMerge w:val="restart"/>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污水处理站</w:t>
            </w:r>
          </w:p>
        </w:tc>
        <w:tc>
          <w:tcPr>
            <w:tcW w:w="1276" w:type="dxa"/>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硫化氢</w:t>
            </w:r>
          </w:p>
        </w:tc>
        <w:tc>
          <w:tcPr>
            <w:tcW w:w="2410" w:type="dxa"/>
            <w:vMerge w:val="restart"/>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rPr>
              <w:t>污水处理站封闭，</w:t>
            </w:r>
            <w:r>
              <w:rPr>
                <w:bCs/>
                <w:snapToGrid w:val="0"/>
                <w:color w:val="auto"/>
                <w:kern w:val="0"/>
                <w:sz w:val="21"/>
                <w:szCs w:val="21"/>
              </w:rPr>
              <w:t>产生的恶臭气体经负压集中收集后，通过活性炭吸附净化后由15m高排气筒（</w:t>
            </w:r>
            <w:r>
              <w:rPr>
                <w:rFonts w:hint="eastAsia"/>
                <w:bCs/>
                <w:snapToGrid w:val="0"/>
                <w:color w:val="auto"/>
                <w:kern w:val="0"/>
                <w:sz w:val="21"/>
                <w:szCs w:val="21"/>
              </w:rPr>
              <w:t>DA002</w:t>
            </w:r>
            <w:r>
              <w:rPr>
                <w:bCs/>
                <w:snapToGrid w:val="0"/>
                <w:color w:val="auto"/>
                <w:kern w:val="0"/>
                <w:sz w:val="21"/>
                <w:szCs w:val="21"/>
              </w:rPr>
              <w:t>）排放</w:t>
            </w:r>
            <w:r>
              <w:rPr>
                <w:rFonts w:hint="eastAsia"/>
                <w:snapToGrid w:val="0"/>
                <w:color w:val="auto"/>
                <w:kern w:val="0"/>
                <w:sz w:val="21"/>
                <w:szCs w:val="21"/>
              </w:rPr>
              <w:t>。</w:t>
            </w:r>
          </w:p>
        </w:tc>
        <w:tc>
          <w:tcPr>
            <w:tcW w:w="992" w:type="dxa"/>
            <w:vMerge w:val="restart"/>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排气筒</w:t>
            </w:r>
            <w:r>
              <w:rPr>
                <w:rFonts w:hint="eastAsia"/>
                <w:snapToGrid w:val="0"/>
                <w:color w:val="auto"/>
                <w:kern w:val="0"/>
                <w:sz w:val="21"/>
                <w:szCs w:val="21"/>
              </w:rPr>
              <w:t>（DA002）</w:t>
            </w:r>
          </w:p>
        </w:tc>
        <w:tc>
          <w:tcPr>
            <w:tcW w:w="1843" w:type="dxa"/>
            <w:vMerge w:val="restart"/>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rPr>
              <w:t>满足《恶臭污染物排放标准》（GB14554-93）表2标准要求</w:t>
            </w:r>
          </w:p>
        </w:tc>
        <w:tc>
          <w:tcPr>
            <w:tcW w:w="992" w:type="dxa"/>
            <w:vMerge w:val="restart"/>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1次/半年</w:t>
            </w:r>
          </w:p>
        </w:tc>
        <w:tc>
          <w:tcPr>
            <w:tcW w:w="851" w:type="dxa"/>
            <w:vMerge w:val="restart"/>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rPr>
              <w:t>手工监测技术</w:t>
            </w:r>
          </w:p>
        </w:tc>
        <w:tc>
          <w:tcPr>
            <w:tcW w:w="1842" w:type="dxa"/>
            <w:vMerge w:val="restart"/>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参照《恶臭污染物排放标准》(GB14554-93)及GB/T16157、HJ/T397执行</w:t>
            </w:r>
          </w:p>
        </w:tc>
        <w:tc>
          <w:tcPr>
            <w:tcW w:w="3051" w:type="dxa"/>
            <w:gridSpan w:val="2"/>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亚甲蓝分光光度法《空气和废气监测分析方法》(第四版增补版)国家环保总局(2003) P171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392"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850"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1276" w:type="dxa"/>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氨</w:t>
            </w:r>
          </w:p>
        </w:tc>
        <w:tc>
          <w:tcPr>
            <w:tcW w:w="2410"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992"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1843"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992"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851"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1842"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3051" w:type="dxa"/>
            <w:gridSpan w:val="2"/>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环境空气和废气氨的测定纳氏试剂分光光度法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392" w:type="dxa"/>
            <w:vMerge w:val="continue"/>
            <w:vAlign w:val="center"/>
          </w:tcPr>
          <w:p>
            <w:pPr>
              <w:adjustRightInd w:val="0"/>
              <w:snapToGrid w:val="0"/>
              <w:spacing w:line="0" w:lineRule="atLeast"/>
              <w:contextualSpacing/>
              <w:jc w:val="center"/>
              <w:rPr>
                <w:snapToGrid w:val="0"/>
                <w:color w:val="FF0000"/>
                <w:kern w:val="0"/>
                <w:sz w:val="20"/>
                <w:szCs w:val="21"/>
                <w:lang w:val="zh-CN"/>
              </w:rPr>
            </w:pPr>
          </w:p>
        </w:tc>
        <w:tc>
          <w:tcPr>
            <w:tcW w:w="850" w:type="dxa"/>
            <w:vMerge w:val="restart"/>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待宰间</w:t>
            </w:r>
          </w:p>
        </w:tc>
        <w:tc>
          <w:tcPr>
            <w:tcW w:w="1276" w:type="dxa"/>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臭气浓度</w:t>
            </w:r>
          </w:p>
        </w:tc>
        <w:tc>
          <w:tcPr>
            <w:tcW w:w="2410" w:type="dxa"/>
            <w:vMerge w:val="restart"/>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rPr>
              <w:t>待宰</w:t>
            </w:r>
            <w:r>
              <w:rPr>
                <w:rFonts w:hint="eastAsia"/>
                <w:snapToGrid w:val="0"/>
                <w:color w:val="auto"/>
                <w:kern w:val="0"/>
                <w:sz w:val="21"/>
                <w:szCs w:val="21"/>
              </w:rPr>
              <w:t>间封闭，</w:t>
            </w:r>
            <w:r>
              <w:rPr>
                <w:bCs/>
                <w:snapToGrid w:val="0"/>
                <w:color w:val="auto"/>
                <w:kern w:val="0"/>
                <w:sz w:val="21"/>
                <w:szCs w:val="21"/>
              </w:rPr>
              <w:t>及时清扫，并投加或喷洒除臭剂，产生的</w:t>
            </w:r>
            <w:r>
              <w:rPr>
                <w:rFonts w:hint="eastAsia"/>
                <w:bCs/>
                <w:snapToGrid w:val="0"/>
                <w:color w:val="auto"/>
                <w:kern w:val="0"/>
                <w:sz w:val="21"/>
                <w:szCs w:val="21"/>
              </w:rPr>
              <w:t>恶臭气体</w:t>
            </w:r>
            <w:r>
              <w:rPr>
                <w:bCs/>
                <w:snapToGrid w:val="0"/>
                <w:color w:val="auto"/>
                <w:kern w:val="0"/>
                <w:sz w:val="21"/>
                <w:szCs w:val="21"/>
              </w:rPr>
              <w:t>经负压集中收集后，通过活性炭吸附净化后由15m高排气筒（</w:t>
            </w:r>
            <w:r>
              <w:rPr>
                <w:rFonts w:hint="eastAsia"/>
                <w:bCs/>
                <w:snapToGrid w:val="0"/>
                <w:color w:val="auto"/>
                <w:kern w:val="0"/>
                <w:sz w:val="21"/>
                <w:szCs w:val="21"/>
              </w:rPr>
              <w:t>DA00</w:t>
            </w:r>
            <w:r>
              <w:rPr>
                <w:rFonts w:hint="eastAsia"/>
                <w:bCs/>
                <w:snapToGrid w:val="0"/>
                <w:color w:val="auto"/>
                <w:kern w:val="0"/>
                <w:sz w:val="21"/>
                <w:szCs w:val="21"/>
                <w:lang w:val="en-US" w:eastAsia="zh-CN"/>
              </w:rPr>
              <w:t>3</w:t>
            </w:r>
            <w:r>
              <w:rPr>
                <w:bCs/>
                <w:snapToGrid w:val="0"/>
                <w:color w:val="auto"/>
                <w:kern w:val="0"/>
                <w:sz w:val="21"/>
                <w:szCs w:val="21"/>
              </w:rPr>
              <w:t>）排放</w:t>
            </w:r>
          </w:p>
        </w:tc>
        <w:tc>
          <w:tcPr>
            <w:tcW w:w="992" w:type="dxa"/>
            <w:vMerge w:val="restart"/>
            <w:vAlign w:val="center"/>
          </w:tcPr>
          <w:p>
            <w:pPr>
              <w:adjustRightInd w:val="0"/>
              <w:snapToGrid w:val="0"/>
              <w:spacing w:line="0" w:lineRule="atLeast"/>
              <w:contextualSpacing/>
              <w:jc w:val="center"/>
              <w:rPr>
                <w:snapToGrid w:val="0"/>
                <w:color w:val="auto"/>
                <w:kern w:val="0"/>
                <w:sz w:val="20"/>
                <w:szCs w:val="21"/>
                <w:lang w:val="zh-CN"/>
              </w:rPr>
            </w:pPr>
            <w:r>
              <w:rPr>
                <w:snapToGrid w:val="0"/>
                <w:color w:val="auto"/>
                <w:kern w:val="0"/>
                <w:sz w:val="21"/>
                <w:szCs w:val="21"/>
                <w:lang w:val="zh-CN"/>
              </w:rPr>
              <w:t>排气筒</w:t>
            </w:r>
            <w:r>
              <w:rPr>
                <w:rFonts w:hint="eastAsia"/>
                <w:snapToGrid w:val="0"/>
                <w:color w:val="auto"/>
                <w:kern w:val="0"/>
                <w:sz w:val="21"/>
                <w:szCs w:val="21"/>
              </w:rPr>
              <w:t>（DA00</w:t>
            </w:r>
            <w:r>
              <w:rPr>
                <w:rFonts w:hint="eastAsia"/>
                <w:snapToGrid w:val="0"/>
                <w:color w:val="auto"/>
                <w:kern w:val="0"/>
                <w:sz w:val="21"/>
                <w:szCs w:val="21"/>
                <w:lang w:val="en-US" w:eastAsia="zh-CN"/>
              </w:rPr>
              <w:t>3</w:t>
            </w:r>
            <w:r>
              <w:rPr>
                <w:rFonts w:hint="eastAsia"/>
                <w:snapToGrid w:val="0"/>
                <w:color w:val="auto"/>
                <w:kern w:val="0"/>
                <w:sz w:val="21"/>
                <w:szCs w:val="21"/>
              </w:rPr>
              <w:t>）</w:t>
            </w:r>
          </w:p>
        </w:tc>
        <w:tc>
          <w:tcPr>
            <w:tcW w:w="1843" w:type="dxa"/>
            <w:vMerge w:val="continue"/>
            <w:vAlign w:val="center"/>
          </w:tcPr>
          <w:p>
            <w:pPr>
              <w:adjustRightInd w:val="0"/>
              <w:snapToGrid w:val="0"/>
              <w:spacing w:line="0" w:lineRule="atLeast"/>
              <w:contextualSpacing/>
              <w:jc w:val="center"/>
              <w:rPr>
                <w:snapToGrid w:val="0"/>
                <w:color w:val="auto"/>
                <w:kern w:val="0"/>
                <w:sz w:val="20"/>
                <w:szCs w:val="21"/>
                <w:lang w:val="zh-CN"/>
              </w:rPr>
            </w:pPr>
          </w:p>
        </w:tc>
        <w:tc>
          <w:tcPr>
            <w:tcW w:w="992" w:type="dxa"/>
            <w:vMerge w:val="restart"/>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1次/半年</w:t>
            </w:r>
          </w:p>
        </w:tc>
        <w:tc>
          <w:tcPr>
            <w:tcW w:w="851" w:type="dxa"/>
            <w:vMerge w:val="restart"/>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rPr>
              <w:t>手工监测技术</w:t>
            </w:r>
          </w:p>
        </w:tc>
        <w:tc>
          <w:tcPr>
            <w:tcW w:w="1842" w:type="dxa"/>
            <w:vMerge w:val="restart"/>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参照《恶臭污染物排放标准》(GB14554-93)及GB/T16157、HJ/T397执行</w:t>
            </w:r>
          </w:p>
        </w:tc>
        <w:tc>
          <w:tcPr>
            <w:tcW w:w="3051" w:type="dxa"/>
            <w:gridSpan w:val="2"/>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《空气质量恶臭的测定三点比较式臭袋法》（GB/T 14675-1993）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392" w:type="dxa"/>
            <w:vMerge w:val="continue"/>
            <w:vAlign w:val="center"/>
          </w:tcPr>
          <w:p>
            <w:pPr>
              <w:adjustRightInd w:val="0"/>
              <w:snapToGrid w:val="0"/>
              <w:spacing w:line="0" w:lineRule="atLeast"/>
              <w:contextualSpacing/>
              <w:jc w:val="center"/>
              <w:rPr>
                <w:snapToGrid w:val="0"/>
                <w:color w:val="FF0000"/>
                <w:kern w:val="0"/>
                <w:sz w:val="20"/>
                <w:szCs w:val="21"/>
                <w:lang w:val="zh-CN"/>
              </w:rPr>
            </w:pPr>
          </w:p>
        </w:tc>
        <w:tc>
          <w:tcPr>
            <w:tcW w:w="850" w:type="dxa"/>
            <w:vMerge w:val="continue"/>
            <w:vAlign w:val="center"/>
          </w:tcPr>
          <w:p>
            <w:pPr>
              <w:adjustRightInd w:val="0"/>
              <w:snapToGrid w:val="0"/>
              <w:spacing w:line="0" w:lineRule="atLeast"/>
              <w:contextualSpacing/>
              <w:jc w:val="center"/>
              <w:rPr>
                <w:snapToGrid w:val="0"/>
                <w:color w:val="auto"/>
                <w:kern w:val="0"/>
                <w:sz w:val="20"/>
                <w:szCs w:val="21"/>
                <w:lang w:val="zh-CN"/>
              </w:rPr>
            </w:pPr>
          </w:p>
        </w:tc>
        <w:tc>
          <w:tcPr>
            <w:tcW w:w="1276" w:type="dxa"/>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硫化氢</w:t>
            </w:r>
          </w:p>
        </w:tc>
        <w:tc>
          <w:tcPr>
            <w:tcW w:w="2410" w:type="dxa"/>
            <w:vMerge w:val="continue"/>
            <w:vAlign w:val="center"/>
          </w:tcPr>
          <w:p>
            <w:pPr>
              <w:adjustRightInd w:val="0"/>
              <w:snapToGrid w:val="0"/>
              <w:spacing w:line="0" w:lineRule="atLeast"/>
              <w:contextualSpacing/>
              <w:jc w:val="center"/>
              <w:rPr>
                <w:snapToGrid w:val="0"/>
                <w:color w:val="auto"/>
                <w:kern w:val="0"/>
                <w:sz w:val="20"/>
                <w:szCs w:val="21"/>
                <w:lang w:val="zh-CN"/>
              </w:rPr>
            </w:pPr>
          </w:p>
        </w:tc>
        <w:tc>
          <w:tcPr>
            <w:tcW w:w="992" w:type="dxa"/>
            <w:vMerge w:val="continue"/>
            <w:vAlign w:val="center"/>
          </w:tcPr>
          <w:p>
            <w:pPr>
              <w:adjustRightInd w:val="0"/>
              <w:snapToGrid w:val="0"/>
              <w:spacing w:line="0" w:lineRule="atLeast"/>
              <w:contextualSpacing/>
              <w:jc w:val="center"/>
              <w:rPr>
                <w:snapToGrid w:val="0"/>
                <w:color w:val="auto"/>
                <w:kern w:val="0"/>
                <w:sz w:val="20"/>
                <w:szCs w:val="21"/>
                <w:lang w:val="zh-CN"/>
              </w:rPr>
            </w:pPr>
          </w:p>
        </w:tc>
        <w:tc>
          <w:tcPr>
            <w:tcW w:w="1843" w:type="dxa"/>
            <w:vMerge w:val="continue"/>
            <w:vAlign w:val="center"/>
          </w:tcPr>
          <w:p>
            <w:pPr>
              <w:adjustRightInd w:val="0"/>
              <w:snapToGrid w:val="0"/>
              <w:spacing w:line="0" w:lineRule="atLeast"/>
              <w:contextualSpacing/>
              <w:jc w:val="center"/>
              <w:rPr>
                <w:snapToGrid w:val="0"/>
                <w:color w:val="auto"/>
                <w:kern w:val="0"/>
                <w:sz w:val="20"/>
                <w:szCs w:val="21"/>
                <w:lang w:val="zh-CN"/>
              </w:rPr>
            </w:pPr>
          </w:p>
        </w:tc>
        <w:tc>
          <w:tcPr>
            <w:tcW w:w="992" w:type="dxa"/>
            <w:vMerge w:val="continue"/>
            <w:vAlign w:val="center"/>
          </w:tcPr>
          <w:p>
            <w:pPr>
              <w:adjustRightInd w:val="0"/>
              <w:snapToGrid w:val="0"/>
              <w:spacing w:line="0" w:lineRule="atLeast"/>
              <w:contextualSpacing/>
              <w:jc w:val="center"/>
              <w:rPr>
                <w:snapToGrid w:val="0"/>
                <w:color w:val="auto"/>
                <w:kern w:val="0"/>
                <w:sz w:val="20"/>
                <w:szCs w:val="21"/>
                <w:lang w:val="zh-CN"/>
              </w:rPr>
            </w:pPr>
          </w:p>
        </w:tc>
        <w:tc>
          <w:tcPr>
            <w:tcW w:w="851" w:type="dxa"/>
            <w:vMerge w:val="continue"/>
            <w:vAlign w:val="center"/>
          </w:tcPr>
          <w:p>
            <w:pPr>
              <w:adjustRightInd w:val="0"/>
              <w:snapToGrid w:val="0"/>
              <w:spacing w:line="0" w:lineRule="atLeast"/>
              <w:contextualSpacing/>
              <w:jc w:val="center"/>
              <w:rPr>
                <w:snapToGrid w:val="0"/>
                <w:color w:val="auto"/>
                <w:kern w:val="0"/>
                <w:sz w:val="20"/>
                <w:szCs w:val="21"/>
                <w:lang w:val="zh-CN"/>
              </w:rPr>
            </w:pPr>
          </w:p>
        </w:tc>
        <w:tc>
          <w:tcPr>
            <w:tcW w:w="1842" w:type="dxa"/>
            <w:vMerge w:val="continue"/>
            <w:vAlign w:val="center"/>
          </w:tcPr>
          <w:p>
            <w:pPr>
              <w:adjustRightInd w:val="0"/>
              <w:snapToGrid w:val="0"/>
              <w:spacing w:line="0" w:lineRule="atLeast"/>
              <w:contextualSpacing/>
              <w:jc w:val="center"/>
              <w:rPr>
                <w:snapToGrid w:val="0"/>
                <w:color w:val="auto"/>
                <w:kern w:val="0"/>
                <w:sz w:val="20"/>
                <w:szCs w:val="21"/>
                <w:lang w:val="zh-CN"/>
              </w:rPr>
            </w:pPr>
          </w:p>
        </w:tc>
        <w:tc>
          <w:tcPr>
            <w:tcW w:w="3051" w:type="dxa"/>
            <w:gridSpan w:val="2"/>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亚甲蓝分光光度法《空气和废气监测分析方法》(第四版增补版)国家环保总局(2003) P171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392" w:type="dxa"/>
            <w:vMerge w:val="continue"/>
            <w:vAlign w:val="center"/>
          </w:tcPr>
          <w:p>
            <w:pPr>
              <w:adjustRightInd w:val="0"/>
              <w:snapToGrid w:val="0"/>
              <w:spacing w:line="0" w:lineRule="atLeast"/>
              <w:contextualSpacing/>
              <w:jc w:val="center"/>
              <w:rPr>
                <w:snapToGrid w:val="0"/>
                <w:color w:val="FF0000"/>
                <w:kern w:val="0"/>
                <w:sz w:val="20"/>
                <w:szCs w:val="21"/>
                <w:lang w:val="zh-CN"/>
              </w:rPr>
            </w:pPr>
          </w:p>
        </w:tc>
        <w:tc>
          <w:tcPr>
            <w:tcW w:w="850" w:type="dxa"/>
            <w:vMerge w:val="continue"/>
            <w:vAlign w:val="center"/>
          </w:tcPr>
          <w:p>
            <w:pPr>
              <w:adjustRightInd w:val="0"/>
              <w:snapToGrid w:val="0"/>
              <w:spacing w:line="0" w:lineRule="atLeast"/>
              <w:contextualSpacing/>
              <w:jc w:val="center"/>
              <w:rPr>
                <w:snapToGrid w:val="0"/>
                <w:color w:val="auto"/>
                <w:kern w:val="0"/>
                <w:sz w:val="20"/>
                <w:szCs w:val="21"/>
                <w:lang w:val="zh-CN"/>
              </w:rPr>
            </w:pPr>
          </w:p>
        </w:tc>
        <w:tc>
          <w:tcPr>
            <w:tcW w:w="1276" w:type="dxa"/>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氨</w:t>
            </w:r>
          </w:p>
        </w:tc>
        <w:tc>
          <w:tcPr>
            <w:tcW w:w="2410" w:type="dxa"/>
            <w:vMerge w:val="continue"/>
            <w:vAlign w:val="center"/>
          </w:tcPr>
          <w:p>
            <w:pPr>
              <w:adjustRightInd w:val="0"/>
              <w:snapToGrid w:val="0"/>
              <w:spacing w:line="0" w:lineRule="atLeast"/>
              <w:contextualSpacing/>
              <w:jc w:val="center"/>
              <w:rPr>
                <w:snapToGrid w:val="0"/>
                <w:color w:val="auto"/>
                <w:kern w:val="0"/>
                <w:sz w:val="20"/>
                <w:szCs w:val="21"/>
                <w:lang w:val="zh-CN"/>
              </w:rPr>
            </w:pPr>
          </w:p>
        </w:tc>
        <w:tc>
          <w:tcPr>
            <w:tcW w:w="992" w:type="dxa"/>
            <w:vMerge w:val="continue"/>
            <w:vAlign w:val="center"/>
          </w:tcPr>
          <w:p>
            <w:pPr>
              <w:adjustRightInd w:val="0"/>
              <w:snapToGrid w:val="0"/>
              <w:spacing w:line="0" w:lineRule="atLeast"/>
              <w:contextualSpacing/>
              <w:jc w:val="center"/>
              <w:rPr>
                <w:snapToGrid w:val="0"/>
                <w:color w:val="auto"/>
                <w:kern w:val="0"/>
                <w:sz w:val="20"/>
                <w:szCs w:val="21"/>
                <w:lang w:val="zh-CN"/>
              </w:rPr>
            </w:pPr>
          </w:p>
        </w:tc>
        <w:tc>
          <w:tcPr>
            <w:tcW w:w="1843" w:type="dxa"/>
            <w:vMerge w:val="continue"/>
            <w:vAlign w:val="center"/>
          </w:tcPr>
          <w:p>
            <w:pPr>
              <w:adjustRightInd w:val="0"/>
              <w:snapToGrid w:val="0"/>
              <w:spacing w:line="0" w:lineRule="atLeast"/>
              <w:contextualSpacing/>
              <w:jc w:val="center"/>
              <w:rPr>
                <w:snapToGrid w:val="0"/>
                <w:color w:val="auto"/>
                <w:kern w:val="0"/>
                <w:sz w:val="20"/>
                <w:szCs w:val="21"/>
                <w:lang w:val="zh-CN"/>
              </w:rPr>
            </w:pPr>
          </w:p>
        </w:tc>
        <w:tc>
          <w:tcPr>
            <w:tcW w:w="992" w:type="dxa"/>
            <w:vMerge w:val="continue"/>
            <w:vAlign w:val="center"/>
          </w:tcPr>
          <w:p>
            <w:pPr>
              <w:adjustRightInd w:val="0"/>
              <w:snapToGrid w:val="0"/>
              <w:spacing w:line="0" w:lineRule="atLeast"/>
              <w:contextualSpacing/>
              <w:jc w:val="center"/>
              <w:rPr>
                <w:snapToGrid w:val="0"/>
                <w:color w:val="auto"/>
                <w:kern w:val="0"/>
                <w:sz w:val="20"/>
                <w:szCs w:val="21"/>
                <w:lang w:val="zh-CN"/>
              </w:rPr>
            </w:pPr>
          </w:p>
        </w:tc>
        <w:tc>
          <w:tcPr>
            <w:tcW w:w="851" w:type="dxa"/>
            <w:vMerge w:val="continue"/>
            <w:vAlign w:val="center"/>
          </w:tcPr>
          <w:p>
            <w:pPr>
              <w:adjustRightInd w:val="0"/>
              <w:snapToGrid w:val="0"/>
              <w:spacing w:line="0" w:lineRule="atLeast"/>
              <w:contextualSpacing/>
              <w:jc w:val="center"/>
              <w:rPr>
                <w:snapToGrid w:val="0"/>
                <w:color w:val="auto"/>
                <w:kern w:val="0"/>
                <w:sz w:val="20"/>
                <w:szCs w:val="21"/>
                <w:lang w:val="zh-CN"/>
              </w:rPr>
            </w:pPr>
          </w:p>
        </w:tc>
        <w:tc>
          <w:tcPr>
            <w:tcW w:w="1842" w:type="dxa"/>
            <w:vMerge w:val="continue"/>
            <w:vAlign w:val="center"/>
          </w:tcPr>
          <w:p>
            <w:pPr>
              <w:adjustRightInd w:val="0"/>
              <w:snapToGrid w:val="0"/>
              <w:spacing w:line="0" w:lineRule="atLeast"/>
              <w:contextualSpacing/>
              <w:jc w:val="center"/>
              <w:rPr>
                <w:snapToGrid w:val="0"/>
                <w:color w:val="auto"/>
                <w:kern w:val="0"/>
                <w:sz w:val="20"/>
                <w:szCs w:val="21"/>
                <w:lang w:val="zh-CN"/>
              </w:rPr>
            </w:pPr>
          </w:p>
        </w:tc>
        <w:tc>
          <w:tcPr>
            <w:tcW w:w="3051" w:type="dxa"/>
            <w:gridSpan w:val="2"/>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环境空气和废气氨的测定纳氏试剂分光光度法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392" w:type="dxa"/>
            <w:vMerge w:val="continue"/>
            <w:vAlign w:val="center"/>
          </w:tcPr>
          <w:p>
            <w:pPr>
              <w:adjustRightInd w:val="0"/>
              <w:snapToGrid w:val="0"/>
              <w:spacing w:line="0" w:lineRule="atLeast"/>
              <w:contextualSpacing/>
              <w:jc w:val="center"/>
              <w:rPr>
                <w:snapToGrid w:val="0"/>
                <w:color w:val="FF0000"/>
                <w:kern w:val="0"/>
                <w:sz w:val="20"/>
                <w:szCs w:val="21"/>
                <w:lang w:val="zh-CN"/>
              </w:rPr>
            </w:pPr>
          </w:p>
        </w:tc>
        <w:tc>
          <w:tcPr>
            <w:tcW w:w="850" w:type="dxa"/>
            <w:vMerge w:val="restart"/>
            <w:vAlign w:val="center"/>
          </w:tcPr>
          <w:p>
            <w:pPr>
              <w:adjustRightInd w:val="0"/>
              <w:snapToGrid w:val="0"/>
              <w:spacing w:line="0" w:lineRule="atLeast"/>
              <w:contextualSpacing/>
              <w:jc w:val="center"/>
              <w:rPr>
                <w:rFonts w:hint="eastAsia" w:eastAsia="宋体"/>
                <w:snapToGrid w:val="0"/>
                <w:color w:val="auto"/>
                <w:kern w:val="0"/>
                <w:sz w:val="21"/>
                <w:szCs w:val="21"/>
                <w:lang w:val="en-US" w:eastAsia="zh-CN"/>
              </w:rPr>
            </w:pPr>
            <w:r>
              <w:rPr>
                <w:rFonts w:hint="eastAsia"/>
                <w:snapToGrid w:val="0"/>
                <w:color w:val="auto"/>
                <w:kern w:val="0"/>
                <w:sz w:val="21"/>
                <w:szCs w:val="21"/>
                <w:lang w:val="en-US" w:eastAsia="zh-CN"/>
              </w:rPr>
              <w:t>锅炉房</w:t>
            </w:r>
          </w:p>
        </w:tc>
        <w:tc>
          <w:tcPr>
            <w:tcW w:w="1276" w:type="dxa"/>
            <w:vAlign w:val="center"/>
          </w:tcPr>
          <w:p>
            <w:pPr>
              <w:adjustRightInd w:val="0"/>
              <w:snapToGrid w:val="0"/>
              <w:spacing w:line="0" w:lineRule="atLeast"/>
              <w:contextualSpacing/>
              <w:jc w:val="center"/>
              <w:rPr>
                <w:rFonts w:hint="eastAsia" w:eastAsia="宋体"/>
                <w:snapToGrid w:val="0"/>
                <w:color w:val="auto"/>
                <w:kern w:val="0"/>
                <w:sz w:val="21"/>
                <w:szCs w:val="21"/>
                <w:lang w:val="en-US" w:eastAsia="zh-CN"/>
              </w:rPr>
            </w:pPr>
            <w:r>
              <w:rPr>
                <w:rFonts w:hint="eastAsia"/>
                <w:snapToGrid w:val="0"/>
                <w:color w:val="auto"/>
                <w:kern w:val="0"/>
                <w:sz w:val="21"/>
                <w:szCs w:val="21"/>
                <w:lang w:val="en-US" w:eastAsia="zh-CN"/>
              </w:rPr>
              <w:t>颗粒物</w:t>
            </w:r>
          </w:p>
        </w:tc>
        <w:tc>
          <w:tcPr>
            <w:tcW w:w="2410" w:type="dxa"/>
            <w:vMerge w:val="restart"/>
            <w:vAlign w:val="center"/>
          </w:tcPr>
          <w:p>
            <w:pPr>
              <w:adjustRightInd w:val="0"/>
              <w:snapToGrid w:val="0"/>
              <w:spacing w:line="0" w:lineRule="atLeast"/>
              <w:contextualSpacing/>
              <w:jc w:val="center"/>
              <w:rPr>
                <w:rFonts w:hint="default" w:eastAsia="宋体"/>
                <w:snapToGrid w:val="0"/>
                <w:color w:val="auto"/>
                <w:kern w:val="0"/>
                <w:sz w:val="21"/>
                <w:szCs w:val="21"/>
                <w:lang w:val="en-US" w:eastAsia="zh-CN"/>
              </w:rPr>
            </w:pPr>
            <w:r>
              <w:rPr>
                <w:rFonts w:hint="eastAsia"/>
                <w:snapToGrid w:val="0"/>
                <w:color w:val="auto"/>
                <w:kern w:val="0"/>
                <w:sz w:val="21"/>
                <w:szCs w:val="21"/>
                <w:lang w:val="en-US" w:eastAsia="zh-CN"/>
              </w:rPr>
              <w:t>锅炉烟气经布袋除尘器处理后，通过30m高烟囱排放</w:t>
            </w:r>
          </w:p>
        </w:tc>
        <w:tc>
          <w:tcPr>
            <w:tcW w:w="992" w:type="dxa"/>
            <w:vMerge w:val="restart"/>
            <w:vAlign w:val="center"/>
          </w:tcPr>
          <w:p>
            <w:pPr>
              <w:adjustRightInd w:val="0"/>
              <w:snapToGrid w:val="0"/>
              <w:spacing w:line="0" w:lineRule="atLeast"/>
              <w:contextualSpacing/>
              <w:jc w:val="center"/>
              <w:rPr>
                <w:rFonts w:hint="eastAsia" w:eastAsia="宋体"/>
                <w:snapToGrid w:val="0"/>
                <w:color w:val="auto"/>
                <w:kern w:val="0"/>
                <w:sz w:val="21"/>
                <w:szCs w:val="21"/>
                <w:lang w:val="en-US" w:eastAsia="zh-CN"/>
              </w:rPr>
            </w:pPr>
            <w:r>
              <w:rPr>
                <w:rFonts w:hint="eastAsia"/>
                <w:snapToGrid w:val="0"/>
                <w:color w:val="auto"/>
                <w:kern w:val="0"/>
                <w:sz w:val="21"/>
                <w:szCs w:val="21"/>
                <w:lang w:val="en-US" w:eastAsia="zh-CN"/>
              </w:rPr>
              <w:t>烟囱（DA005）</w:t>
            </w:r>
          </w:p>
        </w:tc>
        <w:tc>
          <w:tcPr>
            <w:tcW w:w="1843" w:type="dxa"/>
            <w:vMerge w:val="restart"/>
            <w:vAlign w:val="center"/>
          </w:tcPr>
          <w:p>
            <w:pPr>
              <w:adjustRightInd w:val="0"/>
              <w:snapToGrid w:val="0"/>
              <w:spacing w:line="0" w:lineRule="atLeast"/>
              <w:contextualSpacing/>
              <w:jc w:val="center"/>
              <w:rPr>
                <w:snapToGrid w:val="0"/>
                <w:color w:val="auto"/>
                <w:kern w:val="0"/>
                <w:sz w:val="21"/>
                <w:szCs w:val="21"/>
                <w:lang w:val="zh-CN"/>
              </w:rPr>
            </w:pPr>
            <w:r>
              <w:rPr>
                <w:snapToGrid w:val="0"/>
                <w:color w:val="auto"/>
                <w:kern w:val="0"/>
                <w:sz w:val="21"/>
                <w:szCs w:val="21"/>
                <w:lang w:val="zh-CN"/>
              </w:rPr>
              <w:t>《锅炉大气污染物排放标准》（GB13271-2014）表3燃煤锅炉大气污染物特别排放限值要求</w:t>
            </w:r>
          </w:p>
        </w:tc>
        <w:tc>
          <w:tcPr>
            <w:tcW w:w="992" w:type="dxa"/>
            <w:vMerge w:val="restart"/>
            <w:vAlign w:val="center"/>
          </w:tcPr>
          <w:p>
            <w:pPr>
              <w:adjustRightInd w:val="0"/>
              <w:snapToGrid w:val="0"/>
              <w:spacing w:line="0" w:lineRule="atLeast"/>
              <w:contextualSpacing/>
              <w:jc w:val="center"/>
              <w:rPr>
                <w:snapToGrid w:val="0"/>
                <w:color w:val="auto"/>
                <w:kern w:val="0"/>
                <w:sz w:val="21"/>
                <w:szCs w:val="21"/>
                <w:lang w:val="zh-CN"/>
              </w:rPr>
            </w:pPr>
            <w:r>
              <w:rPr>
                <w:snapToGrid w:val="0"/>
                <w:kern w:val="0"/>
                <w:highlight w:val="none"/>
              </w:rPr>
              <w:t>1次/月</w:t>
            </w:r>
          </w:p>
        </w:tc>
        <w:tc>
          <w:tcPr>
            <w:tcW w:w="851" w:type="dxa"/>
            <w:vMerge w:val="restart"/>
            <w:vAlign w:val="center"/>
          </w:tcPr>
          <w:p>
            <w:pPr>
              <w:pStyle w:val="84"/>
              <w:adjustRightInd w:val="0"/>
              <w:snapToGrid w:val="0"/>
              <w:rPr>
                <w:snapToGrid w:val="0"/>
                <w:color w:val="auto"/>
                <w:kern w:val="0"/>
                <w:sz w:val="21"/>
                <w:szCs w:val="21"/>
                <w:lang w:val="zh-CN"/>
              </w:rPr>
            </w:pPr>
            <w:r>
              <w:rPr>
                <w:snapToGrid w:val="0"/>
                <w:kern w:val="0"/>
                <w:highlight w:val="none"/>
              </w:rPr>
              <w:t>手工监测技术</w:t>
            </w:r>
          </w:p>
        </w:tc>
        <w:tc>
          <w:tcPr>
            <w:tcW w:w="1842" w:type="dxa"/>
            <w:vMerge w:val="restart"/>
            <w:vAlign w:val="center"/>
          </w:tcPr>
          <w:p>
            <w:pPr>
              <w:pStyle w:val="84"/>
              <w:adjustRightInd w:val="0"/>
              <w:snapToGrid w:val="0"/>
              <w:jc w:val="both"/>
              <w:rPr>
                <w:snapToGrid w:val="0"/>
                <w:color w:val="FF0000"/>
                <w:kern w:val="0"/>
                <w:sz w:val="20"/>
                <w:szCs w:val="21"/>
                <w:lang w:val="zh-CN"/>
              </w:rPr>
            </w:pPr>
            <w:r>
              <w:rPr>
                <w:snapToGrid w:val="0"/>
                <w:highlight w:val="none"/>
              </w:rPr>
              <w:t>参照GB/T16157或HJ/T397规定执行</w:t>
            </w:r>
          </w:p>
        </w:tc>
        <w:tc>
          <w:tcPr>
            <w:tcW w:w="3051" w:type="dxa"/>
            <w:gridSpan w:val="2"/>
            <w:vAlign w:val="center"/>
          </w:tcPr>
          <w:p>
            <w:pPr>
              <w:adjustRightInd w:val="0"/>
              <w:snapToGrid w:val="0"/>
              <w:spacing w:line="0" w:lineRule="atLeast"/>
              <w:contextualSpacing/>
              <w:jc w:val="center"/>
              <w:rPr>
                <w:snapToGrid w:val="0"/>
                <w:color w:val="FF0000"/>
                <w:kern w:val="0"/>
                <w:sz w:val="21"/>
                <w:szCs w:val="21"/>
                <w:lang w:val="zh-CN"/>
              </w:rPr>
            </w:pPr>
            <w:r>
              <w:rPr>
                <w:snapToGrid w:val="0"/>
                <w:highlight w:val="none"/>
              </w:rPr>
              <w:t>《固定汚染源排气中颗粒物测定与气态污染物采样方法》（GB/T16157-1996）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392" w:type="dxa"/>
            <w:vMerge w:val="continue"/>
            <w:vAlign w:val="center"/>
          </w:tcPr>
          <w:p>
            <w:pPr>
              <w:adjustRightInd w:val="0"/>
              <w:snapToGrid w:val="0"/>
              <w:spacing w:line="0" w:lineRule="atLeast"/>
              <w:contextualSpacing/>
              <w:jc w:val="center"/>
              <w:rPr>
                <w:snapToGrid w:val="0"/>
                <w:color w:val="FF0000"/>
                <w:kern w:val="0"/>
                <w:sz w:val="20"/>
                <w:szCs w:val="21"/>
                <w:lang w:val="zh-CN"/>
              </w:rPr>
            </w:pPr>
          </w:p>
        </w:tc>
        <w:tc>
          <w:tcPr>
            <w:tcW w:w="850" w:type="dxa"/>
            <w:vMerge w:val="continue"/>
            <w:vAlign w:val="center"/>
          </w:tcPr>
          <w:p>
            <w:pPr>
              <w:adjustRightInd w:val="0"/>
              <w:snapToGrid w:val="0"/>
              <w:spacing w:line="0" w:lineRule="atLeast"/>
              <w:contextualSpacing/>
              <w:jc w:val="center"/>
              <w:rPr>
                <w:rFonts w:hint="eastAsia"/>
                <w:snapToGrid w:val="0"/>
                <w:color w:val="auto"/>
                <w:kern w:val="0"/>
                <w:sz w:val="21"/>
                <w:szCs w:val="21"/>
                <w:lang w:val="en-US" w:eastAsia="zh-CN"/>
              </w:rPr>
            </w:pPr>
          </w:p>
        </w:tc>
        <w:tc>
          <w:tcPr>
            <w:tcW w:w="1276" w:type="dxa"/>
            <w:vAlign w:val="center"/>
          </w:tcPr>
          <w:p>
            <w:pPr>
              <w:adjustRightInd w:val="0"/>
              <w:snapToGrid w:val="0"/>
              <w:spacing w:line="0" w:lineRule="atLeast"/>
              <w:contextualSpacing/>
              <w:jc w:val="center"/>
              <w:rPr>
                <w:rFonts w:hint="eastAsia" w:eastAsia="宋体"/>
                <w:snapToGrid w:val="0"/>
                <w:color w:val="auto"/>
                <w:kern w:val="0"/>
                <w:sz w:val="21"/>
                <w:szCs w:val="21"/>
                <w:lang w:val="en-US" w:eastAsia="zh-CN"/>
              </w:rPr>
            </w:pPr>
            <w:r>
              <w:rPr>
                <w:rFonts w:hint="eastAsia"/>
                <w:snapToGrid w:val="0"/>
                <w:color w:val="auto"/>
                <w:kern w:val="0"/>
                <w:sz w:val="21"/>
                <w:szCs w:val="21"/>
                <w:lang w:val="en-US" w:eastAsia="zh-CN"/>
              </w:rPr>
              <w:t>氮氧化物</w:t>
            </w:r>
          </w:p>
        </w:tc>
        <w:tc>
          <w:tcPr>
            <w:tcW w:w="2410"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992"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1843"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992"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851"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1842" w:type="dxa"/>
            <w:vMerge w:val="continue"/>
            <w:vAlign w:val="center"/>
          </w:tcPr>
          <w:p>
            <w:pPr>
              <w:adjustRightInd w:val="0"/>
              <w:snapToGrid w:val="0"/>
              <w:spacing w:line="0" w:lineRule="atLeast"/>
              <w:contextualSpacing/>
              <w:jc w:val="center"/>
              <w:rPr>
                <w:snapToGrid w:val="0"/>
                <w:color w:val="FF0000"/>
                <w:kern w:val="0"/>
                <w:sz w:val="20"/>
                <w:szCs w:val="21"/>
                <w:lang w:val="zh-CN"/>
              </w:rPr>
            </w:pPr>
          </w:p>
        </w:tc>
        <w:tc>
          <w:tcPr>
            <w:tcW w:w="3051" w:type="dxa"/>
            <w:gridSpan w:val="2"/>
            <w:vAlign w:val="center"/>
          </w:tcPr>
          <w:p>
            <w:pPr>
              <w:adjustRightInd w:val="0"/>
              <w:snapToGrid w:val="0"/>
              <w:spacing w:line="0" w:lineRule="atLeast"/>
              <w:contextualSpacing/>
              <w:jc w:val="center"/>
              <w:rPr>
                <w:snapToGrid w:val="0"/>
                <w:color w:val="FF0000"/>
                <w:kern w:val="0"/>
                <w:sz w:val="21"/>
                <w:szCs w:val="21"/>
                <w:lang w:val="zh-CN"/>
              </w:rPr>
            </w:pPr>
            <w:r>
              <w:rPr>
                <w:snapToGrid w:val="0"/>
                <w:highlight w:val="none"/>
              </w:rPr>
              <w:t>《固定汚染源排气中氮氧化物的测定 盐酸萘乙二胺分光光度法》（HJ/T 43-1999）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392" w:type="dxa"/>
            <w:vMerge w:val="continue"/>
            <w:vAlign w:val="center"/>
          </w:tcPr>
          <w:p>
            <w:pPr>
              <w:adjustRightInd w:val="0"/>
              <w:snapToGrid w:val="0"/>
              <w:spacing w:line="0" w:lineRule="atLeast"/>
              <w:contextualSpacing/>
              <w:jc w:val="center"/>
              <w:rPr>
                <w:snapToGrid w:val="0"/>
                <w:color w:val="FF0000"/>
                <w:kern w:val="0"/>
                <w:sz w:val="20"/>
                <w:szCs w:val="21"/>
                <w:lang w:val="zh-CN"/>
              </w:rPr>
            </w:pPr>
          </w:p>
        </w:tc>
        <w:tc>
          <w:tcPr>
            <w:tcW w:w="850" w:type="dxa"/>
            <w:vMerge w:val="continue"/>
            <w:vAlign w:val="center"/>
          </w:tcPr>
          <w:p>
            <w:pPr>
              <w:adjustRightInd w:val="0"/>
              <w:snapToGrid w:val="0"/>
              <w:spacing w:line="0" w:lineRule="atLeast"/>
              <w:contextualSpacing/>
              <w:jc w:val="center"/>
              <w:rPr>
                <w:rFonts w:hint="eastAsia" w:eastAsia="宋体"/>
                <w:snapToGrid w:val="0"/>
                <w:color w:val="auto"/>
                <w:kern w:val="0"/>
                <w:sz w:val="21"/>
                <w:szCs w:val="21"/>
                <w:lang w:val="en-US" w:eastAsia="zh-CN"/>
              </w:rPr>
            </w:pPr>
          </w:p>
        </w:tc>
        <w:tc>
          <w:tcPr>
            <w:tcW w:w="1276" w:type="dxa"/>
            <w:vAlign w:val="center"/>
          </w:tcPr>
          <w:p>
            <w:pPr>
              <w:adjustRightInd w:val="0"/>
              <w:snapToGrid w:val="0"/>
              <w:spacing w:line="0" w:lineRule="atLeast"/>
              <w:contextualSpacing/>
              <w:jc w:val="center"/>
              <w:rPr>
                <w:rFonts w:hint="eastAsia"/>
                <w:snapToGrid w:val="0"/>
                <w:color w:val="auto"/>
                <w:kern w:val="0"/>
                <w:sz w:val="21"/>
                <w:szCs w:val="21"/>
                <w:lang w:val="en-US" w:eastAsia="zh-CN"/>
              </w:rPr>
            </w:pPr>
            <w:r>
              <w:rPr>
                <w:rFonts w:hint="eastAsia"/>
                <w:snapToGrid w:val="0"/>
                <w:color w:val="auto"/>
                <w:kern w:val="0"/>
                <w:sz w:val="21"/>
                <w:szCs w:val="21"/>
                <w:lang w:val="en-US" w:eastAsia="zh-CN"/>
              </w:rPr>
              <w:t>二氧化硫</w:t>
            </w:r>
          </w:p>
        </w:tc>
        <w:tc>
          <w:tcPr>
            <w:tcW w:w="2410"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992"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1843"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992"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851"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1842" w:type="dxa"/>
            <w:vMerge w:val="continue"/>
            <w:vAlign w:val="center"/>
          </w:tcPr>
          <w:p>
            <w:pPr>
              <w:adjustRightInd w:val="0"/>
              <w:snapToGrid w:val="0"/>
              <w:spacing w:line="0" w:lineRule="atLeast"/>
              <w:contextualSpacing/>
              <w:jc w:val="center"/>
              <w:rPr>
                <w:snapToGrid w:val="0"/>
                <w:color w:val="FF0000"/>
                <w:kern w:val="0"/>
                <w:sz w:val="20"/>
                <w:szCs w:val="21"/>
                <w:lang w:val="zh-CN"/>
              </w:rPr>
            </w:pPr>
          </w:p>
        </w:tc>
        <w:tc>
          <w:tcPr>
            <w:tcW w:w="3051" w:type="dxa"/>
            <w:gridSpan w:val="2"/>
            <w:vAlign w:val="center"/>
          </w:tcPr>
          <w:p>
            <w:pPr>
              <w:adjustRightInd w:val="0"/>
              <w:snapToGrid w:val="0"/>
              <w:spacing w:line="0" w:lineRule="atLeast"/>
              <w:contextualSpacing/>
              <w:jc w:val="center"/>
              <w:rPr>
                <w:snapToGrid w:val="0"/>
                <w:color w:val="FF0000"/>
                <w:kern w:val="0"/>
                <w:sz w:val="21"/>
                <w:szCs w:val="21"/>
                <w:lang w:val="zh-CN"/>
              </w:rPr>
            </w:pPr>
            <w:r>
              <w:rPr>
                <w:snapToGrid w:val="0"/>
                <w:highlight w:val="none"/>
              </w:rPr>
              <w:t>《固定汚染源排气中二氧化硫的测定 碘量法》（HJ/T 56-2000）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392" w:type="dxa"/>
            <w:vMerge w:val="continue"/>
            <w:vAlign w:val="center"/>
          </w:tcPr>
          <w:p>
            <w:pPr>
              <w:adjustRightInd w:val="0"/>
              <w:snapToGrid w:val="0"/>
              <w:spacing w:line="0" w:lineRule="atLeast"/>
              <w:contextualSpacing/>
              <w:jc w:val="center"/>
              <w:rPr>
                <w:snapToGrid w:val="0"/>
                <w:color w:val="FF0000"/>
                <w:kern w:val="0"/>
                <w:sz w:val="20"/>
                <w:szCs w:val="21"/>
                <w:lang w:val="zh-CN"/>
              </w:rPr>
            </w:pPr>
          </w:p>
        </w:tc>
        <w:tc>
          <w:tcPr>
            <w:tcW w:w="850" w:type="dxa"/>
            <w:vMerge w:val="continue"/>
            <w:vAlign w:val="center"/>
          </w:tcPr>
          <w:p>
            <w:pPr>
              <w:adjustRightInd w:val="0"/>
              <w:snapToGrid w:val="0"/>
              <w:spacing w:line="0" w:lineRule="atLeast"/>
              <w:contextualSpacing/>
              <w:jc w:val="center"/>
              <w:rPr>
                <w:rFonts w:hint="eastAsia" w:eastAsia="宋体"/>
                <w:snapToGrid w:val="0"/>
                <w:color w:val="auto"/>
                <w:kern w:val="0"/>
                <w:sz w:val="21"/>
                <w:szCs w:val="21"/>
                <w:lang w:val="en-US" w:eastAsia="zh-CN"/>
              </w:rPr>
            </w:pPr>
          </w:p>
        </w:tc>
        <w:tc>
          <w:tcPr>
            <w:tcW w:w="1276" w:type="dxa"/>
            <w:vAlign w:val="center"/>
          </w:tcPr>
          <w:p>
            <w:pPr>
              <w:adjustRightInd w:val="0"/>
              <w:snapToGrid w:val="0"/>
              <w:spacing w:line="0" w:lineRule="atLeast"/>
              <w:contextualSpacing/>
              <w:jc w:val="center"/>
              <w:rPr>
                <w:rFonts w:hint="eastAsia" w:eastAsia="宋体"/>
                <w:snapToGrid w:val="0"/>
                <w:color w:val="auto"/>
                <w:kern w:val="0"/>
                <w:sz w:val="21"/>
                <w:szCs w:val="21"/>
                <w:lang w:val="en-US" w:eastAsia="zh-CN"/>
              </w:rPr>
            </w:pPr>
            <w:r>
              <w:rPr>
                <w:rFonts w:hint="eastAsia"/>
                <w:snapToGrid w:val="0"/>
                <w:highlight w:val="none"/>
                <w:lang w:val="en-US"/>
              </w:rPr>
              <w:t>林格曼黑度</w:t>
            </w:r>
          </w:p>
        </w:tc>
        <w:tc>
          <w:tcPr>
            <w:tcW w:w="2410"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992"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1843"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992"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851" w:type="dxa"/>
            <w:vMerge w:val="continue"/>
            <w:vAlign w:val="center"/>
          </w:tcPr>
          <w:p>
            <w:pPr>
              <w:adjustRightInd w:val="0"/>
              <w:snapToGrid w:val="0"/>
              <w:spacing w:line="0" w:lineRule="atLeast"/>
              <w:contextualSpacing/>
              <w:jc w:val="center"/>
              <w:rPr>
                <w:snapToGrid w:val="0"/>
                <w:color w:val="auto"/>
                <w:kern w:val="0"/>
                <w:sz w:val="21"/>
                <w:szCs w:val="21"/>
                <w:lang w:val="zh-CN"/>
              </w:rPr>
            </w:pPr>
          </w:p>
        </w:tc>
        <w:tc>
          <w:tcPr>
            <w:tcW w:w="1842" w:type="dxa"/>
            <w:vMerge w:val="continue"/>
            <w:vAlign w:val="center"/>
          </w:tcPr>
          <w:p>
            <w:pPr>
              <w:adjustRightInd w:val="0"/>
              <w:snapToGrid w:val="0"/>
              <w:spacing w:line="0" w:lineRule="atLeast"/>
              <w:contextualSpacing/>
              <w:jc w:val="center"/>
              <w:rPr>
                <w:snapToGrid w:val="0"/>
                <w:color w:val="FF0000"/>
                <w:kern w:val="0"/>
                <w:sz w:val="20"/>
                <w:szCs w:val="21"/>
                <w:lang w:val="zh-CN"/>
              </w:rPr>
            </w:pPr>
          </w:p>
        </w:tc>
        <w:tc>
          <w:tcPr>
            <w:tcW w:w="3051" w:type="dxa"/>
            <w:gridSpan w:val="2"/>
            <w:vAlign w:val="center"/>
          </w:tcPr>
          <w:p>
            <w:pPr>
              <w:adjustRightInd w:val="0"/>
              <w:snapToGrid w:val="0"/>
              <w:spacing w:line="0" w:lineRule="atLeast"/>
              <w:contextualSpacing/>
              <w:jc w:val="center"/>
              <w:rPr>
                <w:snapToGrid w:val="0"/>
                <w:color w:val="FF0000"/>
                <w:kern w:val="0"/>
                <w:sz w:val="21"/>
                <w:szCs w:val="21"/>
                <w:lang w:val="zh-CN"/>
              </w:rPr>
            </w:pPr>
            <w:r>
              <w:rPr>
                <w:rFonts w:hint="eastAsia"/>
                <w:snapToGrid w:val="0"/>
                <w:highlight w:val="none"/>
                <w:lang w:val="en-US"/>
              </w:rPr>
              <w:t>固定污染源排放烟气黑度的测定 林格曼烟气黑度图法 HJ/T398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1" w:hRule="atLeast"/>
          <w:jc w:val="center"/>
        </w:trPr>
        <w:tc>
          <w:tcPr>
            <w:tcW w:w="392"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厂界噪声</w:t>
            </w:r>
          </w:p>
        </w:tc>
        <w:tc>
          <w:tcPr>
            <w:tcW w:w="850"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厂界</w:t>
            </w:r>
          </w:p>
        </w:tc>
        <w:tc>
          <w:tcPr>
            <w:tcW w:w="1276"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昼夜噪声等效A声级</w:t>
            </w:r>
          </w:p>
        </w:tc>
        <w:tc>
          <w:tcPr>
            <w:tcW w:w="2410" w:type="dxa"/>
            <w:vAlign w:val="center"/>
          </w:tcPr>
          <w:p>
            <w:pPr>
              <w:adjustRightInd w:val="0"/>
              <w:snapToGrid w:val="0"/>
              <w:jc w:val="center"/>
              <w:rPr>
                <w:snapToGrid w:val="0"/>
                <w:color w:val="auto"/>
                <w:kern w:val="0"/>
                <w:sz w:val="21"/>
                <w:szCs w:val="21"/>
                <w:lang w:val="zh-CN"/>
              </w:rPr>
            </w:pPr>
            <w:r>
              <w:rPr>
                <w:snapToGrid w:val="0"/>
                <w:color w:val="auto"/>
                <w:kern w:val="0"/>
                <w:sz w:val="21"/>
                <w:szCs w:val="21"/>
              </w:rPr>
              <w:t>选用低噪声设备、厂房隔声、</w:t>
            </w:r>
            <w:r>
              <w:rPr>
                <w:rFonts w:hint="eastAsia"/>
                <w:snapToGrid w:val="0"/>
                <w:color w:val="auto"/>
                <w:kern w:val="0"/>
                <w:sz w:val="21"/>
                <w:szCs w:val="21"/>
              </w:rPr>
              <w:t>基础减振、</w:t>
            </w:r>
            <w:r>
              <w:rPr>
                <w:snapToGrid w:val="0"/>
                <w:color w:val="auto"/>
                <w:kern w:val="0"/>
                <w:sz w:val="21"/>
                <w:szCs w:val="21"/>
              </w:rPr>
              <w:t>绿化降噪措施</w:t>
            </w:r>
          </w:p>
        </w:tc>
        <w:tc>
          <w:tcPr>
            <w:tcW w:w="992"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厂界外1m，高度1.2m以上</w:t>
            </w:r>
          </w:p>
        </w:tc>
        <w:tc>
          <w:tcPr>
            <w:tcW w:w="1843" w:type="dxa"/>
            <w:vAlign w:val="center"/>
          </w:tcPr>
          <w:p>
            <w:pPr>
              <w:adjustRightInd w:val="0"/>
              <w:snapToGrid w:val="0"/>
              <w:jc w:val="center"/>
              <w:rPr>
                <w:snapToGrid w:val="0"/>
                <w:color w:val="auto"/>
                <w:kern w:val="0"/>
                <w:sz w:val="21"/>
                <w:szCs w:val="21"/>
                <w:lang w:val="zh-CN"/>
              </w:rPr>
            </w:pPr>
            <w:r>
              <w:rPr>
                <w:bCs/>
                <w:snapToGrid w:val="0"/>
                <w:color w:val="auto"/>
                <w:kern w:val="0"/>
                <w:sz w:val="21"/>
                <w:szCs w:val="21"/>
              </w:rPr>
              <w:t>《工业企业厂界环境噪声排放标准》（GB12348-2008）表1中</w:t>
            </w:r>
            <w:r>
              <w:rPr>
                <w:rFonts w:hint="eastAsia"/>
                <w:bCs/>
                <w:snapToGrid w:val="0"/>
                <w:color w:val="auto"/>
                <w:kern w:val="0"/>
                <w:sz w:val="21"/>
                <w:szCs w:val="21"/>
              </w:rPr>
              <w:t>2</w:t>
            </w:r>
            <w:r>
              <w:rPr>
                <w:bCs/>
                <w:snapToGrid w:val="0"/>
                <w:color w:val="auto"/>
                <w:kern w:val="0"/>
                <w:sz w:val="21"/>
                <w:szCs w:val="21"/>
              </w:rPr>
              <w:t>类标准</w:t>
            </w:r>
          </w:p>
        </w:tc>
        <w:tc>
          <w:tcPr>
            <w:tcW w:w="992"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1次/季度</w:t>
            </w:r>
          </w:p>
        </w:tc>
        <w:tc>
          <w:tcPr>
            <w:tcW w:w="851"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手工监测技术</w:t>
            </w:r>
          </w:p>
        </w:tc>
        <w:tc>
          <w:tcPr>
            <w:tcW w:w="1842"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参照《工业企业厂界环境噪声排放标准》（GB12348-2008）</w:t>
            </w:r>
          </w:p>
        </w:tc>
        <w:tc>
          <w:tcPr>
            <w:tcW w:w="3051" w:type="dxa"/>
            <w:gridSpan w:val="2"/>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参照《工业企业厂界环境噪声排放标准》（GB12348-2008）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392" w:type="dxa"/>
            <w:vMerge w:val="restart"/>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废水</w:t>
            </w:r>
          </w:p>
        </w:tc>
        <w:tc>
          <w:tcPr>
            <w:tcW w:w="850" w:type="dxa"/>
            <w:vMerge w:val="restart"/>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废水总排口</w:t>
            </w:r>
          </w:p>
        </w:tc>
        <w:tc>
          <w:tcPr>
            <w:tcW w:w="1276" w:type="dxa"/>
            <w:vAlign w:val="center"/>
          </w:tcPr>
          <w:p>
            <w:pPr>
              <w:adjustRightInd w:val="0"/>
              <w:snapToGrid w:val="0"/>
              <w:jc w:val="center"/>
              <w:rPr>
                <w:snapToGrid w:val="0"/>
                <w:color w:val="auto"/>
                <w:kern w:val="0"/>
                <w:sz w:val="21"/>
                <w:szCs w:val="21"/>
                <w:lang w:val="zh-CN"/>
              </w:rPr>
            </w:pPr>
            <w:r>
              <w:rPr>
                <w:snapToGrid w:val="0"/>
                <w:color w:val="auto"/>
                <w:kern w:val="0"/>
                <w:sz w:val="21"/>
                <w:szCs w:val="21"/>
              </w:rPr>
              <w:t>pH</w:t>
            </w:r>
          </w:p>
        </w:tc>
        <w:tc>
          <w:tcPr>
            <w:tcW w:w="2410" w:type="dxa"/>
            <w:vMerge w:val="restart"/>
            <w:vAlign w:val="center"/>
          </w:tcPr>
          <w:p>
            <w:pPr>
              <w:adjustRightInd w:val="0"/>
              <w:snapToGrid w:val="0"/>
              <w:jc w:val="center"/>
              <w:rPr>
                <w:snapToGrid w:val="0"/>
                <w:color w:val="auto"/>
                <w:kern w:val="0"/>
                <w:sz w:val="21"/>
                <w:szCs w:val="21"/>
                <w:lang w:val="zh-CN"/>
              </w:rPr>
            </w:pPr>
            <w:r>
              <w:rPr>
                <w:rFonts w:hint="eastAsia"/>
                <w:snapToGrid w:val="0"/>
                <w:color w:val="auto"/>
                <w:kern w:val="0"/>
                <w:sz w:val="21"/>
                <w:szCs w:val="21"/>
              </w:rPr>
              <w:t>生产</w:t>
            </w:r>
            <w:r>
              <w:rPr>
                <w:snapToGrid w:val="0"/>
                <w:color w:val="auto"/>
                <w:kern w:val="0"/>
                <w:sz w:val="21"/>
                <w:szCs w:val="21"/>
              </w:rPr>
              <w:t>废水</w:t>
            </w:r>
            <w:r>
              <w:rPr>
                <w:rFonts w:hint="eastAsia"/>
                <w:snapToGrid w:val="0"/>
                <w:color w:val="auto"/>
                <w:kern w:val="0"/>
                <w:sz w:val="21"/>
                <w:szCs w:val="21"/>
              </w:rPr>
              <w:t>和生活污水一起排入污水处理站，采用“</w:t>
            </w:r>
            <w:r>
              <w:rPr>
                <w:bCs/>
                <w:snapToGrid w:val="0"/>
                <w:color w:val="auto"/>
                <w:kern w:val="0"/>
                <w:sz w:val="21"/>
                <w:szCs w:val="21"/>
              </w:rPr>
              <w:t>格栅+</w:t>
            </w:r>
            <w:r>
              <w:rPr>
                <w:snapToGrid w:val="0"/>
                <w:color w:val="auto"/>
                <w:kern w:val="0"/>
                <w:sz w:val="21"/>
                <w:szCs w:val="21"/>
              </w:rPr>
              <w:t>隔油沉砂+气浮+水解酸化+生物接触氧化+</w:t>
            </w:r>
            <w:r>
              <w:rPr>
                <w:rFonts w:hint="eastAsia"/>
                <w:snapToGrid w:val="0"/>
                <w:color w:val="auto"/>
                <w:kern w:val="0"/>
                <w:sz w:val="21"/>
                <w:szCs w:val="21"/>
              </w:rPr>
              <w:t>二沉池+</w:t>
            </w:r>
            <w:r>
              <w:rPr>
                <w:snapToGrid w:val="0"/>
                <w:color w:val="auto"/>
                <w:kern w:val="0"/>
                <w:sz w:val="21"/>
                <w:szCs w:val="21"/>
              </w:rPr>
              <w:t>消毒</w:t>
            </w:r>
            <w:r>
              <w:rPr>
                <w:rFonts w:hint="eastAsia"/>
                <w:snapToGrid w:val="0"/>
                <w:color w:val="auto"/>
                <w:kern w:val="0"/>
                <w:sz w:val="21"/>
                <w:szCs w:val="21"/>
              </w:rPr>
              <w:t>池”工艺，出水排入贮水池，</w:t>
            </w:r>
            <w:r>
              <w:rPr>
                <w:rFonts w:hint="eastAsia"/>
                <w:bCs/>
                <w:snapToGrid w:val="0"/>
                <w:color w:val="auto"/>
                <w:kern w:val="0"/>
                <w:sz w:val="21"/>
                <w:szCs w:val="21"/>
              </w:rPr>
              <w:t>每天</w:t>
            </w:r>
            <w:r>
              <w:rPr>
                <w:bCs/>
                <w:snapToGrid w:val="0"/>
                <w:color w:val="auto"/>
                <w:kern w:val="0"/>
                <w:sz w:val="21"/>
                <w:szCs w:val="21"/>
              </w:rPr>
              <w:t>采用专用罐车</w:t>
            </w:r>
            <w:r>
              <w:rPr>
                <w:rFonts w:hint="eastAsia"/>
                <w:bCs/>
                <w:snapToGrid w:val="0"/>
                <w:color w:val="auto"/>
                <w:kern w:val="0"/>
                <w:sz w:val="21"/>
                <w:szCs w:val="21"/>
              </w:rPr>
              <w:t>运至</w:t>
            </w:r>
            <w:r>
              <w:rPr>
                <w:rFonts w:hint="eastAsia"/>
                <w:bCs/>
                <w:snapToGrid w:val="0"/>
                <w:color w:val="auto"/>
                <w:kern w:val="0"/>
                <w:sz w:val="21"/>
                <w:szCs w:val="21"/>
                <w:lang w:eastAsia="zh-CN"/>
              </w:rPr>
              <w:t>尚志污水处理厂</w:t>
            </w:r>
            <w:r>
              <w:rPr>
                <w:bCs/>
                <w:snapToGrid w:val="0"/>
                <w:color w:val="auto"/>
                <w:kern w:val="0"/>
                <w:sz w:val="21"/>
                <w:szCs w:val="21"/>
              </w:rPr>
              <w:t>处理</w:t>
            </w:r>
          </w:p>
        </w:tc>
        <w:tc>
          <w:tcPr>
            <w:tcW w:w="992" w:type="dxa"/>
            <w:vMerge w:val="restart"/>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污水排放口（</w:t>
            </w:r>
            <w:r>
              <w:rPr>
                <w:rFonts w:hint="eastAsia"/>
                <w:snapToGrid w:val="0"/>
                <w:color w:val="auto"/>
                <w:kern w:val="0"/>
                <w:sz w:val="21"/>
                <w:szCs w:val="21"/>
                <w:lang w:val="zh-CN"/>
              </w:rPr>
              <w:t>DW001</w:t>
            </w:r>
            <w:r>
              <w:rPr>
                <w:snapToGrid w:val="0"/>
                <w:color w:val="auto"/>
                <w:kern w:val="0"/>
                <w:sz w:val="21"/>
                <w:szCs w:val="21"/>
                <w:lang w:val="zh-CN"/>
              </w:rPr>
              <w:t>）</w:t>
            </w:r>
          </w:p>
        </w:tc>
        <w:tc>
          <w:tcPr>
            <w:tcW w:w="1843" w:type="dxa"/>
            <w:vMerge w:val="restart"/>
            <w:vAlign w:val="center"/>
          </w:tcPr>
          <w:p>
            <w:pPr>
              <w:adjustRightInd w:val="0"/>
              <w:snapToGrid w:val="0"/>
              <w:jc w:val="center"/>
              <w:rPr>
                <w:snapToGrid w:val="0"/>
                <w:color w:val="auto"/>
                <w:kern w:val="0"/>
                <w:sz w:val="21"/>
                <w:szCs w:val="21"/>
                <w:lang w:val="zh-CN"/>
              </w:rPr>
            </w:pPr>
            <w:r>
              <w:rPr>
                <w:bCs/>
                <w:snapToGrid w:val="0"/>
                <w:color w:val="auto"/>
                <w:kern w:val="0"/>
                <w:sz w:val="21"/>
                <w:szCs w:val="21"/>
              </w:rPr>
              <w:t>《肉类加工工业水污染物排放标准》（GB13457-92）表3三级畜类屠宰加工标准限值</w:t>
            </w:r>
          </w:p>
        </w:tc>
        <w:tc>
          <w:tcPr>
            <w:tcW w:w="992"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自动监测</w:t>
            </w:r>
          </w:p>
        </w:tc>
        <w:tc>
          <w:tcPr>
            <w:tcW w:w="851"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在线监测</w:t>
            </w:r>
          </w:p>
        </w:tc>
        <w:tc>
          <w:tcPr>
            <w:tcW w:w="1842" w:type="dxa"/>
            <w:vMerge w:val="restart"/>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参照</w:t>
            </w:r>
            <w:r>
              <w:rPr>
                <w:rFonts w:hint="eastAsia"/>
                <w:snapToGrid w:val="0"/>
                <w:color w:val="auto"/>
                <w:kern w:val="0"/>
                <w:sz w:val="21"/>
                <w:szCs w:val="21"/>
                <w:lang w:val="zh-CN"/>
              </w:rPr>
              <w:t>HJ/T353、HJ/T354、HJ/T355</w:t>
            </w:r>
          </w:p>
        </w:tc>
        <w:tc>
          <w:tcPr>
            <w:tcW w:w="3051" w:type="dxa"/>
            <w:gridSpan w:val="2"/>
            <w:vAlign w:val="center"/>
          </w:tcPr>
          <w:p>
            <w:pPr>
              <w:adjustRightInd w:val="0"/>
              <w:snapToGrid w:val="0"/>
              <w:jc w:val="center"/>
              <w:rPr>
                <w:snapToGrid w:val="0"/>
                <w:color w:val="auto"/>
                <w:kern w:val="0"/>
                <w:sz w:val="21"/>
                <w:szCs w:val="21"/>
                <w:lang w:val="zh-CN"/>
              </w:rPr>
            </w:pPr>
            <w:r>
              <w:rPr>
                <w:snapToGrid w:val="0"/>
                <w:color w:val="auto"/>
                <w:kern w:val="0"/>
                <w:sz w:val="21"/>
                <w:szCs w:val="21"/>
              </w:rPr>
              <w:t>水质 pH的测定 玻璃电极法 GB 6920-1986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392" w:type="dxa"/>
            <w:vMerge w:val="continue"/>
            <w:vAlign w:val="center"/>
          </w:tcPr>
          <w:p>
            <w:pPr>
              <w:adjustRightInd w:val="0"/>
              <w:snapToGrid w:val="0"/>
              <w:jc w:val="center"/>
              <w:rPr>
                <w:snapToGrid w:val="0"/>
                <w:color w:val="auto"/>
                <w:kern w:val="0"/>
                <w:sz w:val="21"/>
                <w:szCs w:val="21"/>
                <w:lang w:val="zh-CN"/>
              </w:rPr>
            </w:pPr>
          </w:p>
        </w:tc>
        <w:tc>
          <w:tcPr>
            <w:tcW w:w="850" w:type="dxa"/>
            <w:vMerge w:val="continue"/>
            <w:vAlign w:val="center"/>
          </w:tcPr>
          <w:p>
            <w:pPr>
              <w:adjustRightInd w:val="0"/>
              <w:snapToGrid w:val="0"/>
              <w:jc w:val="center"/>
              <w:rPr>
                <w:snapToGrid w:val="0"/>
                <w:color w:val="auto"/>
                <w:kern w:val="0"/>
                <w:sz w:val="21"/>
                <w:szCs w:val="21"/>
                <w:lang w:val="zh-CN"/>
              </w:rPr>
            </w:pPr>
          </w:p>
        </w:tc>
        <w:tc>
          <w:tcPr>
            <w:tcW w:w="1276" w:type="dxa"/>
            <w:vAlign w:val="center"/>
          </w:tcPr>
          <w:p>
            <w:pPr>
              <w:adjustRightInd w:val="0"/>
              <w:snapToGrid w:val="0"/>
              <w:jc w:val="center"/>
              <w:rPr>
                <w:snapToGrid w:val="0"/>
                <w:color w:val="auto"/>
                <w:kern w:val="0"/>
                <w:sz w:val="21"/>
                <w:szCs w:val="21"/>
              </w:rPr>
            </w:pPr>
            <w:r>
              <w:rPr>
                <w:snapToGrid w:val="0"/>
                <w:color w:val="auto"/>
                <w:kern w:val="0"/>
                <w:sz w:val="21"/>
                <w:szCs w:val="21"/>
              </w:rPr>
              <w:t>化学需氧量</w:t>
            </w:r>
          </w:p>
        </w:tc>
        <w:tc>
          <w:tcPr>
            <w:tcW w:w="2410" w:type="dxa"/>
            <w:vMerge w:val="continue"/>
            <w:vAlign w:val="center"/>
          </w:tcPr>
          <w:p>
            <w:pPr>
              <w:adjustRightInd w:val="0"/>
              <w:snapToGrid w:val="0"/>
              <w:jc w:val="center"/>
              <w:rPr>
                <w:snapToGrid w:val="0"/>
                <w:color w:val="auto"/>
                <w:kern w:val="0"/>
                <w:sz w:val="21"/>
                <w:szCs w:val="21"/>
                <w:lang w:val="zh-CN"/>
              </w:rPr>
            </w:pPr>
          </w:p>
        </w:tc>
        <w:tc>
          <w:tcPr>
            <w:tcW w:w="992" w:type="dxa"/>
            <w:vMerge w:val="continue"/>
            <w:vAlign w:val="center"/>
          </w:tcPr>
          <w:p>
            <w:pPr>
              <w:adjustRightInd w:val="0"/>
              <w:snapToGrid w:val="0"/>
              <w:jc w:val="center"/>
              <w:rPr>
                <w:snapToGrid w:val="0"/>
                <w:color w:val="auto"/>
                <w:kern w:val="0"/>
                <w:sz w:val="21"/>
                <w:szCs w:val="21"/>
                <w:lang w:val="zh-CN"/>
              </w:rPr>
            </w:pPr>
          </w:p>
        </w:tc>
        <w:tc>
          <w:tcPr>
            <w:tcW w:w="1843" w:type="dxa"/>
            <w:vMerge w:val="continue"/>
            <w:vAlign w:val="center"/>
          </w:tcPr>
          <w:p>
            <w:pPr>
              <w:adjustRightInd w:val="0"/>
              <w:snapToGrid w:val="0"/>
              <w:jc w:val="center"/>
              <w:rPr>
                <w:snapToGrid w:val="0"/>
                <w:color w:val="auto"/>
                <w:kern w:val="0"/>
                <w:sz w:val="21"/>
                <w:szCs w:val="21"/>
                <w:lang w:val="zh-CN"/>
              </w:rPr>
            </w:pPr>
          </w:p>
        </w:tc>
        <w:tc>
          <w:tcPr>
            <w:tcW w:w="992"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自动监测</w:t>
            </w:r>
          </w:p>
        </w:tc>
        <w:tc>
          <w:tcPr>
            <w:tcW w:w="851"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在线监测</w:t>
            </w:r>
          </w:p>
        </w:tc>
        <w:tc>
          <w:tcPr>
            <w:tcW w:w="1842" w:type="dxa"/>
            <w:vMerge w:val="continue"/>
            <w:vAlign w:val="center"/>
          </w:tcPr>
          <w:p>
            <w:pPr>
              <w:adjustRightInd w:val="0"/>
              <w:snapToGrid w:val="0"/>
              <w:jc w:val="center"/>
              <w:rPr>
                <w:snapToGrid w:val="0"/>
                <w:color w:val="auto"/>
                <w:kern w:val="0"/>
                <w:sz w:val="21"/>
                <w:szCs w:val="21"/>
                <w:lang w:val="zh-CN"/>
              </w:rPr>
            </w:pPr>
          </w:p>
        </w:tc>
        <w:tc>
          <w:tcPr>
            <w:tcW w:w="3051" w:type="dxa"/>
            <w:gridSpan w:val="2"/>
            <w:vAlign w:val="center"/>
          </w:tcPr>
          <w:p>
            <w:pPr>
              <w:adjustRightInd w:val="0"/>
              <w:snapToGrid w:val="0"/>
              <w:jc w:val="center"/>
              <w:rPr>
                <w:snapToGrid w:val="0"/>
                <w:color w:val="auto"/>
                <w:kern w:val="0"/>
                <w:sz w:val="21"/>
                <w:szCs w:val="21"/>
                <w:lang w:val="zh-CN"/>
              </w:rPr>
            </w:pPr>
            <w:r>
              <w:rPr>
                <w:snapToGrid w:val="0"/>
                <w:color w:val="auto"/>
                <w:kern w:val="0"/>
                <w:sz w:val="21"/>
                <w:szCs w:val="21"/>
              </w:rPr>
              <w:t>水质 化学需氧量的测定 重铬酸盐法 HJ 828-2017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392" w:type="dxa"/>
            <w:vMerge w:val="continue"/>
            <w:vAlign w:val="center"/>
          </w:tcPr>
          <w:p>
            <w:pPr>
              <w:adjustRightInd w:val="0"/>
              <w:snapToGrid w:val="0"/>
              <w:jc w:val="center"/>
              <w:rPr>
                <w:snapToGrid w:val="0"/>
                <w:color w:val="auto"/>
                <w:kern w:val="0"/>
                <w:sz w:val="21"/>
                <w:szCs w:val="21"/>
                <w:lang w:val="zh-CN"/>
              </w:rPr>
            </w:pPr>
          </w:p>
        </w:tc>
        <w:tc>
          <w:tcPr>
            <w:tcW w:w="850" w:type="dxa"/>
            <w:vMerge w:val="continue"/>
            <w:vAlign w:val="center"/>
          </w:tcPr>
          <w:p>
            <w:pPr>
              <w:adjustRightInd w:val="0"/>
              <w:snapToGrid w:val="0"/>
              <w:jc w:val="center"/>
              <w:rPr>
                <w:snapToGrid w:val="0"/>
                <w:color w:val="auto"/>
                <w:kern w:val="0"/>
                <w:sz w:val="21"/>
                <w:szCs w:val="21"/>
                <w:lang w:val="zh-CN"/>
              </w:rPr>
            </w:pPr>
          </w:p>
        </w:tc>
        <w:tc>
          <w:tcPr>
            <w:tcW w:w="1276" w:type="dxa"/>
            <w:vAlign w:val="center"/>
          </w:tcPr>
          <w:p>
            <w:pPr>
              <w:adjustRightInd w:val="0"/>
              <w:snapToGrid w:val="0"/>
              <w:jc w:val="center"/>
              <w:rPr>
                <w:snapToGrid w:val="0"/>
                <w:color w:val="auto"/>
                <w:kern w:val="0"/>
                <w:sz w:val="21"/>
                <w:szCs w:val="21"/>
              </w:rPr>
            </w:pPr>
            <w:r>
              <w:rPr>
                <w:snapToGrid w:val="0"/>
                <w:color w:val="auto"/>
                <w:kern w:val="0"/>
                <w:sz w:val="21"/>
                <w:szCs w:val="21"/>
              </w:rPr>
              <w:t>氨氮</w:t>
            </w:r>
          </w:p>
        </w:tc>
        <w:tc>
          <w:tcPr>
            <w:tcW w:w="2410" w:type="dxa"/>
            <w:vMerge w:val="continue"/>
            <w:vAlign w:val="center"/>
          </w:tcPr>
          <w:p>
            <w:pPr>
              <w:adjustRightInd w:val="0"/>
              <w:snapToGrid w:val="0"/>
              <w:jc w:val="center"/>
              <w:rPr>
                <w:snapToGrid w:val="0"/>
                <w:color w:val="auto"/>
                <w:kern w:val="0"/>
                <w:sz w:val="21"/>
                <w:szCs w:val="21"/>
                <w:lang w:val="zh-CN"/>
              </w:rPr>
            </w:pPr>
          </w:p>
        </w:tc>
        <w:tc>
          <w:tcPr>
            <w:tcW w:w="992" w:type="dxa"/>
            <w:vMerge w:val="continue"/>
            <w:vAlign w:val="center"/>
          </w:tcPr>
          <w:p>
            <w:pPr>
              <w:adjustRightInd w:val="0"/>
              <w:snapToGrid w:val="0"/>
              <w:jc w:val="center"/>
              <w:rPr>
                <w:snapToGrid w:val="0"/>
                <w:color w:val="auto"/>
                <w:kern w:val="0"/>
                <w:sz w:val="21"/>
                <w:szCs w:val="21"/>
                <w:lang w:val="zh-CN"/>
              </w:rPr>
            </w:pPr>
          </w:p>
        </w:tc>
        <w:tc>
          <w:tcPr>
            <w:tcW w:w="1843" w:type="dxa"/>
            <w:vMerge w:val="continue"/>
            <w:vAlign w:val="center"/>
          </w:tcPr>
          <w:p>
            <w:pPr>
              <w:adjustRightInd w:val="0"/>
              <w:snapToGrid w:val="0"/>
              <w:jc w:val="center"/>
              <w:rPr>
                <w:snapToGrid w:val="0"/>
                <w:color w:val="auto"/>
                <w:kern w:val="0"/>
                <w:sz w:val="21"/>
                <w:szCs w:val="21"/>
                <w:lang w:val="zh-CN"/>
              </w:rPr>
            </w:pPr>
          </w:p>
        </w:tc>
        <w:tc>
          <w:tcPr>
            <w:tcW w:w="992"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自动监测</w:t>
            </w:r>
          </w:p>
        </w:tc>
        <w:tc>
          <w:tcPr>
            <w:tcW w:w="851"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在线监测</w:t>
            </w:r>
          </w:p>
        </w:tc>
        <w:tc>
          <w:tcPr>
            <w:tcW w:w="1842" w:type="dxa"/>
            <w:vMerge w:val="continue"/>
            <w:vAlign w:val="center"/>
          </w:tcPr>
          <w:p>
            <w:pPr>
              <w:adjustRightInd w:val="0"/>
              <w:snapToGrid w:val="0"/>
              <w:jc w:val="center"/>
              <w:rPr>
                <w:snapToGrid w:val="0"/>
                <w:color w:val="auto"/>
                <w:kern w:val="0"/>
                <w:sz w:val="21"/>
                <w:szCs w:val="21"/>
                <w:lang w:val="zh-CN"/>
              </w:rPr>
            </w:pPr>
          </w:p>
        </w:tc>
        <w:tc>
          <w:tcPr>
            <w:tcW w:w="3051" w:type="dxa"/>
            <w:gridSpan w:val="2"/>
            <w:vAlign w:val="center"/>
          </w:tcPr>
          <w:p>
            <w:pPr>
              <w:adjustRightInd w:val="0"/>
              <w:snapToGrid w:val="0"/>
              <w:jc w:val="center"/>
              <w:rPr>
                <w:snapToGrid w:val="0"/>
                <w:color w:val="auto"/>
                <w:kern w:val="0"/>
                <w:sz w:val="21"/>
                <w:szCs w:val="21"/>
                <w:lang w:val="zh-CN"/>
              </w:rPr>
            </w:pPr>
            <w:r>
              <w:rPr>
                <w:snapToGrid w:val="0"/>
                <w:color w:val="auto"/>
                <w:kern w:val="0"/>
                <w:sz w:val="21"/>
                <w:szCs w:val="21"/>
              </w:rPr>
              <w:t>水质 氨氮的测定 纳氏试剂分光光度法 HJ 535-2009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392" w:type="dxa"/>
            <w:vMerge w:val="continue"/>
            <w:vAlign w:val="center"/>
          </w:tcPr>
          <w:p>
            <w:pPr>
              <w:adjustRightInd w:val="0"/>
              <w:snapToGrid w:val="0"/>
              <w:jc w:val="center"/>
              <w:rPr>
                <w:snapToGrid w:val="0"/>
                <w:color w:val="auto"/>
                <w:kern w:val="0"/>
                <w:sz w:val="21"/>
                <w:szCs w:val="21"/>
                <w:lang w:val="zh-CN"/>
              </w:rPr>
            </w:pPr>
          </w:p>
        </w:tc>
        <w:tc>
          <w:tcPr>
            <w:tcW w:w="850" w:type="dxa"/>
            <w:vMerge w:val="continue"/>
            <w:vAlign w:val="center"/>
          </w:tcPr>
          <w:p>
            <w:pPr>
              <w:adjustRightInd w:val="0"/>
              <w:snapToGrid w:val="0"/>
              <w:jc w:val="center"/>
              <w:rPr>
                <w:snapToGrid w:val="0"/>
                <w:color w:val="auto"/>
                <w:kern w:val="0"/>
                <w:sz w:val="21"/>
                <w:szCs w:val="21"/>
                <w:lang w:val="zh-CN"/>
              </w:rPr>
            </w:pPr>
          </w:p>
        </w:tc>
        <w:tc>
          <w:tcPr>
            <w:tcW w:w="1276" w:type="dxa"/>
            <w:vAlign w:val="center"/>
          </w:tcPr>
          <w:p>
            <w:pPr>
              <w:adjustRightInd w:val="0"/>
              <w:snapToGrid w:val="0"/>
              <w:jc w:val="center"/>
              <w:rPr>
                <w:snapToGrid w:val="0"/>
                <w:color w:val="auto"/>
                <w:kern w:val="0"/>
                <w:sz w:val="21"/>
                <w:szCs w:val="21"/>
                <w:lang w:val="zh-CN"/>
              </w:rPr>
            </w:pPr>
            <w:r>
              <w:rPr>
                <w:snapToGrid w:val="0"/>
                <w:color w:val="auto"/>
                <w:kern w:val="0"/>
                <w:sz w:val="21"/>
                <w:szCs w:val="21"/>
              </w:rPr>
              <w:t>五日生化需氧量</w:t>
            </w:r>
          </w:p>
        </w:tc>
        <w:tc>
          <w:tcPr>
            <w:tcW w:w="2410" w:type="dxa"/>
            <w:vMerge w:val="continue"/>
            <w:vAlign w:val="center"/>
          </w:tcPr>
          <w:p>
            <w:pPr>
              <w:adjustRightInd w:val="0"/>
              <w:snapToGrid w:val="0"/>
              <w:jc w:val="center"/>
              <w:rPr>
                <w:snapToGrid w:val="0"/>
                <w:color w:val="auto"/>
                <w:kern w:val="0"/>
                <w:sz w:val="21"/>
                <w:szCs w:val="21"/>
                <w:lang w:val="zh-CN"/>
              </w:rPr>
            </w:pPr>
          </w:p>
        </w:tc>
        <w:tc>
          <w:tcPr>
            <w:tcW w:w="992" w:type="dxa"/>
            <w:vMerge w:val="continue"/>
            <w:vAlign w:val="center"/>
          </w:tcPr>
          <w:p>
            <w:pPr>
              <w:adjustRightInd w:val="0"/>
              <w:snapToGrid w:val="0"/>
              <w:jc w:val="center"/>
              <w:rPr>
                <w:snapToGrid w:val="0"/>
                <w:color w:val="auto"/>
                <w:kern w:val="0"/>
                <w:sz w:val="21"/>
                <w:szCs w:val="21"/>
                <w:lang w:val="zh-CN"/>
              </w:rPr>
            </w:pPr>
          </w:p>
        </w:tc>
        <w:tc>
          <w:tcPr>
            <w:tcW w:w="1843" w:type="dxa"/>
            <w:vMerge w:val="continue"/>
            <w:vAlign w:val="center"/>
          </w:tcPr>
          <w:p>
            <w:pPr>
              <w:adjustRightInd w:val="0"/>
              <w:snapToGrid w:val="0"/>
              <w:jc w:val="center"/>
              <w:rPr>
                <w:snapToGrid w:val="0"/>
                <w:color w:val="auto"/>
                <w:kern w:val="0"/>
                <w:sz w:val="21"/>
                <w:szCs w:val="21"/>
                <w:lang w:val="zh-CN"/>
              </w:rPr>
            </w:pPr>
          </w:p>
        </w:tc>
        <w:tc>
          <w:tcPr>
            <w:tcW w:w="992" w:type="dxa"/>
            <w:vAlign w:val="center"/>
          </w:tcPr>
          <w:p>
            <w:pPr>
              <w:adjustRightInd w:val="0"/>
              <w:snapToGrid w:val="0"/>
              <w:jc w:val="center"/>
              <w:rPr>
                <w:snapToGrid w:val="0"/>
                <w:color w:val="auto"/>
                <w:kern w:val="0"/>
                <w:sz w:val="21"/>
                <w:szCs w:val="21"/>
                <w:lang w:val="zh-CN"/>
              </w:rPr>
            </w:pPr>
            <w:r>
              <w:rPr>
                <w:rFonts w:hint="eastAsia"/>
                <w:snapToGrid w:val="0"/>
                <w:color w:val="auto"/>
                <w:kern w:val="0"/>
                <w:sz w:val="21"/>
                <w:szCs w:val="21"/>
                <w:lang w:val="zh-CN"/>
              </w:rPr>
              <w:t>1次/季度</w:t>
            </w:r>
          </w:p>
        </w:tc>
        <w:tc>
          <w:tcPr>
            <w:tcW w:w="851"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手工监测技术</w:t>
            </w:r>
          </w:p>
        </w:tc>
        <w:tc>
          <w:tcPr>
            <w:tcW w:w="1842" w:type="dxa"/>
            <w:vMerge w:val="restart"/>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参照</w:t>
            </w:r>
            <w:r>
              <w:rPr>
                <w:rFonts w:hint="eastAsia"/>
                <w:snapToGrid w:val="0"/>
                <w:color w:val="auto"/>
                <w:kern w:val="0"/>
                <w:sz w:val="21"/>
                <w:szCs w:val="21"/>
                <w:lang w:val="zh-CN"/>
              </w:rPr>
              <w:t>HJ494、HJ495、HJ/T91</w:t>
            </w:r>
          </w:p>
        </w:tc>
        <w:tc>
          <w:tcPr>
            <w:tcW w:w="3051" w:type="dxa"/>
            <w:gridSpan w:val="2"/>
            <w:vAlign w:val="center"/>
          </w:tcPr>
          <w:p>
            <w:pPr>
              <w:adjustRightInd w:val="0"/>
              <w:snapToGrid w:val="0"/>
              <w:jc w:val="center"/>
              <w:rPr>
                <w:snapToGrid w:val="0"/>
                <w:color w:val="auto"/>
                <w:kern w:val="0"/>
                <w:sz w:val="21"/>
                <w:szCs w:val="21"/>
                <w:lang w:val="zh-CN"/>
              </w:rPr>
            </w:pPr>
            <w:r>
              <w:rPr>
                <w:snapToGrid w:val="0"/>
                <w:color w:val="auto"/>
                <w:kern w:val="0"/>
                <w:sz w:val="21"/>
                <w:szCs w:val="21"/>
              </w:rPr>
              <w:t>水质 五日生化需氧量（BOD</w:t>
            </w:r>
            <w:r>
              <w:rPr>
                <w:snapToGrid w:val="0"/>
                <w:color w:val="auto"/>
                <w:kern w:val="0"/>
                <w:sz w:val="21"/>
                <w:szCs w:val="21"/>
                <w:vertAlign w:val="subscript"/>
              </w:rPr>
              <w:t>5</w:t>
            </w:r>
            <w:r>
              <w:rPr>
                <w:snapToGrid w:val="0"/>
                <w:color w:val="auto"/>
                <w:kern w:val="0"/>
                <w:sz w:val="21"/>
                <w:szCs w:val="21"/>
              </w:rPr>
              <w:t>）的测定 稀释与接种法 HJ 505-2009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392" w:type="dxa"/>
            <w:vMerge w:val="continue"/>
            <w:vAlign w:val="center"/>
          </w:tcPr>
          <w:p>
            <w:pPr>
              <w:adjustRightInd w:val="0"/>
              <w:snapToGrid w:val="0"/>
              <w:jc w:val="center"/>
              <w:rPr>
                <w:snapToGrid w:val="0"/>
                <w:color w:val="auto"/>
                <w:kern w:val="0"/>
                <w:sz w:val="21"/>
                <w:szCs w:val="21"/>
                <w:lang w:val="zh-CN"/>
              </w:rPr>
            </w:pPr>
          </w:p>
        </w:tc>
        <w:tc>
          <w:tcPr>
            <w:tcW w:w="850" w:type="dxa"/>
            <w:vMerge w:val="continue"/>
            <w:vAlign w:val="center"/>
          </w:tcPr>
          <w:p>
            <w:pPr>
              <w:adjustRightInd w:val="0"/>
              <w:snapToGrid w:val="0"/>
              <w:jc w:val="center"/>
              <w:rPr>
                <w:snapToGrid w:val="0"/>
                <w:color w:val="auto"/>
                <w:kern w:val="0"/>
                <w:sz w:val="21"/>
                <w:szCs w:val="21"/>
                <w:lang w:val="zh-CN"/>
              </w:rPr>
            </w:pPr>
          </w:p>
        </w:tc>
        <w:tc>
          <w:tcPr>
            <w:tcW w:w="1276" w:type="dxa"/>
            <w:vAlign w:val="center"/>
          </w:tcPr>
          <w:p>
            <w:pPr>
              <w:adjustRightInd w:val="0"/>
              <w:snapToGrid w:val="0"/>
              <w:jc w:val="center"/>
              <w:rPr>
                <w:snapToGrid w:val="0"/>
                <w:color w:val="auto"/>
                <w:kern w:val="0"/>
                <w:sz w:val="21"/>
                <w:szCs w:val="21"/>
              </w:rPr>
            </w:pPr>
            <w:r>
              <w:rPr>
                <w:rFonts w:hint="eastAsia"/>
                <w:snapToGrid w:val="0"/>
                <w:color w:val="auto"/>
                <w:kern w:val="0"/>
                <w:sz w:val="21"/>
                <w:szCs w:val="21"/>
              </w:rPr>
              <w:t>悬浮物</w:t>
            </w:r>
          </w:p>
        </w:tc>
        <w:tc>
          <w:tcPr>
            <w:tcW w:w="2410" w:type="dxa"/>
            <w:vMerge w:val="continue"/>
            <w:vAlign w:val="center"/>
          </w:tcPr>
          <w:p>
            <w:pPr>
              <w:adjustRightInd w:val="0"/>
              <w:snapToGrid w:val="0"/>
              <w:jc w:val="center"/>
              <w:rPr>
                <w:snapToGrid w:val="0"/>
                <w:color w:val="auto"/>
                <w:kern w:val="0"/>
                <w:sz w:val="21"/>
                <w:szCs w:val="21"/>
                <w:lang w:val="zh-CN"/>
              </w:rPr>
            </w:pPr>
          </w:p>
        </w:tc>
        <w:tc>
          <w:tcPr>
            <w:tcW w:w="992" w:type="dxa"/>
            <w:vMerge w:val="continue"/>
            <w:vAlign w:val="center"/>
          </w:tcPr>
          <w:p>
            <w:pPr>
              <w:adjustRightInd w:val="0"/>
              <w:snapToGrid w:val="0"/>
              <w:jc w:val="center"/>
              <w:rPr>
                <w:snapToGrid w:val="0"/>
                <w:color w:val="auto"/>
                <w:kern w:val="0"/>
                <w:sz w:val="21"/>
                <w:szCs w:val="21"/>
                <w:lang w:val="zh-CN"/>
              </w:rPr>
            </w:pPr>
          </w:p>
        </w:tc>
        <w:tc>
          <w:tcPr>
            <w:tcW w:w="1843" w:type="dxa"/>
            <w:vMerge w:val="continue"/>
            <w:vAlign w:val="center"/>
          </w:tcPr>
          <w:p>
            <w:pPr>
              <w:adjustRightInd w:val="0"/>
              <w:snapToGrid w:val="0"/>
              <w:jc w:val="center"/>
              <w:rPr>
                <w:snapToGrid w:val="0"/>
                <w:color w:val="auto"/>
                <w:kern w:val="0"/>
                <w:sz w:val="21"/>
                <w:szCs w:val="21"/>
                <w:lang w:val="zh-CN"/>
              </w:rPr>
            </w:pPr>
          </w:p>
        </w:tc>
        <w:tc>
          <w:tcPr>
            <w:tcW w:w="992" w:type="dxa"/>
            <w:vAlign w:val="center"/>
          </w:tcPr>
          <w:p>
            <w:pPr>
              <w:adjustRightInd w:val="0"/>
              <w:snapToGrid w:val="0"/>
              <w:jc w:val="center"/>
              <w:rPr>
                <w:snapToGrid w:val="0"/>
                <w:color w:val="auto"/>
                <w:kern w:val="0"/>
                <w:sz w:val="21"/>
                <w:szCs w:val="21"/>
                <w:lang w:val="zh-CN"/>
              </w:rPr>
            </w:pPr>
            <w:r>
              <w:rPr>
                <w:rFonts w:hint="eastAsia"/>
                <w:snapToGrid w:val="0"/>
                <w:color w:val="auto"/>
                <w:kern w:val="0"/>
                <w:sz w:val="21"/>
                <w:szCs w:val="21"/>
                <w:lang w:val="zh-CN"/>
              </w:rPr>
              <w:t>1次/季度</w:t>
            </w:r>
          </w:p>
        </w:tc>
        <w:tc>
          <w:tcPr>
            <w:tcW w:w="851"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手工监测技术</w:t>
            </w:r>
          </w:p>
        </w:tc>
        <w:tc>
          <w:tcPr>
            <w:tcW w:w="1842" w:type="dxa"/>
            <w:vMerge w:val="continue"/>
            <w:vAlign w:val="center"/>
          </w:tcPr>
          <w:p>
            <w:pPr>
              <w:adjustRightInd w:val="0"/>
              <w:snapToGrid w:val="0"/>
              <w:jc w:val="center"/>
              <w:rPr>
                <w:snapToGrid w:val="0"/>
                <w:color w:val="auto"/>
                <w:kern w:val="0"/>
                <w:sz w:val="21"/>
                <w:szCs w:val="21"/>
                <w:lang w:val="zh-CN"/>
              </w:rPr>
            </w:pPr>
          </w:p>
        </w:tc>
        <w:tc>
          <w:tcPr>
            <w:tcW w:w="3051" w:type="dxa"/>
            <w:gridSpan w:val="2"/>
            <w:vAlign w:val="center"/>
          </w:tcPr>
          <w:p>
            <w:pPr>
              <w:adjustRightInd w:val="0"/>
              <w:snapToGrid w:val="0"/>
              <w:jc w:val="center"/>
              <w:rPr>
                <w:snapToGrid w:val="0"/>
                <w:color w:val="auto"/>
                <w:kern w:val="0"/>
                <w:sz w:val="21"/>
                <w:szCs w:val="21"/>
                <w:lang w:val="zh-CN"/>
              </w:rPr>
            </w:pPr>
            <w:r>
              <w:rPr>
                <w:snapToGrid w:val="0"/>
                <w:color w:val="auto"/>
                <w:kern w:val="0"/>
                <w:sz w:val="21"/>
                <w:szCs w:val="21"/>
              </w:rPr>
              <w:t>水质悬浮物的测定 多管发酵法和滤膜法 HJ/T 347-2007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392" w:type="dxa"/>
            <w:vMerge w:val="continue"/>
            <w:vAlign w:val="center"/>
          </w:tcPr>
          <w:p>
            <w:pPr>
              <w:adjustRightInd w:val="0"/>
              <w:snapToGrid w:val="0"/>
              <w:jc w:val="center"/>
              <w:rPr>
                <w:snapToGrid w:val="0"/>
                <w:color w:val="auto"/>
                <w:kern w:val="0"/>
                <w:sz w:val="21"/>
                <w:szCs w:val="21"/>
                <w:lang w:val="zh-CN"/>
              </w:rPr>
            </w:pPr>
          </w:p>
        </w:tc>
        <w:tc>
          <w:tcPr>
            <w:tcW w:w="850" w:type="dxa"/>
            <w:vMerge w:val="continue"/>
            <w:vAlign w:val="center"/>
          </w:tcPr>
          <w:p>
            <w:pPr>
              <w:adjustRightInd w:val="0"/>
              <w:snapToGrid w:val="0"/>
              <w:jc w:val="center"/>
              <w:rPr>
                <w:snapToGrid w:val="0"/>
                <w:color w:val="auto"/>
                <w:kern w:val="0"/>
                <w:sz w:val="21"/>
                <w:szCs w:val="21"/>
                <w:lang w:val="zh-CN"/>
              </w:rPr>
            </w:pPr>
          </w:p>
        </w:tc>
        <w:tc>
          <w:tcPr>
            <w:tcW w:w="1276" w:type="dxa"/>
            <w:vAlign w:val="center"/>
          </w:tcPr>
          <w:p>
            <w:pPr>
              <w:adjustRightInd w:val="0"/>
              <w:snapToGrid w:val="0"/>
              <w:jc w:val="center"/>
              <w:rPr>
                <w:snapToGrid w:val="0"/>
                <w:color w:val="auto"/>
                <w:kern w:val="0"/>
                <w:sz w:val="21"/>
                <w:szCs w:val="21"/>
              </w:rPr>
            </w:pPr>
            <w:r>
              <w:rPr>
                <w:snapToGrid w:val="0"/>
                <w:color w:val="auto"/>
                <w:kern w:val="0"/>
                <w:sz w:val="21"/>
                <w:szCs w:val="21"/>
              </w:rPr>
              <w:t>动植物油</w:t>
            </w:r>
          </w:p>
        </w:tc>
        <w:tc>
          <w:tcPr>
            <w:tcW w:w="2410" w:type="dxa"/>
            <w:vMerge w:val="continue"/>
            <w:vAlign w:val="center"/>
          </w:tcPr>
          <w:p>
            <w:pPr>
              <w:adjustRightInd w:val="0"/>
              <w:snapToGrid w:val="0"/>
              <w:jc w:val="center"/>
              <w:rPr>
                <w:snapToGrid w:val="0"/>
                <w:color w:val="auto"/>
                <w:kern w:val="0"/>
                <w:sz w:val="21"/>
                <w:szCs w:val="21"/>
                <w:lang w:val="zh-CN"/>
              </w:rPr>
            </w:pPr>
          </w:p>
        </w:tc>
        <w:tc>
          <w:tcPr>
            <w:tcW w:w="992" w:type="dxa"/>
            <w:vMerge w:val="continue"/>
            <w:vAlign w:val="center"/>
          </w:tcPr>
          <w:p>
            <w:pPr>
              <w:adjustRightInd w:val="0"/>
              <w:snapToGrid w:val="0"/>
              <w:jc w:val="center"/>
              <w:rPr>
                <w:snapToGrid w:val="0"/>
                <w:color w:val="auto"/>
                <w:kern w:val="0"/>
                <w:sz w:val="21"/>
                <w:szCs w:val="21"/>
                <w:lang w:val="zh-CN"/>
              </w:rPr>
            </w:pPr>
          </w:p>
        </w:tc>
        <w:tc>
          <w:tcPr>
            <w:tcW w:w="1843" w:type="dxa"/>
            <w:vMerge w:val="continue"/>
            <w:vAlign w:val="center"/>
          </w:tcPr>
          <w:p>
            <w:pPr>
              <w:adjustRightInd w:val="0"/>
              <w:snapToGrid w:val="0"/>
              <w:jc w:val="center"/>
              <w:rPr>
                <w:snapToGrid w:val="0"/>
                <w:color w:val="auto"/>
                <w:kern w:val="0"/>
                <w:sz w:val="21"/>
                <w:szCs w:val="21"/>
                <w:lang w:val="zh-CN"/>
              </w:rPr>
            </w:pPr>
          </w:p>
        </w:tc>
        <w:tc>
          <w:tcPr>
            <w:tcW w:w="992" w:type="dxa"/>
            <w:vAlign w:val="center"/>
          </w:tcPr>
          <w:p>
            <w:pPr>
              <w:adjustRightInd w:val="0"/>
              <w:snapToGrid w:val="0"/>
              <w:jc w:val="center"/>
              <w:rPr>
                <w:snapToGrid w:val="0"/>
                <w:color w:val="auto"/>
                <w:kern w:val="0"/>
                <w:sz w:val="21"/>
                <w:szCs w:val="21"/>
                <w:lang w:val="zh-CN"/>
              </w:rPr>
            </w:pPr>
            <w:r>
              <w:rPr>
                <w:rFonts w:hint="eastAsia"/>
                <w:snapToGrid w:val="0"/>
                <w:color w:val="auto"/>
                <w:kern w:val="0"/>
                <w:sz w:val="21"/>
                <w:szCs w:val="21"/>
                <w:lang w:val="zh-CN"/>
              </w:rPr>
              <w:t>1次/季度</w:t>
            </w:r>
          </w:p>
        </w:tc>
        <w:tc>
          <w:tcPr>
            <w:tcW w:w="851"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手工监测技术</w:t>
            </w:r>
          </w:p>
        </w:tc>
        <w:tc>
          <w:tcPr>
            <w:tcW w:w="1842" w:type="dxa"/>
            <w:vMerge w:val="continue"/>
            <w:vAlign w:val="center"/>
          </w:tcPr>
          <w:p>
            <w:pPr>
              <w:adjustRightInd w:val="0"/>
              <w:snapToGrid w:val="0"/>
              <w:jc w:val="center"/>
              <w:rPr>
                <w:snapToGrid w:val="0"/>
                <w:color w:val="auto"/>
                <w:kern w:val="0"/>
                <w:sz w:val="21"/>
                <w:szCs w:val="21"/>
                <w:lang w:val="zh-CN"/>
              </w:rPr>
            </w:pPr>
          </w:p>
        </w:tc>
        <w:tc>
          <w:tcPr>
            <w:tcW w:w="3051" w:type="dxa"/>
            <w:gridSpan w:val="2"/>
            <w:vAlign w:val="center"/>
          </w:tcPr>
          <w:p>
            <w:pPr>
              <w:adjustRightInd w:val="0"/>
              <w:snapToGrid w:val="0"/>
              <w:jc w:val="center"/>
              <w:rPr>
                <w:snapToGrid w:val="0"/>
                <w:color w:val="auto"/>
                <w:kern w:val="0"/>
                <w:sz w:val="21"/>
                <w:szCs w:val="21"/>
                <w:lang w:val="zh-CN"/>
              </w:rPr>
            </w:pPr>
            <w:r>
              <w:rPr>
                <w:snapToGrid w:val="0"/>
                <w:color w:val="auto"/>
                <w:kern w:val="0"/>
                <w:sz w:val="21"/>
                <w:szCs w:val="21"/>
              </w:rPr>
              <w:t>水质动植物油的测定 分光光度法 HJ 506-2009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392" w:type="dxa"/>
            <w:vMerge w:val="continue"/>
            <w:vAlign w:val="center"/>
          </w:tcPr>
          <w:p>
            <w:pPr>
              <w:adjustRightInd w:val="0"/>
              <w:snapToGrid w:val="0"/>
              <w:jc w:val="center"/>
              <w:rPr>
                <w:snapToGrid w:val="0"/>
                <w:color w:val="auto"/>
                <w:kern w:val="0"/>
                <w:sz w:val="21"/>
                <w:szCs w:val="21"/>
                <w:lang w:val="zh-CN"/>
              </w:rPr>
            </w:pPr>
          </w:p>
        </w:tc>
        <w:tc>
          <w:tcPr>
            <w:tcW w:w="850" w:type="dxa"/>
            <w:vMerge w:val="continue"/>
            <w:vAlign w:val="center"/>
          </w:tcPr>
          <w:p>
            <w:pPr>
              <w:adjustRightInd w:val="0"/>
              <w:snapToGrid w:val="0"/>
              <w:jc w:val="center"/>
              <w:rPr>
                <w:snapToGrid w:val="0"/>
                <w:color w:val="auto"/>
                <w:kern w:val="0"/>
                <w:sz w:val="21"/>
                <w:szCs w:val="21"/>
                <w:lang w:val="zh-CN"/>
              </w:rPr>
            </w:pPr>
          </w:p>
        </w:tc>
        <w:tc>
          <w:tcPr>
            <w:tcW w:w="1276" w:type="dxa"/>
            <w:vAlign w:val="center"/>
          </w:tcPr>
          <w:p>
            <w:pPr>
              <w:adjustRightInd w:val="0"/>
              <w:snapToGrid w:val="0"/>
              <w:jc w:val="center"/>
              <w:rPr>
                <w:snapToGrid w:val="0"/>
                <w:color w:val="auto"/>
                <w:kern w:val="0"/>
                <w:sz w:val="21"/>
                <w:szCs w:val="21"/>
              </w:rPr>
            </w:pPr>
            <w:r>
              <w:rPr>
                <w:snapToGrid w:val="0"/>
                <w:color w:val="auto"/>
                <w:kern w:val="0"/>
                <w:sz w:val="21"/>
                <w:szCs w:val="21"/>
              </w:rPr>
              <w:t>大肠菌群数</w:t>
            </w:r>
          </w:p>
        </w:tc>
        <w:tc>
          <w:tcPr>
            <w:tcW w:w="2410" w:type="dxa"/>
            <w:vMerge w:val="continue"/>
            <w:vAlign w:val="center"/>
          </w:tcPr>
          <w:p>
            <w:pPr>
              <w:adjustRightInd w:val="0"/>
              <w:snapToGrid w:val="0"/>
              <w:jc w:val="center"/>
              <w:rPr>
                <w:snapToGrid w:val="0"/>
                <w:color w:val="auto"/>
                <w:kern w:val="0"/>
                <w:sz w:val="21"/>
                <w:szCs w:val="21"/>
                <w:lang w:val="zh-CN"/>
              </w:rPr>
            </w:pPr>
          </w:p>
        </w:tc>
        <w:tc>
          <w:tcPr>
            <w:tcW w:w="992" w:type="dxa"/>
            <w:vMerge w:val="continue"/>
            <w:vAlign w:val="center"/>
          </w:tcPr>
          <w:p>
            <w:pPr>
              <w:adjustRightInd w:val="0"/>
              <w:snapToGrid w:val="0"/>
              <w:jc w:val="center"/>
              <w:rPr>
                <w:snapToGrid w:val="0"/>
                <w:color w:val="auto"/>
                <w:kern w:val="0"/>
                <w:sz w:val="21"/>
                <w:szCs w:val="21"/>
                <w:lang w:val="zh-CN"/>
              </w:rPr>
            </w:pPr>
          </w:p>
        </w:tc>
        <w:tc>
          <w:tcPr>
            <w:tcW w:w="1843" w:type="dxa"/>
            <w:vMerge w:val="continue"/>
            <w:vAlign w:val="center"/>
          </w:tcPr>
          <w:p>
            <w:pPr>
              <w:adjustRightInd w:val="0"/>
              <w:snapToGrid w:val="0"/>
              <w:jc w:val="center"/>
              <w:rPr>
                <w:snapToGrid w:val="0"/>
                <w:color w:val="auto"/>
                <w:kern w:val="0"/>
                <w:sz w:val="21"/>
                <w:szCs w:val="21"/>
                <w:lang w:val="zh-CN"/>
              </w:rPr>
            </w:pPr>
          </w:p>
        </w:tc>
        <w:tc>
          <w:tcPr>
            <w:tcW w:w="992" w:type="dxa"/>
            <w:vAlign w:val="center"/>
          </w:tcPr>
          <w:p>
            <w:pPr>
              <w:adjustRightInd w:val="0"/>
              <w:snapToGrid w:val="0"/>
              <w:jc w:val="center"/>
              <w:rPr>
                <w:snapToGrid w:val="0"/>
                <w:color w:val="auto"/>
                <w:kern w:val="0"/>
                <w:sz w:val="21"/>
                <w:szCs w:val="21"/>
                <w:lang w:val="zh-CN"/>
              </w:rPr>
            </w:pPr>
            <w:r>
              <w:rPr>
                <w:rFonts w:hint="eastAsia"/>
                <w:snapToGrid w:val="0"/>
                <w:color w:val="auto"/>
                <w:kern w:val="0"/>
                <w:sz w:val="21"/>
                <w:szCs w:val="21"/>
                <w:lang w:val="zh-CN"/>
              </w:rPr>
              <w:t>1次/季度</w:t>
            </w:r>
          </w:p>
        </w:tc>
        <w:tc>
          <w:tcPr>
            <w:tcW w:w="851"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手工监测技术</w:t>
            </w:r>
          </w:p>
        </w:tc>
        <w:tc>
          <w:tcPr>
            <w:tcW w:w="1842" w:type="dxa"/>
            <w:vMerge w:val="continue"/>
            <w:vAlign w:val="center"/>
          </w:tcPr>
          <w:p>
            <w:pPr>
              <w:adjustRightInd w:val="0"/>
              <w:snapToGrid w:val="0"/>
              <w:jc w:val="center"/>
              <w:rPr>
                <w:snapToGrid w:val="0"/>
                <w:color w:val="auto"/>
                <w:kern w:val="0"/>
                <w:sz w:val="21"/>
                <w:szCs w:val="21"/>
                <w:lang w:val="zh-CN"/>
              </w:rPr>
            </w:pPr>
          </w:p>
        </w:tc>
        <w:tc>
          <w:tcPr>
            <w:tcW w:w="3051" w:type="dxa"/>
            <w:gridSpan w:val="2"/>
            <w:vAlign w:val="center"/>
          </w:tcPr>
          <w:p>
            <w:pPr>
              <w:adjustRightInd w:val="0"/>
              <w:snapToGrid w:val="0"/>
              <w:jc w:val="center"/>
              <w:rPr>
                <w:snapToGrid w:val="0"/>
                <w:color w:val="auto"/>
                <w:kern w:val="0"/>
                <w:sz w:val="21"/>
                <w:szCs w:val="21"/>
                <w:lang w:val="zh-CN"/>
              </w:rPr>
            </w:pPr>
            <w:r>
              <w:rPr>
                <w:snapToGrid w:val="0"/>
                <w:color w:val="auto"/>
                <w:kern w:val="0"/>
                <w:sz w:val="21"/>
                <w:szCs w:val="21"/>
              </w:rPr>
              <w:t>水质 粪大肠菌群的测定 多管发酵法和滤膜法 HJ/T 347-2007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392" w:type="dxa"/>
            <w:vMerge w:val="continue"/>
            <w:vAlign w:val="center"/>
          </w:tcPr>
          <w:p>
            <w:pPr>
              <w:adjustRightInd w:val="0"/>
              <w:snapToGrid w:val="0"/>
              <w:jc w:val="center"/>
              <w:rPr>
                <w:snapToGrid w:val="0"/>
                <w:color w:val="auto"/>
                <w:kern w:val="0"/>
                <w:sz w:val="21"/>
                <w:szCs w:val="21"/>
                <w:lang w:val="zh-CN"/>
              </w:rPr>
            </w:pPr>
          </w:p>
        </w:tc>
        <w:tc>
          <w:tcPr>
            <w:tcW w:w="850" w:type="dxa"/>
            <w:vMerge w:val="restart"/>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雨水排放口</w:t>
            </w:r>
          </w:p>
        </w:tc>
        <w:tc>
          <w:tcPr>
            <w:tcW w:w="1276" w:type="dxa"/>
            <w:vAlign w:val="center"/>
          </w:tcPr>
          <w:p>
            <w:pPr>
              <w:adjustRightInd w:val="0"/>
              <w:snapToGrid w:val="0"/>
              <w:jc w:val="center"/>
              <w:rPr>
                <w:snapToGrid w:val="0"/>
                <w:color w:val="auto"/>
                <w:kern w:val="0"/>
                <w:sz w:val="21"/>
                <w:szCs w:val="21"/>
                <w:lang w:val="zh-CN"/>
              </w:rPr>
            </w:pPr>
            <w:r>
              <w:rPr>
                <w:snapToGrid w:val="0"/>
                <w:color w:val="auto"/>
                <w:kern w:val="0"/>
                <w:sz w:val="21"/>
                <w:szCs w:val="21"/>
              </w:rPr>
              <w:t>化学需氧量</w:t>
            </w:r>
          </w:p>
        </w:tc>
        <w:tc>
          <w:tcPr>
            <w:tcW w:w="2410" w:type="dxa"/>
            <w:vMerge w:val="restart"/>
            <w:vAlign w:val="center"/>
          </w:tcPr>
          <w:p>
            <w:pPr>
              <w:adjustRightInd w:val="0"/>
              <w:snapToGrid w:val="0"/>
              <w:jc w:val="center"/>
              <w:rPr>
                <w:snapToGrid w:val="0"/>
                <w:color w:val="auto"/>
                <w:kern w:val="0"/>
                <w:sz w:val="21"/>
                <w:szCs w:val="21"/>
                <w:lang w:val="zh-CN"/>
              </w:rPr>
            </w:pPr>
            <w:r>
              <w:rPr>
                <w:rFonts w:hint="eastAsia"/>
                <w:snapToGrid w:val="0"/>
                <w:color w:val="auto"/>
                <w:kern w:val="0"/>
                <w:sz w:val="21"/>
                <w:szCs w:val="21"/>
                <w:lang w:val="zh-CN"/>
              </w:rPr>
              <w:t>/</w:t>
            </w:r>
          </w:p>
        </w:tc>
        <w:tc>
          <w:tcPr>
            <w:tcW w:w="992" w:type="dxa"/>
            <w:vMerge w:val="restart"/>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雨水排放口</w:t>
            </w:r>
          </w:p>
        </w:tc>
        <w:tc>
          <w:tcPr>
            <w:tcW w:w="1843" w:type="dxa"/>
            <w:vMerge w:val="restart"/>
            <w:vAlign w:val="center"/>
          </w:tcPr>
          <w:p>
            <w:pPr>
              <w:adjustRightInd w:val="0"/>
              <w:snapToGrid w:val="0"/>
              <w:jc w:val="center"/>
              <w:rPr>
                <w:snapToGrid w:val="0"/>
                <w:color w:val="auto"/>
                <w:kern w:val="0"/>
                <w:sz w:val="21"/>
                <w:szCs w:val="21"/>
                <w:lang w:val="zh-CN"/>
              </w:rPr>
            </w:pPr>
            <w:r>
              <w:rPr>
                <w:rFonts w:hint="eastAsia"/>
                <w:snapToGrid w:val="0"/>
                <w:color w:val="auto"/>
                <w:kern w:val="0"/>
                <w:sz w:val="21"/>
                <w:szCs w:val="21"/>
                <w:lang w:val="zh-CN"/>
              </w:rPr>
              <w:t>/</w:t>
            </w:r>
          </w:p>
        </w:tc>
        <w:tc>
          <w:tcPr>
            <w:tcW w:w="992" w:type="dxa"/>
            <w:vMerge w:val="restart"/>
            <w:vAlign w:val="center"/>
          </w:tcPr>
          <w:p>
            <w:pPr>
              <w:adjustRightInd w:val="0"/>
              <w:snapToGrid w:val="0"/>
              <w:jc w:val="center"/>
              <w:rPr>
                <w:snapToGrid w:val="0"/>
                <w:color w:val="auto"/>
                <w:kern w:val="0"/>
                <w:sz w:val="21"/>
                <w:szCs w:val="21"/>
                <w:lang w:val="zh-CN"/>
              </w:rPr>
            </w:pPr>
            <w:r>
              <w:rPr>
                <w:rFonts w:hint="eastAsia"/>
                <w:snapToGrid w:val="0"/>
                <w:color w:val="auto"/>
                <w:kern w:val="0"/>
                <w:sz w:val="21"/>
                <w:szCs w:val="21"/>
                <w:lang w:val="zh-CN"/>
              </w:rPr>
              <w:t>1次/日</w:t>
            </w:r>
          </w:p>
        </w:tc>
        <w:tc>
          <w:tcPr>
            <w:tcW w:w="851" w:type="dxa"/>
            <w:vMerge w:val="restart"/>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手工监测技术</w:t>
            </w:r>
          </w:p>
        </w:tc>
        <w:tc>
          <w:tcPr>
            <w:tcW w:w="1842" w:type="dxa"/>
            <w:vMerge w:val="continue"/>
            <w:vAlign w:val="center"/>
          </w:tcPr>
          <w:p>
            <w:pPr>
              <w:adjustRightInd w:val="0"/>
              <w:snapToGrid w:val="0"/>
              <w:jc w:val="center"/>
              <w:rPr>
                <w:snapToGrid w:val="0"/>
                <w:color w:val="auto"/>
                <w:kern w:val="0"/>
                <w:sz w:val="21"/>
                <w:szCs w:val="21"/>
                <w:lang w:val="zh-CN"/>
              </w:rPr>
            </w:pPr>
          </w:p>
        </w:tc>
        <w:tc>
          <w:tcPr>
            <w:tcW w:w="3051" w:type="dxa"/>
            <w:gridSpan w:val="2"/>
            <w:vAlign w:val="center"/>
          </w:tcPr>
          <w:p>
            <w:pPr>
              <w:adjustRightInd w:val="0"/>
              <w:snapToGrid w:val="0"/>
              <w:jc w:val="center"/>
              <w:rPr>
                <w:snapToGrid w:val="0"/>
                <w:color w:val="auto"/>
                <w:kern w:val="0"/>
                <w:sz w:val="21"/>
                <w:szCs w:val="21"/>
                <w:lang w:val="zh-CN"/>
              </w:rPr>
            </w:pPr>
            <w:r>
              <w:rPr>
                <w:snapToGrid w:val="0"/>
                <w:color w:val="auto"/>
                <w:kern w:val="0"/>
                <w:sz w:val="21"/>
                <w:szCs w:val="21"/>
              </w:rPr>
              <w:t>水质 化学需氧量的测定 重铬酸盐法 HJ 828-2017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392" w:type="dxa"/>
            <w:vMerge w:val="continue"/>
            <w:vAlign w:val="center"/>
          </w:tcPr>
          <w:p>
            <w:pPr>
              <w:adjustRightInd w:val="0"/>
              <w:snapToGrid w:val="0"/>
              <w:jc w:val="center"/>
              <w:rPr>
                <w:snapToGrid w:val="0"/>
                <w:color w:val="auto"/>
                <w:kern w:val="0"/>
                <w:sz w:val="21"/>
                <w:szCs w:val="21"/>
                <w:lang w:val="zh-CN"/>
              </w:rPr>
            </w:pPr>
          </w:p>
        </w:tc>
        <w:tc>
          <w:tcPr>
            <w:tcW w:w="850" w:type="dxa"/>
            <w:vMerge w:val="continue"/>
            <w:vAlign w:val="center"/>
          </w:tcPr>
          <w:p>
            <w:pPr>
              <w:adjustRightInd w:val="0"/>
              <w:snapToGrid w:val="0"/>
              <w:jc w:val="center"/>
              <w:rPr>
                <w:snapToGrid w:val="0"/>
                <w:color w:val="auto"/>
                <w:kern w:val="0"/>
                <w:sz w:val="21"/>
                <w:szCs w:val="21"/>
                <w:lang w:val="zh-CN"/>
              </w:rPr>
            </w:pPr>
          </w:p>
        </w:tc>
        <w:tc>
          <w:tcPr>
            <w:tcW w:w="1276" w:type="dxa"/>
            <w:vAlign w:val="center"/>
          </w:tcPr>
          <w:p>
            <w:pPr>
              <w:adjustRightInd w:val="0"/>
              <w:snapToGrid w:val="0"/>
              <w:jc w:val="center"/>
              <w:rPr>
                <w:snapToGrid w:val="0"/>
                <w:color w:val="auto"/>
                <w:kern w:val="0"/>
                <w:sz w:val="21"/>
                <w:szCs w:val="21"/>
              </w:rPr>
            </w:pPr>
            <w:r>
              <w:rPr>
                <w:snapToGrid w:val="0"/>
                <w:color w:val="auto"/>
                <w:kern w:val="0"/>
                <w:sz w:val="21"/>
                <w:szCs w:val="21"/>
              </w:rPr>
              <w:t>悬浮物</w:t>
            </w:r>
          </w:p>
        </w:tc>
        <w:tc>
          <w:tcPr>
            <w:tcW w:w="2410" w:type="dxa"/>
            <w:vMerge w:val="continue"/>
            <w:vAlign w:val="center"/>
          </w:tcPr>
          <w:p>
            <w:pPr>
              <w:adjustRightInd w:val="0"/>
              <w:snapToGrid w:val="0"/>
              <w:jc w:val="center"/>
              <w:rPr>
                <w:snapToGrid w:val="0"/>
                <w:color w:val="auto"/>
                <w:kern w:val="0"/>
                <w:sz w:val="21"/>
                <w:szCs w:val="21"/>
                <w:lang w:val="zh-CN"/>
              </w:rPr>
            </w:pPr>
          </w:p>
        </w:tc>
        <w:tc>
          <w:tcPr>
            <w:tcW w:w="992" w:type="dxa"/>
            <w:vMerge w:val="continue"/>
            <w:vAlign w:val="center"/>
          </w:tcPr>
          <w:p>
            <w:pPr>
              <w:adjustRightInd w:val="0"/>
              <w:snapToGrid w:val="0"/>
              <w:jc w:val="center"/>
              <w:rPr>
                <w:snapToGrid w:val="0"/>
                <w:color w:val="auto"/>
                <w:kern w:val="0"/>
                <w:sz w:val="21"/>
                <w:szCs w:val="21"/>
                <w:lang w:val="zh-CN"/>
              </w:rPr>
            </w:pPr>
          </w:p>
        </w:tc>
        <w:tc>
          <w:tcPr>
            <w:tcW w:w="1843" w:type="dxa"/>
            <w:vMerge w:val="continue"/>
            <w:vAlign w:val="center"/>
          </w:tcPr>
          <w:p>
            <w:pPr>
              <w:adjustRightInd w:val="0"/>
              <w:snapToGrid w:val="0"/>
              <w:jc w:val="center"/>
              <w:rPr>
                <w:snapToGrid w:val="0"/>
                <w:color w:val="auto"/>
                <w:kern w:val="0"/>
                <w:sz w:val="21"/>
                <w:szCs w:val="21"/>
                <w:lang w:val="zh-CN"/>
              </w:rPr>
            </w:pPr>
          </w:p>
        </w:tc>
        <w:tc>
          <w:tcPr>
            <w:tcW w:w="992" w:type="dxa"/>
            <w:vMerge w:val="continue"/>
            <w:vAlign w:val="center"/>
          </w:tcPr>
          <w:p>
            <w:pPr>
              <w:adjustRightInd w:val="0"/>
              <w:snapToGrid w:val="0"/>
              <w:jc w:val="center"/>
              <w:rPr>
                <w:snapToGrid w:val="0"/>
                <w:color w:val="auto"/>
                <w:kern w:val="0"/>
                <w:sz w:val="21"/>
                <w:szCs w:val="21"/>
                <w:lang w:val="zh-CN"/>
              </w:rPr>
            </w:pPr>
          </w:p>
        </w:tc>
        <w:tc>
          <w:tcPr>
            <w:tcW w:w="851" w:type="dxa"/>
            <w:vMerge w:val="continue"/>
            <w:vAlign w:val="center"/>
          </w:tcPr>
          <w:p>
            <w:pPr>
              <w:adjustRightInd w:val="0"/>
              <w:snapToGrid w:val="0"/>
              <w:jc w:val="center"/>
              <w:rPr>
                <w:snapToGrid w:val="0"/>
                <w:color w:val="auto"/>
                <w:kern w:val="0"/>
                <w:sz w:val="21"/>
                <w:szCs w:val="21"/>
                <w:lang w:val="zh-CN"/>
              </w:rPr>
            </w:pPr>
          </w:p>
        </w:tc>
        <w:tc>
          <w:tcPr>
            <w:tcW w:w="1842" w:type="dxa"/>
            <w:vMerge w:val="continue"/>
            <w:vAlign w:val="center"/>
          </w:tcPr>
          <w:p>
            <w:pPr>
              <w:adjustRightInd w:val="0"/>
              <w:snapToGrid w:val="0"/>
              <w:jc w:val="center"/>
              <w:rPr>
                <w:snapToGrid w:val="0"/>
                <w:color w:val="auto"/>
                <w:kern w:val="0"/>
                <w:sz w:val="21"/>
                <w:szCs w:val="21"/>
                <w:lang w:val="zh-CN"/>
              </w:rPr>
            </w:pPr>
          </w:p>
        </w:tc>
        <w:tc>
          <w:tcPr>
            <w:tcW w:w="3051" w:type="dxa"/>
            <w:gridSpan w:val="2"/>
            <w:vAlign w:val="center"/>
          </w:tcPr>
          <w:p>
            <w:pPr>
              <w:adjustRightInd w:val="0"/>
              <w:snapToGrid w:val="0"/>
              <w:jc w:val="center"/>
              <w:rPr>
                <w:snapToGrid w:val="0"/>
                <w:color w:val="auto"/>
                <w:kern w:val="0"/>
                <w:sz w:val="21"/>
                <w:szCs w:val="21"/>
                <w:lang w:val="zh-CN"/>
              </w:rPr>
            </w:pPr>
            <w:r>
              <w:rPr>
                <w:snapToGrid w:val="0"/>
                <w:color w:val="auto"/>
                <w:kern w:val="0"/>
                <w:sz w:val="21"/>
                <w:szCs w:val="21"/>
              </w:rPr>
              <w:t>水质悬浮物的测定 多管发酵法和滤膜法 HJ/T 347-2007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53" w:type="dxa"/>
          <w:trHeight w:val="651" w:hRule="atLeast"/>
          <w:jc w:val="center"/>
        </w:trPr>
        <w:tc>
          <w:tcPr>
            <w:tcW w:w="392" w:type="dxa"/>
            <w:vAlign w:val="center"/>
          </w:tcPr>
          <w:p>
            <w:pPr>
              <w:adjustRightInd w:val="0"/>
              <w:snapToGrid w:val="0"/>
              <w:jc w:val="center"/>
              <w:rPr>
                <w:snapToGrid w:val="0"/>
                <w:color w:val="auto"/>
                <w:kern w:val="0"/>
                <w:sz w:val="21"/>
                <w:szCs w:val="21"/>
                <w:lang w:val="zh-CN"/>
              </w:rPr>
            </w:pPr>
            <w:r>
              <w:rPr>
                <w:snapToGrid w:val="0"/>
                <w:color w:val="auto"/>
                <w:kern w:val="0"/>
                <w:sz w:val="21"/>
                <w:szCs w:val="21"/>
                <w:lang w:val="zh-CN"/>
              </w:rPr>
              <w:t>地下水</w:t>
            </w:r>
          </w:p>
        </w:tc>
        <w:tc>
          <w:tcPr>
            <w:tcW w:w="850" w:type="dxa"/>
            <w:vAlign w:val="center"/>
          </w:tcPr>
          <w:p>
            <w:pPr>
              <w:adjustRightInd w:val="0"/>
              <w:snapToGrid w:val="0"/>
              <w:jc w:val="center"/>
              <w:rPr>
                <w:b/>
                <w:snapToGrid w:val="0"/>
                <w:color w:val="auto"/>
                <w:kern w:val="0"/>
                <w:sz w:val="21"/>
                <w:szCs w:val="21"/>
                <w:highlight w:val="none"/>
                <w:lang w:val="zh-CN"/>
              </w:rPr>
            </w:pPr>
            <w:r>
              <w:rPr>
                <w:snapToGrid w:val="0"/>
                <w:color w:val="auto"/>
                <w:kern w:val="0"/>
                <w:sz w:val="21"/>
                <w:szCs w:val="21"/>
                <w:highlight w:val="none"/>
                <w:lang w:val="zh-CN"/>
              </w:rPr>
              <w:t>设置跟踪监测井</w:t>
            </w:r>
          </w:p>
        </w:tc>
        <w:tc>
          <w:tcPr>
            <w:tcW w:w="1276" w:type="dxa"/>
            <w:vAlign w:val="center"/>
          </w:tcPr>
          <w:p>
            <w:pPr>
              <w:adjustRightInd w:val="0"/>
              <w:snapToGrid w:val="0"/>
              <w:jc w:val="center"/>
              <w:rPr>
                <w:snapToGrid w:val="0"/>
                <w:color w:val="auto"/>
                <w:kern w:val="0"/>
                <w:sz w:val="21"/>
                <w:szCs w:val="21"/>
                <w:highlight w:val="none"/>
                <w:lang w:val="zh-CN"/>
              </w:rPr>
            </w:pPr>
            <w:r>
              <w:rPr>
                <w:rFonts w:hint="eastAsia"/>
                <w:snapToGrid w:val="0"/>
                <w:color w:val="auto"/>
                <w:kern w:val="0"/>
                <w:sz w:val="21"/>
                <w:szCs w:val="21"/>
                <w:highlight w:val="none"/>
              </w:rPr>
              <w:t>COD</w:t>
            </w:r>
            <w:r>
              <w:rPr>
                <w:snapToGrid w:val="0"/>
                <w:color w:val="auto"/>
                <w:kern w:val="0"/>
                <w:sz w:val="21"/>
                <w:szCs w:val="21"/>
                <w:highlight w:val="none"/>
              </w:rPr>
              <w:t>、氨氮</w:t>
            </w:r>
          </w:p>
        </w:tc>
        <w:tc>
          <w:tcPr>
            <w:tcW w:w="2410" w:type="dxa"/>
            <w:vAlign w:val="center"/>
          </w:tcPr>
          <w:p>
            <w:pPr>
              <w:adjustRightInd w:val="0"/>
              <w:snapToGrid w:val="0"/>
              <w:jc w:val="center"/>
              <w:rPr>
                <w:snapToGrid w:val="0"/>
                <w:color w:val="auto"/>
                <w:kern w:val="0"/>
                <w:sz w:val="21"/>
                <w:szCs w:val="21"/>
                <w:highlight w:val="none"/>
                <w:lang w:val="zh-CN"/>
              </w:rPr>
            </w:pPr>
            <w:r>
              <w:rPr>
                <w:rFonts w:hint="eastAsia"/>
                <w:snapToGrid w:val="0"/>
                <w:color w:val="auto"/>
                <w:kern w:val="0"/>
                <w:sz w:val="21"/>
                <w:szCs w:val="21"/>
                <w:highlight w:val="none"/>
                <w:lang w:eastAsia="zh-CN"/>
              </w:rPr>
              <w:t>危险废物贮存点</w:t>
            </w:r>
            <w:r>
              <w:rPr>
                <w:snapToGrid w:val="0"/>
                <w:color w:val="auto"/>
                <w:kern w:val="0"/>
                <w:sz w:val="21"/>
                <w:szCs w:val="21"/>
                <w:highlight w:val="none"/>
              </w:rPr>
              <w:t>按重点防渗区采取防渗措施；</w:t>
            </w:r>
            <w:r>
              <w:rPr>
                <w:rFonts w:hint="eastAsia"/>
                <w:snapToGrid w:val="0"/>
                <w:color w:val="auto"/>
                <w:kern w:val="0"/>
                <w:sz w:val="21"/>
                <w:szCs w:val="21"/>
                <w:highlight w:val="none"/>
                <w:lang w:val="en-US" w:eastAsia="zh-CN"/>
              </w:rPr>
              <w:t>急宰间、</w:t>
            </w:r>
            <w:r>
              <w:rPr>
                <w:rFonts w:hint="eastAsia"/>
                <w:snapToGrid w:val="0"/>
                <w:color w:val="auto"/>
                <w:kern w:val="0"/>
                <w:sz w:val="21"/>
                <w:szCs w:val="21"/>
                <w:highlight w:val="none"/>
              </w:rPr>
              <w:t>待宰间、屠宰车间、</w:t>
            </w:r>
            <w:r>
              <w:rPr>
                <w:snapToGrid w:val="0"/>
                <w:color w:val="auto"/>
                <w:kern w:val="0"/>
                <w:sz w:val="21"/>
                <w:szCs w:val="21"/>
                <w:highlight w:val="none"/>
                <w:lang w:val="en-GB"/>
              </w:rPr>
              <w:t>冷库、</w:t>
            </w:r>
            <w:r>
              <w:rPr>
                <w:snapToGrid w:val="0"/>
                <w:color w:val="auto"/>
                <w:kern w:val="0"/>
                <w:sz w:val="21"/>
                <w:szCs w:val="21"/>
                <w:highlight w:val="none"/>
              </w:rPr>
              <w:t>污水处理站、贮水池、事故池按一般防渗区采取防渗措施；</w:t>
            </w:r>
            <w:r>
              <w:rPr>
                <w:rFonts w:hint="eastAsia"/>
                <w:snapToGrid w:val="0"/>
                <w:color w:val="auto"/>
                <w:kern w:val="0"/>
                <w:sz w:val="21"/>
                <w:szCs w:val="21"/>
                <w:highlight w:val="none"/>
                <w:lang w:val="en-GB" w:eastAsia="zh-CN"/>
              </w:rPr>
              <w:t>办公楼</w:t>
            </w:r>
            <w:r>
              <w:rPr>
                <w:snapToGrid w:val="0"/>
                <w:color w:val="auto"/>
                <w:kern w:val="0"/>
                <w:sz w:val="21"/>
                <w:szCs w:val="21"/>
                <w:highlight w:val="none"/>
                <w:lang w:val="en-GB"/>
              </w:rPr>
              <w:t>、库房等</w:t>
            </w:r>
            <w:r>
              <w:rPr>
                <w:snapToGrid w:val="0"/>
                <w:color w:val="auto"/>
                <w:kern w:val="0"/>
                <w:sz w:val="21"/>
                <w:szCs w:val="21"/>
                <w:highlight w:val="none"/>
              </w:rPr>
              <w:t>采取简单防渗</w:t>
            </w:r>
          </w:p>
        </w:tc>
        <w:tc>
          <w:tcPr>
            <w:tcW w:w="992" w:type="dxa"/>
            <w:vAlign w:val="center"/>
          </w:tcPr>
          <w:p>
            <w:pPr>
              <w:adjustRightInd w:val="0"/>
              <w:snapToGrid w:val="0"/>
              <w:jc w:val="center"/>
              <w:rPr>
                <w:snapToGrid w:val="0"/>
                <w:color w:val="auto"/>
                <w:kern w:val="0"/>
                <w:sz w:val="21"/>
                <w:szCs w:val="21"/>
                <w:highlight w:val="none"/>
                <w:lang w:val="zh-CN"/>
              </w:rPr>
            </w:pPr>
            <w:r>
              <w:rPr>
                <w:snapToGrid w:val="0"/>
                <w:color w:val="auto"/>
                <w:kern w:val="0"/>
                <w:sz w:val="21"/>
                <w:szCs w:val="21"/>
                <w:highlight w:val="none"/>
                <w:lang w:val="zh-CN"/>
              </w:rPr>
              <w:t>设置跟踪监测井</w:t>
            </w:r>
          </w:p>
        </w:tc>
        <w:tc>
          <w:tcPr>
            <w:tcW w:w="1843" w:type="dxa"/>
            <w:vAlign w:val="center"/>
          </w:tcPr>
          <w:p>
            <w:pPr>
              <w:adjustRightInd w:val="0"/>
              <w:snapToGrid w:val="0"/>
              <w:jc w:val="center"/>
              <w:rPr>
                <w:snapToGrid w:val="0"/>
                <w:color w:val="auto"/>
                <w:kern w:val="0"/>
                <w:sz w:val="21"/>
                <w:szCs w:val="21"/>
                <w:highlight w:val="none"/>
                <w:lang w:val="zh-CN"/>
              </w:rPr>
            </w:pPr>
            <w:r>
              <w:rPr>
                <w:snapToGrid w:val="0"/>
                <w:color w:val="auto"/>
                <w:kern w:val="0"/>
                <w:sz w:val="21"/>
                <w:szCs w:val="21"/>
                <w:highlight w:val="none"/>
                <w:lang w:val="zh-CN"/>
              </w:rPr>
              <w:t>/</w:t>
            </w:r>
          </w:p>
        </w:tc>
        <w:tc>
          <w:tcPr>
            <w:tcW w:w="992" w:type="dxa"/>
            <w:vAlign w:val="center"/>
          </w:tcPr>
          <w:p>
            <w:pPr>
              <w:adjustRightInd w:val="0"/>
              <w:snapToGrid w:val="0"/>
              <w:jc w:val="center"/>
              <w:rPr>
                <w:snapToGrid w:val="0"/>
                <w:color w:val="auto"/>
                <w:kern w:val="0"/>
                <w:sz w:val="21"/>
                <w:szCs w:val="21"/>
                <w:highlight w:val="none"/>
                <w:lang w:val="zh-CN"/>
              </w:rPr>
            </w:pPr>
            <w:r>
              <w:rPr>
                <w:snapToGrid w:val="0"/>
                <w:color w:val="auto"/>
                <w:kern w:val="0"/>
                <w:sz w:val="21"/>
                <w:szCs w:val="21"/>
                <w:highlight w:val="none"/>
                <w:lang w:val="zh-CN"/>
              </w:rPr>
              <w:t>每</w:t>
            </w:r>
            <w:r>
              <w:rPr>
                <w:rFonts w:hint="eastAsia"/>
                <w:snapToGrid w:val="0"/>
                <w:color w:val="auto"/>
                <w:kern w:val="0"/>
                <w:sz w:val="21"/>
                <w:szCs w:val="21"/>
                <w:highlight w:val="none"/>
                <w:lang w:val="zh-CN"/>
              </w:rPr>
              <w:t>年</w:t>
            </w:r>
            <w:r>
              <w:rPr>
                <w:snapToGrid w:val="0"/>
                <w:color w:val="auto"/>
                <w:kern w:val="0"/>
                <w:sz w:val="21"/>
                <w:szCs w:val="21"/>
                <w:highlight w:val="none"/>
                <w:lang w:val="zh-CN"/>
              </w:rPr>
              <w:t>1次</w:t>
            </w:r>
          </w:p>
        </w:tc>
        <w:tc>
          <w:tcPr>
            <w:tcW w:w="851" w:type="dxa"/>
            <w:vAlign w:val="center"/>
          </w:tcPr>
          <w:p>
            <w:pPr>
              <w:adjustRightInd w:val="0"/>
              <w:snapToGrid w:val="0"/>
              <w:jc w:val="center"/>
              <w:rPr>
                <w:snapToGrid w:val="0"/>
                <w:color w:val="auto"/>
                <w:kern w:val="0"/>
                <w:sz w:val="21"/>
                <w:szCs w:val="21"/>
                <w:highlight w:val="none"/>
                <w:lang w:val="zh-CN"/>
              </w:rPr>
            </w:pPr>
            <w:r>
              <w:rPr>
                <w:snapToGrid w:val="0"/>
                <w:color w:val="auto"/>
                <w:kern w:val="0"/>
                <w:sz w:val="21"/>
                <w:szCs w:val="21"/>
                <w:highlight w:val="none"/>
                <w:lang w:val="zh-CN"/>
              </w:rPr>
              <w:t>手工监测技术</w:t>
            </w:r>
          </w:p>
        </w:tc>
        <w:tc>
          <w:tcPr>
            <w:tcW w:w="1842" w:type="dxa"/>
            <w:vAlign w:val="center"/>
          </w:tcPr>
          <w:p>
            <w:pPr>
              <w:adjustRightInd w:val="0"/>
              <w:snapToGrid w:val="0"/>
              <w:jc w:val="center"/>
              <w:rPr>
                <w:snapToGrid w:val="0"/>
                <w:color w:val="auto"/>
                <w:kern w:val="0"/>
                <w:sz w:val="21"/>
                <w:szCs w:val="21"/>
                <w:highlight w:val="none"/>
                <w:lang w:val="zh-CN"/>
              </w:rPr>
            </w:pPr>
            <w:r>
              <w:rPr>
                <w:snapToGrid w:val="0"/>
                <w:color w:val="auto"/>
                <w:kern w:val="0"/>
                <w:sz w:val="21"/>
                <w:szCs w:val="21"/>
                <w:highlight w:val="none"/>
              </w:rPr>
              <w:t>参照HJ610-2016</w:t>
            </w:r>
          </w:p>
        </w:tc>
        <w:tc>
          <w:tcPr>
            <w:tcW w:w="2998" w:type="dxa"/>
            <w:vAlign w:val="center"/>
          </w:tcPr>
          <w:p>
            <w:pPr>
              <w:adjustRightInd w:val="0"/>
              <w:snapToGrid w:val="0"/>
              <w:jc w:val="center"/>
              <w:rPr>
                <w:rFonts w:hint="default" w:eastAsia="宋体"/>
                <w:snapToGrid w:val="0"/>
                <w:color w:val="auto"/>
                <w:kern w:val="0"/>
                <w:sz w:val="21"/>
                <w:szCs w:val="21"/>
                <w:highlight w:val="none"/>
                <w:lang w:val="en-US" w:eastAsia="zh-CN"/>
              </w:rPr>
            </w:pPr>
            <w:r>
              <w:rPr>
                <w:snapToGrid w:val="0"/>
                <w:color w:val="auto"/>
                <w:kern w:val="0"/>
                <w:sz w:val="21"/>
                <w:szCs w:val="21"/>
                <w:highlight w:val="none"/>
                <w:lang w:val="zh-CN"/>
              </w:rPr>
              <w:t>参照《地下水质量标准》（GB/T14848-2017）</w:t>
            </w:r>
            <w:r>
              <w:rPr>
                <w:rFonts w:hint="eastAsia"/>
                <w:snapToGrid w:val="0"/>
                <w:color w:val="auto"/>
                <w:kern w:val="0"/>
                <w:sz w:val="21"/>
                <w:szCs w:val="21"/>
                <w:highlight w:val="none"/>
                <w:lang w:val="zh-CN"/>
              </w:rPr>
              <w:t>、</w:t>
            </w:r>
            <w:r>
              <w:rPr>
                <w:snapToGrid w:val="0"/>
                <w:color w:val="auto"/>
                <w:kern w:val="0"/>
                <w:szCs w:val="21"/>
                <w:highlight w:val="none"/>
              </w:rPr>
              <w:t>《地表水环境质量标准》（GB3838-2002）</w:t>
            </w:r>
          </w:p>
        </w:tc>
      </w:tr>
    </w:tbl>
    <w:p>
      <w:pPr>
        <w:spacing w:line="360" w:lineRule="auto"/>
        <w:rPr>
          <w:snapToGrid w:val="0"/>
          <w:color w:val="FF0000"/>
          <w:kern w:val="0"/>
          <w:sz w:val="24"/>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pPr>
        <w:spacing w:line="360" w:lineRule="auto"/>
        <w:ind w:firstLine="480" w:firstLineChars="200"/>
        <w:contextualSpacing/>
        <w:rPr>
          <w:color w:val="auto"/>
          <w:sz w:val="24"/>
        </w:rPr>
      </w:pPr>
      <w:r>
        <w:rPr>
          <w:color w:val="auto"/>
          <w:sz w:val="24"/>
        </w:rPr>
        <w:t>（2）信息报告</w:t>
      </w:r>
    </w:p>
    <w:p>
      <w:pPr>
        <w:spacing w:line="360" w:lineRule="auto"/>
        <w:ind w:firstLine="480" w:firstLineChars="200"/>
        <w:contextualSpacing/>
        <w:rPr>
          <w:color w:val="auto"/>
          <w:sz w:val="24"/>
        </w:rPr>
      </w:pPr>
      <w:r>
        <w:rPr>
          <w:color w:val="auto"/>
          <w:sz w:val="24"/>
        </w:rPr>
        <w:t>排污单位应编写自行监测年度报告，年度报告至少应包含以下内容：</w:t>
      </w:r>
    </w:p>
    <w:p>
      <w:pPr>
        <w:spacing w:line="360" w:lineRule="auto"/>
        <w:ind w:firstLine="480" w:firstLineChars="200"/>
        <w:contextualSpacing/>
        <w:rPr>
          <w:color w:val="auto"/>
          <w:sz w:val="24"/>
        </w:rPr>
      </w:pPr>
      <w:r>
        <w:rPr>
          <w:color w:val="auto"/>
          <w:sz w:val="24"/>
        </w:rPr>
        <w:t>a）监测方案的调整变化情况及变更原因；</w:t>
      </w:r>
    </w:p>
    <w:p>
      <w:pPr>
        <w:spacing w:line="360" w:lineRule="auto"/>
        <w:ind w:firstLine="480" w:firstLineChars="200"/>
        <w:contextualSpacing/>
        <w:rPr>
          <w:color w:val="auto"/>
          <w:sz w:val="24"/>
        </w:rPr>
      </w:pPr>
      <w:r>
        <w:rPr>
          <w:color w:val="auto"/>
          <w:sz w:val="24"/>
        </w:rPr>
        <w:t>b）企业及各主要生产设施（至少涵盖废气主要污染源相关生产设施）全年运行天数</w:t>
      </w:r>
      <w:r>
        <w:rPr>
          <w:rFonts w:hint="eastAsia"/>
          <w:color w:val="auto"/>
          <w:sz w:val="24"/>
        </w:rPr>
        <w:t>，</w:t>
      </w:r>
      <w:r>
        <w:rPr>
          <w:color w:val="auto"/>
          <w:sz w:val="24"/>
        </w:rPr>
        <w:t>各监测点、各监测指标全年监测次数、超标情况、浓度分布情况；</w:t>
      </w:r>
    </w:p>
    <w:p>
      <w:pPr>
        <w:spacing w:line="360" w:lineRule="auto"/>
        <w:ind w:firstLine="480" w:firstLineChars="200"/>
        <w:contextualSpacing/>
        <w:rPr>
          <w:color w:val="auto"/>
          <w:sz w:val="24"/>
        </w:rPr>
      </w:pPr>
      <w:r>
        <w:rPr>
          <w:color w:val="auto"/>
          <w:sz w:val="24"/>
        </w:rPr>
        <w:t>c）按要求开展的周边环境质量影响状况监测结果；</w:t>
      </w:r>
    </w:p>
    <w:p>
      <w:pPr>
        <w:spacing w:line="360" w:lineRule="auto"/>
        <w:ind w:firstLine="480" w:firstLineChars="200"/>
        <w:contextualSpacing/>
        <w:rPr>
          <w:color w:val="auto"/>
          <w:sz w:val="24"/>
        </w:rPr>
      </w:pPr>
      <w:r>
        <w:rPr>
          <w:color w:val="auto"/>
          <w:sz w:val="24"/>
        </w:rPr>
        <w:t>d）自行监测开展的其他情况说明；</w:t>
      </w:r>
    </w:p>
    <w:p>
      <w:pPr>
        <w:spacing w:line="360" w:lineRule="auto"/>
        <w:ind w:firstLine="480" w:firstLineChars="200"/>
        <w:contextualSpacing/>
        <w:rPr>
          <w:color w:val="auto"/>
          <w:sz w:val="24"/>
        </w:rPr>
      </w:pPr>
      <w:r>
        <w:rPr>
          <w:color w:val="auto"/>
          <w:sz w:val="24"/>
        </w:rPr>
        <w:t>e）排污单位实现达标排放所采取的主要措施。</w:t>
      </w:r>
    </w:p>
    <w:p>
      <w:pPr>
        <w:spacing w:line="360" w:lineRule="auto"/>
        <w:ind w:firstLine="480" w:firstLineChars="200"/>
        <w:contextualSpacing/>
        <w:rPr>
          <w:color w:val="auto"/>
          <w:sz w:val="24"/>
        </w:rPr>
      </w:pPr>
      <w:r>
        <w:rPr>
          <w:color w:val="auto"/>
          <w:sz w:val="24"/>
        </w:rPr>
        <w:t>（3）应急报告</w:t>
      </w:r>
    </w:p>
    <w:p>
      <w:pPr>
        <w:spacing w:line="360" w:lineRule="auto"/>
        <w:ind w:firstLine="480" w:firstLineChars="200"/>
        <w:contextualSpacing/>
        <w:rPr>
          <w:snapToGrid w:val="0"/>
          <w:color w:val="auto"/>
          <w:sz w:val="24"/>
        </w:rPr>
      </w:pPr>
      <w:r>
        <w:rPr>
          <w:snapToGrid w:val="0"/>
          <w:color w:val="auto"/>
          <w:sz w:val="24"/>
        </w:rPr>
        <w:t>监测结果出现超标的，排污单位应加密监测，并检查超标原因。短期内无法实现稳定达标排放的，应向环境保护主管部门提交事故分析报告，说明事故发生的原因，采取减轻或防止污染的措施，以及今后的预防及改进措施等。</w:t>
      </w:r>
    </w:p>
    <w:p>
      <w:pPr>
        <w:spacing w:line="360" w:lineRule="auto"/>
        <w:ind w:firstLine="480" w:firstLineChars="200"/>
        <w:contextualSpacing/>
        <w:rPr>
          <w:snapToGrid w:val="0"/>
          <w:color w:val="auto"/>
          <w:sz w:val="24"/>
        </w:rPr>
      </w:pPr>
      <w:r>
        <w:rPr>
          <w:snapToGrid w:val="0"/>
          <w:color w:val="auto"/>
          <w:sz w:val="24"/>
        </w:rPr>
        <w:t>（4）信息公开</w:t>
      </w:r>
    </w:p>
    <w:p>
      <w:pPr>
        <w:spacing w:line="360" w:lineRule="auto"/>
        <w:ind w:firstLine="480" w:firstLineChars="200"/>
        <w:contextualSpacing/>
        <w:rPr>
          <w:snapToGrid w:val="0"/>
          <w:color w:val="auto"/>
          <w:sz w:val="24"/>
        </w:rPr>
      </w:pPr>
      <w:r>
        <w:rPr>
          <w:snapToGrid w:val="0"/>
          <w:color w:val="auto"/>
          <w:sz w:val="24"/>
        </w:rPr>
        <w:t>排污单位自行监测信息公开内容及方式按照《企业事业单位环境信息公开办法》（环境保护部令第31号）、《国家重点监控企业自行监测及信息公开办法（试行）》（环发[2013]81号）、</w:t>
      </w:r>
      <w:r>
        <w:rPr>
          <w:snapToGrid w:val="0"/>
          <w:color w:val="auto"/>
          <w:kern w:val="0"/>
          <w:sz w:val="24"/>
        </w:rPr>
        <w:t>《排污单位自行监测技术指南总则》（HJ819-2017）</w:t>
      </w:r>
      <w:r>
        <w:rPr>
          <w:snapToGrid w:val="0"/>
          <w:color w:val="auto"/>
          <w:sz w:val="24"/>
        </w:rPr>
        <w:t>执行。非重点排污单位的信息公开要求由地方环境保护主管部门确定。</w:t>
      </w:r>
    </w:p>
    <w:p>
      <w:pPr>
        <w:keepNext/>
        <w:keepLines/>
        <w:spacing w:line="360" w:lineRule="auto"/>
        <w:contextualSpacing/>
        <w:jc w:val="left"/>
        <w:outlineLvl w:val="1"/>
        <w:rPr>
          <w:bCs/>
          <w:snapToGrid w:val="0"/>
          <w:color w:val="auto"/>
          <w:kern w:val="0"/>
          <w:sz w:val="28"/>
          <w:szCs w:val="32"/>
        </w:rPr>
      </w:pPr>
      <w:bookmarkStart w:id="253" w:name="_Toc10895"/>
      <w:bookmarkStart w:id="254" w:name="_Toc11758579"/>
      <w:r>
        <w:rPr>
          <w:bCs/>
          <w:snapToGrid w:val="0"/>
          <w:color w:val="auto"/>
          <w:kern w:val="0"/>
          <w:sz w:val="28"/>
          <w:szCs w:val="32"/>
        </w:rPr>
        <w:t>8.3环境保护竣工验收</w:t>
      </w:r>
      <w:bookmarkEnd w:id="253"/>
      <w:bookmarkEnd w:id="254"/>
    </w:p>
    <w:p>
      <w:pPr>
        <w:spacing w:line="360" w:lineRule="auto"/>
        <w:ind w:firstLine="480" w:firstLineChars="200"/>
        <w:contextualSpacing/>
        <w:rPr>
          <w:snapToGrid w:val="0"/>
          <w:color w:val="auto"/>
          <w:kern w:val="0"/>
          <w:sz w:val="24"/>
        </w:rPr>
      </w:pPr>
      <w:r>
        <w:rPr>
          <w:snapToGrid w:val="0"/>
          <w:color w:val="auto"/>
          <w:kern w:val="0"/>
          <w:sz w:val="24"/>
        </w:rPr>
        <w:t>本项目中的污染防治措施必须与主体工程同时设计、同时施工、同时投产使用。防治污染的设施必须经原审批环境影响报告书的环境保护行政主管部门验收合格后，项目方可投入生产和使用。</w:t>
      </w:r>
    </w:p>
    <w:p>
      <w:pPr>
        <w:spacing w:line="360" w:lineRule="auto"/>
        <w:ind w:firstLine="480" w:firstLineChars="200"/>
        <w:contextualSpacing/>
        <w:rPr>
          <w:snapToGrid w:val="0"/>
          <w:color w:val="FF0000"/>
          <w:kern w:val="0"/>
          <w:sz w:val="24"/>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snapToGrid w:val="0"/>
          <w:color w:val="auto"/>
          <w:kern w:val="0"/>
          <w:sz w:val="24"/>
        </w:rPr>
        <w:t>拟建项目建成后，环境保护措施竣工验收情况详见表8-3-1。</w:t>
      </w:r>
    </w:p>
    <w:p>
      <w:pPr>
        <w:spacing w:line="360" w:lineRule="auto"/>
        <w:contextualSpacing/>
        <w:jc w:val="center"/>
        <w:rPr>
          <w:b/>
          <w:snapToGrid w:val="0"/>
          <w:color w:val="auto"/>
          <w:kern w:val="0"/>
          <w:sz w:val="24"/>
          <w:lang w:val="zh-CN"/>
        </w:rPr>
      </w:pPr>
      <w:r>
        <w:rPr>
          <w:b/>
          <w:snapToGrid w:val="0"/>
          <w:color w:val="auto"/>
          <w:kern w:val="0"/>
          <w:sz w:val="24"/>
          <w:lang w:val="zh-CN"/>
        </w:rPr>
        <w:t>表8-3-1建设项目竣工环境保护验收一览表</w:t>
      </w:r>
    </w:p>
    <w:tbl>
      <w:tblPr>
        <w:tblStyle w:val="46"/>
        <w:tblW w:w="513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1418"/>
        <w:gridCol w:w="1843"/>
        <w:gridCol w:w="2551"/>
        <w:gridCol w:w="3727"/>
        <w:gridCol w:w="3781"/>
        <w:gridCol w:w="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 w:hRule="atLeast"/>
        </w:trPr>
        <w:tc>
          <w:tcPr>
            <w:tcW w:w="1242" w:type="dxa"/>
            <w:shd w:val="clear" w:color="auto" w:fill="auto"/>
            <w:vAlign w:val="center"/>
          </w:tcPr>
          <w:p>
            <w:pPr>
              <w:pStyle w:val="84"/>
              <w:rPr>
                <w:rFonts w:hAnsi="Times New Roman"/>
                <w:snapToGrid w:val="0"/>
                <w:color w:val="auto"/>
              </w:rPr>
            </w:pPr>
            <w:r>
              <w:rPr>
                <w:rFonts w:hAnsi="Times New Roman"/>
                <w:snapToGrid w:val="0"/>
                <w:color w:val="auto"/>
              </w:rPr>
              <w:t>类型</w:t>
            </w:r>
          </w:p>
        </w:tc>
        <w:tc>
          <w:tcPr>
            <w:tcW w:w="1418" w:type="dxa"/>
            <w:shd w:val="clear" w:color="auto" w:fill="auto"/>
            <w:vAlign w:val="center"/>
          </w:tcPr>
          <w:p>
            <w:pPr>
              <w:pStyle w:val="84"/>
              <w:rPr>
                <w:rFonts w:hAnsi="Times New Roman"/>
                <w:snapToGrid w:val="0"/>
                <w:color w:val="auto"/>
              </w:rPr>
            </w:pPr>
            <w:r>
              <w:rPr>
                <w:rFonts w:hAnsi="Times New Roman"/>
                <w:snapToGrid w:val="0"/>
                <w:color w:val="auto"/>
              </w:rPr>
              <w:t>类别</w:t>
            </w:r>
          </w:p>
        </w:tc>
        <w:tc>
          <w:tcPr>
            <w:tcW w:w="1843" w:type="dxa"/>
            <w:shd w:val="clear" w:color="auto" w:fill="auto"/>
            <w:vAlign w:val="center"/>
          </w:tcPr>
          <w:p>
            <w:pPr>
              <w:pStyle w:val="84"/>
              <w:rPr>
                <w:rFonts w:hAnsi="Times New Roman"/>
                <w:snapToGrid w:val="0"/>
                <w:color w:val="auto"/>
              </w:rPr>
            </w:pPr>
            <w:r>
              <w:rPr>
                <w:rFonts w:hAnsi="Times New Roman"/>
                <w:snapToGrid w:val="0"/>
                <w:color w:val="auto"/>
              </w:rPr>
              <w:t>污染源</w:t>
            </w:r>
          </w:p>
        </w:tc>
        <w:tc>
          <w:tcPr>
            <w:tcW w:w="2551" w:type="dxa"/>
            <w:shd w:val="clear" w:color="auto" w:fill="auto"/>
            <w:vAlign w:val="center"/>
          </w:tcPr>
          <w:p>
            <w:pPr>
              <w:pStyle w:val="84"/>
              <w:rPr>
                <w:rFonts w:hAnsi="Times New Roman"/>
                <w:snapToGrid w:val="0"/>
                <w:color w:val="auto"/>
              </w:rPr>
            </w:pPr>
            <w:r>
              <w:rPr>
                <w:rFonts w:hAnsi="Times New Roman"/>
                <w:snapToGrid w:val="0"/>
                <w:color w:val="auto"/>
              </w:rPr>
              <w:t>污染物</w:t>
            </w:r>
          </w:p>
        </w:tc>
        <w:tc>
          <w:tcPr>
            <w:tcW w:w="3727" w:type="dxa"/>
            <w:shd w:val="clear" w:color="auto" w:fill="auto"/>
            <w:vAlign w:val="center"/>
          </w:tcPr>
          <w:p>
            <w:pPr>
              <w:pStyle w:val="84"/>
              <w:rPr>
                <w:rFonts w:hAnsi="Times New Roman"/>
                <w:snapToGrid w:val="0"/>
                <w:color w:val="auto"/>
              </w:rPr>
            </w:pPr>
            <w:r>
              <w:rPr>
                <w:rFonts w:hAnsi="Times New Roman"/>
                <w:snapToGrid w:val="0"/>
                <w:color w:val="auto"/>
              </w:rPr>
              <w:t>建设内容</w:t>
            </w:r>
          </w:p>
        </w:tc>
        <w:tc>
          <w:tcPr>
            <w:tcW w:w="3782" w:type="dxa"/>
            <w:gridSpan w:val="2"/>
            <w:shd w:val="clear" w:color="auto" w:fill="auto"/>
            <w:vAlign w:val="center"/>
          </w:tcPr>
          <w:p>
            <w:pPr>
              <w:pStyle w:val="84"/>
              <w:rPr>
                <w:rFonts w:hAnsi="Times New Roman"/>
                <w:snapToGrid w:val="0"/>
                <w:color w:val="auto"/>
              </w:rPr>
            </w:pPr>
            <w:r>
              <w:rPr>
                <w:rFonts w:hAnsi="Times New Roman"/>
                <w:snapToGrid w:val="0"/>
                <w:color w:val="auto"/>
              </w:rPr>
              <w:t>验收标准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5" w:hRule="atLeast"/>
        </w:trPr>
        <w:tc>
          <w:tcPr>
            <w:tcW w:w="1242" w:type="dxa"/>
            <w:vMerge w:val="restart"/>
            <w:shd w:val="clear" w:color="auto" w:fill="auto"/>
            <w:vAlign w:val="center"/>
          </w:tcPr>
          <w:p>
            <w:pPr>
              <w:pStyle w:val="84"/>
              <w:rPr>
                <w:rFonts w:hAnsi="Times New Roman"/>
                <w:snapToGrid w:val="0"/>
                <w:color w:val="auto"/>
              </w:rPr>
            </w:pPr>
            <w:r>
              <w:rPr>
                <w:rFonts w:hAnsi="Times New Roman"/>
                <w:snapToGrid w:val="0"/>
                <w:color w:val="auto"/>
              </w:rPr>
              <w:t>废水</w:t>
            </w:r>
          </w:p>
        </w:tc>
        <w:tc>
          <w:tcPr>
            <w:tcW w:w="1418" w:type="dxa"/>
            <w:shd w:val="clear" w:color="auto" w:fill="auto"/>
            <w:vAlign w:val="center"/>
          </w:tcPr>
          <w:p>
            <w:pPr>
              <w:pStyle w:val="84"/>
              <w:rPr>
                <w:rFonts w:hAnsi="Times New Roman"/>
                <w:snapToGrid w:val="0"/>
                <w:color w:val="auto"/>
              </w:rPr>
            </w:pPr>
            <w:r>
              <w:rPr>
                <w:rFonts w:hAnsi="Times New Roman"/>
                <w:snapToGrid w:val="0"/>
                <w:color w:val="auto"/>
              </w:rPr>
              <w:t>生产废水</w:t>
            </w:r>
          </w:p>
        </w:tc>
        <w:tc>
          <w:tcPr>
            <w:tcW w:w="1843" w:type="dxa"/>
            <w:shd w:val="clear" w:color="auto" w:fill="auto"/>
            <w:vAlign w:val="center"/>
          </w:tcPr>
          <w:p>
            <w:pPr>
              <w:pStyle w:val="84"/>
              <w:rPr>
                <w:rFonts w:hint="default" w:hAnsi="Times New Roman" w:eastAsia="宋体"/>
                <w:snapToGrid w:val="0"/>
                <w:color w:val="auto"/>
                <w:lang w:val="en-US" w:eastAsia="zh-CN"/>
              </w:rPr>
            </w:pPr>
            <w:r>
              <w:rPr>
                <w:rFonts w:hint="eastAsia" w:hAnsi="Times New Roman"/>
                <w:snapToGrid w:val="0"/>
                <w:color w:val="auto"/>
              </w:rPr>
              <w:t>待宰间、屠宰车间</w:t>
            </w:r>
            <w:r>
              <w:rPr>
                <w:rFonts w:hint="eastAsia" w:hAnsi="Times New Roman"/>
                <w:snapToGrid w:val="0"/>
                <w:color w:val="auto"/>
                <w:lang w:eastAsia="zh-CN"/>
              </w:rPr>
              <w:t>、</w:t>
            </w:r>
            <w:r>
              <w:rPr>
                <w:rFonts w:hint="eastAsia" w:hAnsi="Times New Roman"/>
                <w:snapToGrid w:val="0"/>
                <w:color w:val="auto"/>
                <w:lang w:val="en-US" w:eastAsia="zh-CN"/>
              </w:rPr>
              <w:t>急宰间</w:t>
            </w:r>
          </w:p>
        </w:tc>
        <w:tc>
          <w:tcPr>
            <w:tcW w:w="2551" w:type="dxa"/>
            <w:vMerge w:val="restart"/>
            <w:shd w:val="clear" w:color="auto" w:fill="auto"/>
            <w:vAlign w:val="center"/>
          </w:tcPr>
          <w:p>
            <w:pPr>
              <w:widowControl/>
              <w:adjustRightInd w:val="0"/>
              <w:snapToGrid w:val="0"/>
              <w:jc w:val="center"/>
              <w:rPr>
                <w:color w:val="auto"/>
                <w:kern w:val="32"/>
                <w:szCs w:val="21"/>
              </w:rPr>
            </w:pPr>
            <w:r>
              <w:rPr>
                <w:rFonts w:hint="eastAsia"/>
                <w:snapToGrid w:val="0"/>
                <w:color w:val="auto"/>
                <w:szCs w:val="21"/>
              </w:rPr>
              <w:t>pH</w:t>
            </w:r>
            <w:r>
              <w:rPr>
                <w:snapToGrid w:val="0"/>
                <w:color w:val="auto"/>
                <w:szCs w:val="21"/>
              </w:rPr>
              <w:t>、COD、</w:t>
            </w:r>
            <w:r>
              <w:rPr>
                <w:rFonts w:hint="eastAsia"/>
                <w:snapToGrid w:val="0"/>
                <w:color w:val="auto"/>
                <w:szCs w:val="21"/>
              </w:rPr>
              <w:t>BOD</w:t>
            </w:r>
            <w:r>
              <w:rPr>
                <w:rFonts w:hint="eastAsia"/>
                <w:snapToGrid w:val="0"/>
                <w:color w:val="auto"/>
                <w:szCs w:val="21"/>
                <w:vertAlign w:val="subscript"/>
              </w:rPr>
              <w:t>5</w:t>
            </w:r>
            <w:r>
              <w:rPr>
                <w:snapToGrid w:val="0"/>
                <w:color w:val="auto"/>
                <w:szCs w:val="21"/>
              </w:rPr>
              <w:t>、</w:t>
            </w:r>
            <w:r>
              <w:rPr>
                <w:rFonts w:hint="eastAsia"/>
                <w:snapToGrid w:val="0"/>
                <w:color w:val="auto"/>
                <w:szCs w:val="21"/>
              </w:rPr>
              <w:t>SS</w:t>
            </w:r>
            <w:r>
              <w:rPr>
                <w:snapToGrid w:val="0"/>
                <w:color w:val="auto"/>
                <w:szCs w:val="21"/>
              </w:rPr>
              <w:t>、</w:t>
            </w:r>
            <w:r>
              <w:rPr>
                <w:rFonts w:hint="eastAsia"/>
                <w:snapToGrid w:val="0"/>
                <w:color w:val="auto"/>
                <w:szCs w:val="21"/>
              </w:rPr>
              <w:t>动植物油</w:t>
            </w:r>
            <w:r>
              <w:rPr>
                <w:snapToGrid w:val="0"/>
                <w:color w:val="auto"/>
                <w:szCs w:val="21"/>
              </w:rPr>
              <w:t>、氨氮、</w:t>
            </w:r>
            <w:r>
              <w:rPr>
                <w:rFonts w:hint="eastAsia"/>
                <w:bCs/>
                <w:color w:val="auto"/>
                <w:kern w:val="32"/>
                <w:szCs w:val="21"/>
              </w:rPr>
              <w:t>大肠菌群数</w:t>
            </w:r>
          </w:p>
        </w:tc>
        <w:tc>
          <w:tcPr>
            <w:tcW w:w="3727" w:type="dxa"/>
            <w:vMerge w:val="restart"/>
            <w:shd w:val="clear" w:color="auto" w:fill="auto"/>
            <w:vAlign w:val="center"/>
          </w:tcPr>
          <w:p>
            <w:pPr>
              <w:pStyle w:val="84"/>
              <w:rPr>
                <w:rFonts w:hAnsi="Times New Roman"/>
                <w:snapToGrid w:val="0"/>
                <w:color w:val="auto"/>
              </w:rPr>
            </w:pPr>
            <w:r>
              <w:rPr>
                <w:rFonts w:hint="eastAsia"/>
                <w:color w:val="auto"/>
              </w:rPr>
              <w:t>生产</w:t>
            </w:r>
            <w:r>
              <w:rPr>
                <w:color w:val="auto"/>
              </w:rPr>
              <w:t>废水</w:t>
            </w:r>
            <w:r>
              <w:rPr>
                <w:rFonts w:hint="eastAsia"/>
                <w:color w:val="auto"/>
              </w:rPr>
              <w:t>和生活污水一起排入污水处理站，采用“</w:t>
            </w:r>
            <w:r>
              <w:rPr>
                <w:bCs/>
                <w:color w:val="auto"/>
              </w:rPr>
              <w:t>格栅+</w:t>
            </w:r>
            <w:r>
              <w:rPr>
                <w:color w:val="auto"/>
              </w:rPr>
              <w:t>隔油沉砂+气浮+水解酸化+生物接触氧化+</w:t>
            </w:r>
            <w:r>
              <w:rPr>
                <w:rFonts w:hint="eastAsia"/>
                <w:color w:val="auto"/>
              </w:rPr>
              <w:t>二沉池+</w:t>
            </w:r>
            <w:r>
              <w:rPr>
                <w:color w:val="auto"/>
              </w:rPr>
              <w:t>消毒</w:t>
            </w:r>
            <w:r>
              <w:rPr>
                <w:rFonts w:hint="eastAsia"/>
                <w:color w:val="auto"/>
              </w:rPr>
              <w:t>池”工艺，出水排入贮水池，</w:t>
            </w:r>
            <w:r>
              <w:rPr>
                <w:rFonts w:hint="eastAsia"/>
                <w:bCs/>
                <w:color w:val="auto"/>
              </w:rPr>
              <w:t>每天</w:t>
            </w:r>
            <w:r>
              <w:rPr>
                <w:bCs/>
                <w:color w:val="auto"/>
              </w:rPr>
              <w:t>采用专用罐车</w:t>
            </w:r>
            <w:r>
              <w:rPr>
                <w:rFonts w:hint="eastAsia"/>
                <w:bCs/>
                <w:color w:val="auto"/>
              </w:rPr>
              <w:t>运至</w:t>
            </w:r>
            <w:r>
              <w:rPr>
                <w:rFonts w:hint="eastAsia"/>
                <w:bCs/>
                <w:color w:val="auto"/>
                <w:lang w:eastAsia="zh-CN"/>
              </w:rPr>
              <w:t>尚志污水处理厂</w:t>
            </w:r>
            <w:r>
              <w:rPr>
                <w:bCs/>
                <w:color w:val="auto"/>
              </w:rPr>
              <w:t>处理</w:t>
            </w:r>
          </w:p>
        </w:tc>
        <w:tc>
          <w:tcPr>
            <w:tcW w:w="3782" w:type="dxa"/>
            <w:gridSpan w:val="2"/>
            <w:vMerge w:val="restart"/>
            <w:shd w:val="clear" w:color="auto" w:fill="auto"/>
            <w:vAlign w:val="center"/>
          </w:tcPr>
          <w:p>
            <w:pPr>
              <w:pStyle w:val="84"/>
              <w:rPr>
                <w:rFonts w:hAnsi="Times New Roman"/>
                <w:snapToGrid w:val="0"/>
                <w:color w:val="auto"/>
              </w:rPr>
            </w:pPr>
            <w:r>
              <w:rPr>
                <w:rFonts w:hAnsi="Times New Roman"/>
                <w:bCs/>
                <w:snapToGrid w:val="0"/>
                <w:color w:val="auto"/>
              </w:rPr>
              <w:t>《肉类加工工业水污染物排放标准》（GB13457-92）表3三级畜类屠宰加工标准限值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242" w:type="dxa"/>
            <w:vMerge w:val="continue"/>
            <w:shd w:val="clear" w:color="auto" w:fill="auto"/>
            <w:vAlign w:val="center"/>
          </w:tcPr>
          <w:p>
            <w:pPr>
              <w:pStyle w:val="84"/>
              <w:rPr>
                <w:rFonts w:hAnsi="Times New Roman"/>
                <w:snapToGrid w:val="0"/>
                <w:color w:val="auto"/>
              </w:rPr>
            </w:pPr>
          </w:p>
        </w:tc>
        <w:tc>
          <w:tcPr>
            <w:tcW w:w="1418" w:type="dxa"/>
            <w:shd w:val="clear" w:color="auto" w:fill="auto"/>
            <w:vAlign w:val="center"/>
          </w:tcPr>
          <w:p>
            <w:pPr>
              <w:pStyle w:val="84"/>
              <w:rPr>
                <w:rFonts w:hint="default" w:hAnsi="Times New Roman" w:eastAsia="宋体"/>
                <w:snapToGrid w:val="0"/>
                <w:color w:val="auto"/>
                <w:lang w:val="en-US" w:eastAsia="zh-CN"/>
              </w:rPr>
            </w:pPr>
            <w:r>
              <w:rPr>
                <w:rFonts w:hint="eastAsia" w:hAnsi="Times New Roman"/>
                <w:snapToGrid w:val="0"/>
                <w:color w:val="auto"/>
                <w:lang w:val="en-US" w:eastAsia="zh-CN"/>
              </w:rPr>
              <w:t>锅炉排污水及软水制备排污水</w:t>
            </w:r>
          </w:p>
        </w:tc>
        <w:tc>
          <w:tcPr>
            <w:tcW w:w="1843" w:type="dxa"/>
            <w:shd w:val="clear" w:color="auto" w:fill="auto"/>
            <w:vAlign w:val="center"/>
          </w:tcPr>
          <w:p>
            <w:pPr>
              <w:pStyle w:val="84"/>
              <w:rPr>
                <w:rFonts w:hint="default" w:hAnsi="Times New Roman" w:eastAsia="宋体"/>
                <w:snapToGrid w:val="0"/>
                <w:color w:val="auto"/>
                <w:lang w:val="en-US" w:eastAsia="zh-CN"/>
              </w:rPr>
            </w:pPr>
            <w:r>
              <w:rPr>
                <w:rFonts w:hint="eastAsia" w:hAnsi="Times New Roman"/>
                <w:snapToGrid w:val="0"/>
                <w:color w:val="auto"/>
                <w:lang w:val="en-US" w:eastAsia="zh-CN"/>
              </w:rPr>
              <w:t>锅炉房</w:t>
            </w:r>
          </w:p>
        </w:tc>
        <w:tc>
          <w:tcPr>
            <w:tcW w:w="2551" w:type="dxa"/>
            <w:vMerge w:val="continue"/>
            <w:shd w:val="clear" w:color="auto" w:fill="auto"/>
            <w:vAlign w:val="center"/>
          </w:tcPr>
          <w:p>
            <w:pPr>
              <w:pStyle w:val="84"/>
              <w:jc w:val="both"/>
              <w:rPr>
                <w:rFonts w:hAnsi="Times New Roman"/>
                <w:snapToGrid w:val="0"/>
                <w:color w:val="auto"/>
              </w:rPr>
            </w:pPr>
          </w:p>
        </w:tc>
        <w:tc>
          <w:tcPr>
            <w:tcW w:w="3727" w:type="dxa"/>
            <w:vMerge w:val="continue"/>
            <w:shd w:val="clear" w:color="auto" w:fill="auto"/>
            <w:vAlign w:val="center"/>
          </w:tcPr>
          <w:p>
            <w:pPr>
              <w:pStyle w:val="84"/>
              <w:rPr>
                <w:rFonts w:hAnsi="Times New Roman"/>
                <w:snapToGrid w:val="0"/>
                <w:color w:val="auto"/>
              </w:rPr>
            </w:pPr>
          </w:p>
        </w:tc>
        <w:tc>
          <w:tcPr>
            <w:tcW w:w="3782" w:type="dxa"/>
            <w:gridSpan w:val="2"/>
            <w:vMerge w:val="continue"/>
            <w:shd w:val="clear" w:color="auto" w:fill="auto"/>
            <w:vAlign w:val="center"/>
          </w:tcPr>
          <w:p>
            <w:pPr>
              <w:pStyle w:val="84"/>
              <w:rPr>
                <w:rFonts w:hAnsi="Times New Roman"/>
                <w:snapToGrid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242" w:type="dxa"/>
            <w:vMerge w:val="continue"/>
            <w:shd w:val="clear" w:color="auto" w:fill="auto"/>
            <w:vAlign w:val="center"/>
          </w:tcPr>
          <w:p>
            <w:pPr>
              <w:pStyle w:val="84"/>
              <w:rPr>
                <w:rFonts w:hAnsi="Times New Roman"/>
                <w:snapToGrid w:val="0"/>
                <w:color w:val="auto"/>
              </w:rPr>
            </w:pPr>
          </w:p>
        </w:tc>
        <w:tc>
          <w:tcPr>
            <w:tcW w:w="1418" w:type="dxa"/>
            <w:shd w:val="clear" w:color="auto" w:fill="auto"/>
            <w:vAlign w:val="center"/>
          </w:tcPr>
          <w:p>
            <w:pPr>
              <w:pStyle w:val="84"/>
              <w:rPr>
                <w:rFonts w:hAnsi="Times New Roman"/>
                <w:snapToGrid w:val="0"/>
                <w:color w:val="auto"/>
              </w:rPr>
            </w:pPr>
            <w:r>
              <w:rPr>
                <w:rFonts w:hAnsi="Times New Roman"/>
                <w:snapToGrid w:val="0"/>
                <w:color w:val="auto"/>
              </w:rPr>
              <w:t>生活污水</w:t>
            </w:r>
          </w:p>
        </w:tc>
        <w:tc>
          <w:tcPr>
            <w:tcW w:w="1843" w:type="dxa"/>
            <w:shd w:val="clear" w:color="auto" w:fill="auto"/>
            <w:vAlign w:val="center"/>
          </w:tcPr>
          <w:p>
            <w:pPr>
              <w:pStyle w:val="84"/>
              <w:rPr>
                <w:rFonts w:hAnsi="Times New Roman"/>
                <w:snapToGrid w:val="0"/>
                <w:color w:val="auto"/>
              </w:rPr>
            </w:pPr>
            <w:r>
              <w:rPr>
                <w:rFonts w:hint="eastAsia" w:hAnsi="Times New Roman"/>
                <w:snapToGrid w:val="0"/>
                <w:color w:val="auto"/>
              </w:rPr>
              <w:t>员工</w:t>
            </w:r>
            <w:r>
              <w:rPr>
                <w:rFonts w:hAnsi="Times New Roman"/>
                <w:snapToGrid w:val="0"/>
                <w:color w:val="auto"/>
              </w:rPr>
              <w:t>生活</w:t>
            </w:r>
          </w:p>
        </w:tc>
        <w:tc>
          <w:tcPr>
            <w:tcW w:w="2551" w:type="dxa"/>
            <w:vMerge w:val="continue"/>
            <w:shd w:val="clear" w:color="auto" w:fill="auto"/>
            <w:vAlign w:val="center"/>
          </w:tcPr>
          <w:p>
            <w:pPr>
              <w:pStyle w:val="84"/>
              <w:jc w:val="both"/>
              <w:rPr>
                <w:rFonts w:hAnsi="Times New Roman"/>
                <w:snapToGrid w:val="0"/>
                <w:color w:val="auto"/>
              </w:rPr>
            </w:pPr>
          </w:p>
        </w:tc>
        <w:tc>
          <w:tcPr>
            <w:tcW w:w="3727" w:type="dxa"/>
            <w:vMerge w:val="continue"/>
            <w:shd w:val="clear" w:color="auto" w:fill="auto"/>
            <w:vAlign w:val="center"/>
          </w:tcPr>
          <w:p>
            <w:pPr>
              <w:pStyle w:val="84"/>
              <w:rPr>
                <w:rFonts w:hAnsi="Times New Roman"/>
                <w:snapToGrid w:val="0"/>
                <w:color w:val="auto"/>
              </w:rPr>
            </w:pPr>
          </w:p>
        </w:tc>
        <w:tc>
          <w:tcPr>
            <w:tcW w:w="3782" w:type="dxa"/>
            <w:gridSpan w:val="2"/>
            <w:vMerge w:val="continue"/>
            <w:shd w:val="clear" w:color="auto" w:fill="auto"/>
            <w:vAlign w:val="center"/>
          </w:tcPr>
          <w:p>
            <w:pPr>
              <w:pStyle w:val="84"/>
              <w:rPr>
                <w:rFonts w:hAnsi="Times New Roman"/>
                <w:snapToGrid w:val="0"/>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 w:hRule="atLeast"/>
        </w:trPr>
        <w:tc>
          <w:tcPr>
            <w:tcW w:w="1242" w:type="dxa"/>
            <w:vMerge w:val="continue"/>
            <w:shd w:val="clear" w:color="auto" w:fill="auto"/>
            <w:vAlign w:val="center"/>
          </w:tcPr>
          <w:p>
            <w:pPr>
              <w:pStyle w:val="84"/>
              <w:rPr>
                <w:rFonts w:hAnsi="Times New Roman"/>
                <w:snapToGrid w:val="0"/>
                <w:color w:val="auto"/>
              </w:rPr>
            </w:pPr>
          </w:p>
        </w:tc>
        <w:tc>
          <w:tcPr>
            <w:tcW w:w="1418" w:type="dxa"/>
            <w:shd w:val="clear" w:color="auto" w:fill="auto"/>
            <w:vAlign w:val="center"/>
          </w:tcPr>
          <w:p>
            <w:pPr>
              <w:pStyle w:val="84"/>
              <w:rPr>
                <w:rFonts w:hAnsi="Times New Roman"/>
                <w:snapToGrid w:val="0"/>
                <w:color w:val="auto"/>
              </w:rPr>
            </w:pPr>
            <w:r>
              <w:rPr>
                <w:rFonts w:hAnsi="Times New Roman"/>
                <w:snapToGrid w:val="0"/>
                <w:color w:val="auto"/>
              </w:rPr>
              <w:t>地下水监测井</w:t>
            </w:r>
          </w:p>
        </w:tc>
        <w:tc>
          <w:tcPr>
            <w:tcW w:w="1843" w:type="dxa"/>
            <w:shd w:val="clear" w:color="auto" w:fill="auto"/>
            <w:vAlign w:val="center"/>
          </w:tcPr>
          <w:p>
            <w:pPr>
              <w:pStyle w:val="84"/>
              <w:rPr>
                <w:rFonts w:hAnsi="Times New Roman"/>
                <w:snapToGrid w:val="0"/>
                <w:color w:val="auto"/>
              </w:rPr>
            </w:pPr>
            <w:r>
              <w:rPr>
                <w:rFonts w:hAnsi="Times New Roman"/>
                <w:snapToGrid w:val="0"/>
                <w:color w:val="auto"/>
              </w:rPr>
              <w:t>-</w:t>
            </w:r>
          </w:p>
        </w:tc>
        <w:tc>
          <w:tcPr>
            <w:tcW w:w="2551" w:type="dxa"/>
            <w:shd w:val="clear" w:color="auto" w:fill="auto"/>
            <w:vAlign w:val="center"/>
          </w:tcPr>
          <w:p>
            <w:pPr>
              <w:pStyle w:val="84"/>
              <w:rPr>
                <w:rFonts w:hAnsi="Times New Roman"/>
                <w:snapToGrid w:val="0"/>
                <w:color w:val="auto"/>
              </w:rPr>
            </w:pPr>
            <w:r>
              <w:rPr>
                <w:rFonts w:hint="eastAsia" w:hAnsi="Times New Roman"/>
                <w:snapToGrid w:val="0"/>
                <w:color w:val="auto"/>
              </w:rPr>
              <w:t>COD</w:t>
            </w:r>
            <w:r>
              <w:rPr>
                <w:rFonts w:hAnsi="Times New Roman"/>
                <w:snapToGrid w:val="0"/>
                <w:color w:val="auto"/>
              </w:rPr>
              <w:t>、</w:t>
            </w:r>
            <w:r>
              <w:rPr>
                <w:rFonts w:hAnsi="Times New Roman"/>
                <w:snapToGrid w:val="0"/>
                <w:color w:val="auto"/>
                <w:kern w:val="0"/>
              </w:rPr>
              <w:t>氨氮</w:t>
            </w:r>
          </w:p>
        </w:tc>
        <w:tc>
          <w:tcPr>
            <w:tcW w:w="3727" w:type="dxa"/>
            <w:shd w:val="clear" w:color="auto" w:fill="auto"/>
            <w:vAlign w:val="center"/>
          </w:tcPr>
          <w:p>
            <w:pPr>
              <w:pStyle w:val="84"/>
              <w:rPr>
                <w:rFonts w:hAnsi="Times New Roman"/>
                <w:snapToGrid w:val="0"/>
                <w:color w:val="auto"/>
              </w:rPr>
            </w:pPr>
            <w:r>
              <w:rPr>
                <w:rFonts w:hAnsi="Times New Roman"/>
                <w:snapToGrid w:val="0"/>
                <w:color w:val="auto"/>
              </w:rPr>
              <w:t>地下水下游（厂区</w:t>
            </w:r>
            <w:r>
              <w:rPr>
                <w:rFonts w:hint="eastAsia" w:hAnsi="Times New Roman"/>
                <w:snapToGrid w:val="0"/>
                <w:color w:val="auto"/>
                <w:lang w:val="en-US" w:eastAsia="zh-CN"/>
              </w:rPr>
              <w:t>东</w:t>
            </w:r>
            <w:r>
              <w:rPr>
                <w:rFonts w:hAnsi="Times New Roman"/>
                <w:snapToGrid w:val="0"/>
                <w:color w:val="auto"/>
              </w:rPr>
              <w:t>侧）设置1口监测井</w:t>
            </w:r>
          </w:p>
        </w:tc>
        <w:tc>
          <w:tcPr>
            <w:tcW w:w="3782" w:type="dxa"/>
            <w:gridSpan w:val="2"/>
            <w:shd w:val="clear" w:color="auto" w:fill="auto"/>
            <w:vAlign w:val="center"/>
          </w:tcPr>
          <w:p>
            <w:pPr>
              <w:pStyle w:val="84"/>
              <w:rPr>
                <w:rFonts w:hAnsi="Times New Roman"/>
                <w:snapToGrid w:val="0"/>
                <w:color w:val="auto"/>
              </w:rPr>
            </w:pPr>
            <w:r>
              <w:rPr>
                <w:rFonts w:hAnsi="Times New Roman"/>
                <w:snapToGrid w:val="0"/>
                <w:color w:val="auto"/>
              </w:rPr>
              <w:t>地下水下游（厂区</w:t>
            </w:r>
            <w:r>
              <w:rPr>
                <w:rFonts w:hint="eastAsia" w:hAnsi="Times New Roman"/>
                <w:snapToGrid w:val="0"/>
                <w:color w:val="auto"/>
                <w:lang w:val="en-US" w:eastAsia="zh-CN"/>
              </w:rPr>
              <w:t>东</w:t>
            </w:r>
            <w:r>
              <w:rPr>
                <w:rFonts w:hAnsi="Times New Roman"/>
                <w:snapToGrid w:val="0"/>
                <w:color w:val="auto"/>
              </w:rPr>
              <w:t>侧）设置1口监测井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3" w:hRule="atLeast"/>
        </w:trPr>
        <w:tc>
          <w:tcPr>
            <w:tcW w:w="1242" w:type="dxa"/>
            <w:vMerge w:val="continue"/>
            <w:shd w:val="clear" w:color="auto" w:fill="auto"/>
            <w:vAlign w:val="center"/>
          </w:tcPr>
          <w:p>
            <w:pPr>
              <w:pStyle w:val="84"/>
              <w:rPr>
                <w:rFonts w:hAnsi="Times New Roman"/>
                <w:snapToGrid w:val="0"/>
                <w:color w:val="auto"/>
              </w:rPr>
            </w:pPr>
          </w:p>
        </w:tc>
        <w:tc>
          <w:tcPr>
            <w:tcW w:w="1418" w:type="dxa"/>
            <w:vMerge w:val="restart"/>
            <w:shd w:val="clear" w:color="auto" w:fill="auto"/>
            <w:vAlign w:val="center"/>
          </w:tcPr>
          <w:p>
            <w:pPr>
              <w:pStyle w:val="84"/>
              <w:rPr>
                <w:rFonts w:hAnsi="Times New Roman"/>
                <w:snapToGrid w:val="0"/>
                <w:color w:val="auto"/>
              </w:rPr>
            </w:pPr>
            <w:r>
              <w:rPr>
                <w:rFonts w:hAnsi="Times New Roman"/>
                <w:snapToGrid w:val="0"/>
                <w:color w:val="auto"/>
              </w:rPr>
              <w:t>地下水污染防治</w:t>
            </w:r>
          </w:p>
        </w:tc>
        <w:tc>
          <w:tcPr>
            <w:tcW w:w="1843" w:type="dxa"/>
            <w:shd w:val="clear" w:color="auto" w:fill="auto"/>
            <w:vAlign w:val="center"/>
          </w:tcPr>
          <w:p>
            <w:pPr>
              <w:pStyle w:val="84"/>
              <w:rPr>
                <w:rFonts w:hAnsi="Times New Roman"/>
                <w:color w:val="auto"/>
              </w:rPr>
            </w:pPr>
            <w:r>
              <w:rPr>
                <w:rFonts w:hint="eastAsia" w:hAnsi="Times New Roman"/>
                <w:color w:val="auto"/>
                <w:lang w:val="en-GB" w:eastAsia="zh-CN"/>
              </w:rPr>
              <w:t>办公楼</w:t>
            </w:r>
            <w:r>
              <w:rPr>
                <w:rFonts w:hAnsi="Times New Roman"/>
                <w:color w:val="auto"/>
                <w:lang w:val="en-GB"/>
              </w:rPr>
              <w:t>、库房等</w:t>
            </w:r>
          </w:p>
        </w:tc>
        <w:tc>
          <w:tcPr>
            <w:tcW w:w="2551" w:type="dxa"/>
            <w:shd w:val="clear" w:color="auto" w:fill="auto"/>
            <w:vAlign w:val="center"/>
          </w:tcPr>
          <w:p>
            <w:pPr>
              <w:pStyle w:val="84"/>
              <w:rPr>
                <w:rFonts w:hAnsi="Times New Roman"/>
                <w:snapToGrid w:val="0"/>
                <w:color w:val="auto"/>
              </w:rPr>
            </w:pPr>
            <w:r>
              <w:rPr>
                <w:rFonts w:hint="eastAsia" w:hAnsi="Times New Roman"/>
                <w:snapToGrid w:val="0"/>
                <w:color w:val="auto"/>
              </w:rPr>
              <w:t>COD</w:t>
            </w:r>
            <w:r>
              <w:rPr>
                <w:rFonts w:hAnsi="Times New Roman"/>
                <w:snapToGrid w:val="0"/>
                <w:color w:val="auto"/>
              </w:rPr>
              <w:t>、氨氮</w:t>
            </w:r>
          </w:p>
        </w:tc>
        <w:tc>
          <w:tcPr>
            <w:tcW w:w="3727" w:type="dxa"/>
            <w:shd w:val="clear" w:color="auto" w:fill="auto"/>
            <w:vAlign w:val="center"/>
          </w:tcPr>
          <w:p>
            <w:pPr>
              <w:pStyle w:val="84"/>
              <w:rPr>
                <w:rFonts w:hAnsi="Times New Roman"/>
                <w:color w:val="auto"/>
              </w:rPr>
            </w:pPr>
            <w:r>
              <w:rPr>
                <w:rFonts w:hAnsi="Times New Roman"/>
                <w:color w:val="auto"/>
              </w:rPr>
              <w:t>简单防渗</w:t>
            </w:r>
          </w:p>
        </w:tc>
        <w:tc>
          <w:tcPr>
            <w:tcW w:w="3782" w:type="dxa"/>
            <w:gridSpan w:val="2"/>
            <w:shd w:val="clear" w:color="auto" w:fill="auto"/>
            <w:vAlign w:val="center"/>
          </w:tcPr>
          <w:p>
            <w:pPr>
              <w:pStyle w:val="84"/>
              <w:rPr>
                <w:rFonts w:hAnsi="Times New Roman"/>
                <w:color w:val="auto"/>
              </w:rPr>
            </w:pPr>
            <w:r>
              <w:rPr>
                <w:rFonts w:hAnsi="Times New Roman"/>
                <w:color w:val="auto"/>
              </w:rPr>
              <w:t>对其地面采用混凝土进行一般地面硬化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1" w:hRule="atLeast"/>
        </w:trPr>
        <w:tc>
          <w:tcPr>
            <w:tcW w:w="1242" w:type="dxa"/>
            <w:vMerge w:val="continue"/>
            <w:shd w:val="clear" w:color="auto" w:fill="auto"/>
            <w:vAlign w:val="center"/>
          </w:tcPr>
          <w:p>
            <w:pPr>
              <w:pStyle w:val="84"/>
              <w:rPr>
                <w:rFonts w:hAnsi="Times New Roman"/>
                <w:snapToGrid w:val="0"/>
                <w:color w:val="auto"/>
              </w:rPr>
            </w:pPr>
          </w:p>
        </w:tc>
        <w:tc>
          <w:tcPr>
            <w:tcW w:w="1418" w:type="dxa"/>
            <w:vMerge w:val="continue"/>
            <w:shd w:val="clear" w:color="auto" w:fill="auto"/>
            <w:vAlign w:val="center"/>
          </w:tcPr>
          <w:p>
            <w:pPr>
              <w:pStyle w:val="84"/>
              <w:rPr>
                <w:rFonts w:hAnsi="Times New Roman"/>
                <w:snapToGrid w:val="0"/>
                <w:color w:val="auto"/>
              </w:rPr>
            </w:pPr>
          </w:p>
        </w:tc>
        <w:tc>
          <w:tcPr>
            <w:tcW w:w="1843" w:type="dxa"/>
            <w:shd w:val="clear" w:color="auto" w:fill="auto"/>
            <w:vAlign w:val="center"/>
          </w:tcPr>
          <w:p>
            <w:pPr>
              <w:pStyle w:val="84"/>
              <w:rPr>
                <w:rFonts w:hAnsi="Times New Roman"/>
                <w:color w:val="auto"/>
              </w:rPr>
            </w:pPr>
            <w:r>
              <w:rPr>
                <w:rFonts w:hint="eastAsia" w:hAnsi="Times New Roman"/>
                <w:color w:val="auto"/>
                <w:lang w:val="en-US" w:eastAsia="zh-CN"/>
              </w:rPr>
              <w:t>急宰间、</w:t>
            </w:r>
            <w:r>
              <w:rPr>
                <w:rFonts w:hint="eastAsia" w:hAnsi="Times New Roman"/>
                <w:color w:val="auto"/>
              </w:rPr>
              <w:t>待宰间、屠宰车间、</w:t>
            </w:r>
            <w:r>
              <w:rPr>
                <w:rFonts w:hAnsi="Times New Roman"/>
                <w:color w:val="auto"/>
                <w:lang w:val="en-GB"/>
              </w:rPr>
              <w:t>冷库、</w:t>
            </w:r>
            <w:r>
              <w:rPr>
                <w:rFonts w:hAnsi="Times New Roman"/>
                <w:color w:val="auto"/>
              </w:rPr>
              <w:t>污水处理站、贮水池、事故池</w:t>
            </w:r>
          </w:p>
        </w:tc>
        <w:tc>
          <w:tcPr>
            <w:tcW w:w="2551" w:type="dxa"/>
            <w:shd w:val="clear" w:color="auto" w:fill="auto"/>
            <w:vAlign w:val="center"/>
          </w:tcPr>
          <w:p>
            <w:pPr>
              <w:pStyle w:val="84"/>
              <w:rPr>
                <w:rFonts w:hAnsi="Times New Roman"/>
                <w:snapToGrid w:val="0"/>
                <w:color w:val="auto"/>
              </w:rPr>
            </w:pPr>
            <w:r>
              <w:rPr>
                <w:rFonts w:hint="eastAsia" w:hAnsi="Times New Roman"/>
                <w:snapToGrid w:val="0"/>
                <w:color w:val="auto"/>
              </w:rPr>
              <w:t>COD</w:t>
            </w:r>
            <w:r>
              <w:rPr>
                <w:rFonts w:hAnsi="Times New Roman"/>
                <w:snapToGrid w:val="0"/>
                <w:color w:val="auto"/>
              </w:rPr>
              <w:t>、氨氮</w:t>
            </w:r>
          </w:p>
        </w:tc>
        <w:tc>
          <w:tcPr>
            <w:tcW w:w="3727" w:type="dxa"/>
            <w:shd w:val="clear" w:color="auto" w:fill="auto"/>
            <w:vAlign w:val="center"/>
          </w:tcPr>
          <w:p>
            <w:pPr>
              <w:pStyle w:val="84"/>
              <w:rPr>
                <w:rFonts w:hAnsi="Times New Roman"/>
                <w:color w:val="auto"/>
              </w:rPr>
            </w:pPr>
            <w:r>
              <w:rPr>
                <w:rFonts w:hAnsi="Times New Roman"/>
                <w:color w:val="auto"/>
              </w:rPr>
              <w:t>一般防渗</w:t>
            </w:r>
          </w:p>
        </w:tc>
        <w:tc>
          <w:tcPr>
            <w:tcW w:w="3782" w:type="dxa"/>
            <w:gridSpan w:val="2"/>
            <w:shd w:val="clear" w:color="auto" w:fill="auto"/>
            <w:vAlign w:val="center"/>
          </w:tcPr>
          <w:p>
            <w:pPr>
              <w:pStyle w:val="84"/>
              <w:rPr>
                <w:rFonts w:hAnsi="Times New Roman"/>
                <w:color w:val="auto"/>
                <w:lang w:val="en-GB"/>
              </w:rPr>
            </w:pPr>
            <w:r>
              <w:rPr>
                <w:rFonts w:hAnsi="Times New Roman"/>
                <w:color w:val="auto"/>
                <w:lang w:val="en-GB"/>
              </w:rPr>
              <w:t>地面（池底）基础防渗，防渗层为至少1m厚粘土层或2mm厚高密度聚乙烯，需满足等效黏土防渗层Mb≥1.5m，K≤1×10</w:t>
            </w:r>
            <w:r>
              <w:rPr>
                <w:rFonts w:hAnsi="Times New Roman"/>
                <w:color w:val="auto"/>
                <w:vertAlign w:val="superscript"/>
                <w:lang w:val="en-GB"/>
              </w:rPr>
              <w:t>-7</w:t>
            </w:r>
            <w:r>
              <w:rPr>
                <w:rFonts w:hAnsi="Times New Roman"/>
                <w:color w:val="auto"/>
                <w:lang w:val="en-GB"/>
              </w:rPr>
              <w:t>cm/s的要求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7" w:hRule="atLeast"/>
        </w:trPr>
        <w:tc>
          <w:tcPr>
            <w:tcW w:w="1242" w:type="dxa"/>
            <w:vMerge w:val="continue"/>
            <w:shd w:val="clear" w:color="auto" w:fill="auto"/>
            <w:vAlign w:val="center"/>
          </w:tcPr>
          <w:p>
            <w:pPr>
              <w:pStyle w:val="84"/>
              <w:rPr>
                <w:rFonts w:hAnsi="Times New Roman"/>
                <w:snapToGrid w:val="0"/>
                <w:color w:val="auto"/>
              </w:rPr>
            </w:pPr>
          </w:p>
        </w:tc>
        <w:tc>
          <w:tcPr>
            <w:tcW w:w="1418" w:type="dxa"/>
            <w:vMerge w:val="continue"/>
            <w:shd w:val="clear" w:color="auto" w:fill="auto"/>
            <w:vAlign w:val="center"/>
          </w:tcPr>
          <w:p>
            <w:pPr>
              <w:pStyle w:val="84"/>
              <w:rPr>
                <w:rFonts w:hAnsi="Times New Roman"/>
                <w:snapToGrid w:val="0"/>
                <w:color w:val="auto"/>
              </w:rPr>
            </w:pPr>
          </w:p>
        </w:tc>
        <w:tc>
          <w:tcPr>
            <w:tcW w:w="1843" w:type="dxa"/>
            <w:shd w:val="clear" w:color="auto" w:fill="auto"/>
            <w:vAlign w:val="center"/>
          </w:tcPr>
          <w:p>
            <w:pPr>
              <w:pStyle w:val="84"/>
              <w:rPr>
                <w:rFonts w:hint="eastAsia" w:hAnsi="Times New Roman" w:eastAsia="宋体"/>
                <w:color w:val="auto"/>
                <w:lang w:eastAsia="zh-CN"/>
              </w:rPr>
            </w:pPr>
            <w:r>
              <w:rPr>
                <w:rFonts w:hint="eastAsia" w:hAnsi="Times New Roman"/>
                <w:color w:val="auto"/>
                <w:lang w:eastAsia="zh-CN"/>
              </w:rPr>
              <w:t>危险废物贮存点</w:t>
            </w:r>
          </w:p>
        </w:tc>
        <w:tc>
          <w:tcPr>
            <w:tcW w:w="2551" w:type="dxa"/>
            <w:shd w:val="clear" w:color="auto" w:fill="auto"/>
            <w:vAlign w:val="center"/>
          </w:tcPr>
          <w:p>
            <w:pPr>
              <w:pStyle w:val="84"/>
              <w:rPr>
                <w:rFonts w:hAnsi="Times New Roman"/>
                <w:snapToGrid w:val="0"/>
                <w:color w:val="auto"/>
              </w:rPr>
            </w:pPr>
            <w:r>
              <w:rPr>
                <w:rFonts w:hAnsi="Times New Roman"/>
                <w:snapToGrid w:val="0"/>
                <w:color w:val="auto"/>
              </w:rPr>
              <w:t>-</w:t>
            </w:r>
          </w:p>
        </w:tc>
        <w:tc>
          <w:tcPr>
            <w:tcW w:w="3727" w:type="dxa"/>
            <w:shd w:val="clear" w:color="auto" w:fill="auto"/>
            <w:vAlign w:val="center"/>
          </w:tcPr>
          <w:p>
            <w:pPr>
              <w:pStyle w:val="84"/>
              <w:rPr>
                <w:rFonts w:hAnsi="Times New Roman"/>
                <w:color w:val="auto"/>
              </w:rPr>
            </w:pPr>
            <w:r>
              <w:rPr>
                <w:rFonts w:hAnsi="Times New Roman"/>
                <w:color w:val="auto"/>
              </w:rPr>
              <w:t>重点防渗</w:t>
            </w:r>
          </w:p>
        </w:tc>
        <w:tc>
          <w:tcPr>
            <w:tcW w:w="3782" w:type="dxa"/>
            <w:gridSpan w:val="2"/>
            <w:shd w:val="clear" w:color="auto" w:fill="auto"/>
            <w:vAlign w:val="center"/>
          </w:tcPr>
          <w:p>
            <w:pPr>
              <w:pStyle w:val="84"/>
              <w:rPr>
                <w:rFonts w:hAnsi="Times New Roman"/>
                <w:color w:val="auto"/>
              </w:rPr>
            </w:pPr>
            <w:r>
              <w:rPr>
                <w:rFonts w:hAnsi="Times New Roman"/>
                <w:color w:val="auto"/>
              </w:rPr>
              <w:t>基础防渗层为至少1m厚粘土层（渗透系数K≤10</w:t>
            </w:r>
            <w:r>
              <w:rPr>
                <w:rFonts w:hAnsi="Times New Roman"/>
                <w:color w:val="auto"/>
                <w:vertAlign w:val="superscript"/>
              </w:rPr>
              <w:t>-7</w:t>
            </w:r>
            <w:r>
              <w:rPr>
                <w:rFonts w:hAnsi="Times New Roman"/>
                <w:color w:val="auto"/>
              </w:rPr>
              <w:t>cm/s）或2mm厚高密度聚乙烯或至少2mm厚的其他人工材料（渗透系数K≤10</w:t>
            </w:r>
            <w:r>
              <w:rPr>
                <w:rFonts w:hAnsi="Times New Roman"/>
                <w:color w:val="auto"/>
                <w:vertAlign w:val="superscript"/>
              </w:rPr>
              <w:t>-10</w:t>
            </w:r>
            <w:r>
              <w:rPr>
                <w:rFonts w:hAnsi="Times New Roman"/>
                <w:color w:val="auto"/>
              </w:rPr>
              <w:t>cm/s）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242" w:type="dxa"/>
            <w:vMerge w:val="restart"/>
            <w:shd w:val="clear" w:color="auto" w:fill="auto"/>
            <w:vAlign w:val="center"/>
          </w:tcPr>
          <w:p>
            <w:pPr>
              <w:pStyle w:val="84"/>
              <w:rPr>
                <w:rFonts w:hAnsi="Times New Roman"/>
                <w:snapToGrid w:val="0"/>
                <w:color w:val="auto"/>
              </w:rPr>
            </w:pPr>
            <w:r>
              <w:rPr>
                <w:rFonts w:hAnsi="Times New Roman"/>
                <w:snapToGrid w:val="0"/>
                <w:color w:val="auto"/>
              </w:rPr>
              <w:t>废气</w:t>
            </w:r>
          </w:p>
        </w:tc>
        <w:tc>
          <w:tcPr>
            <w:tcW w:w="1418" w:type="dxa"/>
            <w:shd w:val="clear" w:color="auto" w:fill="auto"/>
            <w:vAlign w:val="center"/>
          </w:tcPr>
          <w:p>
            <w:pPr>
              <w:pStyle w:val="84"/>
              <w:rPr>
                <w:rFonts w:hAnsi="Times New Roman"/>
                <w:snapToGrid w:val="0"/>
                <w:color w:val="auto"/>
              </w:rPr>
            </w:pPr>
            <w:r>
              <w:rPr>
                <w:rFonts w:hAnsi="Times New Roman"/>
                <w:snapToGrid w:val="0"/>
                <w:color w:val="auto"/>
              </w:rPr>
              <w:t>恶臭</w:t>
            </w:r>
          </w:p>
        </w:tc>
        <w:tc>
          <w:tcPr>
            <w:tcW w:w="1843" w:type="dxa"/>
            <w:shd w:val="clear" w:color="auto" w:fill="auto"/>
            <w:vAlign w:val="center"/>
          </w:tcPr>
          <w:p>
            <w:pPr>
              <w:pStyle w:val="84"/>
              <w:rPr>
                <w:rFonts w:hAnsi="Times New Roman"/>
                <w:snapToGrid w:val="0"/>
                <w:color w:val="auto"/>
              </w:rPr>
            </w:pPr>
            <w:r>
              <w:rPr>
                <w:rFonts w:hint="eastAsia" w:hAnsi="Times New Roman"/>
                <w:snapToGrid w:val="0"/>
                <w:color w:val="auto"/>
              </w:rPr>
              <w:t>待宰间</w:t>
            </w:r>
          </w:p>
        </w:tc>
        <w:tc>
          <w:tcPr>
            <w:tcW w:w="2551" w:type="dxa"/>
            <w:shd w:val="clear" w:color="auto" w:fill="auto"/>
            <w:vAlign w:val="center"/>
          </w:tcPr>
          <w:p>
            <w:pPr>
              <w:pStyle w:val="84"/>
              <w:rPr>
                <w:rFonts w:hAnsi="Times New Roman"/>
                <w:snapToGrid w:val="0"/>
                <w:color w:val="auto"/>
              </w:rPr>
            </w:pPr>
            <w:r>
              <w:rPr>
                <w:rFonts w:hAnsi="Times New Roman"/>
                <w:snapToGrid w:val="0"/>
                <w:color w:val="auto"/>
              </w:rPr>
              <w:t>H</w:t>
            </w:r>
            <w:r>
              <w:rPr>
                <w:rFonts w:hAnsi="Times New Roman"/>
                <w:snapToGrid w:val="0"/>
                <w:color w:val="auto"/>
                <w:vertAlign w:val="subscript"/>
              </w:rPr>
              <w:t>2</w:t>
            </w:r>
            <w:r>
              <w:rPr>
                <w:rFonts w:hAnsi="Times New Roman"/>
                <w:snapToGrid w:val="0"/>
                <w:color w:val="auto"/>
              </w:rPr>
              <w:t>S、NH</w:t>
            </w:r>
            <w:r>
              <w:rPr>
                <w:rFonts w:hAnsi="Times New Roman"/>
                <w:snapToGrid w:val="0"/>
                <w:color w:val="auto"/>
                <w:vertAlign w:val="subscript"/>
              </w:rPr>
              <w:t>3</w:t>
            </w:r>
            <w:r>
              <w:rPr>
                <w:rFonts w:hAnsi="Times New Roman"/>
                <w:snapToGrid w:val="0"/>
                <w:color w:val="auto"/>
              </w:rPr>
              <w:t>、臭气浓度</w:t>
            </w:r>
          </w:p>
        </w:tc>
        <w:tc>
          <w:tcPr>
            <w:tcW w:w="3727" w:type="dxa"/>
            <w:shd w:val="clear" w:color="auto" w:fill="auto"/>
            <w:vAlign w:val="center"/>
          </w:tcPr>
          <w:p>
            <w:pPr>
              <w:pStyle w:val="84"/>
              <w:rPr>
                <w:rFonts w:hAnsi="Times New Roman"/>
                <w:snapToGrid w:val="0"/>
                <w:color w:val="auto"/>
              </w:rPr>
            </w:pPr>
            <w:r>
              <w:rPr>
                <w:rFonts w:hAnsi="Times New Roman"/>
                <w:snapToGrid w:val="0"/>
                <w:color w:val="auto"/>
              </w:rPr>
              <w:t>待宰</w:t>
            </w:r>
            <w:r>
              <w:rPr>
                <w:rFonts w:hint="eastAsia" w:hAnsi="Times New Roman"/>
                <w:snapToGrid w:val="0"/>
                <w:color w:val="auto"/>
              </w:rPr>
              <w:t>间</w:t>
            </w:r>
            <w:r>
              <w:rPr>
                <w:rFonts w:hAnsi="Times New Roman"/>
                <w:snapToGrid w:val="0"/>
                <w:color w:val="auto"/>
              </w:rPr>
              <w:t>及时清扫，并采取投加或喷洒除臭剂</w:t>
            </w:r>
          </w:p>
        </w:tc>
        <w:tc>
          <w:tcPr>
            <w:tcW w:w="3782" w:type="dxa"/>
            <w:gridSpan w:val="2"/>
            <w:vMerge w:val="restart"/>
            <w:shd w:val="clear" w:color="auto" w:fill="auto"/>
            <w:vAlign w:val="center"/>
          </w:tcPr>
          <w:p>
            <w:pPr>
              <w:pStyle w:val="84"/>
              <w:rPr>
                <w:rFonts w:hAnsi="Times New Roman"/>
                <w:snapToGrid w:val="0"/>
                <w:color w:val="auto"/>
              </w:rPr>
            </w:pPr>
            <w:r>
              <w:rPr>
                <w:rFonts w:hAnsi="Times New Roman"/>
                <w:color w:val="auto"/>
              </w:rPr>
              <w:t>《恶臭污染物排放标准》（GB14554-1993）表1中二级新改扩建标准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242" w:type="dxa"/>
            <w:vMerge w:val="continue"/>
            <w:shd w:val="clear" w:color="auto" w:fill="auto"/>
            <w:vAlign w:val="center"/>
          </w:tcPr>
          <w:p>
            <w:pPr>
              <w:pStyle w:val="84"/>
              <w:rPr>
                <w:rFonts w:hAnsi="Times New Roman"/>
                <w:snapToGrid w:val="0"/>
                <w:color w:val="auto"/>
              </w:rPr>
            </w:pPr>
          </w:p>
        </w:tc>
        <w:tc>
          <w:tcPr>
            <w:tcW w:w="1418" w:type="dxa"/>
            <w:shd w:val="clear" w:color="auto" w:fill="auto"/>
            <w:vAlign w:val="center"/>
          </w:tcPr>
          <w:p>
            <w:pPr>
              <w:pStyle w:val="84"/>
              <w:rPr>
                <w:rFonts w:hAnsi="Times New Roman"/>
                <w:snapToGrid w:val="0"/>
                <w:color w:val="auto"/>
              </w:rPr>
            </w:pPr>
            <w:r>
              <w:rPr>
                <w:rFonts w:hAnsi="Times New Roman"/>
                <w:snapToGrid w:val="0"/>
                <w:color w:val="auto"/>
              </w:rPr>
              <w:t>恶臭</w:t>
            </w:r>
          </w:p>
        </w:tc>
        <w:tc>
          <w:tcPr>
            <w:tcW w:w="1843" w:type="dxa"/>
            <w:shd w:val="clear" w:color="auto" w:fill="auto"/>
            <w:vAlign w:val="center"/>
          </w:tcPr>
          <w:p>
            <w:pPr>
              <w:pStyle w:val="84"/>
              <w:rPr>
                <w:rFonts w:hAnsi="Times New Roman"/>
                <w:snapToGrid w:val="0"/>
                <w:color w:val="auto"/>
              </w:rPr>
            </w:pPr>
            <w:r>
              <w:rPr>
                <w:rFonts w:hint="eastAsia" w:hAnsi="Times New Roman"/>
                <w:snapToGrid w:val="0"/>
                <w:color w:val="auto"/>
              </w:rPr>
              <w:t>屠宰车</w:t>
            </w:r>
            <w:r>
              <w:rPr>
                <w:rFonts w:hAnsi="Times New Roman"/>
                <w:snapToGrid w:val="0"/>
                <w:color w:val="auto"/>
              </w:rPr>
              <w:t>间</w:t>
            </w:r>
          </w:p>
        </w:tc>
        <w:tc>
          <w:tcPr>
            <w:tcW w:w="2551" w:type="dxa"/>
            <w:shd w:val="clear" w:color="auto" w:fill="auto"/>
            <w:vAlign w:val="center"/>
          </w:tcPr>
          <w:p>
            <w:pPr>
              <w:pStyle w:val="84"/>
              <w:rPr>
                <w:rFonts w:hAnsi="Times New Roman"/>
                <w:snapToGrid w:val="0"/>
                <w:color w:val="auto"/>
              </w:rPr>
            </w:pPr>
            <w:r>
              <w:rPr>
                <w:rFonts w:hAnsi="Times New Roman"/>
                <w:snapToGrid w:val="0"/>
                <w:color w:val="auto"/>
              </w:rPr>
              <w:t>H</w:t>
            </w:r>
            <w:r>
              <w:rPr>
                <w:rFonts w:hAnsi="Times New Roman"/>
                <w:snapToGrid w:val="0"/>
                <w:color w:val="auto"/>
                <w:vertAlign w:val="subscript"/>
              </w:rPr>
              <w:t>2</w:t>
            </w:r>
            <w:r>
              <w:rPr>
                <w:rFonts w:hAnsi="Times New Roman"/>
                <w:snapToGrid w:val="0"/>
                <w:color w:val="auto"/>
              </w:rPr>
              <w:t>S、NH</w:t>
            </w:r>
            <w:r>
              <w:rPr>
                <w:rFonts w:hAnsi="Times New Roman"/>
                <w:snapToGrid w:val="0"/>
                <w:color w:val="auto"/>
                <w:vertAlign w:val="subscript"/>
              </w:rPr>
              <w:t>3</w:t>
            </w:r>
            <w:r>
              <w:rPr>
                <w:rFonts w:hAnsi="Times New Roman"/>
                <w:snapToGrid w:val="0"/>
                <w:color w:val="auto"/>
              </w:rPr>
              <w:t>、臭气浓度</w:t>
            </w:r>
          </w:p>
        </w:tc>
        <w:tc>
          <w:tcPr>
            <w:tcW w:w="3727" w:type="dxa"/>
            <w:shd w:val="clear" w:color="auto" w:fill="auto"/>
            <w:vAlign w:val="center"/>
          </w:tcPr>
          <w:p>
            <w:pPr>
              <w:pStyle w:val="84"/>
              <w:rPr>
                <w:rFonts w:hAnsi="Times New Roman"/>
                <w:snapToGrid w:val="0"/>
                <w:color w:val="auto"/>
              </w:rPr>
            </w:pPr>
            <w:r>
              <w:rPr>
                <w:rFonts w:hint="eastAsia" w:hAnsi="Times New Roman"/>
                <w:snapToGrid w:val="0"/>
                <w:color w:val="auto"/>
              </w:rPr>
              <w:t>/</w:t>
            </w:r>
          </w:p>
        </w:tc>
        <w:tc>
          <w:tcPr>
            <w:tcW w:w="3782" w:type="dxa"/>
            <w:gridSpan w:val="2"/>
            <w:vMerge w:val="continue"/>
            <w:shd w:val="clear" w:color="auto" w:fill="auto"/>
            <w:vAlign w:val="center"/>
          </w:tcPr>
          <w:p>
            <w:pPr>
              <w:pStyle w:val="84"/>
              <w:rPr>
                <w:rFonts w:hAnsi="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242" w:type="dxa"/>
            <w:vMerge w:val="continue"/>
            <w:shd w:val="clear" w:color="auto" w:fill="auto"/>
            <w:vAlign w:val="center"/>
          </w:tcPr>
          <w:p>
            <w:pPr>
              <w:pStyle w:val="84"/>
              <w:rPr>
                <w:rFonts w:hAnsi="Times New Roman"/>
                <w:snapToGrid w:val="0"/>
                <w:color w:val="auto"/>
              </w:rPr>
            </w:pPr>
          </w:p>
        </w:tc>
        <w:tc>
          <w:tcPr>
            <w:tcW w:w="1418" w:type="dxa"/>
            <w:shd w:val="clear" w:color="auto" w:fill="auto"/>
            <w:vAlign w:val="center"/>
          </w:tcPr>
          <w:p>
            <w:pPr>
              <w:pStyle w:val="84"/>
              <w:rPr>
                <w:rFonts w:hAnsi="Times New Roman"/>
                <w:snapToGrid w:val="0"/>
                <w:color w:val="auto"/>
              </w:rPr>
            </w:pPr>
            <w:r>
              <w:rPr>
                <w:rFonts w:hAnsi="Times New Roman"/>
                <w:snapToGrid w:val="0"/>
                <w:color w:val="auto"/>
              </w:rPr>
              <w:t>恶臭</w:t>
            </w:r>
          </w:p>
        </w:tc>
        <w:tc>
          <w:tcPr>
            <w:tcW w:w="1843" w:type="dxa"/>
            <w:shd w:val="clear" w:color="auto" w:fill="auto"/>
            <w:vAlign w:val="center"/>
          </w:tcPr>
          <w:p>
            <w:pPr>
              <w:pStyle w:val="84"/>
              <w:rPr>
                <w:rFonts w:hAnsi="Times New Roman"/>
                <w:snapToGrid w:val="0"/>
                <w:color w:val="auto"/>
              </w:rPr>
            </w:pPr>
            <w:r>
              <w:rPr>
                <w:rFonts w:hint="eastAsia" w:hAnsi="Times New Roman"/>
                <w:snapToGrid w:val="0"/>
                <w:color w:val="auto"/>
              </w:rPr>
              <w:t>污水处理站</w:t>
            </w:r>
          </w:p>
        </w:tc>
        <w:tc>
          <w:tcPr>
            <w:tcW w:w="2551" w:type="dxa"/>
            <w:shd w:val="clear" w:color="auto" w:fill="auto"/>
            <w:vAlign w:val="center"/>
          </w:tcPr>
          <w:p>
            <w:pPr>
              <w:pStyle w:val="84"/>
              <w:rPr>
                <w:rFonts w:hAnsi="Times New Roman"/>
                <w:snapToGrid w:val="0"/>
                <w:color w:val="auto"/>
              </w:rPr>
            </w:pPr>
            <w:r>
              <w:rPr>
                <w:rFonts w:hAnsi="Times New Roman"/>
                <w:snapToGrid w:val="0"/>
                <w:color w:val="auto"/>
              </w:rPr>
              <w:t>H</w:t>
            </w:r>
            <w:r>
              <w:rPr>
                <w:rFonts w:hAnsi="Times New Roman"/>
                <w:snapToGrid w:val="0"/>
                <w:color w:val="auto"/>
                <w:vertAlign w:val="subscript"/>
              </w:rPr>
              <w:t>2</w:t>
            </w:r>
            <w:r>
              <w:rPr>
                <w:rFonts w:hAnsi="Times New Roman"/>
                <w:snapToGrid w:val="0"/>
                <w:color w:val="auto"/>
              </w:rPr>
              <w:t>S、NH</w:t>
            </w:r>
            <w:r>
              <w:rPr>
                <w:rFonts w:hAnsi="Times New Roman"/>
                <w:snapToGrid w:val="0"/>
                <w:color w:val="auto"/>
                <w:vertAlign w:val="subscript"/>
              </w:rPr>
              <w:t>3</w:t>
            </w:r>
            <w:r>
              <w:rPr>
                <w:rFonts w:hAnsi="Times New Roman"/>
                <w:snapToGrid w:val="0"/>
                <w:color w:val="auto"/>
              </w:rPr>
              <w:t>、臭气浓度</w:t>
            </w:r>
          </w:p>
        </w:tc>
        <w:tc>
          <w:tcPr>
            <w:tcW w:w="3727" w:type="dxa"/>
            <w:shd w:val="clear" w:color="auto" w:fill="auto"/>
            <w:vAlign w:val="center"/>
          </w:tcPr>
          <w:p>
            <w:pPr>
              <w:pStyle w:val="84"/>
              <w:rPr>
                <w:rFonts w:hAnsi="Times New Roman"/>
                <w:snapToGrid w:val="0"/>
                <w:color w:val="auto"/>
              </w:rPr>
            </w:pPr>
            <w:r>
              <w:rPr>
                <w:rFonts w:hint="eastAsia" w:hAnsi="Times New Roman"/>
                <w:snapToGrid w:val="0"/>
                <w:color w:val="auto"/>
              </w:rPr>
              <w:t>/</w:t>
            </w:r>
          </w:p>
        </w:tc>
        <w:tc>
          <w:tcPr>
            <w:tcW w:w="3782" w:type="dxa"/>
            <w:gridSpan w:val="2"/>
            <w:vMerge w:val="continue"/>
            <w:shd w:val="clear" w:color="auto" w:fill="auto"/>
            <w:vAlign w:val="center"/>
          </w:tcPr>
          <w:p>
            <w:pPr>
              <w:pStyle w:val="84"/>
              <w:rPr>
                <w:rFonts w:hAnsi="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1242" w:type="dxa"/>
            <w:vMerge w:val="continue"/>
            <w:shd w:val="clear" w:color="auto" w:fill="auto"/>
            <w:vAlign w:val="center"/>
          </w:tcPr>
          <w:p>
            <w:pPr>
              <w:pStyle w:val="84"/>
              <w:rPr>
                <w:rFonts w:hAnsi="Times New Roman"/>
                <w:snapToGrid w:val="0"/>
                <w:color w:val="auto"/>
              </w:rPr>
            </w:pPr>
          </w:p>
        </w:tc>
        <w:tc>
          <w:tcPr>
            <w:tcW w:w="1418" w:type="dxa"/>
            <w:shd w:val="clear" w:color="auto" w:fill="auto"/>
            <w:vAlign w:val="center"/>
          </w:tcPr>
          <w:p>
            <w:pPr>
              <w:pStyle w:val="84"/>
              <w:rPr>
                <w:rFonts w:hAnsi="Times New Roman"/>
                <w:snapToGrid w:val="0"/>
                <w:color w:val="auto"/>
              </w:rPr>
            </w:pPr>
            <w:r>
              <w:rPr>
                <w:rFonts w:hAnsi="Times New Roman"/>
                <w:snapToGrid w:val="0"/>
                <w:color w:val="auto"/>
              </w:rPr>
              <w:t>恶臭</w:t>
            </w:r>
          </w:p>
        </w:tc>
        <w:tc>
          <w:tcPr>
            <w:tcW w:w="1843" w:type="dxa"/>
            <w:shd w:val="clear" w:color="auto" w:fill="auto"/>
            <w:vAlign w:val="center"/>
          </w:tcPr>
          <w:p>
            <w:pPr>
              <w:pStyle w:val="84"/>
              <w:rPr>
                <w:rFonts w:hAnsi="Times New Roman"/>
                <w:snapToGrid w:val="0"/>
                <w:color w:val="auto"/>
              </w:rPr>
            </w:pPr>
            <w:r>
              <w:rPr>
                <w:rFonts w:hint="eastAsia" w:hAnsi="Times New Roman"/>
                <w:snapToGrid w:val="0"/>
                <w:color w:val="auto"/>
              </w:rPr>
              <w:t>屠宰车</w:t>
            </w:r>
            <w:r>
              <w:rPr>
                <w:rFonts w:hAnsi="Times New Roman"/>
                <w:snapToGrid w:val="0"/>
                <w:color w:val="auto"/>
              </w:rPr>
              <w:t>间</w:t>
            </w:r>
          </w:p>
        </w:tc>
        <w:tc>
          <w:tcPr>
            <w:tcW w:w="2551" w:type="dxa"/>
            <w:shd w:val="clear" w:color="auto" w:fill="auto"/>
            <w:vAlign w:val="center"/>
          </w:tcPr>
          <w:p>
            <w:pPr>
              <w:pStyle w:val="84"/>
              <w:rPr>
                <w:rFonts w:hAnsi="Times New Roman"/>
                <w:color w:val="auto"/>
              </w:rPr>
            </w:pPr>
            <w:r>
              <w:rPr>
                <w:rFonts w:hAnsi="Times New Roman"/>
                <w:snapToGrid w:val="0"/>
                <w:color w:val="auto"/>
              </w:rPr>
              <w:t>H</w:t>
            </w:r>
            <w:r>
              <w:rPr>
                <w:rFonts w:hAnsi="Times New Roman"/>
                <w:snapToGrid w:val="0"/>
                <w:color w:val="auto"/>
                <w:vertAlign w:val="subscript"/>
              </w:rPr>
              <w:t>2</w:t>
            </w:r>
            <w:r>
              <w:rPr>
                <w:rFonts w:hAnsi="Times New Roman"/>
                <w:snapToGrid w:val="0"/>
                <w:color w:val="auto"/>
              </w:rPr>
              <w:t>S、NH</w:t>
            </w:r>
            <w:r>
              <w:rPr>
                <w:rFonts w:hAnsi="Times New Roman"/>
                <w:snapToGrid w:val="0"/>
                <w:color w:val="auto"/>
                <w:vertAlign w:val="subscript"/>
              </w:rPr>
              <w:t>3</w:t>
            </w:r>
            <w:r>
              <w:rPr>
                <w:rFonts w:hAnsi="Times New Roman"/>
                <w:snapToGrid w:val="0"/>
                <w:color w:val="auto"/>
              </w:rPr>
              <w:t>、臭气浓度</w:t>
            </w:r>
          </w:p>
        </w:tc>
        <w:tc>
          <w:tcPr>
            <w:tcW w:w="3727" w:type="dxa"/>
            <w:vAlign w:val="center"/>
          </w:tcPr>
          <w:p>
            <w:pPr>
              <w:pStyle w:val="84"/>
              <w:rPr>
                <w:rFonts w:hAnsi="Times New Roman"/>
                <w:color w:val="auto"/>
              </w:rPr>
            </w:pPr>
            <w:r>
              <w:rPr>
                <w:rFonts w:hint="eastAsia"/>
                <w:snapToGrid w:val="0"/>
                <w:color w:val="auto"/>
                <w:kern w:val="0"/>
              </w:rPr>
              <w:t>屠宰车间封闭，</w:t>
            </w:r>
            <w:r>
              <w:rPr>
                <w:bCs/>
                <w:snapToGrid w:val="0"/>
                <w:color w:val="auto"/>
                <w:kern w:val="0"/>
              </w:rPr>
              <w:t>产生的恶臭气体经负压集中收集后，通过活性炭吸附净化后由15m高排气筒（</w:t>
            </w:r>
            <w:r>
              <w:rPr>
                <w:rFonts w:hint="eastAsia"/>
                <w:bCs/>
                <w:snapToGrid w:val="0"/>
                <w:color w:val="auto"/>
                <w:kern w:val="0"/>
              </w:rPr>
              <w:t>DA001</w:t>
            </w:r>
            <w:r>
              <w:rPr>
                <w:bCs/>
                <w:snapToGrid w:val="0"/>
                <w:color w:val="auto"/>
                <w:kern w:val="0"/>
              </w:rPr>
              <w:t>）排放</w:t>
            </w:r>
          </w:p>
        </w:tc>
        <w:tc>
          <w:tcPr>
            <w:tcW w:w="3782" w:type="dxa"/>
            <w:gridSpan w:val="2"/>
            <w:vMerge w:val="restart"/>
            <w:shd w:val="clear" w:color="auto" w:fill="auto"/>
            <w:vAlign w:val="center"/>
          </w:tcPr>
          <w:p>
            <w:pPr>
              <w:pStyle w:val="84"/>
              <w:rPr>
                <w:rFonts w:hAnsi="Times New Roman"/>
                <w:snapToGrid w:val="0"/>
                <w:color w:val="auto"/>
              </w:rPr>
            </w:pPr>
            <w:r>
              <w:rPr>
                <w:rFonts w:hAnsi="Times New Roman"/>
                <w:color w:val="auto"/>
              </w:rPr>
              <w:t>《恶臭污染物排放标准》（GB14554-93）表2标准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1242" w:type="dxa"/>
            <w:vMerge w:val="continue"/>
            <w:shd w:val="clear" w:color="auto" w:fill="auto"/>
            <w:vAlign w:val="center"/>
          </w:tcPr>
          <w:p>
            <w:pPr>
              <w:pStyle w:val="84"/>
              <w:rPr>
                <w:rFonts w:hAnsi="Times New Roman"/>
                <w:snapToGrid w:val="0"/>
                <w:color w:val="auto"/>
              </w:rPr>
            </w:pPr>
          </w:p>
        </w:tc>
        <w:tc>
          <w:tcPr>
            <w:tcW w:w="1418" w:type="dxa"/>
            <w:shd w:val="clear" w:color="auto" w:fill="auto"/>
            <w:vAlign w:val="center"/>
          </w:tcPr>
          <w:p>
            <w:pPr>
              <w:pStyle w:val="84"/>
              <w:rPr>
                <w:rFonts w:hAnsi="Times New Roman"/>
                <w:snapToGrid w:val="0"/>
                <w:color w:val="auto"/>
              </w:rPr>
            </w:pPr>
            <w:r>
              <w:rPr>
                <w:rFonts w:hAnsi="Times New Roman"/>
                <w:snapToGrid w:val="0"/>
                <w:color w:val="auto"/>
              </w:rPr>
              <w:t>恶臭</w:t>
            </w:r>
          </w:p>
        </w:tc>
        <w:tc>
          <w:tcPr>
            <w:tcW w:w="1843" w:type="dxa"/>
            <w:shd w:val="clear" w:color="auto" w:fill="auto"/>
            <w:vAlign w:val="center"/>
          </w:tcPr>
          <w:p>
            <w:pPr>
              <w:pStyle w:val="84"/>
              <w:rPr>
                <w:rFonts w:hAnsi="Times New Roman"/>
                <w:snapToGrid w:val="0"/>
                <w:color w:val="auto"/>
              </w:rPr>
            </w:pPr>
            <w:r>
              <w:rPr>
                <w:rFonts w:hAnsi="Times New Roman"/>
                <w:snapToGrid w:val="0"/>
                <w:color w:val="auto"/>
              </w:rPr>
              <w:t>污水处理站</w:t>
            </w:r>
          </w:p>
        </w:tc>
        <w:tc>
          <w:tcPr>
            <w:tcW w:w="2551" w:type="dxa"/>
            <w:shd w:val="clear" w:color="auto" w:fill="auto"/>
            <w:vAlign w:val="center"/>
          </w:tcPr>
          <w:p>
            <w:pPr>
              <w:pStyle w:val="84"/>
              <w:rPr>
                <w:rFonts w:hAnsi="Times New Roman"/>
                <w:snapToGrid w:val="0"/>
                <w:color w:val="auto"/>
              </w:rPr>
            </w:pPr>
            <w:r>
              <w:rPr>
                <w:rFonts w:hAnsi="Times New Roman"/>
                <w:snapToGrid w:val="0"/>
                <w:color w:val="auto"/>
              </w:rPr>
              <w:t>H</w:t>
            </w:r>
            <w:r>
              <w:rPr>
                <w:rFonts w:hAnsi="Times New Roman"/>
                <w:snapToGrid w:val="0"/>
                <w:color w:val="auto"/>
                <w:vertAlign w:val="subscript"/>
              </w:rPr>
              <w:t>2</w:t>
            </w:r>
            <w:r>
              <w:rPr>
                <w:rFonts w:hAnsi="Times New Roman"/>
                <w:snapToGrid w:val="0"/>
                <w:color w:val="auto"/>
              </w:rPr>
              <w:t>S、NH</w:t>
            </w:r>
            <w:r>
              <w:rPr>
                <w:rFonts w:hAnsi="Times New Roman"/>
                <w:snapToGrid w:val="0"/>
                <w:color w:val="auto"/>
                <w:vertAlign w:val="subscript"/>
              </w:rPr>
              <w:t>3</w:t>
            </w:r>
            <w:r>
              <w:rPr>
                <w:rFonts w:hAnsi="Times New Roman"/>
                <w:snapToGrid w:val="0"/>
                <w:color w:val="auto"/>
              </w:rPr>
              <w:t>、臭气浓度</w:t>
            </w:r>
          </w:p>
        </w:tc>
        <w:tc>
          <w:tcPr>
            <w:tcW w:w="3727" w:type="dxa"/>
            <w:vAlign w:val="center"/>
          </w:tcPr>
          <w:p>
            <w:pPr>
              <w:pStyle w:val="84"/>
              <w:rPr>
                <w:rFonts w:hAnsi="Times New Roman"/>
                <w:color w:val="auto"/>
              </w:rPr>
            </w:pPr>
            <w:r>
              <w:rPr>
                <w:snapToGrid w:val="0"/>
                <w:color w:val="auto"/>
                <w:kern w:val="0"/>
              </w:rPr>
              <w:t>污水处理站封闭，</w:t>
            </w:r>
            <w:r>
              <w:rPr>
                <w:bCs/>
                <w:snapToGrid w:val="0"/>
                <w:color w:val="auto"/>
                <w:kern w:val="0"/>
              </w:rPr>
              <w:t>产生的恶臭气体经负压集中收集后，通过活性炭吸附净化后由15m高排气筒（</w:t>
            </w:r>
            <w:r>
              <w:rPr>
                <w:rFonts w:hint="eastAsia"/>
                <w:bCs/>
                <w:snapToGrid w:val="0"/>
                <w:color w:val="auto"/>
                <w:kern w:val="0"/>
              </w:rPr>
              <w:t>DA002</w:t>
            </w:r>
            <w:r>
              <w:rPr>
                <w:bCs/>
                <w:snapToGrid w:val="0"/>
                <w:color w:val="auto"/>
                <w:kern w:val="0"/>
              </w:rPr>
              <w:t>）排放</w:t>
            </w:r>
          </w:p>
        </w:tc>
        <w:tc>
          <w:tcPr>
            <w:tcW w:w="3782" w:type="dxa"/>
            <w:gridSpan w:val="2"/>
            <w:vMerge w:val="continue"/>
            <w:shd w:val="clear" w:color="auto" w:fill="auto"/>
            <w:vAlign w:val="center"/>
          </w:tcPr>
          <w:p>
            <w:pPr>
              <w:pStyle w:val="84"/>
              <w:rPr>
                <w:rFonts w:hAnsi="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1242" w:type="dxa"/>
            <w:vMerge w:val="continue"/>
            <w:shd w:val="clear" w:color="auto" w:fill="auto"/>
            <w:vAlign w:val="center"/>
          </w:tcPr>
          <w:p>
            <w:pPr>
              <w:pStyle w:val="84"/>
              <w:rPr>
                <w:rFonts w:hAnsi="Times New Roman"/>
                <w:snapToGrid w:val="0"/>
                <w:color w:val="FF0000"/>
              </w:rPr>
            </w:pPr>
          </w:p>
        </w:tc>
        <w:tc>
          <w:tcPr>
            <w:tcW w:w="1418" w:type="dxa"/>
            <w:shd w:val="clear" w:color="auto" w:fill="auto"/>
            <w:vAlign w:val="center"/>
          </w:tcPr>
          <w:p>
            <w:pPr>
              <w:pStyle w:val="84"/>
              <w:rPr>
                <w:rFonts w:hAnsi="Times New Roman"/>
                <w:snapToGrid w:val="0"/>
                <w:color w:val="auto"/>
              </w:rPr>
            </w:pPr>
            <w:r>
              <w:rPr>
                <w:rFonts w:hAnsi="Times New Roman"/>
                <w:snapToGrid w:val="0"/>
                <w:color w:val="auto"/>
              </w:rPr>
              <w:t>恶臭</w:t>
            </w:r>
          </w:p>
        </w:tc>
        <w:tc>
          <w:tcPr>
            <w:tcW w:w="1843" w:type="dxa"/>
            <w:shd w:val="clear" w:color="auto" w:fill="auto"/>
            <w:vAlign w:val="center"/>
          </w:tcPr>
          <w:p>
            <w:pPr>
              <w:pStyle w:val="84"/>
              <w:rPr>
                <w:rFonts w:hAnsi="Times New Roman"/>
                <w:snapToGrid w:val="0"/>
                <w:color w:val="auto"/>
              </w:rPr>
            </w:pPr>
            <w:r>
              <w:rPr>
                <w:rFonts w:hAnsi="Times New Roman"/>
                <w:snapToGrid w:val="0"/>
                <w:color w:val="auto"/>
              </w:rPr>
              <w:t>待宰间</w:t>
            </w:r>
          </w:p>
        </w:tc>
        <w:tc>
          <w:tcPr>
            <w:tcW w:w="2551" w:type="dxa"/>
            <w:shd w:val="clear" w:color="auto" w:fill="auto"/>
            <w:vAlign w:val="center"/>
          </w:tcPr>
          <w:p>
            <w:pPr>
              <w:pStyle w:val="84"/>
              <w:rPr>
                <w:rFonts w:hAnsi="Times New Roman"/>
                <w:snapToGrid w:val="0"/>
                <w:color w:val="auto"/>
              </w:rPr>
            </w:pPr>
            <w:r>
              <w:rPr>
                <w:rFonts w:hAnsi="Times New Roman"/>
                <w:snapToGrid w:val="0"/>
                <w:color w:val="auto"/>
              </w:rPr>
              <w:t>H</w:t>
            </w:r>
            <w:r>
              <w:rPr>
                <w:rFonts w:hAnsi="Times New Roman"/>
                <w:snapToGrid w:val="0"/>
                <w:color w:val="auto"/>
                <w:vertAlign w:val="subscript"/>
              </w:rPr>
              <w:t>2</w:t>
            </w:r>
            <w:r>
              <w:rPr>
                <w:rFonts w:hAnsi="Times New Roman"/>
                <w:snapToGrid w:val="0"/>
                <w:color w:val="auto"/>
              </w:rPr>
              <w:t>S、NH</w:t>
            </w:r>
            <w:r>
              <w:rPr>
                <w:rFonts w:hAnsi="Times New Roman"/>
                <w:snapToGrid w:val="0"/>
                <w:color w:val="auto"/>
                <w:vertAlign w:val="subscript"/>
              </w:rPr>
              <w:t>3</w:t>
            </w:r>
            <w:r>
              <w:rPr>
                <w:rFonts w:hAnsi="Times New Roman"/>
                <w:snapToGrid w:val="0"/>
                <w:color w:val="auto"/>
              </w:rPr>
              <w:t>、臭气浓度</w:t>
            </w:r>
          </w:p>
        </w:tc>
        <w:tc>
          <w:tcPr>
            <w:tcW w:w="3727" w:type="dxa"/>
            <w:vAlign w:val="center"/>
          </w:tcPr>
          <w:p>
            <w:pPr>
              <w:pStyle w:val="84"/>
              <w:rPr>
                <w:rFonts w:hAnsi="Times New Roman"/>
                <w:color w:val="auto"/>
              </w:rPr>
            </w:pPr>
            <w:r>
              <w:rPr>
                <w:color w:val="auto"/>
              </w:rPr>
              <w:t>待宰</w:t>
            </w:r>
            <w:r>
              <w:rPr>
                <w:rFonts w:hint="eastAsia"/>
                <w:color w:val="auto"/>
              </w:rPr>
              <w:t>间封闭，</w:t>
            </w:r>
            <w:r>
              <w:rPr>
                <w:bCs/>
                <w:color w:val="auto"/>
              </w:rPr>
              <w:t>及时清扫，并投加或喷洒除臭剂，产生的</w:t>
            </w:r>
            <w:r>
              <w:rPr>
                <w:rFonts w:hint="eastAsia"/>
                <w:bCs/>
                <w:color w:val="auto"/>
              </w:rPr>
              <w:t>恶臭气体</w:t>
            </w:r>
            <w:r>
              <w:rPr>
                <w:bCs/>
                <w:color w:val="auto"/>
              </w:rPr>
              <w:t>经负压集中收集后，通过活性炭吸附净化后由15m高排气筒（</w:t>
            </w:r>
            <w:r>
              <w:rPr>
                <w:rFonts w:hint="eastAsia"/>
                <w:bCs/>
                <w:color w:val="auto"/>
              </w:rPr>
              <w:t>DA00</w:t>
            </w:r>
            <w:r>
              <w:rPr>
                <w:rFonts w:hint="eastAsia"/>
                <w:bCs/>
                <w:color w:val="auto"/>
                <w:lang w:val="en-US" w:eastAsia="zh-CN"/>
              </w:rPr>
              <w:t>3</w:t>
            </w:r>
            <w:r>
              <w:rPr>
                <w:bCs/>
                <w:color w:val="auto"/>
              </w:rPr>
              <w:t>）排放</w:t>
            </w:r>
          </w:p>
        </w:tc>
        <w:tc>
          <w:tcPr>
            <w:tcW w:w="3782" w:type="dxa"/>
            <w:gridSpan w:val="2"/>
            <w:vMerge w:val="continue"/>
            <w:shd w:val="clear" w:color="auto" w:fill="auto"/>
            <w:vAlign w:val="center"/>
          </w:tcPr>
          <w:p>
            <w:pPr>
              <w:pStyle w:val="84"/>
              <w:rPr>
                <w:rFonts w:hAnsi="Times New Roman"/>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1242" w:type="dxa"/>
            <w:vMerge w:val="continue"/>
            <w:shd w:val="clear" w:color="auto" w:fill="auto"/>
            <w:vAlign w:val="center"/>
          </w:tcPr>
          <w:p>
            <w:pPr>
              <w:pStyle w:val="84"/>
              <w:rPr>
                <w:rFonts w:hAnsi="Times New Roman"/>
                <w:snapToGrid w:val="0"/>
                <w:color w:val="FF0000"/>
              </w:rPr>
            </w:pPr>
          </w:p>
        </w:tc>
        <w:tc>
          <w:tcPr>
            <w:tcW w:w="1418" w:type="dxa"/>
            <w:shd w:val="clear" w:color="auto" w:fill="auto"/>
            <w:vAlign w:val="center"/>
          </w:tcPr>
          <w:p>
            <w:pPr>
              <w:pStyle w:val="84"/>
              <w:rPr>
                <w:rFonts w:hint="eastAsia" w:hAnsi="Times New Roman"/>
                <w:snapToGrid w:val="0"/>
                <w:color w:val="auto"/>
                <w:lang w:val="en-US" w:eastAsia="zh-CN"/>
              </w:rPr>
            </w:pPr>
            <w:r>
              <w:rPr>
                <w:rFonts w:hint="eastAsia"/>
                <w:highlight w:val="none"/>
                <w:lang w:val="en-US"/>
              </w:rPr>
              <w:t>食堂</w:t>
            </w:r>
          </w:p>
        </w:tc>
        <w:tc>
          <w:tcPr>
            <w:tcW w:w="1843" w:type="dxa"/>
            <w:shd w:val="clear" w:color="auto" w:fill="auto"/>
            <w:vAlign w:val="center"/>
          </w:tcPr>
          <w:p>
            <w:pPr>
              <w:pStyle w:val="84"/>
              <w:rPr>
                <w:rFonts w:hint="eastAsia" w:hAnsi="Times New Roman"/>
                <w:snapToGrid w:val="0"/>
                <w:color w:val="auto"/>
                <w:lang w:val="en-US" w:eastAsia="zh-CN"/>
              </w:rPr>
            </w:pPr>
            <w:r>
              <w:rPr>
                <w:rFonts w:hint="eastAsia"/>
                <w:highlight w:val="none"/>
              </w:rPr>
              <w:t>食堂油烟</w:t>
            </w:r>
          </w:p>
        </w:tc>
        <w:tc>
          <w:tcPr>
            <w:tcW w:w="2551" w:type="dxa"/>
            <w:shd w:val="clear" w:color="auto" w:fill="auto"/>
            <w:vAlign w:val="center"/>
          </w:tcPr>
          <w:p>
            <w:pPr>
              <w:pStyle w:val="84"/>
              <w:rPr>
                <w:rFonts w:hint="default" w:hAnsi="Times New Roman"/>
                <w:snapToGrid w:val="0"/>
                <w:color w:val="auto"/>
                <w:lang w:val="en-US" w:eastAsia="zh-CN"/>
              </w:rPr>
            </w:pPr>
            <w:r>
              <w:rPr>
                <w:rFonts w:hint="eastAsia" w:hAnsi="Times New Roman"/>
                <w:snapToGrid w:val="0"/>
                <w:color w:val="auto"/>
                <w:lang w:val="en-US" w:eastAsia="zh-CN"/>
              </w:rPr>
              <w:t>油烟</w:t>
            </w:r>
          </w:p>
        </w:tc>
        <w:tc>
          <w:tcPr>
            <w:tcW w:w="3727" w:type="dxa"/>
            <w:vAlign w:val="center"/>
          </w:tcPr>
          <w:p>
            <w:pPr>
              <w:pStyle w:val="84"/>
              <w:rPr>
                <w:rFonts w:hint="default" w:eastAsiaTheme="minorEastAsia"/>
                <w:color w:val="auto"/>
                <w:lang w:val="en-US" w:eastAsia="zh-CN"/>
              </w:rPr>
            </w:pPr>
            <w:r>
              <w:rPr>
                <w:highlight w:val="none"/>
              </w:rPr>
              <w:t>经高于其所在建筑物屋顶的排烟通道</w:t>
            </w:r>
            <w:r>
              <w:rPr>
                <w:rFonts w:hint="eastAsia"/>
                <w:color w:val="auto"/>
                <w:lang w:val="en-US" w:eastAsia="zh-CN"/>
              </w:rPr>
              <w:t>（DA004）</w:t>
            </w:r>
            <w:r>
              <w:rPr>
                <w:highlight w:val="none"/>
              </w:rPr>
              <w:t>排放</w:t>
            </w:r>
          </w:p>
        </w:tc>
        <w:tc>
          <w:tcPr>
            <w:tcW w:w="3782" w:type="dxa"/>
            <w:gridSpan w:val="2"/>
            <w:shd w:val="clear" w:color="auto" w:fill="auto"/>
            <w:vAlign w:val="center"/>
          </w:tcPr>
          <w:p>
            <w:pPr>
              <w:pStyle w:val="84"/>
              <w:rPr>
                <w:highlight w:val="none"/>
              </w:rPr>
            </w:pPr>
            <w:r>
              <w:rPr>
                <w:rFonts w:hint="eastAsia" w:eastAsiaTheme="minorEastAsia"/>
                <w:bCs/>
                <w:highlight w:val="none"/>
              </w:rPr>
              <w:t>《饮食业油烟排放标准</w:t>
            </w:r>
            <w:r>
              <w:rPr>
                <w:rFonts w:hint="eastAsia" w:eastAsiaTheme="minorEastAsia"/>
                <w:bCs/>
                <w:highlight w:val="none"/>
                <w:lang w:eastAsia="zh-CN"/>
              </w:rPr>
              <w:t>（</w:t>
            </w:r>
            <w:r>
              <w:rPr>
                <w:rFonts w:hint="eastAsia" w:eastAsiaTheme="minorEastAsia"/>
                <w:bCs/>
                <w:highlight w:val="none"/>
                <w:lang w:val="en-US" w:eastAsia="zh-CN"/>
              </w:rPr>
              <w:t>试行</w:t>
            </w:r>
            <w:r>
              <w:rPr>
                <w:rFonts w:hint="eastAsia" w:eastAsiaTheme="minorEastAsia"/>
                <w:bCs/>
                <w:highlight w:val="none"/>
                <w:lang w:eastAsia="zh-CN"/>
              </w:rPr>
              <w:t>）</w:t>
            </w:r>
            <w:r>
              <w:rPr>
                <w:rFonts w:hint="eastAsia" w:eastAsiaTheme="minorEastAsia"/>
                <w:bCs/>
                <w:highlight w:val="none"/>
              </w:rPr>
              <w:t>》（GB18483-2001）（</w:t>
            </w:r>
            <w:r>
              <w:rPr>
                <w:rFonts w:hint="eastAsia" w:eastAsiaTheme="minorEastAsia"/>
                <w:bCs/>
                <w:highlight w:val="none"/>
                <w:lang w:val="en-US"/>
              </w:rPr>
              <w:t>中</w:t>
            </w:r>
            <w:r>
              <w:rPr>
                <w:rFonts w:hint="eastAsia" w:eastAsiaTheme="minorEastAsia"/>
                <w:bCs/>
                <w:highlight w:val="none"/>
              </w:rPr>
              <w:t>型）油烟最高允许排放浓度为2.0mg/m</w:t>
            </w:r>
            <w:r>
              <w:rPr>
                <w:rFonts w:hint="eastAsia" w:eastAsiaTheme="minorEastAsia"/>
                <w:bCs/>
                <w:highlight w:val="none"/>
                <w:vertAlign w:val="superscript"/>
              </w:rPr>
              <w:t>3</w:t>
            </w:r>
            <w:r>
              <w:rPr>
                <w:rFonts w:hint="eastAsia" w:eastAsiaTheme="minorEastAsia"/>
                <w:bCs/>
                <w:highlight w:val="none"/>
              </w:rPr>
              <w:t>的要求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1242" w:type="dxa"/>
            <w:vMerge w:val="continue"/>
            <w:shd w:val="clear" w:color="auto" w:fill="auto"/>
            <w:vAlign w:val="center"/>
          </w:tcPr>
          <w:p>
            <w:pPr>
              <w:pStyle w:val="84"/>
              <w:rPr>
                <w:rFonts w:hAnsi="Times New Roman"/>
                <w:snapToGrid w:val="0"/>
                <w:color w:val="FF0000"/>
              </w:rPr>
            </w:pPr>
          </w:p>
        </w:tc>
        <w:tc>
          <w:tcPr>
            <w:tcW w:w="1418" w:type="dxa"/>
            <w:shd w:val="clear" w:color="auto" w:fill="auto"/>
            <w:vAlign w:val="center"/>
          </w:tcPr>
          <w:p>
            <w:pPr>
              <w:pStyle w:val="84"/>
              <w:rPr>
                <w:rFonts w:hint="eastAsia" w:hAnsi="Times New Roman" w:eastAsia="宋体"/>
                <w:snapToGrid w:val="0"/>
                <w:color w:val="auto"/>
                <w:lang w:val="en-US" w:eastAsia="zh-CN"/>
              </w:rPr>
            </w:pPr>
            <w:r>
              <w:rPr>
                <w:rFonts w:hint="eastAsia" w:hAnsi="Times New Roman"/>
                <w:snapToGrid w:val="0"/>
                <w:color w:val="auto"/>
                <w:lang w:val="en-US" w:eastAsia="zh-CN"/>
              </w:rPr>
              <w:t>锅炉烟气</w:t>
            </w:r>
          </w:p>
        </w:tc>
        <w:tc>
          <w:tcPr>
            <w:tcW w:w="1843" w:type="dxa"/>
            <w:shd w:val="clear" w:color="auto" w:fill="auto"/>
            <w:vAlign w:val="center"/>
          </w:tcPr>
          <w:p>
            <w:pPr>
              <w:pStyle w:val="84"/>
              <w:rPr>
                <w:rFonts w:hint="eastAsia" w:hAnsi="Times New Roman" w:eastAsia="宋体"/>
                <w:snapToGrid w:val="0"/>
                <w:color w:val="auto"/>
                <w:lang w:val="en-US" w:eastAsia="zh-CN"/>
              </w:rPr>
            </w:pPr>
            <w:r>
              <w:rPr>
                <w:rFonts w:hint="eastAsia" w:hAnsi="Times New Roman"/>
                <w:snapToGrid w:val="0"/>
                <w:color w:val="auto"/>
                <w:lang w:val="en-US" w:eastAsia="zh-CN"/>
              </w:rPr>
              <w:t>锅炉房</w:t>
            </w:r>
          </w:p>
        </w:tc>
        <w:tc>
          <w:tcPr>
            <w:tcW w:w="2551" w:type="dxa"/>
            <w:shd w:val="clear" w:color="auto" w:fill="auto"/>
            <w:vAlign w:val="center"/>
          </w:tcPr>
          <w:p>
            <w:pPr>
              <w:pStyle w:val="84"/>
              <w:rPr>
                <w:rFonts w:hint="default" w:hAnsi="Times New Roman" w:eastAsia="宋体"/>
                <w:snapToGrid w:val="0"/>
                <w:color w:val="auto"/>
                <w:lang w:val="en-US" w:eastAsia="zh-CN"/>
              </w:rPr>
            </w:pPr>
            <w:r>
              <w:rPr>
                <w:rFonts w:hint="eastAsia" w:hAnsi="Times New Roman"/>
                <w:snapToGrid w:val="0"/>
                <w:color w:val="auto"/>
                <w:lang w:val="en-US" w:eastAsia="zh-CN"/>
              </w:rPr>
              <w:t>颗粒物、二氧化硫、氮氧化物</w:t>
            </w:r>
          </w:p>
        </w:tc>
        <w:tc>
          <w:tcPr>
            <w:tcW w:w="3727" w:type="dxa"/>
            <w:vAlign w:val="center"/>
          </w:tcPr>
          <w:p>
            <w:pPr>
              <w:pStyle w:val="84"/>
              <w:rPr>
                <w:rFonts w:hint="default" w:eastAsia="宋体"/>
                <w:color w:val="auto"/>
                <w:lang w:val="en-US" w:eastAsia="zh-CN"/>
              </w:rPr>
            </w:pPr>
            <w:r>
              <w:rPr>
                <w:rFonts w:hint="eastAsia"/>
                <w:color w:val="auto"/>
                <w:lang w:val="en-US" w:eastAsia="zh-CN"/>
              </w:rPr>
              <w:t>烟气经布袋除尘器处理后，通过30m高烟囱（DA005）排放</w:t>
            </w:r>
          </w:p>
        </w:tc>
        <w:tc>
          <w:tcPr>
            <w:tcW w:w="3782" w:type="dxa"/>
            <w:gridSpan w:val="2"/>
            <w:shd w:val="clear" w:color="auto" w:fill="auto"/>
            <w:vAlign w:val="center"/>
          </w:tcPr>
          <w:p>
            <w:pPr>
              <w:pStyle w:val="84"/>
              <w:rPr>
                <w:rFonts w:hAnsi="Times New Roman"/>
                <w:color w:val="FF0000"/>
              </w:rPr>
            </w:pPr>
            <w:r>
              <w:rPr>
                <w:highlight w:val="none"/>
              </w:rPr>
              <w:t>《锅炉大气污染物排放标准》（GB13271-2014）表3燃煤锅炉大气污染物特别排放限值要求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1242" w:type="dxa"/>
            <w:shd w:val="clear" w:color="auto" w:fill="auto"/>
            <w:vAlign w:val="center"/>
          </w:tcPr>
          <w:p>
            <w:pPr>
              <w:pStyle w:val="84"/>
              <w:rPr>
                <w:rFonts w:hAnsi="Times New Roman"/>
                <w:snapToGrid w:val="0"/>
                <w:color w:val="auto"/>
              </w:rPr>
            </w:pPr>
            <w:r>
              <w:rPr>
                <w:rFonts w:hAnsi="Times New Roman"/>
                <w:snapToGrid w:val="0"/>
                <w:color w:val="auto"/>
              </w:rPr>
              <w:t>噪声</w:t>
            </w:r>
          </w:p>
        </w:tc>
        <w:tc>
          <w:tcPr>
            <w:tcW w:w="1418" w:type="dxa"/>
            <w:shd w:val="clear" w:color="auto" w:fill="auto"/>
            <w:vAlign w:val="center"/>
          </w:tcPr>
          <w:p>
            <w:pPr>
              <w:pStyle w:val="84"/>
              <w:rPr>
                <w:rFonts w:hAnsi="Times New Roman"/>
                <w:snapToGrid w:val="0"/>
                <w:color w:val="auto"/>
              </w:rPr>
            </w:pPr>
            <w:r>
              <w:rPr>
                <w:rFonts w:hAnsi="Times New Roman"/>
                <w:snapToGrid w:val="0"/>
                <w:color w:val="auto"/>
              </w:rPr>
              <w:t>噪声控制</w:t>
            </w:r>
          </w:p>
        </w:tc>
        <w:tc>
          <w:tcPr>
            <w:tcW w:w="1843" w:type="dxa"/>
            <w:shd w:val="clear" w:color="auto" w:fill="auto"/>
            <w:vAlign w:val="center"/>
          </w:tcPr>
          <w:p>
            <w:pPr>
              <w:pStyle w:val="84"/>
              <w:rPr>
                <w:rFonts w:hAnsi="Times New Roman"/>
                <w:snapToGrid w:val="0"/>
                <w:color w:val="auto"/>
              </w:rPr>
            </w:pPr>
            <w:r>
              <w:rPr>
                <w:rFonts w:hint="eastAsia" w:hAnsi="Times New Roman"/>
                <w:snapToGrid w:val="0"/>
                <w:color w:val="auto"/>
              </w:rPr>
              <w:t>压缩机</w:t>
            </w:r>
            <w:r>
              <w:rPr>
                <w:rFonts w:hAnsi="Times New Roman"/>
                <w:snapToGrid w:val="0"/>
                <w:color w:val="auto"/>
              </w:rPr>
              <w:t>、风机、</w:t>
            </w:r>
            <w:r>
              <w:rPr>
                <w:rFonts w:hint="eastAsia" w:hAnsi="Times New Roman"/>
                <w:snapToGrid w:val="0"/>
                <w:color w:val="auto"/>
              </w:rPr>
              <w:t>生产设备</w:t>
            </w:r>
            <w:r>
              <w:rPr>
                <w:rFonts w:hAnsi="Times New Roman"/>
                <w:snapToGrid w:val="0"/>
                <w:color w:val="auto"/>
              </w:rPr>
              <w:t>等</w:t>
            </w:r>
          </w:p>
        </w:tc>
        <w:tc>
          <w:tcPr>
            <w:tcW w:w="2551" w:type="dxa"/>
            <w:shd w:val="clear" w:color="auto" w:fill="auto"/>
            <w:vAlign w:val="center"/>
          </w:tcPr>
          <w:p>
            <w:pPr>
              <w:pStyle w:val="84"/>
              <w:rPr>
                <w:rFonts w:hAnsi="Times New Roman"/>
                <w:snapToGrid w:val="0"/>
                <w:color w:val="auto"/>
              </w:rPr>
            </w:pPr>
            <w:r>
              <w:rPr>
                <w:rFonts w:hAnsi="Times New Roman"/>
                <w:snapToGrid w:val="0"/>
                <w:color w:val="auto"/>
              </w:rPr>
              <w:t>噪声</w:t>
            </w:r>
          </w:p>
        </w:tc>
        <w:tc>
          <w:tcPr>
            <w:tcW w:w="3727" w:type="dxa"/>
            <w:vAlign w:val="center"/>
          </w:tcPr>
          <w:p>
            <w:pPr>
              <w:pStyle w:val="84"/>
              <w:rPr>
                <w:rFonts w:hAnsi="Times New Roman"/>
                <w:snapToGrid w:val="0"/>
                <w:color w:val="auto"/>
              </w:rPr>
            </w:pPr>
            <w:r>
              <w:rPr>
                <w:rFonts w:hAnsi="Times New Roman"/>
                <w:snapToGrid w:val="0"/>
                <w:color w:val="auto"/>
              </w:rPr>
              <w:t>选用低噪声设备、厂房隔声、</w:t>
            </w:r>
            <w:r>
              <w:rPr>
                <w:rFonts w:hint="eastAsia" w:hAnsi="Times New Roman"/>
                <w:snapToGrid w:val="0"/>
                <w:color w:val="auto"/>
              </w:rPr>
              <w:t>基础减振、</w:t>
            </w:r>
            <w:r>
              <w:rPr>
                <w:rFonts w:hAnsi="Times New Roman"/>
                <w:snapToGrid w:val="0"/>
                <w:color w:val="auto"/>
              </w:rPr>
              <w:t>绿化降噪措施</w:t>
            </w:r>
          </w:p>
        </w:tc>
        <w:tc>
          <w:tcPr>
            <w:tcW w:w="3782" w:type="dxa"/>
            <w:gridSpan w:val="2"/>
            <w:shd w:val="clear" w:color="auto" w:fill="auto"/>
            <w:vAlign w:val="center"/>
          </w:tcPr>
          <w:p>
            <w:pPr>
              <w:pStyle w:val="84"/>
              <w:rPr>
                <w:rFonts w:hAnsi="Times New Roman"/>
                <w:snapToGrid w:val="0"/>
                <w:color w:val="auto"/>
              </w:rPr>
            </w:pPr>
            <w:r>
              <w:rPr>
                <w:rFonts w:hAnsi="Times New Roman"/>
                <w:bCs/>
                <w:snapToGrid w:val="0"/>
                <w:color w:val="auto"/>
                <w:kern w:val="0"/>
              </w:rPr>
              <w:t>《工业企业厂界环境噪声排放标准》（GB12348-2008）表1中</w:t>
            </w:r>
            <w:r>
              <w:rPr>
                <w:rFonts w:hint="eastAsia" w:hAnsi="Times New Roman"/>
                <w:bCs/>
                <w:snapToGrid w:val="0"/>
                <w:color w:val="auto"/>
                <w:kern w:val="0"/>
              </w:rPr>
              <w:t>2</w:t>
            </w:r>
            <w:r>
              <w:rPr>
                <w:rFonts w:hAnsi="Times New Roman"/>
                <w:bCs/>
                <w:snapToGrid w:val="0"/>
                <w:color w:val="auto"/>
                <w:kern w:val="0"/>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242" w:type="dxa"/>
            <w:vMerge w:val="restart"/>
            <w:shd w:val="clear" w:color="auto" w:fill="auto"/>
            <w:vAlign w:val="center"/>
          </w:tcPr>
          <w:p>
            <w:pPr>
              <w:pStyle w:val="84"/>
              <w:rPr>
                <w:rFonts w:hAnsi="Times New Roman"/>
                <w:snapToGrid w:val="0"/>
                <w:color w:val="auto"/>
              </w:rPr>
            </w:pPr>
            <w:r>
              <w:rPr>
                <w:rFonts w:hAnsi="Times New Roman"/>
                <w:snapToGrid w:val="0"/>
                <w:color w:val="auto"/>
              </w:rPr>
              <w:t>固废</w:t>
            </w:r>
          </w:p>
        </w:tc>
        <w:tc>
          <w:tcPr>
            <w:tcW w:w="1418" w:type="dxa"/>
            <w:vMerge w:val="restart"/>
            <w:shd w:val="clear" w:color="auto" w:fill="auto"/>
            <w:vAlign w:val="center"/>
          </w:tcPr>
          <w:p>
            <w:pPr>
              <w:pStyle w:val="84"/>
              <w:rPr>
                <w:rFonts w:hAnsi="Times New Roman"/>
                <w:snapToGrid w:val="0"/>
                <w:color w:val="auto"/>
              </w:rPr>
            </w:pPr>
            <w:r>
              <w:rPr>
                <w:rFonts w:hint="eastAsia" w:hAnsi="Times New Roman"/>
                <w:snapToGrid w:val="0"/>
                <w:color w:val="auto"/>
              </w:rPr>
              <w:t>厂区</w:t>
            </w:r>
          </w:p>
        </w:tc>
        <w:tc>
          <w:tcPr>
            <w:tcW w:w="1843" w:type="dxa"/>
            <w:vMerge w:val="restart"/>
            <w:shd w:val="clear" w:color="auto" w:fill="auto"/>
            <w:vAlign w:val="center"/>
          </w:tcPr>
          <w:p>
            <w:pPr>
              <w:pStyle w:val="84"/>
              <w:rPr>
                <w:rFonts w:hAnsi="Times New Roman"/>
                <w:snapToGrid w:val="0"/>
                <w:color w:val="auto"/>
              </w:rPr>
            </w:pPr>
            <w:r>
              <w:rPr>
                <w:rFonts w:hint="eastAsia" w:hAnsi="Times New Roman"/>
                <w:snapToGrid w:val="0"/>
                <w:color w:val="auto"/>
              </w:rPr>
              <w:t>待宰间</w:t>
            </w:r>
          </w:p>
        </w:tc>
        <w:tc>
          <w:tcPr>
            <w:tcW w:w="2551" w:type="dxa"/>
            <w:shd w:val="clear" w:color="auto" w:fill="auto"/>
            <w:vAlign w:val="center"/>
          </w:tcPr>
          <w:p>
            <w:pPr>
              <w:pStyle w:val="84"/>
              <w:rPr>
                <w:rFonts w:hAnsi="Times New Roman"/>
                <w:snapToGrid w:val="0"/>
                <w:color w:val="auto"/>
              </w:rPr>
            </w:pPr>
            <w:r>
              <w:rPr>
                <w:rFonts w:hint="eastAsia" w:hAnsi="Times New Roman"/>
                <w:snapToGrid w:val="0"/>
                <w:color w:val="auto"/>
              </w:rPr>
              <w:t>粪便</w:t>
            </w:r>
          </w:p>
        </w:tc>
        <w:tc>
          <w:tcPr>
            <w:tcW w:w="3727" w:type="dxa"/>
            <w:vAlign w:val="center"/>
          </w:tcPr>
          <w:p>
            <w:pPr>
              <w:pStyle w:val="84"/>
              <w:rPr>
                <w:rFonts w:hAnsi="Times New Roman"/>
                <w:snapToGrid w:val="0"/>
                <w:color w:val="auto"/>
              </w:rPr>
            </w:pPr>
            <w:r>
              <w:rPr>
                <w:rFonts w:hint="eastAsia"/>
                <w:color w:val="auto"/>
              </w:rPr>
              <w:t>暂存于待宰间内储粪池内，日产日清，使用密闭运输车运走作为有机肥原料外卖</w:t>
            </w:r>
          </w:p>
        </w:tc>
        <w:tc>
          <w:tcPr>
            <w:tcW w:w="3782" w:type="dxa"/>
            <w:gridSpan w:val="2"/>
            <w:shd w:val="clear" w:color="auto" w:fill="auto"/>
            <w:vAlign w:val="center"/>
          </w:tcPr>
          <w:p>
            <w:pPr>
              <w:pStyle w:val="84"/>
              <w:rPr>
                <w:rFonts w:hAnsi="Times New Roman"/>
                <w:snapToGrid w:val="0"/>
                <w:color w:val="auto"/>
              </w:rPr>
            </w:pPr>
            <w:r>
              <w:rPr>
                <w:rFonts w:hAnsi="Times New Roman"/>
                <w:snapToGrid w:val="0"/>
                <w:color w:val="auto"/>
              </w:rPr>
              <w:t>综合利用，处置率100%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242" w:type="dxa"/>
            <w:vMerge w:val="continue"/>
            <w:shd w:val="clear" w:color="auto" w:fill="auto"/>
            <w:vAlign w:val="center"/>
          </w:tcPr>
          <w:p>
            <w:pPr>
              <w:pStyle w:val="84"/>
              <w:rPr>
                <w:rFonts w:hAnsi="Times New Roman"/>
                <w:snapToGrid w:val="0"/>
                <w:color w:val="auto"/>
              </w:rPr>
            </w:pPr>
          </w:p>
        </w:tc>
        <w:tc>
          <w:tcPr>
            <w:tcW w:w="1418" w:type="dxa"/>
            <w:vMerge w:val="continue"/>
            <w:shd w:val="clear" w:color="auto" w:fill="auto"/>
            <w:vAlign w:val="center"/>
          </w:tcPr>
          <w:p>
            <w:pPr>
              <w:pStyle w:val="84"/>
              <w:rPr>
                <w:rFonts w:hAnsi="Times New Roman"/>
                <w:snapToGrid w:val="0"/>
                <w:color w:val="auto"/>
              </w:rPr>
            </w:pPr>
          </w:p>
        </w:tc>
        <w:tc>
          <w:tcPr>
            <w:tcW w:w="1843" w:type="dxa"/>
            <w:vMerge w:val="continue"/>
            <w:shd w:val="clear" w:color="auto" w:fill="auto"/>
            <w:vAlign w:val="center"/>
          </w:tcPr>
          <w:p>
            <w:pPr>
              <w:pStyle w:val="84"/>
              <w:rPr>
                <w:rFonts w:hAnsi="Times New Roman"/>
                <w:snapToGrid w:val="0"/>
                <w:color w:val="auto"/>
              </w:rPr>
            </w:pPr>
          </w:p>
        </w:tc>
        <w:tc>
          <w:tcPr>
            <w:tcW w:w="2551" w:type="dxa"/>
            <w:shd w:val="clear" w:color="auto" w:fill="auto"/>
            <w:vAlign w:val="center"/>
          </w:tcPr>
          <w:p>
            <w:pPr>
              <w:pStyle w:val="84"/>
              <w:rPr>
                <w:rFonts w:hAnsi="Times New Roman"/>
                <w:snapToGrid w:val="0"/>
                <w:color w:val="auto"/>
              </w:rPr>
            </w:pPr>
            <w:r>
              <w:rPr>
                <w:rFonts w:hAnsi="Times New Roman"/>
                <w:snapToGrid w:val="0"/>
                <w:color w:val="auto"/>
              </w:rPr>
              <w:t>检疫</w:t>
            </w:r>
            <w:r>
              <w:rPr>
                <w:rFonts w:hint="eastAsia" w:hAnsi="Times New Roman"/>
                <w:snapToGrid w:val="0"/>
                <w:color w:val="auto"/>
              </w:rPr>
              <w:t>不合格肉牛及病死牛</w:t>
            </w:r>
          </w:p>
        </w:tc>
        <w:tc>
          <w:tcPr>
            <w:tcW w:w="3727" w:type="dxa"/>
            <w:vAlign w:val="center"/>
          </w:tcPr>
          <w:p>
            <w:pPr>
              <w:pStyle w:val="84"/>
              <w:rPr>
                <w:rFonts w:hAnsi="Times New Roman"/>
                <w:snapToGrid w:val="0"/>
                <w:color w:val="auto"/>
              </w:rPr>
            </w:pPr>
            <w:r>
              <w:rPr>
                <w:rFonts w:hint="eastAsia"/>
                <w:color w:val="auto"/>
              </w:rPr>
              <w:t>委托</w:t>
            </w:r>
            <w:r>
              <w:rPr>
                <w:rFonts w:hint="eastAsia"/>
                <w:color w:val="auto"/>
                <w:lang w:eastAsia="zh-CN"/>
              </w:rPr>
              <w:t>无害化处理有限公司</w:t>
            </w:r>
            <w:r>
              <w:rPr>
                <w:rFonts w:hint="eastAsia"/>
                <w:color w:val="auto"/>
              </w:rPr>
              <w:t>处理</w:t>
            </w:r>
          </w:p>
        </w:tc>
        <w:tc>
          <w:tcPr>
            <w:tcW w:w="3782" w:type="dxa"/>
            <w:gridSpan w:val="2"/>
            <w:shd w:val="clear" w:color="auto" w:fill="auto"/>
            <w:vAlign w:val="center"/>
          </w:tcPr>
          <w:p>
            <w:pPr>
              <w:pStyle w:val="84"/>
              <w:rPr>
                <w:rFonts w:hAnsi="Times New Roman"/>
                <w:snapToGrid w:val="0"/>
                <w:color w:val="auto"/>
                <w:kern w:val="0"/>
                <w:lang w:val="zh-CN"/>
              </w:rPr>
            </w:pPr>
            <w:r>
              <w:rPr>
                <w:rFonts w:hAnsi="Times New Roman"/>
                <w:snapToGrid w:val="0"/>
                <w:color w:val="auto"/>
              </w:rPr>
              <w:t>无害化处理，处置率100%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242" w:type="dxa"/>
            <w:vMerge w:val="continue"/>
            <w:shd w:val="clear" w:color="auto" w:fill="auto"/>
            <w:vAlign w:val="center"/>
          </w:tcPr>
          <w:p>
            <w:pPr>
              <w:pStyle w:val="84"/>
              <w:rPr>
                <w:rFonts w:hAnsi="Times New Roman"/>
                <w:snapToGrid w:val="0"/>
                <w:color w:val="auto"/>
              </w:rPr>
            </w:pPr>
          </w:p>
        </w:tc>
        <w:tc>
          <w:tcPr>
            <w:tcW w:w="1418" w:type="dxa"/>
            <w:vMerge w:val="continue"/>
            <w:shd w:val="clear" w:color="auto" w:fill="auto"/>
            <w:vAlign w:val="center"/>
          </w:tcPr>
          <w:p>
            <w:pPr>
              <w:pStyle w:val="84"/>
              <w:rPr>
                <w:rFonts w:hAnsi="Times New Roman"/>
                <w:snapToGrid w:val="0"/>
                <w:color w:val="auto"/>
              </w:rPr>
            </w:pPr>
          </w:p>
        </w:tc>
        <w:tc>
          <w:tcPr>
            <w:tcW w:w="1843" w:type="dxa"/>
            <w:vMerge w:val="restart"/>
            <w:shd w:val="clear" w:color="auto" w:fill="auto"/>
            <w:vAlign w:val="center"/>
          </w:tcPr>
          <w:p>
            <w:pPr>
              <w:pStyle w:val="84"/>
              <w:rPr>
                <w:rFonts w:hAnsi="Times New Roman"/>
                <w:snapToGrid w:val="0"/>
                <w:color w:val="auto"/>
              </w:rPr>
            </w:pPr>
            <w:r>
              <w:rPr>
                <w:rFonts w:hint="eastAsia" w:hAnsi="Times New Roman"/>
                <w:snapToGrid w:val="0"/>
                <w:color w:val="auto"/>
              </w:rPr>
              <w:t>污水处理站</w:t>
            </w:r>
          </w:p>
        </w:tc>
        <w:tc>
          <w:tcPr>
            <w:tcW w:w="2551" w:type="dxa"/>
            <w:shd w:val="clear" w:color="auto" w:fill="auto"/>
            <w:vAlign w:val="center"/>
          </w:tcPr>
          <w:p>
            <w:pPr>
              <w:pStyle w:val="84"/>
              <w:rPr>
                <w:rFonts w:hAnsi="Times New Roman"/>
                <w:snapToGrid w:val="0"/>
                <w:color w:val="auto"/>
              </w:rPr>
            </w:pPr>
            <w:r>
              <w:rPr>
                <w:rFonts w:hAnsi="Times New Roman"/>
                <w:snapToGrid w:val="0"/>
                <w:color w:val="auto"/>
              </w:rPr>
              <w:t>污泥及栅渣</w:t>
            </w:r>
          </w:p>
        </w:tc>
        <w:tc>
          <w:tcPr>
            <w:tcW w:w="3727" w:type="dxa"/>
            <w:vAlign w:val="center"/>
          </w:tcPr>
          <w:p>
            <w:pPr>
              <w:pStyle w:val="84"/>
              <w:rPr>
                <w:rFonts w:hAnsi="Times New Roman"/>
                <w:snapToGrid w:val="0"/>
                <w:color w:val="auto"/>
              </w:rPr>
            </w:pPr>
            <w:r>
              <w:rPr>
                <w:color w:val="auto"/>
              </w:rPr>
              <w:t>采用压滤机脱水后，</w:t>
            </w:r>
            <w:r>
              <w:rPr>
                <w:rFonts w:hint="eastAsia"/>
                <w:color w:val="auto"/>
              </w:rPr>
              <w:t>送生活垃圾填埋场处理</w:t>
            </w:r>
          </w:p>
        </w:tc>
        <w:tc>
          <w:tcPr>
            <w:tcW w:w="3782" w:type="dxa"/>
            <w:gridSpan w:val="2"/>
            <w:shd w:val="clear" w:color="auto" w:fill="auto"/>
            <w:vAlign w:val="center"/>
          </w:tcPr>
          <w:p>
            <w:pPr>
              <w:pStyle w:val="84"/>
              <w:rPr>
                <w:rFonts w:hAnsi="Times New Roman"/>
                <w:snapToGrid w:val="0"/>
                <w:color w:val="auto"/>
              </w:rPr>
            </w:pPr>
            <w:r>
              <w:rPr>
                <w:rFonts w:hAnsi="Times New Roman"/>
                <w:snapToGrid w:val="0"/>
                <w:color w:val="auto"/>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242" w:type="dxa"/>
            <w:vMerge w:val="continue"/>
            <w:shd w:val="clear" w:color="auto" w:fill="auto"/>
            <w:vAlign w:val="center"/>
          </w:tcPr>
          <w:p>
            <w:pPr>
              <w:pStyle w:val="84"/>
              <w:rPr>
                <w:rFonts w:hAnsi="Times New Roman"/>
                <w:snapToGrid w:val="0"/>
                <w:color w:val="auto"/>
              </w:rPr>
            </w:pPr>
          </w:p>
        </w:tc>
        <w:tc>
          <w:tcPr>
            <w:tcW w:w="1418" w:type="dxa"/>
            <w:vMerge w:val="continue"/>
            <w:shd w:val="clear" w:color="auto" w:fill="auto"/>
            <w:vAlign w:val="center"/>
          </w:tcPr>
          <w:p>
            <w:pPr>
              <w:pStyle w:val="84"/>
              <w:rPr>
                <w:rFonts w:hAnsi="Times New Roman"/>
                <w:snapToGrid w:val="0"/>
                <w:color w:val="auto"/>
              </w:rPr>
            </w:pPr>
          </w:p>
        </w:tc>
        <w:tc>
          <w:tcPr>
            <w:tcW w:w="1843" w:type="dxa"/>
            <w:vMerge w:val="continue"/>
            <w:shd w:val="clear" w:color="auto" w:fill="auto"/>
            <w:vAlign w:val="center"/>
          </w:tcPr>
          <w:p>
            <w:pPr>
              <w:pStyle w:val="84"/>
              <w:rPr>
                <w:rFonts w:hAnsi="Times New Roman"/>
                <w:snapToGrid w:val="0"/>
                <w:color w:val="auto"/>
              </w:rPr>
            </w:pPr>
          </w:p>
        </w:tc>
        <w:tc>
          <w:tcPr>
            <w:tcW w:w="2551" w:type="dxa"/>
            <w:shd w:val="clear" w:color="auto" w:fill="auto"/>
            <w:vAlign w:val="center"/>
          </w:tcPr>
          <w:p>
            <w:pPr>
              <w:pStyle w:val="84"/>
              <w:rPr>
                <w:rFonts w:hAnsi="Times New Roman"/>
                <w:snapToGrid w:val="0"/>
                <w:color w:val="auto"/>
              </w:rPr>
            </w:pPr>
            <w:r>
              <w:rPr>
                <w:rFonts w:hAnsi="Times New Roman"/>
                <w:color w:val="auto"/>
              </w:rPr>
              <w:t>污水处理站废油脂</w:t>
            </w:r>
          </w:p>
        </w:tc>
        <w:tc>
          <w:tcPr>
            <w:tcW w:w="3727" w:type="dxa"/>
            <w:vAlign w:val="center"/>
          </w:tcPr>
          <w:p>
            <w:pPr>
              <w:pStyle w:val="84"/>
              <w:rPr>
                <w:color w:val="auto"/>
              </w:rPr>
            </w:pPr>
            <w:r>
              <w:rPr>
                <w:color w:val="auto"/>
              </w:rPr>
              <w:t>集中收集交由有资质单位处置</w:t>
            </w:r>
          </w:p>
        </w:tc>
        <w:tc>
          <w:tcPr>
            <w:tcW w:w="3782" w:type="dxa"/>
            <w:gridSpan w:val="2"/>
            <w:shd w:val="clear" w:color="auto" w:fill="auto"/>
            <w:vAlign w:val="center"/>
          </w:tcPr>
          <w:p>
            <w:pPr>
              <w:pStyle w:val="84"/>
              <w:rPr>
                <w:rFonts w:hAnsi="Times New Roman"/>
                <w:snapToGrid w:val="0"/>
                <w:color w:val="auto"/>
              </w:rPr>
            </w:pPr>
            <w:r>
              <w:rPr>
                <w:rFonts w:hAnsi="Times New Roman"/>
                <w:snapToGrid w:val="0"/>
                <w:color w:val="auto"/>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242" w:type="dxa"/>
            <w:vMerge w:val="continue"/>
            <w:shd w:val="clear" w:color="auto" w:fill="auto"/>
            <w:vAlign w:val="center"/>
          </w:tcPr>
          <w:p>
            <w:pPr>
              <w:pStyle w:val="84"/>
              <w:rPr>
                <w:rFonts w:hAnsi="Times New Roman"/>
                <w:snapToGrid w:val="0"/>
                <w:color w:val="auto"/>
              </w:rPr>
            </w:pPr>
          </w:p>
        </w:tc>
        <w:tc>
          <w:tcPr>
            <w:tcW w:w="1418" w:type="dxa"/>
            <w:vMerge w:val="continue"/>
            <w:shd w:val="clear" w:color="auto" w:fill="auto"/>
            <w:vAlign w:val="center"/>
          </w:tcPr>
          <w:p>
            <w:pPr>
              <w:pStyle w:val="84"/>
              <w:rPr>
                <w:rFonts w:hAnsi="Times New Roman"/>
                <w:snapToGrid w:val="0"/>
                <w:color w:val="auto"/>
              </w:rPr>
            </w:pPr>
          </w:p>
        </w:tc>
        <w:tc>
          <w:tcPr>
            <w:tcW w:w="1843" w:type="dxa"/>
            <w:shd w:val="clear" w:color="auto" w:fill="auto"/>
            <w:vAlign w:val="center"/>
          </w:tcPr>
          <w:p>
            <w:pPr>
              <w:pStyle w:val="84"/>
              <w:rPr>
                <w:rFonts w:hAnsi="Times New Roman"/>
                <w:snapToGrid w:val="0"/>
                <w:color w:val="auto"/>
              </w:rPr>
            </w:pPr>
            <w:r>
              <w:rPr>
                <w:rFonts w:hint="eastAsia" w:hAnsi="Times New Roman"/>
                <w:snapToGrid w:val="0"/>
                <w:color w:val="auto"/>
              </w:rPr>
              <w:t>食堂</w:t>
            </w:r>
          </w:p>
        </w:tc>
        <w:tc>
          <w:tcPr>
            <w:tcW w:w="2551" w:type="dxa"/>
            <w:shd w:val="clear" w:color="auto" w:fill="auto"/>
            <w:vAlign w:val="center"/>
          </w:tcPr>
          <w:p>
            <w:pPr>
              <w:pStyle w:val="84"/>
              <w:rPr>
                <w:rFonts w:hAnsi="Times New Roman"/>
                <w:snapToGrid w:val="0"/>
                <w:color w:val="auto"/>
              </w:rPr>
            </w:pPr>
            <w:r>
              <w:rPr>
                <w:rFonts w:hint="eastAsia" w:hAnsi="Times New Roman"/>
                <w:color w:val="auto"/>
              </w:rPr>
              <w:t>食堂</w:t>
            </w:r>
            <w:r>
              <w:rPr>
                <w:rFonts w:hAnsi="Times New Roman"/>
                <w:color w:val="auto"/>
              </w:rPr>
              <w:t>餐馀垃圾及废油脂</w:t>
            </w:r>
          </w:p>
        </w:tc>
        <w:tc>
          <w:tcPr>
            <w:tcW w:w="3727" w:type="dxa"/>
            <w:vAlign w:val="center"/>
          </w:tcPr>
          <w:p>
            <w:pPr>
              <w:pStyle w:val="84"/>
              <w:rPr>
                <w:rFonts w:hAnsi="Times New Roman"/>
                <w:snapToGrid w:val="0"/>
                <w:color w:val="auto"/>
              </w:rPr>
            </w:pPr>
            <w:r>
              <w:rPr>
                <w:color w:val="auto"/>
              </w:rPr>
              <w:t>交由符合规定的回收处置单位统一回收处置</w:t>
            </w:r>
          </w:p>
        </w:tc>
        <w:tc>
          <w:tcPr>
            <w:tcW w:w="3782" w:type="dxa"/>
            <w:gridSpan w:val="2"/>
            <w:shd w:val="clear" w:color="auto" w:fill="auto"/>
            <w:vAlign w:val="center"/>
          </w:tcPr>
          <w:p>
            <w:pPr>
              <w:pStyle w:val="84"/>
              <w:rPr>
                <w:rFonts w:hAnsi="Times New Roman"/>
                <w:snapToGrid w:val="0"/>
                <w:color w:val="auto"/>
              </w:rPr>
            </w:pPr>
            <w:r>
              <w:rPr>
                <w:rFonts w:hAnsi="Times New Roman"/>
                <w:snapToGrid w:val="0"/>
                <w:color w:val="auto"/>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70" w:hRule="atLeast"/>
        </w:trPr>
        <w:tc>
          <w:tcPr>
            <w:tcW w:w="1242" w:type="dxa"/>
            <w:vMerge w:val="restart"/>
            <w:shd w:val="clear" w:color="auto" w:fill="auto"/>
            <w:vAlign w:val="center"/>
          </w:tcPr>
          <w:p>
            <w:pPr>
              <w:pStyle w:val="84"/>
              <w:rPr>
                <w:rFonts w:hAnsi="Times New Roman"/>
                <w:snapToGrid w:val="0"/>
                <w:color w:val="auto"/>
              </w:rPr>
            </w:pPr>
            <w:r>
              <w:rPr>
                <w:rFonts w:hAnsi="Times New Roman"/>
                <w:snapToGrid w:val="0"/>
                <w:color w:val="auto"/>
              </w:rPr>
              <w:t>固废</w:t>
            </w:r>
          </w:p>
        </w:tc>
        <w:tc>
          <w:tcPr>
            <w:tcW w:w="1418" w:type="dxa"/>
            <w:vMerge w:val="restart"/>
            <w:shd w:val="clear" w:color="auto" w:fill="auto"/>
            <w:vAlign w:val="center"/>
          </w:tcPr>
          <w:p>
            <w:pPr>
              <w:pStyle w:val="84"/>
              <w:rPr>
                <w:rFonts w:hAnsi="Times New Roman"/>
                <w:snapToGrid w:val="0"/>
                <w:color w:val="auto"/>
              </w:rPr>
            </w:pPr>
            <w:r>
              <w:rPr>
                <w:rFonts w:hint="eastAsia" w:hAnsi="Times New Roman"/>
                <w:snapToGrid w:val="0"/>
                <w:color w:val="auto"/>
              </w:rPr>
              <w:t>厂区</w:t>
            </w:r>
          </w:p>
        </w:tc>
        <w:tc>
          <w:tcPr>
            <w:tcW w:w="1843" w:type="dxa"/>
            <w:shd w:val="clear" w:color="auto" w:fill="auto"/>
            <w:vAlign w:val="center"/>
          </w:tcPr>
          <w:p>
            <w:pPr>
              <w:pStyle w:val="84"/>
              <w:rPr>
                <w:rFonts w:hAnsi="Times New Roman"/>
                <w:snapToGrid w:val="0"/>
                <w:color w:val="auto"/>
              </w:rPr>
            </w:pPr>
            <w:r>
              <w:rPr>
                <w:rFonts w:hAnsi="Times New Roman"/>
                <w:snapToGrid w:val="0"/>
                <w:color w:val="auto"/>
              </w:rPr>
              <w:t>活性炭吸附装置</w:t>
            </w:r>
          </w:p>
        </w:tc>
        <w:tc>
          <w:tcPr>
            <w:tcW w:w="2551" w:type="dxa"/>
            <w:shd w:val="clear" w:color="auto" w:fill="auto"/>
            <w:vAlign w:val="center"/>
          </w:tcPr>
          <w:p>
            <w:pPr>
              <w:pStyle w:val="84"/>
              <w:rPr>
                <w:rFonts w:hAnsi="Times New Roman"/>
                <w:color w:val="auto"/>
              </w:rPr>
            </w:pPr>
            <w:r>
              <w:rPr>
                <w:rFonts w:hAnsi="Times New Roman"/>
                <w:snapToGrid w:val="0"/>
                <w:color w:val="auto"/>
              </w:rPr>
              <w:t>废活性炭</w:t>
            </w:r>
          </w:p>
        </w:tc>
        <w:tc>
          <w:tcPr>
            <w:tcW w:w="3727" w:type="dxa"/>
            <w:vAlign w:val="center"/>
          </w:tcPr>
          <w:p>
            <w:pPr>
              <w:pStyle w:val="84"/>
              <w:rPr>
                <w:rFonts w:hAnsi="Times New Roman"/>
                <w:snapToGrid w:val="0"/>
                <w:color w:val="auto"/>
              </w:rPr>
            </w:pPr>
            <w:r>
              <w:rPr>
                <w:rFonts w:hint="eastAsia" w:hAnsi="Times New Roman"/>
                <w:snapToGrid w:val="0"/>
                <w:color w:val="auto"/>
                <w:lang w:val="en-US" w:eastAsia="zh-CN"/>
              </w:rPr>
              <w:t>交由厂家再生利用</w:t>
            </w:r>
          </w:p>
        </w:tc>
        <w:tc>
          <w:tcPr>
            <w:tcW w:w="3781" w:type="dxa"/>
            <w:shd w:val="clear" w:color="auto" w:fill="auto"/>
            <w:vAlign w:val="center"/>
          </w:tcPr>
          <w:p>
            <w:pPr>
              <w:pStyle w:val="84"/>
              <w:rPr>
                <w:rFonts w:hAnsi="Times New Roman"/>
                <w:snapToGrid w:val="0"/>
                <w:color w:val="auto"/>
              </w:rPr>
            </w:pPr>
            <w:r>
              <w:rPr>
                <w:rFonts w:hAnsi="Times New Roman"/>
                <w:snapToGrid w:val="0"/>
                <w:color w:val="auto"/>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70" w:hRule="atLeast"/>
        </w:trPr>
        <w:tc>
          <w:tcPr>
            <w:tcW w:w="1242" w:type="dxa"/>
            <w:vMerge w:val="continue"/>
            <w:shd w:val="clear" w:color="auto" w:fill="auto"/>
            <w:vAlign w:val="center"/>
          </w:tcPr>
          <w:p>
            <w:pPr>
              <w:pStyle w:val="84"/>
              <w:rPr>
                <w:rFonts w:hAnsi="Times New Roman"/>
                <w:snapToGrid w:val="0"/>
                <w:color w:val="FF0000"/>
              </w:rPr>
            </w:pPr>
          </w:p>
        </w:tc>
        <w:tc>
          <w:tcPr>
            <w:tcW w:w="1418" w:type="dxa"/>
            <w:vMerge w:val="continue"/>
            <w:shd w:val="clear" w:color="auto" w:fill="auto"/>
            <w:vAlign w:val="center"/>
          </w:tcPr>
          <w:p>
            <w:pPr>
              <w:pStyle w:val="84"/>
              <w:rPr>
                <w:rFonts w:hAnsi="Times New Roman"/>
                <w:snapToGrid w:val="0"/>
                <w:color w:val="FF0000"/>
              </w:rPr>
            </w:pPr>
          </w:p>
        </w:tc>
        <w:tc>
          <w:tcPr>
            <w:tcW w:w="1843" w:type="dxa"/>
            <w:vMerge w:val="restart"/>
            <w:shd w:val="clear" w:color="auto" w:fill="auto"/>
            <w:vAlign w:val="center"/>
          </w:tcPr>
          <w:p>
            <w:pPr>
              <w:pStyle w:val="84"/>
              <w:rPr>
                <w:rFonts w:hAnsi="Times New Roman"/>
                <w:snapToGrid w:val="0"/>
                <w:color w:val="auto"/>
              </w:rPr>
            </w:pPr>
            <w:r>
              <w:rPr>
                <w:rFonts w:hAnsi="Times New Roman"/>
                <w:snapToGrid w:val="0"/>
                <w:color w:val="auto"/>
              </w:rPr>
              <w:t>屠宰车间</w:t>
            </w:r>
          </w:p>
        </w:tc>
        <w:tc>
          <w:tcPr>
            <w:tcW w:w="2551" w:type="dxa"/>
            <w:shd w:val="clear" w:color="auto" w:fill="auto"/>
            <w:vAlign w:val="center"/>
          </w:tcPr>
          <w:p>
            <w:pPr>
              <w:spacing w:line="0" w:lineRule="atLeast"/>
              <w:jc w:val="center"/>
              <w:rPr>
                <w:color w:val="auto"/>
                <w:szCs w:val="21"/>
              </w:rPr>
            </w:pPr>
            <w:r>
              <w:rPr>
                <w:rFonts w:hint="eastAsia"/>
                <w:bCs/>
                <w:color w:val="auto"/>
                <w:szCs w:val="21"/>
              </w:rPr>
              <w:t>肠胃内容物</w:t>
            </w:r>
          </w:p>
        </w:tc>
        <w:tc>
          <w:tcPr>
            <w:tcW w:w="3727" w:type="dxa"/>
            <w:vAlign w:val="center"/>
          </w:tcPr>
          <w:p>
            <w:pPr>
              <w:pStyle w:val="84"/>
              <w:rPr>
                <w:rFonts w:hAnsi="Times New Roman"/>
                <w:color w:val="auto"/>
              </w:rPr>
            </w:pPr>
            <w:r>
              <w:rPr>
                <w:rFonts w:hint="eastAsia"/>
                <w:bCs/>
                <w:color w:val="auto"/>
              </w:rPr>
              <w:t>同粪便暂存于待宰间内储粪池内，日产日清，使用密闭运输车运走作为有机肥原料外卖</w:t>
            </w:r>
          </w:p>
        </w:tc>
        <w:tc>
          <w:tcPr>
            <w:tcW w:w="3781" w:type="dxa"/>
            <w:shd w:val="clear" w:color="auto" w:fill="auto"/>
            <w:vAlign w:val="center"/>
          </w:tcPr>
          <w:p>
            <w:pPr>
              <w:pStyle w:val="84"/>
              <w:rPr>
                <w:rFonts w:hAnsi="Times New Roman"/>
                <w:snapToGrid w:val="0"/>
                <w:color w:val="auto"/>
              </w:rPr>
            </w:pPr>
            <w:r>
              <w:rPr>
                <w:rFonts w:hAnsi="Times New Roman"/>
                <w:snapToGrid w:val="0"/>
                <w:color w:val="auto"/>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70" w:hRule="atLeast"/>
        </w:trPr>
        <w:tc>
          <w:tcPr>
            <w:tcW w:w="1242" w:type="dxa"/>
            <w:vMerge w:val="continue"/>
            <w:shd w:val="clear" w:color="auto" w:fill="auto"/>
            <w:vAlign w:val="center"/>
          </w:tcPr>
          <w:p>
            <w:pPr>
              <w:pStyle w:val="84"/>
              <w:rPr>
                <w:rFonts w:hAnsi="Times New Roman"/>
                <w:snapToGrid w:val="0"/>
                <w:color w:val="FF0000"/>
              </w:rPr>
            </w:pPr>
          </w:p>
        </w:tc>
        <w:tc>
          <w:tcPr>
            <w:tcW w:w="1418" w:type="dxa"/>
            <w:vMerge w:val="continue"/>
            <w:shd w:val="clear" w:color="auto" w:fill="auto"/>
            <w:vAlign w:val="center"/>
          </w:tcPr>
          <w:p>
            <w:pPr>
              <w:pStyle w:val="84"/>
              <w:rPr>
                <w:rFonts w:hAnsi="Times New Roman"/>
                <w:snapToGrid w:val="0"/>
                <w:color w:val="FF0000"/>
              </w:rPr>
            </w:pPr>
          </w:p>
        </w:tc>
        <w:tc>
          <w:tcPr>
            <w:tcW w:w="1843" w:type="dxa"/>
            <w:vMerge w:val="continue"/>
            <w:shd w:val="clear" w:color="auto" w:fill="auto"/>
            <w:vAlign w:val="center"/>
          </w:tcPr>
          <w:p>
            <w:pPr>
              <w:pStyle w:val="84"/>
              <w:rPr>
                <w:rFonts w:hAnsi="Times New Roman"/>
                <w:snapToGrid w:val="0"/>
                <w:color w:val="auto"/>
              </w:rPr>
            </w:pPr>
          </w:p>
        </w:tc>
        <w:tc>
          <w:tcPr>
            <w:tcW w:w="2551" w:type="dxa"/>
            <w:shd w:val="clear" w:color="auto" w:fill="auto"/>
            <w:vAlign w:val="center"/>
          </w:tcPr>
          <w:p>
            <w:pPr>
              <w:spacing w:line="0" w:lineRule="atLeast"/>
              <w:jc w:val="center"/>
              <w:rPr>
                <w:color w:val="auto"/>
                <w:szCs w:val="21"/>
              </w:rPr>
            </w:pPr>
            <w:r>
              <w:rPr>
                <w:rFonts w:hint="eastAsia"/>
                <w:bCs/>
                <w:color w:val="auto"/>
              </w:rPr>
              <w:t>不可食用内脏</w:t>
            </w:r>
          </w:p>
        </w:tc>
        <w:tc>
          <w:tcPr>
            <w:tcW w:w="3727" w:type="dxa"/>
            <w:vAlign w:val="center"/>
          </w:tcPr>
          <w:p>
            <w:pPr>
              <w:pStyle w:val="84"/>
              <w:rPr>
                <w:rFonts w:hAnsi="Times New Roman"/>
                <w:color w:val="auto"/>
              </w:rPr>
            </w:pPr>
            <w:r>
              <w:rPr>
                <w:bCs/>
                <w:color w:val="auto"/>
              </w:rPr>
              <w:t>交由</w:t>
            </w:r>
            <w:r>
              <w:rPr>
                <w:rFonts w:hint="eastAsia"/>
                <w:bCs/>
                <w:color w:val="auto"/>
                <w:lang w:eastAsia="zh-CN"/>
              </w:rPr>
              <w:t>无害化处理有限公司</w:t>
            </w:r>
            <w:r>
              <w:rPr>
                <w:rFonts w:hint="eastAsia"/>
                <w:bCs/>
                <w:color w:val="auto"/>
              </w:rPr>
              <w:t>处理</w:t>
            </w:r>
          </w:p>
        </w:tc>
        <w:tc>
          <w:tcPr>
            <w:tcW w:w="3781" w:type="dxa"/>
            <w:shd w:val="clear" w:color="auto" w:fill="auto"/>
            <w:vAlign w:val="center"/>
          </w:tcPr>
          <w:p>
            <w:pPr>
              <w:pStyle w:val="84"/>
              <w:rPr>
                <w:rFonts w:hAnsi="Times New Roman"/>
                <w:snapToGrid w:val="0"/>
                <w:color w:val="auto"/>
              </w:rPr>
            </w:pPr>
            <w:r>
              <w:rPr>
                <w:rFonts w:hAnsi="Times New Roman"/>
                <w:snapToGrid w:val="0"/>
                <w:color w:val="auto"/>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70" w:hRule="atLeast"/>
        </w:trPr>
        <w:tc>
          <w:tcPr>
            <w:tcW w:w="1242" w:type="dxa"/>
            <w:vMerge w:val="continue"/>
            <w:shd w:val="clear" w:color="auto" w:fill="auto"/>
            <w:vAlign w:val="center"/>
          </w:tcPr>
          <w:p>
            <w:pPr>
              <w:pStyle w:val="84"/>
              <w:rPr>
                <w:rFonts w:hAnsi="Times New Roman"/>
                <w:snapToGrid w:val="0"/>
                <w:color w:val="FF0000"/>
              </w:rPr>
            </w:pPr>
          </w:p>
        </w:tc>
        <w:tc>
          <w:tcPr>
            <w:tcW w:w="1418" w:type="dxa"/>
            <w:vMerge w:val="continue"/>
            <w:shd w:val="clear" w:color="auto" w:fill="auto"/>
            <w:vAlign w:val="center"/>
          </w:tcPr>
          <w:p>
            <w:pPr>
              <w:pStyle w:val="84"/>
              <w:rPr>
                <w:rFonts w:hAnsi="Times New Roman"/>
                <w:snapToGrid w:val="0"/>
                <w:color w:val="FF0000"/>
              </w:rPr>
            </w:pPr>
          </w:p>
        </w:tc>
        <w:tc>
          <w:tcPr>
            <w:tcW w:w="1843" w:type="dxa"/>
            <w:vMerge w:val="continue"/>
            <w:shd w:val="clear" w:color="auto" w:fill="auto"/>
            <w:vAlign w:val="center"/>
          </w:tcPr>
          <w:p>
            <w:pPr>
              <w:pStyle w:val="84"/>
              <w:rPr>
                <w:rFonts w:hAnsi="Times New Roman"/>
                <w:snapToGrid w:val="0"/>
                <w:color w:val="auto"/>
              </w:rPr>
            </w:pPr>
          </w:p>
        </w:tc>
        <w:tc>
          <w:tcPr>
            <w:tcW w:w="2551" w:type="dxa"/>
            <w:shd w:val="clear" w:color="auto" w:fill="auto"/>
            <w:vAlign w:val="center"/>
          </w:tcPr>
          <w:p>
            <w:pPr>
              <w:spacing w:line="0" w:lineRule="atLeast"/>
              <w:jc w:val="center"/>
              <w:rPr>
                <w:color w:val="auto"/>
                <w:szCs w:val="21"/>
              </w:rPr>
            </w:pPr>
            <w:r>
              <w:rPr>
                <w:rFonts w:hint="eastAsia"/>
                <w:bCs/>
                <w:color w:val="auto"/>
              </w:rPr>
              <w:t>废弃包装物</w:t>
            </w:r>
          </w:p>
        </w:tc>
        <w:tc>
          <w:tcPr>
            <w:tcW w:w="3727" w:type="dxa"/>
            <w:vAlign w:val="center"/>
          </w:tcPr>
          <w:p>
            <w:pPr>
              <w:pStyle w:val="84"/>
              <w:rPr>
                <w:rFonts w:hAnsi="Times New Roman"/>
                <w:color w:val="auto"/>
              </w:rPr>
            </w:pPr>
            <w:r>
              <w:rPr>
                <w:bCs/>
                <w:color w:val="auto"/>
              </w:rPr>
              <w:t>集中收集，外售综合利用</w:t>
            </w:r>
          </w:p>
        </w:tc>
        <w:tc>
          <w:tcPr>
            <w:tcW w:w="3781" w:type="dxa"/>
            <w:shd w:val="clear" w:color="auto" w:fill="auto"/>
            <w:vAlign w:val="center"/>
          </w:tcPr>
          <w:p>
            <w:pPr>
              <w:pStyle w:val="84"/>
              <w:rPr>
                <w:rFonts w:hAnsi="Times New Roman"/>
                <w:snapToGrid w:val="0"/>
                <w:color w:val="auto"/>
              </w:rPr>
            </w:pPr>
            <w:r>
              <w:rPr>
                <w:rFonts w:hAnsi="Times New Roman"/>
                <w:snapToGrid w:val="0"/>
                <w:color w:val="auto"/>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70" w:hRule="atLeast"/>
        </w:trPr>
        <w:tc>
          <w:tcPr>
            <w:tcW w:w="1242" w:type="dxa"/>
            <w:vMerge w:val="continue"/>
            <w:shd w:val="clear" w:color="auto" w:fill="auto"/>
            <w:vAlign w:val="center"/>
          </w:tcPr>
          <w:p>
            <w:pPr>
              <w:pStyle w:val="84"/>
              <w:rPr>
                <w:rFonts w:hAnsi="Times New Roman"/>
                <w:snapToGrid w:val="0"/>
                <w:color w:val="FF0000"/>
              </w:rPr>
            </w:pPr>
          </w:p>
        </w:tc>
        <w:tc>
          <w:tcPr>
            <w:tcW w:w="1418" w:type="dxa"/>
            <w:vMerge w:val="continue"/>
            <w:shd w:val="clear" w:color="auto" w:fill="auto"/>
            <w:vAlign w:val="center"/>
          </w:tcPr>
          <w:p>
            <w:pPr>
              <w:pStyle w:val="84"/>
              <w:rPr>
                <w:rFonts w:hAnsi="Times New Roman"/>
                <w:snapToGrid w:val="0"/>
                <w:color w:val="FF0000"/>
              </w:rPr>
            </w:pPr>
          </w:p>
        </w:tc>
        <w:tc>
          <w:tcPr>
            <w:tcW w:w="1843" w:type="dxa"/>
            <w:shd w:val="clear" w:color="auto" w:fill="auto"/>
            <w:vAlign w:val="center"/>
          </w:tcPr>
          <w:p>
            <w:pPr>
              <w:pStyle w:val="84"/>
              <w:rPr>
                <w:rFonts w:hint="eastAsia" w:hAnsi="Times New Roman" w:eastAsia="宋体"/>
                <w:snapToGrid w:val="0"/>
                <w:color w:val="auto"/>
                <w:lang w:eastAsia="zh-CN"/>
              </w:rPr>
            </w:pPr>
            <w:r>
              <w:rPr>
                <w:rFonts w:hint="eastAsia" w:hAnsi="Times New Roman"/>
                <w:snapToGrid w:val="0"/>
                <w:color w:val="auto"/>
                <w:lang w:eastAsia="zh-CN"/>
              </w:rPr>
              <w:t>办公楼</w:t>
            </w:r>
          </w:p>
        </w:tc>
        <w:tc>
          <w:tcPr>
            <w:tcW w:w="2551" w:type="dxa"/>
            <w:shd w:val="clear" w:color="auto" w:fill="auto"/>
            <w:vAlign w:val="center"/>
          </w:tcPr>
          <w:p>
            <w:pPr>
              <w:pStyle w:val="84"/>
              <w:rPr>
                <w:rFonts w:hAnsi="Times New Roman"/>
                <w:snapToGrid w:val="0"/>
                <w:color w:val="auto"/>
              </w:rPr>
            </w:pPr>
            <w:r>
              <w:rPr>
                <w:rFonts w:hAnsi="Times New Roman"/>
                <w:snapToGrid w:val="0"/>
                <w:color w:val="auto"/>
              </w:rPr>
              <w:t>生活垃圾</w:t>
            </w:r>
          </w:p>
        </w:tc>
        <w:tc>
          <w:tcPr>
            <w:tcW w:w="3727" w:type="dxa"/>
            <w:vAlign w:val="center"/>
          </w:tcPr>
          <w:p>
            <w:pPr>
              <w:pStyle w:val="84"/>
              <w:rPr>
                <w:rFonts w:hAnsi="Times New Roman"/>
                <w:snapToGrid w:val="0"/>
                <w:color w:val="auto"/>
              </w:rPr>
            </w:pPr>
            <w:r>
              <w:rPr>
                <w:rFonts w:hAnsi="Times New Roman"/>
                <w:color w:val="auto"/>
              </w:rPr>
              <w:t>由市政部门统一处理</w:t>
            </w:r>
          </w:p>
        </w:tc>
        <w:tc>
          <w:tcPr>
            <w:tcW w:w="3781" w:type="dxa"/>
            <w:shd w:val="clear" w:color="auto" w:fill="auto"/>
            <w:vAlign w:val="center"/>
          </w:tcPr>
          <w:p>
            <w:pPr>
              <w:pStyle w:val="84"/>
              <w:rPr>
                <w:rFonts w:hAnsi="Times New Roman"/>
                <w:snapToGrid w:val="0"/>
                <w:color w:val="auto"/>
              </w:rPr>
            </w:pPr>
            <w:r>
              <w:rPr>
                <w:rFonts w:hAnsi="Times New Roman"/>
                <w:snapToGrid w:val="0"/>
                <w:color w:val="auto"/>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70" w:hRule="atLeast"/>
        </w:trPr>
        <w:tc>
          <w:tcPr>
            <w:tcW w:w="1242" w:type="dxa"/>
            <w:vMerge w:val="continue"/>
            <w:shd w:val="clear" w:color="auto" w:fill="auto"/>
            <w:vAlign w:val="center"/>
          </w:tcPr>
          <w:p>
            <w:pPr>
              <w:pStyle w:val="84"/>
              <w:rPr>
                <w:rFonts w:hAnsi="Times New Roman"/>
                <w:snapToGrid w:val="0"/>
                <w:color w:val="FF0000"/>
              </w:rPr>
            </w:pPr>
          </w:p>
        </w:tc>
        <w:tc>
          <w:tcPr>
            <w:tcW w:w="1418" w:type="dxa"/>
            <w:vMerge w:val="continue"/>
            <w:shd w:val="clear" w:color="auto" w:fill="auto"/>
            <w:vAlign w:val="center"/>
          </w:tcPr>
          <w:p>
            <w:pPr>
              <w:pStyle w:val="84"/>
              <w:rPr>
                <w:rFonts w:hAnsi="Times New Roman"/>
                <w:snapToGrid w:val="0"/>
                <w:color w:val="FF0000"/>
              </w:rPr>
            </w:pPr>
          </w:p>
        </w:tc>
        <w:tc>
          <w:tcPr>
            <w:tcW w:w="1843" w:type="dxa"/>
            <w:vMerge w:val="restart"/>
            <w:shd w:val="clear" w:color="auto" w:fill="auto"/>
            <w:vAlign w:val="center"/>
          </w:tcPr>
          <w:p>
            <w:pPr>
              <w:pStyle w:val="84"/>
              <w:rPr>
                <w:rFonts w:hint="default" w:hAnsi="Times New Roman" w:eastAsia="宋体"/>
                <w:snapToGrid w:val="0"/>
                <w:color w:val="auto"/>
                <w:lang w:val="en-US" w:eastAsia="zh-CN"/>
              </w:rPr>
            </w:pPr>
            <w:r>
              <w:rPr>
                <w:rFonts w:hint="eastAsia" w:hAnsi="Times New Roman"/>
                <w:snapToGrid w:val="0"/>
                <w:color w:val="auto"/>
                <w:lang w:val="en-US" w:eastAsia="zh-CN"/>
              </w:rPr>
              <w:t>锅炉房</w:t>
            </w:r>
          </w:p>
        </w:tc>
        <w:tc>
          <w:tcPr>
            <w:tcW w:w="2551" w:type="dxa"/>
            <w:shd w:val="clear" w:color="auto" w:fill="auto"/>
            <w:vAlign w:val="center"/>
          </w:tcPr>
          <w:p>
            <w:pPr>
              <w:pStyle w:val="84"/>
              <w:rPr>
                <w:rFonts w:hint="eastAsia" w:hAnsi="Times New Roman" w:eastAsia="宋体"/>
                <w:snapToGrid w:val="0"/>
                <w:color w:val="auto"/>
                <w:lang w:val="en-US" w:eastAsia="zh-CN"/>
              </w:rPr>
            </w:pPr>
            <w:r>
              <w:rPr>
                <w:rFonts w:hint="eastAsia" w:hAnsi="Times New Roman"/>
                <w:snapToGrid w:val="0"/>
                <w:color w:val="auto"/>
                <w:lang w:val="en-US" w:eastAsia="zh-CN"/>
              </w:rPr>
              <w:t>废离子交换树脂</w:t>
            </w:r>
          </w:p>
        </w:tc>
        <w:tc>
          <w:tcPr>
            <w:tcW w:w="3727" w:type="dxa"/>
            <w:vAlign w:val="center"/>
          </w:tcPr>
          <w:p>
            <w:pPr>
              <w:pStyle w:val="84"/>
              <w:rPr>
                <w:color w:val="auto"/>
              </w:rPr>
            </w:pPr>
            <w:r>
              <w:rPr>
                <w:rFonts w:hint="eastAsia" w:hAnsi="Times New Roman"/>
                <w:color w:val="auto"/>
                <w:lang w:val="en-US" w:eastAsia="zh-CN"/>
              </w:rPr>
              <w:t>由厂家回收利用</w:t>
            </w:r>
          </w:p>
        </w:tc>
        <w:tc>
          <w:tcPr>
            <w:tcW w:w="3781" w:type="dxa"/>
            <w:shd w:val="clear" w:color="auto" w:fill="auto"/>
            <w:vAlign w:val="center"/>
          </w:tcPr>
          <w:p>
            <w:pPr>
              <w:jc w:val="center"/>
              <w:rPr>
                <w:rFonts w:hAnsi="Times New Roman"/>
                <w:snapToGrid w:val="0"/>
                <w:color w:val="auto"/>
              </w:rPr>
            </w:pPr>
            <w:r>
              <w:rPr>
                <w:rFonts w:hAnsi="Times New Roman"/>
                <w:snapToGrid w:val="0"/>
                <w:color w:val="auto"/>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70" w:hRule="atLeast"/>
        </w:trPr>
        <w:tc>
          <w:tcPr>
            <w:tcW w:w="1242" w:type="dxa"/>
            <w:vMerge w:val="continue"/>
            <w:shd w:val="clear" w:color="auto" w:fill="auto"/>
            <w:vAlign w:val="center"/>
          </w:tcPr>
          <w:p>
            <w:pPr>
              <w:pStyle w:val="84"/>
              <w:rPr>
                <w:rFonts w:hAnsi="Times New Roman"/>
                <w:snapToGrid w:val="0"/>
                <w:color w:val="FF0000"/>
              </w:rPr>
            </w:pPr>
          </w:p>
        </w:tc>
        <w:tc>
          <w:tcPr>
            <w:tcW w:w="1418" w:type="dxa"/>
            <w:vMerge w:val="continue"/>
            <w:shd w:val="clear" w:color="auto" w:fill="auto"/>
            <w:vAlign w:val="center"/>
          </w:tcPr>
          <w:p>
            <w:pPr>
              <w:pStyle w:val="84"/>
              <w:rPr>
                <w:rFonts w:hAnsi="Times New Roman"/>
                <w:snapToGrid w:val="0"/>
                <w:color w:val="FF0000"/>
              </w:rPr>
            </w:pPr>
          </w:p>
        </w:tc>
        <w:tc>
          <w:tcPr>
            <w:tcW w:w="1843" w:type="dxa"/>
            <w:vMerge w:val="continue"/>
            <w:shd w:val="clear" w:color="auto" w:fill="auto"/>
            <w:vAlign w:val="center"/>
          </w:tcPr>
          <w:p>
            <w:pPr>
              <w:pStyle w:val="84"/>
              <w:rPr>
                <w:rFonts w:hint="eastAsia" w:hAnsi="Times New Roman"/>
                <w:snapToGrid w:val="0"/>
                <w:color w:val="auto"/>
              </w:rPr>
            </w:pPr>
          </w:p>
        </w:tc>
        <w:tc>
          <w:tcPr>
            <w:tcW w:w="2551" w:type="dxa"/>
            <w:shd w:val="clear" w:color="auto" w:fill="auto"/>
            <w:vAlign w:val="center"/>
          </w:tcPr>
          <w:p>
            <w:pPr>
              <w:pStyle w:val="84"/>
              <w:rPr>
                <w:rFonts w:hint="eastAsia" w:hAnsi="Times New Roman" w:eastAsia="宋体"/>
                <w:snapToGrid w:val="0"/>
                <w:color w:val="auto"/>
                <w:lang w:val="en-US" w:eastAsia="zh-CN"/>
              </w:rPr>
            </w:pPr>
            <w:r>
              <w:rPr>
                <w:rFonts w:hint="eastAsia" w:hAnsi="Times New Roman"/>
                <w:snapToGrid w:val="0"/>
                <w:color w:val="auto"/>
                <w:lang w:val="en-US" w:eastAsia="zh-CN"/>
              </w:rPr>
              <w:t>锅炉灰渣（含布袋除尘器收尘）</w:t>
            </w:r>
          </w:p>
        </w:tc>
        <w:tc>
          <w:tcPr>
            <w:tcW w:w="3727" w:type="dxa"/>
            <w:vAlign w:val="center"/>
          </w:tcPr>
          <w:p>
            <w:pPr>
              <w:pStyle w:val="84"/>
              <w:rPr>
                <w:color w:val="auto"/>
              </w:rPr>
            </w:pPr>
            <w:r>
              <w:rPr>
                <w:rFonts w:hAnsi="Times New Roman"/>
                <w:color w:val="auto"/>
              </w:rPr>
              <w:t>定期封闭清运，</w:t>
            </w:r>
            <w:r>
              <w:rPr>
                <w:rFonts w:hint="default" w:hAnsi="Times New Roman"/>
                <w:color w:val="auto"/>
                <w:lang w:val="en-US" w:eastAsia="zh-CN"/>
              </w:rPr>
              <w:t>外售综合利用</w:t>
            </w:r>
          </w:p>
        </w:tc>
        <w:tc>
          <w:tcPr>
            <w:tcW w:w="3781" w:type="dxa"/>
            <w:shd w:val="clear" w:color="auto" w:fill="auto"/>
            <w:vAlign w:val="center"/>
          </w:tcPr>
          <w:p>
            <w:pPr>
              <w:jc w:val="center"/>
              <w:rPr>
                <w:rFonts w:hAnsi="Times New Roman"/>
                <w:snapToGrid w:val="0"/>
                <w:color w:val="auto"/>
              </w:rPr>
            </w:pPr>
            <w:r>
              <w:rPr>
                <w:rFonts w:hAnsi="Times New Roman"/>
                <w:snapToGrid w:val="0"/>
                <w:color w:val="auto"/>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70" w:hRule="atLeast"/>
        </w:trPr>
        <w:tc>
          <w:tcPr>
            <w:tcW w:w="1242" w:type="dxa"/>
            <w:vMerge w:val="continue"/>
            <w:shd w:val="clear" w:color="auto" w:fill="auto"/>
            <w:vAlign w:val="center"/>
          </w:tcPr>
          <w:p>
            <w:pPr>
              <w:pStyle w:val="84"/>
              <w:rPr>
                <w:rFonts w:hAnsi="Times New Roman"/>
                <w:snapToGrid w:val="0"/>
                <w:color w:val="FF0000"/>
              </w:rPr>
            </w:pPr>
          </w:p>
        </w:tc>
        <w:tc>
          <w:tcPr>
            <w:tcW w:w="1418" w:type="dxa"/>
            <w:vMerge w:val="continue"/>
            <w:shd w:val="clear" w:color="auto" w:fill="auto"/>
            <w:vAlign w:val="center"/>
          </w:tcPr>
          <w:p>
            <w:pPr>
              <w:pStyle w:val="84"/>
              <w:rPr>
                <w:rFonts w:hAnsi="Times New Roman"/>
                <w:snapToGrid w:val="0"/>
                <w:color w:val="FF0000"/>
              </w:rPr>
            </w:pPr>
          </w:p>
        </w:tc>
        <w:tc>
          <w:tcPr>
            <w:tcW w:w="1843" w:type="dxa"/>
            <w:vMerge w:val="continue"/>
            <w:shd w:val="clear" w:color="auto" w:fill="auto"/>
            <w:vAlign w:val="center"/>
          </w:tcPr>
          <w:p>
            <w:pPr>
              <w:pStyle w:val="84"/>
              <w:rPr>
                <w:rFonts w:hint="eastAsia" w:hAnsi="Times New Roman"/>
                <w:snapToGrid w:val="0"/>
                <w:color w:val="auto"/>
              </w:rPr>
            </w:pPr>
          </w:p>
        </w:tc>
        <w:tc>
          <w:tcPr>
            <w:tcW w:w="2551" w:type="dxa"/>
            <w:shd w:val="clear" w:color="auto" w:fill="auto"/>
            <w:vAlign w:val="center"/>
          </w:tcPr>
          <w:p>
            <w:pPr>
              <w:pStyle w:val="84"/>
              <w:rPr>
                <w:rFonts w:hint="eastAsia" w:hAnsi="Times New Roman" w:eastAsia="宋体"/>
                <w:snapToGrid w:val="0"/>
                <w:color w:val="auto"/>
                <w:lang w:val="en-US" w:eastAsia="zh-CN"/>
              </w:rPr>
            </w:pPr>
            <w:r>
              <w:rPr>
                <w:rFonts w:hint="eastAsia" w:hAnsi="Times New Roman"/>
                <w:snapToGrid w:val="0"/>
                <w:color w:val="auto"/>
                <w:lang w:val="en-US" w:eastAsia="zh-CN"/>
              </w:rPr>
              <w:t>废布袋</w:t>
            </w:r>
          </w:p>
        </w:tc>
        <w:tc>
          <w:tcPr>
            <w:tcW w:w="3727" w:type="dxa"/>
            <w:vAlign w:val="center"/>
          </w:tcPr>
          <w:p>
            <w:pPr>
              <w:pStyle w:val="84"/>
              <w:rPr>
                <w:color w:val="auto"/>
              </w:rPr>
            </w:pPr>
            <w:r>
              <w:rPr>
                <w:rFonts w:hint="eastAsia" w:hAnsi="Times New Roman"/>
                <w:color w:val="auto"/>
                <w:lang w:val="en-US" w:eastAsia="zh-CN"/>
              </w:rPr>
              <w:t>由除尘器厂家回收利用</w:t>
            </w:r>
          </w:p>
        </w:tc>
        <w:tc>
          <w:tcPr>
            <w:tcW w:w="3781" w:type="dxa"/>
            <w:shd w:val="clear" w:color="auto" w:fill="auto"/>
            <w:vAlign w:val="center"/>
          </w:tcPr>
          <w:p>
            <w:pPr>
              <w:jc w:val="center"/>
              <w:rPr>
                <w:rFonts w:hAnsi="Times New Roman"/>
                <w:snapToGrid w:val="0"/>
                <w:color w:val="auto"/>
              </w:rPr>
            </w:pPr>
            <w:r>
              <w:rPr>
                <w:rFonts w:hAnsi="Times New Roman"/>
                <w:snapToGrid w:val="0"/>
                <w:color w:val="auto"/>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70" w:hRule="atLeast"/>
        </w:trPr>
        <w:tc>
          <w:tcPr>
            <w:tcW w:w="1242" w:type="dxa"/>
            <w:vMerge w:val="continue"/>
            <w:shd w:val="clear" w:color="auto" w:fill="auto"/>
            <w:vAlign w:val="center"/>
          </w:tcPr>
          <w:p>
            <w:pPr>
              <w:pStyle w:val="84"/>
              <w:rPr>
                <w:rFonts w:hAnsi="Times New Roman"/>
                <w:snapToGrid w:val="0"/>
                <w:color w:val="FF0000"/>
              </w:rPr>
            </w:pPr>
          </w:p>
        </w:tc>
        <w:tc>
          <w:tcPr>
            <w:tcW w:w="1418" w:type="dxa"/>
            <w:vMerge w:val="continue"/>
            <w:shd w:val="clear" w:color="auto" w:fill="auto"/>
            <w:vAlign w:val="center"/>
          </w:tcPr>
          <w:p>
            <w:pPr>
              <w:pStyle w:val="84"/>
              <w:rPr>
                <w:rFonts w:hAnsi="Times New Roman"/>
                <w:snapToGrid w:val="0"/>
                <w:color w:val="FF0000"/>
              </w:rPr>
            </w:pPr>
          </w:p>
        </w:tc>
        <w:tc>
          <w:tcPr>
            <w:tcW w:w="1843" w:type="dxa"/>
            <w:shd w:val="clear" w:color="auto" w:fill="auto"/>
            <w:vAlign w:val="center"/>
          </w:tcPr>
          <w:p>
            <w:pPr>
              <w:pStyle w:val="84"/>
              <w:rPr>
                <w:rFonts w:hAnsi="Times New Roman"/>
                <w:snapToGrid w:val="0"/>
                <w:color w:val="auto"/>
              </w:rPr>
            </w:pPr>
            <w:r>
              <w:rPr>
                <w:rFonts w:hint="eastAsia" w:hAnsi="Times New Roman"/>
                <w:snapToGrid w:val="0"/>
                <w:color w:val="auto"/>
              </w:rPr>
              <w:t>检疫</w:t>
            </w:r>
            <w:r>
              <w:rPr>
                <w:rFonts w:hAnsi="Times New Roman"/>
                <w:snapToGrid w:val="0"/>
                <w:color w:val="auto"/>
              </w:rPr>
              <w:t>间</w:t>
            </w:r>
          </w:p>
        </w:tc>
        <w:tc>
          <w:tcPr>
            <w:tcW w:w="2551" w:type="dxa"/>
            <w:shd w:val="clear" w:color="auto" w:fill="auto"/>
            <w:vAlign w:val="center"/>
          </w:tcPr>
          <w:p>
            <w:pPr>
              <w:pStyle w:val="84"/>
              <w:rPr>
                <w:rFonts w:hAnsi="Times New Roman"/>
                <w:snapToGrid w:val="0"/>
                <w:color w:val="auto"/>
              </w:rPr>
            </w:pPr>
            <w:r>
              <w:rPr>
                <w:rFonts w:hint="eastAsia" w:hAnsi="Times New Roman"/>
                <w:snapToGrid w:val="0"/>
                <w:color w:val="auto"/>
              </w:rPr>
              <w:t>检疫废物</w:t>
            </w:r>
            <w:r>
              <w:rPr>
                <w:rFonts w:hAnsi="Times New Roman"/>
                <w:snapToGrid w:val="0"/>
                <w:color w:val="auto"/>
              </w:rPr>
              <w:t>（类别HW01、代码841-005-01）</w:t>
            </w:r>
          </w:p>
        </w:tc>
        <w:tc>
          <w:tcPr>
            <w:tcW w:w="3727" w:type="dxa"/>
            <w:vAlign w:val="center"/>
          </w:tcPr>
          <w:p>
            <w:pPr>
              <w:pStyle w:val="84"/>
              <w:rPr>
                <w:rFonts w:hAnsi="Times New Roman"/>
                <w:snapToGrid w:val="0"/>
                <w:color w:val="auto"/>
              </w:rPr>
            </w:pPr>
            <w:r>
              <w:rPr>
                <w:color w:val="auto"/>
              </w:rPr>
              <w:t>暂存于</w:t>
            </w:r>
            <w:r>
              <w:rPr>
                <w:rFonts w:hint="eastAsia"/>
                <w:color w:val="auto"/>
                <w:lang w:eastAsia="zh-CN"/>
              </w:rPr>
              <w:t>危险废物贮存点</w:t>
            </w:r>
            <w:r>
              <w:rPr>
                <w:color w:val="auto"/>
              </w:rPr>
              <w:t>内，交由有资质的单位处理</w:t>
            </w:r>
          </w:p>
        </w:tc>
        <w:tc>
          <w:tcPr>
            <w:tcW w:w="3781" w:type="dxa"/>
            <w:shd w:val="clear" w:color="auto" w:fill="auto"/>
            <w:vAlign w:val="center"/>
          </w:tcPr>
          <w:p>
            <w:pPr>
              <w:pStyle w:val="84"/>
              <w:rPr>
                <w:rFonts w:hAnsi="Times New Roman"/>
                <w:snapToGrid w:val="0"/>
                <w:color w:val="auto"/>
              </w:rPr>
            </w:pPr>
            <w:r>
              <w:rPr>
                <w:rFonts w:hAnsi="Times New Roman"/>
                <w:snapToGrid w:val="0"/>
                <w:color w:val="auto"/>
              </w:rPr>
              <w:t>处置率100%</w:t>
            </w:r>
          </w:p>
        </w:tc>
      </w:tr>
    </w:tbl>
    <w:p>
      <w:pPr>
        <w:widowControl/>
        <w:jc w:val="left"/>
        <w:rPr>
          <w:color w:val="FF0000"/>
          <w:kern w:val="0"/>
          <w:sz w:val="24"/>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26" w:charSpace="0"/>
        </w:sectPr>
      </w:pPr>
    </w:p>
    <w:p>
      <w:pPr>
        <w:keepNext/>
        <w:keepLines/>
        <w:spacing w:line="360" w:lineRule="auto"/>
        <w:contextualSpacing/>
        <w:jc w:val="left"/>
        <w:outlineLvl w:val="1"/>
        <w:rPr>
          <w:b/>
          <w:bCs/>
          <w:snapToGrid w:val="0"/>
          <w:color w:val="auto"/>
          <w:kern w:val="0"/>
          <w:sz w:val="30"/>
          <w:szCs w:val="30"/>
        </w:rPr>
      </w:pPr>
      <w:bookmarkStart w:id="255" w:name="_Toc511"/>
      <w:bookmarkStart w:id="256" w:name="_Toc15991728"/>
      <w:bookmarkStart w:id="257" w:name="_Toc477954592"/>
      <w:bookmarkStart w:id="258" w:name="_Toc454962811"/>
      <w:r>
        <w:rPr>
          <w:b/>
          <w:bCs/>
          <w:snapToGrid w:val="0"/>
          <w:color w:val="auto"/>
          <w:kern w:val="0"/>
          <w:sz w:val="30"/>
          <w:szCs w:val="30"/>
        </w:rPr>
        <w:t>8.4总量控制</w:t>
      </w:r>
      <w:bookmarkEnd w:id="255"/>
      <w:bookmarkEnd w:id="256"/>
    </w:p>
    <w:p>
      <w:pPr>
        <w:pStyle w:val="6"/>
        <w:spacing w:before="0" w:after="0" w:line="360" w:lineRule="auto"/>
        <w:contextualSpacing/>
        <w:rPr>
          <w:rFonts w:ascii="Times New Roman" w:hAnsi="Times New Roman" w:eastAsia="宋体" w:cs="Times New Roman"/>
          <w:bCs w:val="0"/>
          <w:color w:val="auto"/>
        </w:rPr>
      </w:pPr>
      <w:bookmarkStart w:id="259" w:name="_Toc15991729"/>
      <w:r>
        <w:rPr>
          <w:rFonts w:ascii="Times New Roman" w:hAnsi="Times New Roman" w:eastAsia="宋体" w:cs="Times New Roman"/>
          <w:bCs w:val="0"/>
          <w:color w:val="auto"/>
        </w:rPr>
        <w:t>8.4.1总量控制的意义和原则</w:t>
      </w:r>
      <w:bookmarkEnd w:id="259"/>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实施总量控制将促进资源、能源的</w:t>
      </w:r>
      <w:r>
        <w:rPr>
          <w:rFonts w:hint="eastAsia" w:ascii="Times New Roman" w:hAnsi="Times New Roman" w:eastAsia="宋体" w:cs="Times New Roman"/>
          <w:color w:val="auto"/>
        </w:rPr>
        <w:t>合理</w:t>
      </w:r>
      <w:r>
        <w:rPr>
          <w:rFonts w:ascii="Times New Roman" w:hAnsi="Times New Roman" w:eastAsia="宋体" w:cs="Times New Roman"/>
          <w:color w:val="auto"/>
        </w:rPr>
        <w:t>利用和优化配置，加速产业结构的调整，实现经济增长方式的根本转变；实施总量控制可以较好地协调经济发展与环境保护之间的关系，推动可持续发展战略的实行。</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本工程属于肉牛屠宰项目，总量控制应以哈尔滨市总量控制规划为目标，将本工程投产后排放的污染物总量纳入其总量控制规划中，通过区域调整平衡，实现哈尔滨市污染物排放总量控制的目标。</w:t>
      </w:r>
    </w:p>
    <w:p>
      <w:pPr>
        <w:pStyle w:val="6"/>
        <w:spacing w:before="0" w:after="0" w:line="360" w:lineRule="auto"/>
        <w:contextualSpacing/>
        <w:rPr>
          <w:rFonts w:ascii="Times New Roman" w:hAnsi="Times New Roman" w:eastAsia="宋体" w:cs="Times New Roman"/>
          <w:bCs w:val="0"/>
          <w:color w:val="auto"/>
        </w:rPr>
      </w:pPr>
      <w:bookmarkStart w:id="260" w:name="_Toc15991730"/>
      <w:r>
        <w:rPr>
          <w:rFonts w:ascii="Times New Roman" w:hAnsi="Times New Roman" w:eastAsia="宋体" w:cs="Times New Roman"/>
          <w:bCs w:val="0"/>
          <w:color w:val="auto"/>
        </w:rPr>
        <w:t>8.4.2总量控制因子</w:t>
      </w:r>
      <w:bookmarkEnd w:id="260"/>
    </w:p>
    <w:p>
      <w:pPr>
        <w:pStyle w:val="74"/>
        <w:adjustRightInd/>
        <w:snapToGrid/>
        <w:contextualSpacing/>
        <w:jc w:val="both"/>
        <w:rPr>
          <w:rFonts w:hint="eastAsia" w:ascii="Times New Roman" w:hAnsi="Times New Roman" w:eastAsia="宋体" w:cs="Times New Roman"/>
          <w:color w:val="auto"/>
        </w:rPr>
      </w:pPr>
      <w:r>
        <w:rPr>
          <w:rFonts w:hint="eastAsia" w:ascii="Times New Roman" w:hAnsi="Times New Roman" w:eastAsia="宋体" w:cs="Times New Roman"/>
          <w:color w:val="auto"/>
        </w:rPr>
        <w:t>（1）水污染物总量控制指标</w:t>
      </w:r>
    </w:p>
    <w:p>
      <w:pPr>
        <w:pStyle w:val="74"/>
        <w:adjustRightInd/>
        <w:snapToGrid/>
        <w:contextualSpacing/>
        <w:jc w:val="both"/>
        <w:rPr>
          <w:rFonts w:ascii="Times New Roman" w:hAnsi="Times New Roman" w:eastAsia="宋体" w:cs="Times New Roman"/>
          <w:color w:val="auto"/>
        </w:rPr>
      </w:pPr>
      <w:r>
        <w:rPr>
          <w:rFonts w:hint="eastAsia" w:ascii="Times New Roman" w:hAnsi="Times New Roman" w:eastAsia="宋体" w:cs="Times New Roman"/>
          <w:color w:val="auto"/>
        </w:rPr>
        <w:t>本项目</w:t>
      </w:r>
      <w:r>
        <w:rPr>
          <w:rFonts w:ascii="Times New Roman" w:hAnsi="Times New Roman" w:eastAsia="宋体" w:cs="Times New Roman"/>
          <w:color w:val="auto"/>
        </w:rPr>
        <w:t>废水经厂区污水处理站处理后达到</w:t>
      </w:r>
      <w:r>
        <w:rPr>
          <w:rFonts w:ascii="Times New Roman" w:hAnsi="Times New Roman" w:eastAsia="宋体" w:cs="Times New Roman"/>
          <w:bCs/>
          <w:color w:val="auto"/>
        </w:rPr>
        <w:t>《肉类加工工业水污染物排放标准》（GB13457-92）表3三级畜类屠宰加工标准限值，计算过程如下。</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核定排放总量：</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本项目COD核定排放量=</w:t>
      </w:r>
      <w:r>
        <w:rPr>
          <w:rFonts w:hint="eastAsia" w:ascii="Times New Roman" w:hAnsi="Times New Roman" w:eastAsia="宋体" w:cs="Times New Roman"/>
          <w:color w:val="auto"/>
          <w:lang w:eastAsia="zh-CN"/>
        </w:rPr>
        <w:t>17518.608</w:t>
      </w:r>
      <w:r>
        <w:rPr>
          <w:rFonts w:ascii="Times New Roman" w:hAnsi="Times New Roman" w:eastAsia="宋体" w:cs="Times New Roman"/>
          <w:color w:val="auto"/>
        </w:rPr>
        <w:t>t/a×</w:t>
      </w:r>
      <w:r>
        <w:rPr>
          <w:rFonts w:hint="eastAsia" w:ascii="Times New Roman" w:hAnsi="Times New Roman" w:eastAsia="宋体" w:cs="Times New Roman"/>
          <w:color w:val="auto"/>
          <w:lang w:val="en-US" w:eastAsia="zh-CN"/>
        </w:rPr>
        <w:t>5</w:t>
      </w:r>
      <w:r>
        <w:rPr>
          <w:rFonts w:ascii="Times New Roman" w:hAnsi="Times New Roman" w:eastAsia="宋体" w:cs="Times New Roman"/>
          <w:color w:val="auto"/>
        </w:rPr>
        <w:t>00mg/L×10</w:t>
      </w:r>
      <w:r>
        <w:rPr>
          <w:rFonts w:ascii="Times New Roman" w:hAnsi="Times New Roman" w:eastAsia="宋体" w:cs="Times New Roman"/>
          <w:color w:val="auto"/>
          <w:vertAlign w:val="superscript"/>
        </w:rPr>
        <w:t>-6</w:t>
      </w:r>
      <w:r>
        <w:rPr>
          <w:rFonts w:ascii="Times New Roman" w:hAnsi="Times New Roman" w:eastAsia="宋体" w:cs="Times New Roman"/>
          <w:color w:val="auto"/>
        </w:rPr>
        <w:t>=</w:t>
      </w:r>
      <w:r>
        <w:rPr>
          <w:rFonts w:hint="eastAsia" w:ascii="Times New Roman" w:hAnsi="Times New Roman" w:eastAsia="宋体" w:cs="Times New Roman"/>
          <w:color w:val="auto"/>
          <w:lang w:eastAsia="zh-CN"/>
        </w:rPr>
        <w:t>8.76</w:t>
      </w:r>
      <w:r>
        <w:rPr>
          <w:rFonts w:ascii="Times New Roman" w:hAnsi="Times New Roman" w:eastAsia="宋体" w:cs="Times New Roman"/>
          <w:color w:val="auto"/>
        </w:rPr>
        <w:t>t/a</w:t>
      </w:r>
    </w:p>
    <w:p>
      <w:pPr>
        <w:pStyle w:val="74"/>
        <w:adjustRightInd/>
        <w:snapToGrid/>
        <w:contextualSpacing/>
        <w:jc w:val="both"/>
        <w:rPr>
          <w:rFonts w:hint="default" w:ascii="Times New Roman" w:hAnsi="Times New Roman" w:eastAsia="宋体" w:cs="Times New Roman"/>
          <w:color w:val="auto"/>
          <w:lang w:val="en-US"/>
        </w:rPr>
      </w:pPr>
      <w:r>
        <w:rPr>
          <w:rFonts w:ascii="Times New Roman" w:hAnsi="Times New Roman" w:eastAsia="宋体" w:cs="Times New Roman"/>
          <w:color w:val="auto"/>
        </w:rPr>
        <w:t>本项目</w:t>
      </w:r>
      <w:r>
        <w:rPr>
          <w:rFonts w:hint="eastAsia" w:ascii="Times New Roman" w:hAnsi="Times New Roman" w:eastAsia="宋体" w:cs="Times New Roman"/>
          <w:color w:val="auto"/>
        </w:rPr>
        <w:t>氨氮</w:t>
      </w:r>
      <w:r>
        <w:rPr>
          <w:rFonts w:ascii="Times New Roman" w:hAnsi="Times New Roman" w:eastAsia="宋体" w:cs="Times New Roman"/>
          <w:color w:val="auto"/>
        </w:rPr>
        <w:t>核定排放量=</w:t>
      </w:r>
      <w:r>
        <w:rPr>
          <w:rFonts w:hint="eastAsia" w:ascii="Times New Roman" w:hAnsi="Times New Roman" w:eastAsia="宋体" w:cs="Times New Roman"/>
          <w:color w:val="auto"/>
          <w:lang w:val="en-US" w:eastAsia="zh-CN"/>
        </w:rPr>
        <w:t>预测排放量=0.55t/a</w:t>
      </w:r>
    </w:p>
    <w:p>
      <w:pPr>
        <w:spacing w:line="360" w:lineRule="auto"/>
        <w:jc w:val="both"/>
        <w:rPr>
          <w:b/>
          <w:bCs/>
          <w:color w:val="auto"/>
          <w:sz w:val="24"/>
        </w:rPr>
      </w:pPr>
      <w:r>
        <w:rPr>
          <w:rFonts w:hint="default" w:ascii="Times New Roman" w:hAnsi="Times New Roman" w:eastAsia="宋体" w:cs="Times New Roman"/>
          <w:color w:val="auto"/>
          <w:spacing w:val="12"/>
          <w:kern w:val="2"/>
          <w:sz w:val="24"/>
          <w:szCs w:val="24"/>
        </w:rPr>
        <w:t>（2）大气污染物总量控制指标</w:t>
      </w:r>
    </w:p>
    <w:p>
      <w:pPr>
        <w:pStyle w:val="84"/>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fldChar w:fldCharType="begin"/>
      </w:r>
      <w:r>
        <w:rPr>
          <w:rFonts w:hint="default" w:ascii="Times New Roman" w:hAnsi="Times New Roman" w:eastAsia="宋体" w:cs="Times New Roman"/>
          <w:color w:val="auto"/>
          <w:sz w:val="24"/>
          <w:szCs w:val="24"/>
          <w:lang w:val="en-US" w:eastAsia="zh-CN"/>
        </w:rPr>
        <w:instrText xml:space="preserve"> = 1 \* GB3 \* MERGEFORMAT </w:instrText>
      </w:r>
      <w:r>
        <w:rPr>
          <w:rFonts w:hint="default" w:ascii="Times New Roman" w:hAnsi="Times New Roman" w:eastAsia="宋体" w:cs="Times New Roman"/>
          <w:color w:val="auto"/>
          <w:sz w:val="24"/>
          <w:szCs w:val="24"/>
          <w:lang w:val="en-US" w:eastAsia="zh-CN"/>
        </w:rPr>
        <w:fldChar w:fldCharType="separate"/>
      </w:r>
      <w:r>
        <w:rPr>
          <w:rFonts w:hint="default" w:ascii="Times New Roman" w:hAnsi="Times New Roman" w:cs="Times New Roman"/>
          <w:color w:val="auto"/>
          <w:sz w:val="24"/>
          <w:szCs w:val="24"/>
        </w:rPr>
        <w:t>①</w:t>
      </w:r>
      <w:r>
        <w:rPr>
          <w:rFonts w:hint="default" w:ascii="Times New Roman" w:hAnsi="Times New Roman" w:eastAsia="宋体" w:cs="Times New Roman"/>
          <w:color w:val="auto"/>
          <w:sz w:val="24"/>
          <w:szCs w:val="24"/>
          <w:lang w:val="en-US" w:eastAsia="zh-CN"/>
        </w:rPr>
        <w:fldChar w:fldCharType="end"/>
      </w:r>
      <w:r>
        <w:rPr>
          <w:rFonts w:hint="eastAsia" w:ascii="Times New Roman" w:hAnsi="Times New Roman" w:eastAsia="宋体" w:cs="Times New Roman"/>
          <w:color w:val="auto"/>
          <w:sz w:val="24"/>
          <w:szCs w:val="24"/>
          <w:lang w:val="en-US" w:eastAsia="zh-CN"/>
        </w:rPr>
        <w:t>燃生物质</w:t>
      </w:r>
      <w:r>
        <w:rPr>
          <w:rFonts w:hint="default" w:ascii="Times New Roman" w:hAnsi="Times New Roman" w:eastAsia="宋体" w:cs="Times New Roman"/>
          <w:color w:val="auto"/>
          <w:sz w:val="24"/>
          <w:szCs w:val="24"/>
        </w:rPr>
        <w:t>锅炉烟尘</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SO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、NO</w:t>
      </w:r>
      <w:r>
        <w:rPr>
          <w:rFonts w:hint="default" w:ascii="Times New Roman" w:hAnsi="Times New Roman" w:eastAsia="宋体" w:cs="Times New Roman"/>
          <w:color w:val="auto"/>
          <w:sz w:val="24"/>
          <w:szCs w:val="24"/>
          <w:vertAlign w:val="subscript"/>
        </w:rPr>
        <w:t>x</w:t>
      </w:r>
      <w:r>
        <w:rPr>
          <w:rFonts w:hint="default" w:ascii="Times New Roman" w:hAnsi="Times New Roman" w:eastAsia="宋体" w:cs="Times New Roman"/>
          <w:color w:val="auto"/>
          <w:sz w:val="24"/>
          <w:szCs w:val="24"/>
        </w:rPr>
        <w:t>核定排放总量按《排污许可证申请与核发技术规范农副食品加工工业—屠宰及肉类加工工业》（HJ 860.3—2018）计算</w:t>
      </w:r>
      <w:r>
        <w:rPr>
          <w:rFonts w:hint="default" w:ascii="Times New Roman" w:hAnsi="Times New Roman" w:eastAsia="宋体" w:cs="Times New Roman"/>
          <w:color w:val="auto"/>
          <w:sz w:val="24"/>
          <w:szCs w:val="24"/>
          <w:lang w:eastAsia="zh-CN"/>
        </w:rPr>
        <w:t>。</w:t>
      </w:r>
    </w:p>
    <w:p>
      <w:pPr>
        <w:pStyle w:val="84"/>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燃</w:t>
      </w:r>
      <w:r>
        <w:rPr>
          <w:rFonts w:hint="eastAsia" w:ascii="Times New Roman" w:hAnsi="Times New Roman" w:eastAsia="宋体" w:cs="Times New Roman"/>
          <w:color w:val="auto"/>
          <w:sz w:val="24"/>
          <w:szCs w:val="24"/>
          <w:lang w:val="en-US" w:eastAsia="zh-CN"/>
        </w:rPr>
        <w:t>生物质</w:t>
      </w:r>
      <w:r>
        <w:rPr>
          <w:rFonts w:hint="default" w:ascii="Times New Roman" w:hAnsi="Times New Roman" w:eastAsia="宋体" w:cs="Times New Roman"/>
          <w:color w:val="auto"/>
          <w:sz w:val="24"/>
          <w:szCs w:val="24"/>
          <w:lang w:val="en-US" w:eastAsia="zh-CN"/>
        </w:rPr>
        <w:t>锅炉废气污染物许可排放量计算公式如下：</w:t>
      </w:r>
    </w:p>
    <w:p>
      <w:pPr>
        <w:pStyle w:val="84"/>
        <w:keepNext w:val="0"/>
        <w:keepLines w:val="0"/>
        <w:pageBreakBefore w:val="0"/>
        <w:widowControl w:val="0"/>
        <w:kinsoku/>
        <w:wordWrap/>
        <w:overflowPunct/>
        <w:topLinePunct w:val="0"/>
        <w:autoSpaceDE/>
        <w:autoSpaceDN/>
        <w:bidi w:val="0"/>
        <w:adjustRightInd/>
        <w:snapToGrid/>
        <w:spacing w:line="360" w:lineRule="auto"/>
        <w:ind w:firstLine="420" w:firstLineChars="200"/>
        <w:jc w:val="center"/>
        <w:textAlignment w:val="auto"/>
        <w:rPr>
          <w:rFonts w:hint="default" w:ascii="Times New Roman" w:hAnsi="Times New Roman" w:eastAsia="宋体" w:cs="Times New Roman"/>
          <w:color w:val="auto"/>
          <w:sz w:val="24"/>
          <w:szCs w:val="24"/>
        </w:rPr>
      </w:pPr>
      <w:r>
        <w:rPr>
          <w:rFonts w:hint="default" w:ascii="Times New Roman" w:hAnsi="Times New Roman" w:cs="Times New Roman"/>
          <w:color w:val="auto"/>
        </w:rPr>
        <w:drawing>
          <wp:inline distT="0" distB="0" distL="114300" distR="114300">
            <wp:extent cx="1887855" cy="266700"/>
            <wp:effectExtent l="0" t="0" r="17145" b="0"/>
            <wp:docPr id="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4"/>
                    <pic:cNvPicPr>
                      <a:picLocks noChangeAspect="1"/>
                    </pic:cNvPicPr>
                  </pic:nvPicPr>
                  <pic:blipFill>
                    <a:blip r:embed="rId91"/>
                    <a:stretch>
                      <a:fillRect/>
                    </a:stretch>
                  </pic:blipFill>
                  <pic:spPr>
                    <a:xfrm>
                      <a:off x="0" y="0"/>
                      <a:ext cx="1887855" cy="26670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式中：</w:t>
      </w:r>
      <w:r>
        <w:rPr>
          <w:rFonts w:hint="default" w:ascii="Times New Roman" w:hAnsi="Times New Roman" w:eastAsia="宋体" w:cs="Times New Roman"/>
          <w:i/>
          <w:color w:val="auto"/>
          <w:kern w:val="0"/>
          <w:sz w:val="24"/>
          <w:szCs w:val="24"/>
          <w:lang w:val="en-US" w:eastAsia="zh-CN" w:bidi="ar"/>
        </w:rPr>
        <w:t>D</w:t>
      </w:r>
      <w:r>
        <w:rPr>
          <w:rFonts w:hint="default" w:ascii="Times New Roman" w:hAnsi="Times New Roman" w:eastAsia="宋体" w:cs="Times New Roman"/>
          <w:i/>
          <w:color w:val="auto"/>
          <w:kern w:val="0"/>
          <w:sz w:val="24"/>
          <w:szCs w:val="24"/>
          <w:vertAlign w:val="subscript"/>
          <w:lang w:val="en-US" w:eastAsia="zh-CN" w:bidi="ar"/>
        </w:rPr>
        <w:t>ij</w:t>
      </w:r>
      <w:r>
        <w:rPr>
          <w:rFonts w:hint="default" w:ascii="Times New Roman" w:hAnsi="Times New Roman" w:eastAsia="宋体" w:cs="Times New Roman"/>
          <w:color w:val="auto"/>
          <w:kern w:val="0"/>
          <w:sz w:val="24"/>
          <w:szCs w:val="24"/>
          <w:lang w:val="en-US" w:eastAsia="zh-CN" w:bidi="ar"/>
        </w:rPr>
        <w:t>—第</w:t>
      </w:r>
      <w:r>
        <w:rPr>
          <w:rFonts w:hint="default" w:ascii="Times New Roman" w:hAnsi="Times New Roman" w:eastAsia="宋体" w:cs="Times New Roman"/>
          <w:i/>
          <w:color w:val="auto"/>
          <w:kern w:val="0"/>
          <w:sz w:val="24"/>
          <w:szCs w:val="24"/>
          <w:lang w:val="en-US" w:eastAsia="zh-CN" w:bidi="ar"/>
        </w:rPr>
        <w:t>i</w:t>
      </w:r>
      <w:r>
        <w:rPr>
          <w:rFonts w:hint="default" w:ascii="Times New Roman" w:hAnsi="Times New Roman" w:eastAsia="宋体" w:cs="Times New Roman"/>
          <w:color w:val="auto"/>
          <w:kern w:val="0"/>
          <w:sz w:val="24"/>
          <w:szCs w:val="24"/>
          <w:lang w:val="en-US" w:eastAsia="zh-CN" w:bidi="ar"/>
        </w:rPr>
        <w:t>个锅炉排放口废气第</w:t>
      </w:r>
      <w:r>
        <w:rPr>
          <w:rFonts w:hint="default" w:ascii="Times New Roman" w:hAnsi="Times New Roman" w:eastAsia="宋体" w:cs="Times New Roman"/>
          <w:i/>
          <w:color w:val="auto"/>
          <w:kern w:val="0"/>
          <w:sz w:val="24"/>
          <w:szCs w:val="24"/>
          <w:lang w:val="en-US" w:eastAsia="zh-CN" w:bidi="ar"/>
        </w:rPr>
        <w:t>j</w:t>
      </w:r>
      <w:r>
        <w:rPr>
          <w:rFonts w:hint="default" w:ascii="Times New Roman" w:hAnsi="Times New Roman" w:eastAsia="宋体" w:cs="Times New Roman"/>
          <w:color w:val="auto"/>
          <w:kern w:val="0"/>
          <w:sz w:val="24"/>
          <w:szCs w:val="24"/>
          <w:lang w:val="en-US" w:eastAsia="zh-CN" w:bidi="ar"/>
        </w:rPr>
        <w:t>项大气污染物年许可排放量，t/a；</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1200" w:firstLineChars="5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i/>
          <w:color w:val="auto"/>
          <w:kern w:val="0"/>
          <w:sz w:val="24"/>
          <w:szCs w:val="24"/>
          <w:lang w:val="en-US" w:eastAsia="zh-CN" w:bidi="ar"/>
        </w:rPr>
        <w:t>R</w:t>
      </w:r>
      <w:r>
        <w:rPr>
          <w:rFonts w:hint="default" w:ascii="Times New Roman" w:hAnsi="Times New Roman" w:eastAsia="宋体" w:cs="Times New Roman"/>
          <w:i/>
          <w:color w:val="auto"/>
          <w:kern w:val="0"/>
          <w:sz w:val="24"/>
          <w:szCs w:val="24"/>
          <w:vertAlign w:val="subscript"/>
          <w:lang w:val="en-US" w:eastAsia="zh-CN" w:bidi="ar"/>
        </w:rPr>
        <w:t>i</w:t>
      </w:r>
      <w:r>
        <w:rPr>
          <w:rFonts w:hint="default" w:ascii="Times New Roman" w:hAnsi="Times New Roman" w:eastAsia="宋体" w:cs="Times New Roman"/>
          <w:color w:val="auto"/>
          <w:kern w:val="0"/>
          <w:sz w:val="24"/>
          <w:szCs w:val="24"/>
          <w:lang w:val="en-US" w:eastAsia="zh-CN" w:bidi="ar"/>
        </w:rPr>
        <w:t>—第</w:t>
      </w:r>
      <w:r>
        <w:rPr>
          <w:rFonts w:hint="default" w:ascii="Times New Roman" w:hAnsi="Times New Roman" w:eastAsia="宋体" w:cs="Times New Roman"/>
          <w:i/>
          <w:color w:val="auto"/>
          <w:kern w:val="0"/>
          <w:sz w:val="24"/>
          <w:szCs w:val="24"/>
          <w:lang w:val="en-US" w:eastAsia="zh-CN" w:bidi="ar"/>
        </w:rPr>
        <w:t>i</w:t>
      </w:r>
      <w:r>
        <w:rPr>
          <w:rFonts w:hint="default" w:ascii="Times New Roman" w:hAnsi="Times New Roman" w:eastAsia="宋体" w:cs="Times New Roman"/>
          <w:color w:val="auto"/>
          <w:kern w:val="0"/>
          <w:sz w:val="24"/>
          <w:szCs w:val="24"/>
          <w:lang w:val="en-US" w:eastAsia="zh-CN" w:bidi="ar"/>
        </w:rPr>
        <w:t>个锅炉排放口设计燃料用量，</w:t>
      </w:r>
      <w:r>
        <w:rPr>
          <w:rFonts w:hint="eastAsia" w:ascii="Times New Roman" w:hAnsi="Times New Roman" w:eastAsia="宋体" w:cs="Times New Roman"/>
          <w:color w:val="auto"/>
          <w:kern w:val="0"/>
          <w:sz w:val="24"/>
          <w:szCs w:val="24"/>
          <w:lang w:val="en-US" w:eastAsia="zh-CN" w:bidi="ar"/>
        </w:rPr>
        <w:t>燃生物质</w:t>
      </w:r>
      <w:r>
        <w:rPr>
          <w:rFonts w:hint="default" w:ascii="Times New Roman" w:hAnsi="Times New Roman" w:eastAsia="宋体" w:cs="Times New Roman"/>
          <w:color w:val="auto"/>
          <w:kern w:val="0"/>
          <w:sz w:val="24"/>
          <w:szCs w:val="24"/>
          <w:lang w:val="en-US" w:eastAsia="zh-CN" w:bidi="ar"/>
        </w:rPr>
        <w:t>单位为t/a；</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1200" w:firstLineChars="5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i/>
          <w:color w:val="auto"/>
          <w:kern w:val="0"/>
          <w:sz w:val="24"/>
          <w:szCs w:val="24"/>
          <w:lang w:val="en-US" w:eastAsia="zh-CN" w:bidi="ar"/>
        </w:rPr>
        <w:t>Q</w:t>
      </w:r>
      <w:r>
        <w:rPr>
          <w:rFonts w:hint="default" w:ascii="Times New Roman" w:hAnsi="Times New Roman" w:eastAsia="宋体" w:cs="Times New Roman"/>
          <w:i/>
          <w:color w:val="auto"/>
          <w:kern w:val="0"/>
          <w:sz w:val="24"/>
          <w:szCs w:val="24"/>
          <w:vertAlign w:val="subscript"/>
          <w:lang w:val="en-US" w:eastAsia="zh-CN" w:bidi="ar"/>
        </w:rPr>
        <w:t>i</w:t>
      </w:r>
      <w:r>
        <w:rPr>
          <w:rFonts w:hint="default" w:ascii="Times New Roman" w:hAnsi="Times New Roman" w:eastAsia="宋体" w:cs="Times New Roman"/>
          <w:color w:val="auto"/>
          <w:kern w:val="0"/>
          <w:sz w:val="24"/>
          <w:szCs w:val="24"/>
          <w:lang w:val="en-US" w:eastAsia="zh-CN" w:bidi="ar"/>
        </w:rPr>
        <w:t>—第</w:t>
      </w:r>
      <w:r>
        <w:rPr>
          <w:rFonts w:hint="default" w:ascii="Times New Roman" w:hAnsi="Times New Roman" w:eastAsia="宋体" w:cs="Times New Roman"/>
          <w:i/>
          <w:color w:val="auto"/>
          <w:kern w:val="0"/>
          <w:sz w:val="24"/>
          <w:szCs w:val="24"/>
          <w:lang w:val="en-US" w:eastAsia="zh-CN" w:bidi="ar"/>
        </w:rPr>
        <w:t>i</w:t>
      </w:r>
      <w:r>
        <w:rPr>
          <w:rFonts w:hint="default" w:ascii="Times New Roman" w:hAnsi="Times New Roman" w:eastAsia="宋体" w:cs="Times New Roman"/>
          <w:color w:val="auto"/>
          <w:kern w:val="0"/>
          <w:sz w:val="24"/>
          <w:szCs w:val="24"/>
          <w:lang w:val="en-US" w:eastAsia="zh-CN" w:bidi="ar"/>
        </w:rPr>
        <w:t>个锅炉排放口基准排气量，</w:t>
      </w:r>
      <w:r>
        <w:rPr>
          <w:rFonts w:hint="eastAsia" w:ascii="Times New Roman" w:hAnsi="Times New Roman" w:eastAsia="宋体" w:cs="Times New Roman"/>
          <w:color w:val="auto"/>
          <w:kern w:val="0"/>
          <w:sz w:val="24"/>
          <w:szCs w:val="24"/>
          <w:lang w:val="en-US" w:eastAsia="zh-CN" w:bidi="ar"/>
        </w:rPr>
        <w:t>燃生物质</w:t>
      </w:r>
      <w:r>
        <w:rPr>
          <w:rFonts w:hint="default" w:ascii="Times New Roman" w:hAnsi="Times New Roman" w:eastAsia="宋体" w:cs="Times New Roman"/>
          <w:color w:val="auto"/>
          <w:kern w:val="0"/>
          <w:sz w:val="24"/>
          <w:szCs w:val="24"/>
          <w:lang w:val="en-US" w:eastAsia="zh-CN" w:bidi="ar"/>
        </w:rPr>
        <w:t>时单位为</w:t>
      </w:r>
      <w:r>
        <w:rPr>
          <w:rFonts w:hint="default" w:ascii="Times New Roman" w:hAnsi="Times New Roman" w:eastAsia="宋体" w:cs="Times New Roman"/>
          <w:i/>
          <w:color w:val="auto"/>
          <w:kern w:val="0"/>
          <w:sz w:val="24"/>
          <w:szCs w:val="24"/>
          <w:lang w:val="en-US" w:eastAsia="zh-CN" w:bidi="ar"/>
        </w:rPr>
        <w:t>N</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/kg</w:t>
      </w:r>
      <w:r>
        <w:rPr>
          <w:rFonts w:hint="eastAsia" w:ascii="Times New Roman" w:hAnsi="Times New Roman" w:eastAsia="宋体" w:cs="Times New Roman"/>
          <w:color w:val="auto"/>
          <w:kern w:val="0"/>
          <w:sz w:val="24"/>
          <w:szCs w:val="24"/>
          <w:lang w:val="en-US" w:eastAsia="zh-CN" w:bidi="ar"/>
        </w:rPr>
        <w:t>燃生物质</w:t>
      </w:r>
      <w:r>
        <w:rPr>
          <w:rFonts w:hint="default" w:ascii="Times New Roman" w:hAnsi="Times New Roman" w:eastAsia="宋体" w:cs="Times New Roman"/>
          <w:color w:val="auto"/>
          <w:kern w:val="0"/>
          <w:sz w:val="24"/>
          <w:szCs w:val="24"/>
          <w:lang w:val="en-US" w:eastAsia="zh-CN" w:bidi="ar"/>
        </w:rPr>
        <w:t xml:space="preserve">，具体取值见表5；地方有更严格排放标准要求的，按照地方排放标准从严确定；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1200" w:firstLineChars="500"/>
        <w:jc w:val="both"/>
        <w:textAlignment w:val="auto"/>
        <w:rPr>
          <w:rFonts w:hint="default" w:ascii="Times New Roman" w:hAnsi="Times New Roman" w:eastAsia="宋体" w:cs="Times New Roman"/>
          <w:color w:val="auto"/>
          <w:spacing w:val="12"/>
          <w:kern w:val="2"/>
          <w:sz w:val="24"/>
          <w:szCs w:val="24"/>
        </w:rPr>
      </w:pPr>
      <w:r>
        <w:rPr>
          <w:rFonts w:hint="default" w:ascii="Times New Roman" w:hAnsi="Times New Roman" w:eastAsia="宋体" w:cs="Times New Roman"/>
          <w:i/>
          <w:color w:val="auto"/>
          <w:kern w:val="0"/>
          <w:sz w:val="24"/>
          <w:szCs w:val="24"/>
          <w:lang w:val="en-US" w:eastAsia="zh-CN" w:bidi="ar"/>
        </w:rPr>
        <w:t>C</w:t>
      </w:r>
      <w:r>
        <w:rPr>
          <w:rFonts w:hint="default" w:ascii="Times New Roman" w:hAnsi="Times New Roman" w:eastAsia="宋体" w:cs="Times New Roman"/>
          <w:i/>
          <w:color w:val="auto"/>
          <w:kern w:val="0"/>
          <w:sz w:val="24"/>
          <w:szCs w:val="24"/>
          <w:vertAlign w:val="subscript"/>
          <w:lang w:val="en-US" w:eastAsia="zh-CN" w:bidi="ar"/>
        </w:rPr>
        <w:t>ij</w:t>
      </w:r>
      <w:r>
        <w:rPr>
          <w:rFonts w:hint="default" w:ascii="Times New Roman" w:hAnsi="Times New Roman" w:eastAsia="宋体" w:cs="Times New Roman"/>
          <w:color w:val="auto"/>
          <w:kern w:val="0"/>
          <w:sz w:val="24"/>
          <w:szCs w:val="24"/>
          <w:lang w:val="en-US" w:eastAsia="zh-CN" w:bidi="ar"/>
        </w:rPr>
        <w:t>—第</w:t>
      </w:r>
      <w:r>
        <w:rPr>
          <w:rFonts w:hint="default" w:ascii="Times New Roman" w:hAnsi="Times New Roman" w:eastAsia="宋体" w:cs="Times New Roman"/>
          <w:i/>
          <w:color w:val="auto"/>
          <w:kern w:val="0"/>
          <w:sz w:val="24"/>
          <w:szCs w:val="24"/>
          <w:lang w:val="en-US" w:eastAsia="zh-CN" w:bidi="ar"/>
        </w:rPr>
        <w:t>i</w:t>
      </w:r>
      <w:r>
        <w:rPr>
          <w:rFonts w:hint="default" w:ascii="Times New Roman" w:hAnsi="Times New Roman" w:eastAsia="宋体" w:cs="Times New Roman"/>
          <w:color w:val="auto"/>
          <w:kern w:val="0"/>
          <w:sz w:val="24"/>
          <w:szCs w:val="24"/>
          <w:lang w:val="en-US" w:eastAsia="zh-CN" w:bidi="ar"/>
        </w:rPr>
        <w:t>个锅炉排放口废气第</w:t>
      </w:r>
      <w:r>
        <w:rPr>
          <w:rFonts w:hint="default" w:ascii="Times New Roman" w:hAnsi="Times New Roman" w:eastAsia="宋体" w:cs="Times New Roman"/>
          <w:i/>
          <w:color w:val="auto"/>
          <w:kern w:val="0"/>
          <w:sz w:val="24"/>
          <w:szCs w:val="24"/>
          <w:lang w:val="en-US" w:eastAsia="zh-CN" w:bidi="ar"/>
        </w:rPr>
        <w:t>j</w:t>
      </w:r>
      <w:r>
        <w:rPr>
          <w:rFonts w:hint="default" w:ascii="Times New Roman" w:hAnsi="Times New Roman" w:eastAsia="宋体" w:cs="Times New Roman"/>
          <w:color w:val="auto"/>
          <w:kern w:val="0"/>
          <w:sz w:val="24"/>
          <w:szCs w:val="24"/>
          <w:lang w:val="en-US" w:eastAsia="zh-CN" w:bidi="ar"/>
        </w:rPr>
        <w:t>项大气污染物许可排放浓度限值，mg/</w:t>
      </w:r>
      <w:r>
        <w:rPr>
          <w:rFonts w:hint="default" w:ascii="Times New Roman" w:hAnsi="Times New Roman" w:eastAsia="宋体" w:cs="Times New Roman"/>
          <w:i/>
          <w:color w:val="auto"/>
          <w:kern w:val="0"/>
          <w:sz w:val="24"/>
          <w:szCs w:val="24"/>
          <w:lang w:val="en-US" w:eastAsia="zh-CN" w:bidi="ar"/>
        </w:rPr>
        <w:t>N</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w:t>
      </w:r>
    </w:p>
    <w:p>
      <w:pPr>
        <w:pStyle w:val="84"/>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yellow"/>
          <w:lang w:val="en-US" w:eastAsia="zh-CN"/>
        </w:rPr>
      </w:pPr>
      <w:r>
        <w:rPr>
          <w:rFonts w:hint="default" w:ascii="Times New Roman" w:hAnsi="Times New Roman" w:eastAsia="宋体" w:cs="Times New Roman"/>
          <w:color w:val="auto"/>
          <w:sz w:val="24"/>
          <w:szCs w:val="24"/>
        </w:rPr>
        <w:t>SO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核定排放总量（t/a）=</w:t>
      </w:r>
      <w:r>
        <w:rPr>
          <w:rFonts w:hint="eastAsia" w:ascii="Times New Roman" w:hAnsi="Times New Roman" w:eastAsia="宋体" w:cs="Times New Roman"/>
          <w:color w:val="auto"/>
          <w:sz w:val="24"/>
          <w:szCs w:val="24"/>
          <w:lang w:val="en-US" w:eastAsia="zh-CN"/>
        </w:rPr>
        <w:t>468</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6.08</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200</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0.8</w:t>
      </w:r>
      <w:r>
        <w:rPr>
          <w:rFonts w:hint="default" w:ascii="Times New Roman" w:hAnsi="Times New Roman" w:eastAsia="宋体" w:cs="Times New Roman"/>
          <w:color w:val="auto"/>
          <w:sz w:val="24"/>
          <w:szCs w:val="24"/>
          <w:lang w:val="en-US" w:eastAsia="zh-CN"/>
        </w:rPr>
        <w:t>×10</w:t>
      </w:r>
      <w:r>
        <w:rPr>
          <w:rFonts w:hint="default" w:ascii="Times New Roman" w:hAnsi="Times New Roman" w:eastAsia="宋体" w:cs="Times New Roman"/>
          <w:color w:val="auto"/>
          <w:sz w:val="24"/>
          <w:szCs w:val="24"/>
          <w:vertAlign w:val="superscript"/>
          <w:lang w:val="en-US" w:eastAsia="zh-CN"/>
        </w:rPr>
        <w:t>-6</w:t>
      </w:r>
      <w:r>
        <w:rPr>
          <w:rFonts w:hint="default" w:ascii="Times New Roman" w:hAnsi="Times New Roman" w:eastAsia="宋体" w:cs="Times New Roman"/>
          <w:color w:val="auto"/>
          <w:sz w:val="24"/>
          <w:szCs w:val="24"/>
        </w:rPr>
        <w:t>=</w:t>
      </w:r>
      <w:r>
        <w:rPr>
          <w:rFonts w:hint="eastAsia" w:hAnsi="Times New Roman" w:cs="Times New Roman"/>
          <w:color w:val="auto"/>
          <w:sz w:val="24"/>
          <w:szCs w:val="24"/>
          <w:lang w:val="en-US" w:eastAsia="zh-CN"/>
        </w:rPr>
        <w:t>0.455</w:t>
      </w:r>
      <w:r>
        <w:rPr>
          <w:rFonts w:hint="default" w:ascii="Times New Roman" w:hAnsi="Times New Roman" w:eastAsia="宋体" w:cs="Times New Roman"/>
          <w:color w:val="auto"/>
          <w:sz w:val="24"/>
          <w:szCs w:val="24"/>
          <w:lang w:val="en-US" w:eastAsia="zh-CN"/>
        </w:rPr>
        <w:t>t/a</w:t>
      </w:r>
    </w:p>
    <w:p>
      <w:pPr>
        <w:pStyle w:val="84"/>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NO</w:t>
      </w:r>
      <w:r>
        <w:rPr>
          <w:rFonts w:hint="default" w:ascii="Times New Roman" w:hAnsi="Times New Roman" w:eastAsia="宋体" w:cs="Times New Roman"/>
          <w:color w:val="auto"/>
          <w:sz w:val="24"/>
          <w:szCs w:val="24"/>
          <w:vertAlign w:val="subscript"/>
        </w:rPr>
        <w:t>X</w:t>
      </w:r>
      <w:r>
        <w:rPr>
          <w:rFonts w:hint="default" w:ascii="Times New Roman" w:hAnsi="Times New Roman" w:eastAsia="宋体" w:cs="Times New Roman"/>
          <w:color w:val="auto"/>
          <w:sz w:val="24"/>
          <w:szCs w:val="24"/>
        </w:rPr>
        <w:t>核定排放总量（t/a）=</w:t>
      </w:r>
      <w:r>
        <w:rPr>
          <w:rFonts w:hint="eastAsia" w:ascii="Times New Roman" w:hAnsi="Times New Roman" w:eastAsia="宋体" w:cs="Times New Roman"/>
          <w:color w:val="auto"/>
          <w:sz w:val="24"/>
          <w:szCs w:val="24"/>
          <w:lang w:val="en-US" w:eastAsia="zh-CN"/>
        </w:rPr>
        <w:t>468</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6.08</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00</w:t>
      </w:r>
      <w:r>
        <w:rPr>
          <w:rFonts w:hint="default" w:ascii="Times New Roman" w:hAnsi="Times New Roman" w:eastAsia="宋体" w:cs="Times New Roman"/>
          <w:color w:val="auto"/>
          <w:sz w:val="24"/>
          <w:szCs w:val="24"/>
          <w:lang w:val="en-US" w:eastAsia="zh-CN"/>
        </w:rPr>
        <w:t>×10</w:t>
      </w:r>
      <w:r>
        <w:rPr>
          <w:rFonts w:hint="default" w:ascii="Times New Roman" w:hAnsi="Times New Roman" w:eastAsia="宋体" w:cs="Times New Roman"/>
          <w:color w:val="auto"/>
          <w:sz w:val="24"/>
          <w:szCs w:val="24"/>
          <w:vertAlign w:val="superscript"/>
          <w:lang w:val="en-US" w:eastAsia="zh-CN"/>
        </w:rPr>
        <w:t>-6</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0.569</w:t>
      </w:r>
      <w:r>
        <w:rPr>
          <w:rFonts w:hint="default" w:ascii="Times New Roman" w:hAnsi="Times New Roman" w:eastAsia="宋体" w:cs="Times New Roman"/>
          <w:color w:val="auto"/>
          <w:sz w:val="24"/>
          <w:szCs w:val="24"/>
          <w:lang w:val="en-US" w:eastAsia="zh-CN"/>
        </w:rPr>
        <w:t>t/a</w:t>
      </w:r>
    </w:p>
    <w:p>
      <w:pPr>
        <w:pStyle w:val="44"/>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rPr>
        <w:t>颗粒物核定排放总量（t/a）=</w:t>
      </w:r>
      <w:r>
        <w:rPr>
          <w:rFonts w:hint="eastAsia" w:ascii="Times New Roman" w:hAnsi="Times New Roman" w:eastAsia="宋体" w:cs="Times New Roman"/>
          <w:b w:val="0"/>
          <w:bCs w:val="0"/>
          <w:color w:val="auto"/>
          <w:sz w:val="24"/>
          <w:szCs w:val="24"/>
          <w:lang w:val="en-US" w:eastAsia="zh-CN"/>
        </w:rPr>
        <w:t>468</w:t>
      </w:r>
      <w:r>
        <w:rPr>
          <w:rFonts w:hint="default" w:ascii="Times New Roman" w:hAnsi="Times New Roman" w:eastAsia="宋体" w:cs="Times New Roman"/>
          <w:b w:val="0"/>
          <w:bCs w:val="0"/>
          <w:color w:val="auto"/>
          <w:sz w:val="24"/>
          <w:szCs w:val="24"/>
        </w:rPr>
        <w:t>×</w:t>
      </w:r>
      <w:r>
        <w:rPr>
          <w:rFonts w:hint="eastAsia" w:ascii="Times New Roman" w:hAnsi="Times New Roman" w:eastAsia="宋体" w:cs="Times New Roman"/>
          <w:b w:val="0"/>
          <w:bCs w:val="0"/>
          <w:color w:val="auto"/>
          <w:sz w:val="24"/>
          <w:szCs w:val="24"/>
          <w:lang w:val="en-US" w:eastAsia="zh-CN"/>
        </w:rPr>
        <w:t>6.08</w:t>
      </w:r>
      <w:r>
        <w:rPr>
          <w:rFonts w:hint="default" w:ascii="Times New Roman" w:hAnsi="Times New Roman" w:eastAsia="宋体" w:cs="Times New Roman"/>
          <w:b w:val="0"/>
          <w:bCs w:val="0"/>
          <w:color w:val="auto"/>
          <w:sz w:val="24"/>
          <w:szCs w:val="24"/>
        </w:rPr>
        <w:t>×</w:t>
      </w:r>
      <w:r>
        <w:rPr>
          <w:rFonts w:hint="default" w:ascii="Times New Roman" w:hAnsi="Times New Roman" w:eastAsia="宋体" w:cs="Times New Roman"/>
          <w:b w:val="0"/>
          <w:bCs w:val="0"/>
          <w:color w:val="auto"/>
          <w:sz w:val="24"/>
          <w:szCs w:val="24"/>
          <w:lang w:val="en-US" w:eastAsia="zh-CN"/>
        </w:rPr>
        <w:t>30×10</w:t>
      </w:r>
      <w:r>
        <w:rPr>
          <w:rFonts w:hint="default" w:ascii="Times New Roman" w:hAnsi="Times New Roman" w:eastAsia="宋体" w:cs="Times New Roman"/>
          <w:b w:val="0"/>
          <w:bCs w:val="0"/>
          <w:color w:val="auto"/>
          <w:sz w:val="24"/>
          <w:szCs w:val="24"/>
          <w:vertAlign w:val="superscript"/>
          <w:lang w:val="en-US" w:eastAsia="zh-CN"/>
        </w:rPr>
        <w:t>-6</w:t>
      </w:r>
      <w:r>
        <w:rPr>
          <w:rFonts w:hint="default" w:ascii="Times New Roman" w:hAnsi="Times New Roman" w:eastAsia="宋体" w:cs="Times New Roman"/>
          <w:b w:val="0"/>
          <w:bCs w:val="0"/>
          <w:color w:val="auto"/>
          <w:sz w:val="24"/>
          <w:szCs w:val="24"/>
        </w:rPr>
        <w:t>=</w:t>
      </w:r>
      <w:r>
        <w:rPr>
          <w:rFonts w:hint="eastAsia" w:ascii="Times New Roman" w:hAnsi="Times New Roman" w:eastAsia="宋体" w:cs="Times New Roman"/>
          <w:b w:val="0"/>
          <w:bCs w:val="0"/>
          <w:color w:val="auto"/>
          <w:sz w:val="24"/>
          <w:szCs w:val="24"/>
          <w:lang w:val="en-US" w:eastAsia="zh-CN"/>
        </w:rPr>
        <w:t>0.085</w:t>
      </w:r>
      <w:r>
        <w:rPr>
          <w:rFonts w:hint="default" w:ascii="Times New Roman" w:hAnsi="Times New Roman" w:eastAsia="宋体" w:cs="Times New Roman"/>
          <w:b w:val="0"/>
          <w:bCs w:val="0"/>
          <w:color w:val="auto"/>
          <w:sz w:val="24"/>
          <w:szCs w:val="24"/>
          <w:lang w:val="en-US" w:eastAsia="zh-CN"/>
        </w:rPr>
        <w:t>t/a</w:t>
      </w:r>
    </w:p>
    <w:p>
      <w:pPr>
        <w:spacing w:line="360" w:lineRule="auto"/>
        <w:jc w:val="center"/>
        <w:rPr>
          <w:b/>
          <w:bCs/>
          <w:color w:val="auto"/>
          <w:sz w:val="24"/>
        </w:rPr>
      </w:pPr>
      <w:r>
        <w:rPr>
          <w:b/>
          <w:bCs/>
          <w:color w:val="auto"/>
          <w:sz w:val="24"/>
        </w:rPr>
        <w:t>表8-</w:t>
      </w:r>
      <w:r>
        <w:rPr>
          <w:rFonts w:hint="eastAsia"/>
          <w:b/>
          <w:bCs/>
          <w:color w:val="auto"/>
          <w:sz w:val="24"/>
        </w:rPr>
        <w:t>4</w:t>
      </w:r>
      <w:r>
        <w:rPr>
          <w:b/>
          <w:bCs/>
          <w:color w:val="auto"/>
          <w:sz w:val="24"/>
        </w:rPr>
        <w:t>-1  本项目总量指标表</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39"/>
        <w:gridCol w:w="2841"/>
        <w:gridCol w:w="28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66" w:type="pct"/>
            <w:vAlign w:val="center"/>
          </w:tcPr>
          <w:p>
            <w:pPr>
              <w:jc w:val="center"/>
              <w:rPr>
                <w:b w:val="0"/>
                <w:bCs w:val="0"/>
                <w:color w:val="auto"/>
                <w:kern w:val="0"/>
                <w:sz w:val="21"/>
                <w:szCs w:val="21"/>
              </w:rPr>
            </w:pPr>
            <w:r>
              <w:rPr>
                <w:b w:val="0"/>
                <w:bCs w:val="0"/>
                <w:color w:val="auto"/>
                <w:kern w:val="0"/>
                <w:sz w:val="21"/>
                <w:szCs w:val="21"/>
              </w:rPr>
              <w:t>污染物</w:t>
            </w:r>
          </w:p>
        </w:tc>
        <w:tc>
          <w:tcPr>
            <w:tcW w:w="1667" w:type="pct"/>
            <w:vAlign w:val="center"/>
          </w:tcPr>
          <w:p>
            <w:pPr>
              <w:jc w:val="center"/>
              <w:rPr>
                <w:b w:val="0"/>
                <w:bCs w:val="0"/>
                <w:color w:val="auto"/>
                <w:kern w:val="0"/>
                <w:sz w:val="21"/>
                <w:szCs w:val="21"/>
              </w:rPr>
            </w:pPr>
            <w:r>
              <w:rPr>
                <w:b w:val="0"/>
                <w:bCs w:val="0"/>
                <w:color w:val="auto"/>
                <w:kern w:val="0"/>
                <w:sz w:val="21"/>
                <w:szCs w:val="21"/>
              </w:rPr>
              <w:t>预测排放量（t/a）</w:t>
            </w:r>
          </w:p>
        </w:tc>
        <w:tc>
          <w:tcPr>
            <w:tcW w:w="1666" w:type="pct"/>
            <w:vAlign w:val="center"/>
          </w:tcPr>
          <w:p>
            <w:pPr>
              <w:jc w:val="center"/>
              <w:rPr>
                <w:b w:val="0"/>
                <w:bCs w:val="0"/>
                <w:color w:val="auto"/>
                <w:kern w:val="0"/>
                <w:sz w:val="21"/>
                <w:szCs w:val="21"/>
              </w:rPr>
            </w:pPr>
            <w:r>
              <w:rPr>
                <w:b w:val="0"/>
                <w:bCs w:val="0"/>
                <w:color w:val="auto"/>
                <w:kern w:val="0"/>
                <w:sz w:val="21"/>
                <w:szCs w:val="21"/>
              </w:rPr>
              <w:t>核定排放量（t/a）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666" w:type="pct"/>
            <w:vAlign w:val="center"/>
          </w:tcPr>
          <w:p>
            <w:pPr>
              <w:jc w:val="center"/>
              <w:rPr>
                <w:b w:val="0"/>
                <w:bCs w:val="0"/>
                <w:color w:val="auto"/>
                <w:kern w:val="0"/>
                <w:sz w:val="21"/>
                <w:szCs w:val="21"/>
              </w:rPr>
            </w:pPr>
            <w:r>
              <w:rPr>
                <w:b w:val="0"/>
                <w:bCs w:val="0"/>
                <w:color w:val="auto"/>
                <w:kern w:val="0"/>
                <w:sz w:val="21"/>
                <w:szCs w:val="21"/>
              </w:rPr>
              <w:t>COD</w:t>
            </w:r>
          </w:p>
        </w:tc>
        <w:tc>
          <w:tcPr>
            <w:tcW w:w="1667" w:type="pct"/>
            <w:vAlign w:val="center"/>
          </w:tcPr>
          <w:p>
            <w:pPr>
              <w:jc w:val="center"/>
              <w:rPr>
                <w:rFonts w:hint="eastAsia" w:eastAsia="宋体"/>
                <w:b w:val="0"/>
                <w:bCs w:val="0"/>
                <w:color w:val="auto"/>
                <w:kern w:val="0"/>
                <w:sz w:val="21"/>
                <w:szCs w:val="21"/>
                <w:lang w:eastAsia="zh-CN"/>
              </w:rPr>
            </w:pPr>
            <w:r>
              <w:rPr>
                <w:rFonts w:hint="eastAsia"/>
                <w:b w:val="0"/>
                <w:bCs w:val="0"/>
                <w:color w:val="auto"/>
                <w:kern w:val="0"/>
                <w:sz w:val="21"/>
                <w:szCs w:val="21"/>
                <w:lang w:eastAsia="zh-CN"/>
              </w:rPr>
              <w:t>3.31</w:t>
            </w:r>
          </w:p>
        </w:tc>
        <w:tc>
          <w:tcPr>
            <w:tcW w:w="1666" w:type="pct"/>
            <w:vAlign w:val="center"/>
          </w:tcPr>
          <w:p>
            <w:pPr>
              <w:jc w:val="center"/>
              <w:rPr>
                <w:rFonts w:hint="default" w:eastAsia="宋体"/>
                <w:b w:val="0"/>
                <w:bCs w:val="0"/>
                <w:color w:val="auto"/>
                <w:kern w:val="0"/>
                <w:sz w:val="21"/>
                <w:szCs w:val="21"/>
                <w:lang w:val="en-US" w:eastAsia="zh-CN"/>
              </w:rPr>
            </w:pPr>
            <w:r>
              <w:rPr>
                <w:rFonts w:hint="eastAsia"/>
                <w:b w:val="0"/>
                <w:bCs w:val="0"/>
                <w:color w:val="auto"/>
                <w:kern w:val="0"/>
                <w:sz w:val="21"/>
                <w:szCs w:val="21"/>
                <w:lang w:val="en-US" w:eastAsia="zh-CN"/>
              </w:rPr>
              <w:t>8.76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66" w:type="pct"/>
            <w:vAlign w:val="center"/>
          </w:tcPr>
          <w:p>
            <w:pPr>
              <w:jc w:val="center"/>
              <w:rPr>
                <w:b w:val="0"/>
                <w:bCs w:val="0"/>
                <w:color w:val="auto"/>
                <w:kern w:val="0"/>
                <w:sz w:val="21"/>
                <w:szCs w:val="21"/>
              </w:rPr>
            </w:pPr>
            <w:r>
              <w:rPr>
                <w:b w:val="0"/>
                <w:bCs w:val="0"/>
                <w:color w:val="auto"/>
                <w:kern w:val="0"/>
                <w:sz w:val="21"/>
                <w:szCs w:val="21"/>
              </w:rPr>
              <w:t>NH</w:t>
            </w:r>
            <w:r>
              <w:rPr>
                <w:b w:val="0"/>
                <w:bCs w:val="0"/>
                <w:color w:val="auto"/>
                <w:kern w:val="0"/>
                <w:sz w:val="21"/>
                <w:szCs w:val="21"/>
                <w:vertAlign w:val="subscript"/>
              </w:rPr>
              <w:t>3</w:t>
            </w:r>
            <w:r>
              <w:rPr>
                <w:b w:val="0"/>
                <w:bCs w:val="0"/>
                <w:color w:val="auto"/>
                <w:kern w:val="0"/>
                <w:sz w:val="21"/>
                <w:szCs w:val="21"/>
              </w:rPr>
              <w:t>-N</w:t>
            </w:r>
          </w:p>
        </w:tc>
        <w:tc>
          <w:tcPr>
            <w:tcW w:w="1667" w:type="pct"/>
            <w:vAlign w:val="center"/>
          </w:tcPr>
          <w:p>
            <w:pPr>
              <w:jc w:val="center"/>
              <w:rPr>
                <w:rFonts w:hint="eastAsia" w:eastAsia="宋体"/>
                <w:b w:val="0"/>
                <w:bCs w:val="0"/>
                <w:color w:val="auto"/>
                <w:kern w:val="0"/>
                <w:sz w:val="21"/>
                <w:szCs w:val="21"/>
                <w:lang w:eastAsia="zh-CN"/>
              </w:rPr>
            </w:pPr>
            <w:r>
              <w:rPr>
                <w:rFonts w:hint="eastAsia"/>
                <w:b w:val="0"/>
                <w:bCs w:val="0"/>
                <w:color w:val="auto"/>
                <w:kern w:val="0"/>
                <w:sz w:val="21"/>
                <w:szCs w:val="21"/>
                <w:lang w:eastAsia="zh-CN"/>
              </w:rPr>
              <w:t>0.55</w:t>
            </w:r>
          </w:p>
        </w:tc>
        <w:tc>
          <w:tcPr>
            <w:tcW w:w="1666" w:type="pct"/>
            <w:vAlign w:val="center"/>
          </w:tcPr>
          <w:p>
            <w:pPr>
              <w:jc w:val="center"/>
              <w:rPr>
                <w:rFonts w:hint="default" w:eastAsia="宋体"/>
                <w:b w:val="0"/>
                <w:bCs w:val="0"/>
                <w:color w:val="auto"/>
                <w:kern w:val="0"/>
                <w:sz w:val="21"/>
                <w:szCs w:val="21"/>
                <w:lang w:val="en-US" w:eastAsia="zh-CN"/>
              </w:rPr>
            </w:pPr>
            <w:r>
              <w:rPr>
                <w:rFonts w:hint="eastAsia"/>
                <w:b w:val="0"/>
                <w:bCs w:val="0"/>
                <w:color w:val="auto"/>
                <w:kern w:val="0"/>
                <w:sz w:val="21"/>
                <w:szCs w:val="21"/>
                <w:lang w:val="en-US" w:eastAsia="zh-CN"/>
              </w:rPr>
              <w:t>0.55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2839" w:type="dxa"/>
            <w:vAlign w:val="center"/>
          </w:tcPr>
          <w:p>
            <w:pPr>
              <w:pStyle w:val="38"/>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b w:val="0"/>
                <w:bCs w:val="0"/>
                <w:color w:val="auto"/>
                <w:kern w:val="0"/>
                <w:sz w:val="21"/>
                <w:szCs w:val="21"/>
              </w:rPr>
            </w:pPr>
            <w:bookmarkStart w:id="261" w:name="_Toc15991732"/>
            <w:r>
              <w:rPr>
                <w:rFonts w:hint="default" w:ascii="Times New Roman" w:hAnsi="Times New Roman" w:eastAsia="宋体" w:cs="Times New Roman"/>
                <w:b w:val="0"/>
                <w:bCs w:val="0"/>
                <w:smallCaps w:val="0"/>
                <w:color w:val="auto"/>
                <w:spacing w:val="0"/>
                <w:w w:val="100"/>
                <w:kern w:val="21"/>
                <w:position w:val="0"/>
                <w:sz w:val="21"/>
                <w:szCs w:val="21"/>
                <w:lang w:val="en-US" w:eastAsia="zh-CN"/>
              </w:rPr>
              <w:t>颗粒物</w:t>
            </w:r>
          </w:p>
        </w:tc>
        <w:tc>
          <w:tcPr>
            <w:tcW w:w="2841" w:type="dxa"/>
            <w:vAlign w:val="center"/>
          </w:tcPr>
          <w:p>
            <w:pPr>
              <w:pStyle w:val="84"/>
              <w:rPr>
                <w:rFonts w:hint="eastAsia"/>
                <w:b w:val="0"/>
                <w:bCs w:val="0"/>
                <w:color w:val="auto"/>
                <w:kern w:val="0"/>
                <w:sz w:val="21"/>
                <w:szCs w:val="21"/>
                <w:lang w:eastAsia="zh-CN"/>
              </w:rPr>
            </w:pPr>
            <w:r>
              <w:rPr>
                <w:rFonts w:hint="eastAsia" w:hAnsi="Times New Roman"/>
                <w:b w:val="0"/>
                <w:bCs w:val="0"/>
                <w:snapToGrid w:val="0"/>
                <w:color w:val="auto"/>
                <w:lang w:val="en-US" w:eastAsia="zh-CN"/>
              </w:rPr>
              <w:t>0.074</w:t>
            </w:r>
          </w:p>
        </w:tc>
        <w:tc>
          <w:tcPr>
            <w:tcW w:w="1666" w:type="pct"/>
            <w:vAlign w:val="center"/>
          </w:tcPr>
          <w:p>
            <w:pPr>
              <w:jc w:val="center"/>
              <w:rPr>
                <w:rFonts w:hint="default" w:eastAsia="宋体"/>
                <w:b w:val="0"/>
                <w:bCs w:val="0"/>
                <w:color w:val="auto"/>
                <w:kern w:val="0"/>
                <w:sz w:val="21"/>
                <w:szCs w:val="21"/>
                <w:lang w:val="en-US" w:eastAsia="zh-CN"/>
              </w:rPr>
            </w:pPr>
            <w:r>
              <w:rPr>
                <w:rFonts w:hint="eastAsia"/>
                <w:b w:val="0"/>
                <w:bCs w:val="0"/>
                <w:color w:val="auto"/>
                <w:kern w:val="0"/>
                <w:sz w:val="21"/>
                <w:szCs w:val="21"/>
                <w:lang w:val="en-US" w:eastAsia="zh-CN"/>
              </w:rPr>
              <w:t>0.085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2839" w:type="dxa"/>
            <w:vAlign w:val="center"/>
          </w:tcPr>
          <w:p>
            <w:pPr>
              <w:pStyle w:val="38"/>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b w:val="0"/>
                <w:bCs w:val="0"/>
                <w:color w:val="auto"/>
                <w:kern w:val="0"/>
                <w:sz w:val="21"/>
                <w:szCs w:val="21"/>
              </w:rPr>
            </w:pPr>
            <w:r>
              <w:rPr>
                <w:rFonts w:hint="default" w:ascii="Times New Roman" w:hAnsi="Times New Roman" w:eastAsia="宋体" w:cs="Times New Roman"/>
                <w:b w:val="0"/>
                <w:bCs w:val="0"/>
                <w:color w:val="auto"/>
                <w:sz w:val="24"/>
                <w:szCs w:val="24"/>
              </w:rPr>
              <w:t>SO</w:t>
            </w:r>
            <w:r>
              <w:rPr>
                <w:rFonts w:hint="default" w:ascii="Times New Roman" w:hAnsi="Times New Roman" w:eastAsia="宋体" w:cs="Times New Roman"/>
                <w:b w:val="0"/>
                <w:bCs w:val="0"/>
                <w:color w:val="auto"/>
                <w:sz w:val="24"/>
                <w:szCs w:val="24"/>
                <w:vertAlign w:val="subscript"/>
              </w:rPr>
              <w:t>2</w:t>
            </w:r>
          </w:p>
        </w:tc>
        <w:tc>
          <w:tcPr>
            <w:tcW w:w="2841" w:type="dxa"/>
            <w:vAlign w:val="center"/>
          </w:tcPr>
          <w:p>
            <w:pPr>
              <w:pStyle w:val="84"/>
              <w:rPr>
                <w:rFonts w:hint="eastAsia"/>
                <w:b w:val="0"/>
                <w:bCs w:val="0"/>
                <w:color w:val="auto"/>
                <w:kern w:val="0"/>
                <w:sz w:val="21"/>
                <w:szCs w:val="21"/>
                <w:lang w:eastAsia="zh-CN"/>
              </w:rPr>
            </w:pPr>
            <w:r>
              <w:rPr>
                <w:rFonts w:hint="eastAsia" w:hAnsi="Times New Roman"/>
                <w:b w:val="0"/>
                <w:bCs w:val="0"/>
                <w:snapToGrid w:val="0"/>
                <w:color w:val="auto"/>
                <w:lang w:val="en-US" w:eastAsia="zh-CN"/>
              </w:rPr>
              <w:t>0.101</w:t>
            </w:r>
          </w:p>
        </w:tc>
        <w:tc>
          <w:tcPr>
            <w:tcW w:w="1666" w:type="pct"/>
            <w:vAlign w:val="center"/>
          </w:tcPr>
          <w:p>
            <w:pPr>
              <w:jc w:val="center"/>
              <w:rPr>
                <w:rFonts w:hint="default" w:eastAsia="宋体"/>
                <w:b w:val="0"/>
                <w:bCs w:val="0"/>
                <w:color w:val="auto"/>
                <w:kern w:val="0"/>
                <w:sz w:val="21"/>
                <w:szCs w:val="21"/>
                <w:lang w:val="en-US" w:eastAsia="zh-CN"/>
              </w:rPr>
            </w:pPr>
            <w:r>
              <w:rPr>
                <w:rFonts w:hint="eastAsia"/>
                <w:b w:val="0"/>
                <w:bCs w:val="0"/>
                <w:color w:val="auto"/>
                <w:kern w:val="0"/>
                <w:sz w:val="21"/>
                <w:szCs w:val="21"/>
                <w:lang w:val="en-US" w:eastAsia="zh-CN"/>
              </w:rPr>
              <w:t>0.455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2839" w:type="dxa"/>
            <w:vAlign w:val="center"/>
          </w:tcPr>
          <w:p>
            <w:pPr>
              <w:pStyle w:val="38"/>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b w:val="0"/>
                <w:bCs w:val="0"/>
                <w:color w:val="auto"/>
                <w:kern w:val="0"/>
                <w:sz w:val="21"/>
                <w:szCs w:val="21"/>
              </w:rPr>
            </w:pPr>
            <w:r>
              <w:rPr>
                <w:rFonts w:hint="default" w:ascii="Times New Roman" w:hAnsi="Times New Roman" w:eastAsia="宋体" w:cs="Times New Roman"/>
                <w:b w:val="0"/>
                <w:bCs w:val="0"/>
                <w:color w:val="auto"/>
                <w:sz w:val="24"/>
                <w:szCs w:val="24"/>
              </w:rPr>
              <w:t>NO</w:t>
            </w:r>
            <w:r>
              <w:rPr>
                <w:rFonts w:hint="default" w:ascii="Times New Roman" w:hAnsi="Times New Roman" w:eastAsia="宋体" w:cs="Times New Roman"/>
                <w:b w:val="0"/>
                <w:bCs w:val="0"/>
                <w:color w:val="auto"/>
                <w:sz w:val="24"/>
                <w:szCs w:val="24"/>
                <w:vertAlign w:val="subscript"/>
              </w:rPr>
              <w:t>X</w:t>
            </w:r>
          </w:p>
        </w:tc>
        <w:tc>
          <w:tcPr>
            <w:tcW w:w="2841" w:type="dxa"/>
            <w:vAlign w:val="center"/>
          </w:tcPr>
          <w:p>
            <w:pPr>
              <w:pStyle w:val="84"/>
              <w:rPr>
                <w:rFonts w:hint="eastAsia"/>
                <w:b w:val="0"/>
                <w:bCs w:val="0"/>
                <w:color w:val="auto"/>
                <w:kern w:val="0"/>
                <w:sz w:val="21"/>
                <w:szCs w:val="21"/>
                <w:lang w:eastAsia="zh-CN"/>
              </w:rPr>
            </w:pPr>
            <w:r>
              <w:rPr>
                <w:rFonts w:hint="eastAsia" w:hAnsi="Times New Roman"/>
                <w:b w:val="0"/>
                <w:bCs w:val="0"/>
                <w:snapToGrid w:val="0"/>
                <w:color w:val="auto"/>
                <w:lang w:val="en-US" w:eastAsia="zh-CN"/>
              </w:rPr>
              <w:t>0.427</w:t>
            </w:r>
          </w:p>
        </w:tc>
        <w:tc>
          <w:tcPr>
            <w:tcW w:w="1666" w:type="pct"/>
            <w:vAlign w:val="center"/>
          </w:tcPr>
          <w:p>
            <w:pPr>
              <w:jc w:val="center"/>
              <w:rPr>
                <w:rFonts w:hint="eastAsia"/>
                <w:b w:val="0"/>
                <w:bCs w:val="0"/>
                <w:color w:val="auto"/>
                <w:kern w:val="0"/>
                <w:sz w:val="21"/>
                <w:szCs w:val="21"/>
              </w:rPr>
            </w:pPr>
            <w:r>
              <w:rPr>
                <w:rFonts w:hint="eastAsia"/>
                <w:b w:val="0"/>
                <w:bCs w:val="0"/>
                <w:color w:val="auto"/>
                <w:kern w:val="0"/>
                <w:sz w:val="21"/>
                <w:szCs w:val="21"/>
                <w:lang w:val="en-US" w:eastAsia="zh-CN"/>
              </w:rPr>
              <w:t>0.569</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sz w:val="24"/>
          <w:szCs w:val="24"/>
          <w:lang w:val="en-US" w:eastAsia="zh-CN"/>
        </w:rPr>
        <w:t>COD、氨氮纳入尚志污水处理厂总量指标，颗粒物、氮氧化物、二氧化硫由哈尔滨市尚志生态环境局调控。</w:t>
      </w:r>
    </w:p>
    <w:p>
      <w:pPr>
        <w:keepNext/>
        <w:keepLines/>
        <w:spacing w:line="360" w:lineRule="auto"/>
        <w:contextualSpacing/>
        <w:jc w:val="left"/>
        <w:outlineLvl w:val="1"/>
        <w:rPr>
          <w:b/>
          <w:bCs/>
          <w:snapToGrid w:val="0"/>
          <w:color w:val="auto"/>
          <w:kern w:val="0"/>
          <w:sz w:val="30"/>
          <w:szCs w:val="30"/>
        </w:rPr>
      </w:pPr>
      <w:bookmarkStart w:id="262" w:name="_Toc30709"/>
      <w:r>
        <w:rPr>
          <w:b/>
          <w:bCs/>
          <w:snapToGrid w:val="0"/>
          <w:color w:val="auto"/>
          <w:kern w:val="0"/>
          <w:sz w:val="30"/>
          <w:szCs w:val="30"/>
        </w:rPr>
        <w:t>8.5与排污许可证制度衔接</w:t>
      </w:r>
      <w:bookmarkEnd w:id="261"/>
      <w:bookmarkEnd w:id="262"/>
    </w:p>
    <w:bookmarkEnd w:id="257"/>
    <w:bookmarkEnd w:id="258"/>
    <w:p>
      <w:pPr>
        <w:spacing w:line="360" w:lineRule="auto"/>
        <w:ind w:firstLine="480" w:firstLineChars="200"/>
        <w:rPr>
          <w:color w:val="auto"/>
          <w:sz w:val="24"/>
        </w:rPr>
      </w:pPr>
      <w:r>
        <w:rPr>
          <w:rFonts w:hint="eastAsia"/>
          <w:color w:val="auto"/>
          <w:sz w:val="24"/>
        </w:rPr>
        <w:t>《关于做好环境影响评价制度与排污许可制衔接相关工作的通知》中要求：环境影响评价审批部门要做好建设项目环境影响报告书（表）的审查，结合排污许可证申请与核发技术规范，核定建设项目的产排污环节、污染物种类及污染防治设施和措施等基本信息；依据国家或地方污染物排放标准、环境质量标准和总量控制要求等管理规定，按照污染源源强核算技术指南、环境影响评价要素导则等技术文件，严格核定排放口数量、位置以及每个排放口的污染物种类、允许排放浓度和允许排放量、排放方式、排放去向、自行监测计划等与污染物排放相关的主要内容。</w:t>
      </w:r>
    </w:p>
    <w:p>
      <w:pPr>
        <w:spacing w:line="360" w:lineRule="auto"/>
        <w:ind w:firstLine="480" w:firstLineChars="200"/>
        <w:rPr>
          <w:color w:val="auto"/>
          <w:sz w:val="24"/>
        </w:rPr>
      </w:pPr>
      <w:r>
        <w:rPr>
          <w:rFonts w:hint="eastAsia"/>
          <w:color w:val="auto"/>
          <w:sz w:val="24"/>
        </w:rPr>
        <w:t>本项目属于《固定污染源排污许可分类管理名录（2019年版）》中八、农副食品加工业13  13、屠宰及肉类加工135，年屠宰生猪10万头及以上的，年屠宰肉牛1万头及以上的，年屠宰肉羊15万头及以上的，年屠宰禽类1000万只及以上的为重点管理，因此本项目属于重点管理。</w:t>
      </w:r>
    </w:p>
    <w:p>
      <w:pPr>
        <w:widowControl/>
        <w:spacing w:line="360" w:lineRule="auto"/>
        <w:jc w:val="left"/>
        <w:rPr>
          <w:b/>
          <w:color w:val="FF0000"/>
          <w:szCs w:val="22"/>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widowControl/>
        <w:tabs>
          <w:tab w:val="left" w:leader="middleDot" w:pos="7371"/>
        </w:tabs>
        <w:spacing w:line="360" w:lineRule="auto"/>
        <w:contextualSpacing/>
        <w:jc w:val="left"/>
        <w:outlineLvl w:val="0"/>
        <w:rPr>
          <w:rFonts w:hint="eastAsia" w:eastAsia="宋体"/>
          <w:b/>
          <w:color w:val="auto"/>
          <w:kern w:val="0"/>
          <w:sz w:val="32"/>
          <w:szCs w:val="32"/>
          <w:lang w:eastAsia="zh-CN"/>
        </w:rPr>
      </w:pPr>
      <w:bookmarkStart w:id="263" w:name="_Toc15286"/>
      <w:bookmarkStart w:id="264" w:name="_Toc484077219"/>
      <w:bookmarkStart w:id="265" w:name="_Toc477954594"/>
      <w:r>
        <w:rPr>
          <w:b/>
          <w:color w:val="auto"/>
          <w:kern w:val="0"/>
          <w:sz w:val="32"/>
          <w:szCs w:val="32"/>
        </w:rPr>
        <w:t>9环境影响评价结论</w:t>
      </w:r>
      <w:bookmarkEnd w:id="263"/>
      <w:bookmarkEnd w:id="264"/>
      <w:bookmarkEnd w:id="265"/>
    </w:p>
    <w:p>
      <w:pPr>
        <w:keepNext/>
        <w:keepLines/>
        <w:spacing w:line="360" w:lineRule="auto"/>
        <w:contextualSpacing/>
        <w:jc w:val="left"/>
        <w:outlineLvl w:val="1"/>
        <w:rPr>
          <w:b/>
          <w:bCs/>
          <w:snapToGrid w:val="0"/>
          <w:color w:val="auto"/>
          <w:kern w:val="0"/>
          <w:sz w:val="30"/>
          <w:szCs w:val="30"/>
        </w:rPr>
      </w:pPr>
      <w:bookmarkStart w:id="266" w:name="_Toc15991734"/>
      <w:bookmarkStart w:id="267" w:name="_Toc28725"/>
      <w:bookmarkStart w:id="268" w:name="_Toc457030108"/>
      <w:bookmarkStart w:id="269" w:name="_Toc477368706"/>
      <w:r>
        <w:rPr>
          <w:b/>
          <w:bCs/>
          <w:snapToGrid w:val="0"/>
          <w:color w:val="auto"/>
          <w:kern w:val="0"/>
          <w:sz w:val="30"/>
          <w:szCs w:val="30"/>
        </w:rPr>
        <w:t>9.1评价结论</w:t>
      </w:r>
      <w:bookmarkEnd w:id="266"/>
      <w:bookmarkEnd w:id="267"/>
      <w:bookmarkEnd w:id="268"/>
      <w:bookmarkEnd w:id="269"/>
    </w:p>
    <w:p>
      <w:pPr>
        <w:pStyle w:val="6"/>
        <w:spacing w:before="0" w:after="0" w:line="360" w:lineRule="auto"/>
        <w:contextualSpacing/>
        <w:rPr>
          <w:rFonts w:ascii="Times New Roman" w:hAnsi="Times New Roman" w:eastAsia="宋体" w:cs="Times New Roman"/>
          <w:bCs w:val="0"/>
          <w:color w:val="auto"/>
        </w:rPr>
      </w:pPr>
      <w:bookmarkStart w:id="270" w:name="_Toc15991735"/>
      <w:r>
        <w:rPr>
          <w:rFonts w:ascii="Times New Roman" w:hAnsi="Times New Roman" w:eastAsia="宋体" w:cs="Times New Roman"/>
          <w:bCs w:val="0"/>
          <w:color w:val="auto"/>
        </w:rPr>
        <w:t>9.1.1建设概况</w:t>
      </w:r>
      <w:bookmarkEnd w:id="270"/>
    </w:p>
    <w:p>
      <w:pPr>
        <w:spacing w:line="360" w:lineRule="auto"/>
        <w:ind w:firstLine="480" w:firstLineChars="200"/>
        <w:contextualSpacing/>
        <w:rPr>
          <w:color w:val="auto"/>
          <w:sz w:val="24"/>
        </w:rPr>
      </w:pPr>
      <w:bookmarkStart w:id="271" w:name="_Toc15991736"/>
      <w:r>
        <w:rPr>
          <w:color w:val="auto"/>
          <w:sz w:val="24"/>
        </w:rPr>
        <w:t>本项目为</w:t>
      </w:r>
      <w:r>
        <w:rPr>
          <w:rFonts w:hint="eastAsia"/>
          <w:color w:val="auto"/>
          <w:sz w:val="24"/>
          <w:lang w:eastAsia="zh-CN"/>
        </w:rPr>
        <w:t>黑龙江省哈尔滨市尚志市黑龙江省龙源工贸集团有限公司黑龙江阿穆屠宰有限公司肉牛屠宰厂建设项目</w:t>
      </w:r>
      <w:r>
        <w:rPr>
          <w:color w:val="auto"/>
          <w:sz w:val="24"/>
        </w:rPr>
        <w:t>，位于黑龙江省</w:t>
      </w:r>
      <w:r>
        <w:rPr>
          <w:rFonts w:hint="eastAsia"/>
          <w:color w:val="auto"/>
          <w:sz w:val="24"/>
          <w:lang w:eastAsia="zh-CN"/>
        </w:rPr>
        <w:t>哈尔滨市尚志市长寿乡一曼村</w:t>
      </w:r>
      <w:r>
        <w:rPr>
          <w:color w:val="auto"/>
          <w:sz w:val="24"/>
        </w:rPr>
        <w:t>，占地面积</w:t>
      </w:r>
      <w:r>
        <w:rPr>
          <w:rFonts w:hint="eastAsia"/>
          <w:color w:val="auto"/>
          <w:sz w:val="24"/>
          <w:lang w:eastAsia="zh-CN"/>
        </w:rPr>
        <w:t>29672</w:t>
      </w:r>
      <w:r>
        <w:rPr>
          <w:color w:val="auto"/>
          <w:sz w:val="24"/>
        </w:rPr>
        <w:t>m</w:t>
      </w:r>
      <w:r>
        <w:rPr>
          <w:color w:val="auto"/>
          <w:sz w:val="24"/>
          <w:vertAlign w:val="superscript"/>
        </w:rPr>
        <w:t>2</w:t>
      </w:r>
      <w:r>
        <w:rPr>
          <w:color w:val="auto"/>
          <w:sz w:val="24"/>
        </w:rPr>
        <w:t>，</w:t>
      </w:r>
      <w:r>
        <w:rPr>
          <w:rFonts w:hint="eastAsia"/>
          <w:color w:val="auto"/>
          <w:sz w:val="24"/>
        </w:rPr>
        <w:t>建筑</w:t>
      </w:r>
      <w:r>
        <w:rPr>
          <w:color w:val="auto"/>
          <w:sz w:val="24"/>
        </w:rPr>
        <w:t>面积</w:t>
      </w:r>
      <w:r>
        <w:rPr>
          <w:rFonts w:hint="eastAsia"/>
          <w:color w:val="auto"/>
          <w:sz w:val="24"/>
          <w:lang w:val="en-US" w:eastAsia="zh-CN"/>
        </w:rPr>
        <w:t>9110</w:t>
      </w:r>
      <w:r>
        <w:rPr>
          <w:color w:val="auto"/>
          <w:sz w:val="24"/>
        </w:rPr>
        <w:t>m</w:t>
      </w:r>
      <w:r>
        <w:rPr>
          <w:color w:val="auto"/>
          <w:sz w:val="24"/>
          <w:vertAlign w:val="superscript"/>
        </w:rPr>
        <w:t>2</w:t>
      </w:r>
      <w:r>
        <w:rPr>
          <w:rFonts w:hint="eastAsia"/>
          <w:color w:val="auto"/>
          <w:sz w:val="24"/>
        </w:rPr>
        <w:t>。</w:t>
      </w:r>
      <w:r>
        <w:rPr>
          <w:color w:val="auto"/>
          <w:sz w:val="24"/>
        </w:rPr>
        <w:t>本项目</w:t>
      </w:r>
      <w:r>
        <w:rPr>
          <w:rFonts w:hint="eastAsia"/>
          <w:color w:val="auto"/>
          <w:sz w:val="24"/>
          <w:lang w:val="en-US" w:eastAsia="zh-CN"/>
        </w:rPr>
        <w:t>利用原有2栋办公楼、1栋锅炉房、1栋储氨房、1栋库房及1栋冷库，新建</w:t>
      </w:r>
      <w:r>
        <w:rPr>
          <w:rFonts w:hint="eastAsia"/>
          <w:color w:val="auto"/>
          <w:sz w:val="24"/>
        </w:rPr>
        <w:t>屠宰</w:t>
      </w:r>
      <w:r>
        <w:rPr>
          <w:color w:val="auto"/>
          <w:sz w:val="24"/>
        </w:rPr>
        <w:t>车间1栋、</w:t>
      </w:r>
      <w:r>
        <w:rPr>
          <w:rFonts w:hint="eastAsia"/>
          <w:color w:val="auto"/>
          <w:sz w:val="24"/>
        </w:rPr>
        <w:t>污水</w:t>
      </w:r>
      <w:r>
        <w:rPr>
          <w:color w:val="auto"/>
          <w:sz w:val="24"/>
        </w:rPr>
        <w:t>处理站、</w:t>
      </w:r>
      <w:r>
        <w:rPr>
          <w:rFonts w:hint="eastAsia"/>
          <w:color w:val="auto"/>
          <w:sz w:val="24"/>
        </w:rPr>
        <w:t>待宰间</w:t>
      </w:r>
      <w:r>
        <w:rPr>
          <w:color w:val="auto"/>
          <w:sz w:val="24"/>
        </w:rPr>
        <w:t>1栋</w:t>
      </w:r>
      <w:r>
        <w:rPr>
          <w:rFonts w:hint="eastAsia"/>
          <w:color w:val="auto"/>
          <w:sz w:val="24"/>
          <w:lang w:eastAsia="zh-CN"/>
        </w:rPr>
        <w:t>、</w:t>
      </w:r>
      <w:r>
        <w:rPr>
          <w:rFonts w:hint="eastAsia"/>
          <w:color w:val="auto"/>
          <w:sz w:val="24"/>
          <w:lang w:val="en-US" w:eastAsia="zh-CN"/>
        </w:rPr>
        <w:t>急宰间1栋、</w:t>
      </w:r>
      <w:r>
        <w:rPr>
          <w:rFonts w:hint="eastAsia"/>
          <w:color w:val="auto"/>
          <w:sz w:val="24"/>
          <w:lang w:eastAsia="zh-CN"/>
        </w:rPr>
        <w:t>危险废物贮存点</w:t>
      </w:r>
      <w:r>
        <w:rPr>
          <w:color w:val="auto"/>
          <w:sz w:val="24"/>
        </w:rPr>
        <w:t>。项目建设一条屠宰线，年屠宰肉牛</w:t>
      </w:r>
      <w:r>
        <w:rPr>
          <w:rFonts w:hint="eastAsia"/>
          <w:color w:val="auto"/>
          <w:sz w:val="24"/>
          <w:lang w:eastAsia="zh-CN"/>
        </w:rPr>
        <w:t>2万</w:t>
      </w:r>
      <w:r>
        <w:rPr>
          <w:color w:val="auto"/>
          <w:sz w:val="24"/>
        </w:rPr>
        <w:t>头，年产牛肉</w:t>
      </w:r>
      <w:r>
        <w:rPr>
          <w:rFonts w:hint="eastAsia"/>
          <w:color w:val="auto"/>
          <w:sz w:val="24"/>
          <w:lang w:val="en-US" w:eastAsia="zh-CN"/>
        </w:rPr>
        <w:t>6</w:t>
      </w:r>
      <w:r>
        <w:rPr>
          <w:rFonts w:hint="eastAsia"/>
          <w:color w:val="auto"/>
          <w:sz w:val="24"/>
        </w:rPr>
        <w:t>000t、牛骨</w:t>
      </w:r>
      <w:r>
        <w:rPr>
          <w:rFonts w:hint="eastAsia"/>
          <w:color w:val="auto"/>
          <w:sz w:val="24"/>
          <w:lang w:val="en-US" w:eastAsia="zh-CN"/>
        </w:rPr>
        <w:t>600</w:t>
      </w:r>
      <w:r>
        <w:rPr>
          <w:rFonts w:hint="eastAsia"/>
          <w:color w:val="auto"/>
          <w:sz w:val="24"/>
        </w:rPr>
        <w:t>t、牛皮</w:t>
      </w:r>
      <w:r>
        <w:rPr>
          <w:rFonts w:hint="eastAsia"/>
          <w:color w:val="auto"/>
          <w:sz w:val="24"/>
          <w:lang w:val="en-US" w:eastAsia="zh-CN"/>
        </w:rPr>
        <w:t>550</w:t>
      </w:r>
      <w:r>
        <w:rPr>
          <w:rFonts w:hint="eastAsia"/>
          <w:color w:val="auto"/>
          <w:sz w:val="24"/>
        </w:rPr>
        <w:t>t、牛血</w:t>
      </w:r>
      <w:r>
        <w:rPr>
          <w:rFonts w:hint="eastAsia"/>
          <w:color w:val="auto"/>
          <w:sz w:val="24"/>
          <w:lang w:val="en-US" w:eastAsia="zh-CN"/>
        </w:rPr>
        <w:t>50</w:t>
      </w:r>
      <w:r>
        <w:rPr>
          <w:rFonts w:hint="eastAsia"/>
          <w:color w:val="auto"/>
          <w:sz w:val="24"/>
        </w:rPr>
        <w:t>0t、其它（头、蹄、内脏）</w:t>
      </w:r>
      <w:r>
        <w:rPr>
          <w:rFonts w:hint="eastAsia"/>
          <w:color w:val="auto"/>
          <w:sz w:val="24"/>
          <w:lang w:val="en-US" w:eastAsia="zh-CN"/>
        </w:rPr>
        <w:t>1950</w:t>
      </w:r>
      <w:r>
        <w:rPr>
          <w:rFonts w:hint="eastAsia"/>
          <w:color w:val="auto"/>
          <w:sz w:val="24"/>
        </w:rPr>
        <w:t>t</w:t>
      </w:r>
      <w:r>
        <w:rPr>
          <w:color w:val="auto"/>
          <w:sz w:val="24"/>
        </w:rPr>
        <w:t>。</w:t>
      </w:r>
    </w:p>
    <w:p>
      <w:pPr>
        <w:pStyle w:val="6"/>
        <w:spacing w:before="0" w:after="0" w:line="360" w:lineRule="auto"/>
        <w:contextualSpacing/>
        <w:rPr>
          <w:rFonts w:ascii="Times New Roman" w:hAnsi="Times New Roman" w:eastAsia="宋体" w:cs="Times New Roman"/>
          <w:bCs w:val="0"/>
          <w:color w:val="auto"/>
        </w:rPr>
      </w:pPr>
      <w:r>
        <w:rPr>
          <w:rFonts w:ascii="Times New Roman" w:hAnsi="Times New Roman" w:eastAsia="宋体" w:cs="Times New Roman"/>
          <w:bCs w:val="0"/>
          <w:color w:val="auto"/>
        </w:rPr>
        <w:t>9.1.2项目符合性结论</w:t>
      </w:r>
      <w:bookmarkEnd w:id="271"/>
    </w:p>
    <w:p>
      <w:pPr>
        <w:spacing w:line="360" w:lineRule="auto"/>
        <w:outlineLvl w:val="3"/>
        <w:rPr>
          <w:b/>
          <w:color w:val="auto"/>
          <w:sz w:val="24"/>
        </w:rPr>
      </w:pPr>
      <w:r>
        <w:rPr>
          <w:b/>
          <w:color w:val="auto"/>
          <w:sz w:val="24"/>
        </w:rPr>
        <w:t>9.1.2.1产业政策符合性结论</w:t>
      </w:r>
    </w:p>
    <w:p>
      <w:pPr>
        <w:pStyle w:val="74"/>
        <w:adjustRightInd/>
        <w:snapToGrid/>
        <w:contextualSpacing/>
        <w:jc w:val="both"/>
        <w:rPr>
          <w:rFonts w:ascii="Times New Roman" w:hAnsi="Times New Roman" w:eastAsia="宋体" w:cs="Times New Roman"/>
          <w:color w:val="auto"/>
        </w:rPr>
      </w:pPr>
      <w:r>
        <w:rPr>
          <w:rFonts w:hint="eastAsia" w:ascii="Times New Roman" w:hAnsi="Times New Roman" w:eastAsia="宋体" w:cs="Times New Roman"/>
          <w:color w:val="auto"/>
        </w:rPr>
        <w:t>根据</w:t>
      </w:r>
      <w:r>
        <w:rPr>
          <w:rFonts w:hint="eastAsia" w:ascii="Times New Roman" w:hAnsi="Times New Roman" w:eastAsia="宋体" w:cs="Times New Roman"/>
          <w:color w:val="auto"/>
          <w:lang w:eastAsia="zh-CN"/>
        </w:rPr>
        <w:t>《产业结构调整指导目录》（2024年本）</w:t>
      </w:r>
      <w:r>
        <w:rPr>
          <w:rFonts w:hint="eastAsia" w:ascii="Times New Roman" w:hAnsi="Times New Roman" w:eastAsia="宋体" w:cs="Times New Roman"/>
          <w:color w:val="auto"/>
        </w:rPr>
        <w:t>，年屠宰生猪15万头及以下、肉牛1万头及以下、肉羊15万只及以下、活禽1000万只及以下的屠宰建设项目（少数民族地区除外）为限制类；桥式劈半锯、敞式生猪烫毛机等生猪屠宰设备和猪、牛、羊、禽手工屠宰工艺为淘汰类。</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本项目</w:t>
      </w:r>
      <w:r>
        <w:rPr>
          <w:rFonts w:hint="eastAsia" w:ascii="Times New Roman" w:hAnsi="Times New Roman" w:eastAsia="宋体" w:cs="Times New Roman"/>
          <w:color w:val="auto"/>
        </w:rPr>
        <w:t>采用全自动屠宰生产线设计年屠宰</w:t>
      </w:r>
      <w:r>
        <w:rPr>
          <w:rFonts w:hint="eastAsia" w:ascii="Times New Roman" w:hAnsi="Times New Roman" w:eastAsia="宋体" w:cs="Times New Roman"/>
          <w:color w:val="auto"/>
          <w:lang w:eastAsia="zh-CN"/>
        </w:rPr>
        <w:t>2万</w:t>
      </w:r>
      <w:r>
        <w:rPr>
          <w:rFonts w:hint="eastAsia" w:ascii="Times New Roman" w:hAnsi="Times New Roman" w:eastAsia="宋体" w:cs="Times New Roman"/>
          <w:color w:val="auto"/>
        </w:rPr>
        <w:t>头肉牛，采取的工艺和设备均</w:t>
      </w:r>
      <w:r>
        <w:rPr>
          <w:rFonts w:ascii="Times New Roman" w:hAnsi="Times New Roman" w:eastAsia="宋体" w:cs="Times New Roman"/>
          <w:color w:val="auto"/>
        </w:rPr>
        <w:t>不属于</w:t>
      </w:r>
      <w:r>
        <w:rPr>
          <w:rFonts w:hint="eastAsia" w:ascii="Times New Roman" w:hAnsi="Times New Roman" w:eastAsia="宋体" w:cs="Times New Roman"/>
          <w:color w:val="auto"/>
          <w:lang w:eastAsia="zh-CN"/>
        </w:rPr>
        <w:t>《产业结构调整指导目录》（2024年本）</w:t>
      </w:r>
      <w:r>
        <w:rPr>
          <w:rFonts w:ascii="Times New Roman" w:hAnsi="Times New Roman" w:eastAsia="宋体" w:cs="Times New Roman"/>
          <w:color w:val="auto"/>
        </w:rPr>
        <w:t>中的</w:t>
      </w:r>
      <w:r>
        <w:rPr>
          <w:rFonts w:hint="eastAsia" w:ascii="Times New Roman" w:hAnsi="Times New Roman" w:eastAsia="宋体" w:cs="Times New Roman"/>
          <w:color w:val="auto"/>
        </w:rPr>
        <w:t>鼓励类、</w:t>
      </w:r>
      <w:r>
        <w:rPr>
          <w:rFonts w:ascii="Times New Roman" w:hAnsi="Times New Roman" w:eastAsia="宋体" w:cs="Times New Roman"/>
          <w:color w:val="auto"/>
        </w:rPr>
        <w:t>限制类和淘汰类，为允许类项目，</w:t>
      </w:r>
      <w:r>
        <w:rPr>
          <w:rFonts w:hint="eastAsia" w:ascii="Times New Roman" w:hAnsi="Times New Roman" w:eastAsia="宋体" w:cs="Times New Roman"/>
          <w:color w:val="auto"/>
        </w:rPr>
        <w:t>符合国家产业政策。</w:t>
      </w:r>
    </w:p>
    <w:p>
      <w:pPr>
        <w:spacing w:line="360" w:lineRule="auto"/>
        <w:outlineLvl w:val="3"/>
        <w:rPr>
          <w:b/>
          <w:color w:val="auto"/>
          <w:sz w:val="24"/>
        </w:rPr>
      </w:pPr>
      <w:r>
        <w:rPr>
          <w:b/>
          <w:color w:val="auto"/>
          <w:sz w:val="24"/>
        </w:rPr>
        <w:t>9.1.2.2场址选择合理性结论</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snapToGrid w:val="0"/>
          <w:color w:val="auto"/>
        </w:rPr>
        <w:t>本项目位于黑龙江省</w:t>
      </w:r>
      <w:r>
        <w:rPr>
          <w:rFonts w:hint="eastAsia" w:ascii="Times New Roman" w:hAnsi="Times New Roman" w:eastAsia="宋体" w:cs="Times New Roman"/>
          <w:snapToGrid w:val="0"/>
          <w:color w:val="auto"/>
          <w:lang w:eastAsia="zh-CN"/>
        </w:rPr>
        <w:t>哈尔滨市尚志市长寿乡一曼村</w:t>
      </w:r>
      <w:r>
        <w:rPr>
          <w:rFonts w:ascii="Times New Roman" w:hAnsi="Times New Roman" w:eastAsia="宋体" w:cs="Times New Roman"/>
          <w:snapToGrid w:val="0"/>
          <w:color w:val="auto"/>
        </w:rPr>
        <w:t>，用地为工业用地，</w:t>
      </w:r>
      <w:r>
        <w:rPr>
          <w:rFonts w:hint="eastAsia" w:ascii="Times New Roman" w:hAnsi="Times New Roman" w:eastAsia="宋体" w:cs="Times New Roman"/>
          <w:snapToGrid w:val="0"/>
          <w:color w:val="auto"/>
        </w:rPr>
        <w:t>厂区评价范围内无风景名胜区、自然保护区、水源保护区等敏感区分布，项目选址合理。</w:t>
      </w:r>
    </w:p>
    <w:p>
      <w:pPr>
        <w:spacing w:line="360" w:lineRule="auto"/>
        <w:outlineLvl w:val="3"/>
        <w:rPr>
          <w:b/>
          <w:color w:val="auto"/>
          <w:sz w:val="24"/>
        </w:rPr>
      </w:pPr>
      <w:bookmarkStart w:id="272" w:name="_Toc15991737"/>
      <w:r>
        <w:rPr>
          <w:b/>
          <w:color w:val="auto"/>
          <w:sz w:val="24"/>
        </w:rPr>
        <w:t>9.1.3环境质量现状评价结论</w:t>
      </w:r>
      <w:bookmarkEnd w:id="272"/>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（1）地表水环境质量现状评价结论</w:t>
      </w:r>
    </w:p>
    <w:p>
      <w:pPr>
        <w:spacing w:line="360" w:lineRule="auto"/>
        <w:ind w:firstLine="480" w:firstLineChars="200"/>
        <w:rPr>
          <w:color w:val="FF0000"/>
          <w:sz w:val="24"/>
        </w:rPr>
      </w:pPr>
      <w:r>
        <w:rPr>
          <w:bCs/>
          <w:color w:val="auto"/>
          <w:sz w:val="24"/>
        </w:rPr>
        <w:t>根据</w:t>
      </w:r>
      <w:r>
        <w:rPr>
          <w:rFonts w:hint="eastAsia"/>
          <w:bCs/>
          <w:color w:val="auto"/>
          <w:sz w:val="24"/>
          <w:lang w:eastAsia="zh-CN"/>
        </w:rPr>
        <w:t>《哈尔滨市生态环境质量报告书（2022年）》（黑龙江省哈尔滨生态环境监测中心，2023年6月），202</w:t>
      </w:r>
      <w:r>
        <w:rPr>
          <w:rFonts w:hint="eastAsia"/>
          <w:bCs/>
          <w:color w:val="auto"/>
          <w:sz w:val="24"/>
          <w:lang w:val="en-US" w:eastAsia="zh-CN"/>
        </w:rPr>
        <w:t>2</w:t>
      </w:r>
      <w:r>
        <w:rPr>
          <w:rFonts w:hint="eastAsia"/>
          <w:bCs/>
          <w:color w:val="auto"/>
          <w:sz w:val="24"/>
          <w:lang w:eastAsia="zh-CN"/>
        </w:rPr>
        <w:t>年松花江哈尔滨江段12条主要一级支流总体状况为良，水质总体好转。本项目所在区域水体为蚂蚁河，蚂蚁河口内监测断面水质达到《地表水环境质量标准》（GB3838-2002）Ⅲ类标准，达到考核目标Ⅲ类水质要求。</w:t>
      </w:r>
    </w:p>
    <w:p>
      <w:pPr>
        <w:pStyle w:val="74"/>
        <w:keepNext w:val="0"/>
        <w:keepLines w:val="0"/>
        <w:pageBreakBefore w:val="0"/>
        <w:kinsoku/>
        <w:wordWrap/>
        <w:overflowPunct/>
        <w:topLinePunct w:val="0"/>
        <w:autoSpaceDE/>
        <w:autoSpaceDN/>
        <w:bidi w:val="0"/>
        <w:adjustRightInd/>
        <w:snapToGrid/>
        <w:contextualSpacing/>
        <w:jc w:val="both"/>
        <w:textAlignment w:val="auto"/>
        <w:rPr>
          <w:rFonts w:ascii="Times New Roman" w:hAnsi="Times New Roman" w:eastAsia="宋体" w:cs="Times New Roman"/>
          <w:color w:val="auto"/>
        </w:rPr>
      </w:pPr>
      <w:r>
        <w:rPr>
          <w:rFonts w:ascii="Times New Roman" w:hAnsi="Times New Roman" w:eastAsia="宋体" w:cs="Times New Roman"/>
          <w:color w:val="auto"/>
        </w:rPr>
        <w:t>（2）地下水环境质量现状评价结论</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lang w:eastAsia="zh-CN"/>
        </w:rPr>
        <w:t>1#</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2#</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3#</w:t>
      </w:r>
      <w:r>
        <w:rPr>
          <w:rFonts w:hint="default" w:ascii="Times New Roman" w:hAnsi="Times New Roman" w:cs="Times New Roman"/>
          <w:color w:val="auto"/>
          <w:sz w:val="24"/>
        </w:rPr>
        <w:t>监测点</w:t>
      </w:r>
      <w:r>
        <w:rPr>
          <w:rFonts w:hint="default" w:ascii="Times New Roman" w:hAnsi="Times New Roman" w:cs="Times New Roman"/>
          <w:color w:val="auto"/>
          <w:sz w:val="24"/>
          <w:lang w:val="en-US" w:eastAsia="zh-CN"/>
        </w:rPr>
        <w:t>各</w:t>
      </w:r>
      <w:r>
        <w:rPr>
          <w:rFonts w:hint="default" w:ascii="Times New Roman" w:hAnsi="Times New Roman" w:cs="Times New Roman"/>
          <w:color w:val="auto"/>
          <w:sz w:val="24"/>
        </w:rPr>
        <w:t>监测因子均符合《地下水质量标准》（GB/T14848-2017）中Ⅲ类标准，</w:t>
      </w:r>
      <w:r>
        <w:rPr>
          <w:rFonts w:hint="eastAsia" w:cs="Times New Roman"/>
          <w:color w:val="auto"/>
          <w:sz w:val="24"/>
          <w:lang w:val="en-US" w:eastAsia="zh-CN"/>
        </w:rPr>
        <w:t>监测点</w:t>
      </w:r>
      <w:r>
        <w:rPr>
          <w:rFonts w:hint="default" w:ascii="Times New Roman" w:hAnsi="Times New Roman" w:eastAsia="宋体" w:cs="Times New Roman"/>
          <w:smallCaps w:val="0"/>
          <w:snapToGrid w:val="0"/>
          <w:color w:val="auto"/>
          <w:kern w:val="2"/>
          <w:sz w:val="24"/>
          <w:szCs w:val="24"/>
          <w:lang w:val="en-US" w:eastAsia="zh-CN" w:bidi="ar-SA"/>
        </w:rPr>
        <w:t>1#处地下水为25-A型，</w:t>
      </w:r>
      <w:r>
        <w:rPr>
          <w:rFonts w:hint="default" w:ascii="Times New Roman" w:hAnsi="Times New Roman" w:cs="Times New Roman"/>
          <w:color w:val="auto"/>
          <w:sz w:val="24"/>
        </w:rPr>
        <w:t>表示矿化度小于1.5g/L的HCO</w:t>
      </w:r>
      <w:r>
        <w:rPr>
          <w:rFonts w:hint="default" w:ascii="Times New Roman" w:hAnsi="Times New Roman" w:cs="Times New Roman"/>
          <w:color w:val="auto"/>
          <w:sz w:val="24"/>
          <w:vertAlign w:val="subscript"/>
        </w:rPr>
        <w:t>3</w:t>
      </w:r>
      <w:r>
        <w:rPr>
          <w:rFonts w:hint="default" w:ascii="Times New Roman" w:hAnsi="Times New Roman" w:cs="Times New Roman"/>
          <w:color w:val="auto"/>
          <w:sz w:val="24"/>
          <w:vertAlign w:val="superscript"/>
        </w:rPr>
        <w:t>-</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Cl</w:t>
      </w:r>
      <w:r>
        <w:rPr>
          <w:rFonts w:hint="default" w:ascii="Times New Roman" w:hAnsi="Times New Roman" w:cs="Times New Roman"/>
          <w:color w:val="auto"/>
          <w:sz w:val="24"/>
          <w:vertAlign w:val="superscript"/>
          <w:lang w:val="en-US" w:eastAsia="zh-CN"/>
        </w:rPr>
        <w:t>-</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Ca</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-Na</w:t>
      </w:r>
      <w:r>
        <w:rPr>
          <w:rFonts w:hint="default" w:ascii="Times New Roman" w:hAnsi="Times New Roman" w:cs="Times New Roman"/>
          <w:color w:val="auto"/>
          <w:sz w:val="24"/>
          <w:vertAlign w:val="superscript"/>
          <w:lang w:val="en-US" w:eastAsia="zh-CN"/>
        </w:rPr>
        <w:t>+</w:t>
      </w:r>
      <w:r>
        <w:rPr>
          <w:rFonts w:hint="default" w:ascii="Times New Roman" w:hAnsi="Times New Roman" w:cs="Times New Roman"/>
          <w:color w:val="auto"/>
          <w:sz w:val="24"/>
        </w:rPr>
        <w:t>型水</w:t>
      </w:r>
      <w:r>
        <w:rPr>
          <w:rFonts w:hint="default" w:ascii="Times New Roman" w:hAnsi="Times New Roman" w:cs="Times New Roman"/>
          <w:color w:val="auto"/>
          <w:sz w:val="24"/>
          <w:lang w:eastAsia="zh-CN"/>
        </w:rPr>
        <w:t>，</w:t>
      </w:r>
      <w:r>
        <w:rPr>
          <w:rFonts w:hint="eastAsia" w:cs="Times New Roman"/>
          <w:color w:val="auto"/>
          <w:sz w:val="24"/>
          <w:lang w:val="en-US" w:eastAsia="zh-CN"/>
        </w:rPr>
        <w:t>监测点</w:t>
      </w:r>
      <w:r>
        <w:rPr>
          <w:rFonts w:hint="default" w:ascii="Times New Roman" w:hAnsi="Times New Roman" w:eastAsia="宋体" w:cs="Times New Roman"/>
          <w:smallCaps w:val="0"/>
          <w:snapToGrid w:val="0"/>
          <w:color w:val="auto"/>
          <w:kern w:val="2"/>
          <w:sz w:val="24"/>
          <w:szCs w:val="24"/>
          <w:lang w:val="en-US" w:eastAsia="zh-CN" w:bidi="ar-SA"/>
        </w:rPr>
        <w:t>2#~3#处地下水为4-A型，</w:t>
      </w:r>
      <w:r>
        <w:rPr>
          <w:rFonts w:hint="default" w:ascii="Times New Roman" w:hAnsi="Times New Roman" w:cs="Times New Roman"/>
          <w:color w:val="auto"/>
          <w:sz w:val="24"/>
        </w:rPr>
        <w:t>表示矿化度小于1.5g/L的HCO</w:t>
      </w:r>
      <w:r>
        <w:rPr>
          <w:rFonts w:hint="default" w:ascii="Times New Roman" w:hAnsi="Times New Roman" w:cs="Times New Roman"/>
          <w:color w:val="auto"/>
          <w:sz w:val="24"/>
          <w:vertAlign w:val="subscript"/>
        </w:rPr>
        <w:t>3</w:t>
      </w:r>
      <w:r>
        <w:rPr>
          <w:rFonts w:hint="default" w:ascii="Times New Roman" w:hAnsi="Times New Roman" w:cs="Times New Roman"/>
          <w:color w:val="auto"/>
          <w:sz w:val="24"/>
          <w:vertAlign w:val="superscript"/>
        </w:rPr>
        <w:t>-</w:t>
      </w:r>
      <w:r>
        <w:rPr>
          <w:rFonts w:hint="default" w:ascii="Times New Roman" w:hAnsi="Times New Roman" w:cs="Times New Roman"/>
          <w:color w:val="auto"/>
          <w:sz w:val="24"/>
          <w:lang w:val="en-US" w:eastAsia="zh-CN"/>
        </w:rPr>
        <w:t>-Na</w:t>
      </w:r>
      <w:r>
        <w:rPr>
          <w:rFonts w:hint="default" w:ascii="Times New Roman" w:hAnsi="Times New Roman" w:cs="Times New Roman"/>
          <w:color w:val="auto"/>
          <w:sz w:val="24"/>
          <w:vertAlign w:val="superscript"/>
          <w:lang w:val="en-US" w:eastAsia="zh-CN"/>
        </w:rPr>
        <w:t>+</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Ca</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型水。</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（3）大气环境质量现状评价结论</w:t>
      </w:r>
    </w:p>
    <w:p>
      <w:pPr>
        <w:pStyle w:val="74"/>
        <w:adjustRightInd/>
        <w:snapToGrid/>
        <w:jc w:val="both"/>
        <w:rPr>
          <w:rFonts w:ascii="Times New Roman" w:hAnsi="Times New Roman" w:cs="Times New Roman"/>
          <w:color w:val="auto"/>
        </w:rPr>
      </w:pPr>
      <w:r>
        <w:rPr>
          <w:rFonts w:ascii="Times New Roman" w:hAnsi="Times New Roman" w:cs="Times New Roman"/>
          <w:color w:val="auto"/>
        </w:rPr>
        <w:t>根据</w:t>
      </w:r>
      <w:r>
        <w:rPr>
          <w:rFonts w:hint="eastAsia" w:ascii="Times New Roman" w:hAnsi="Times New Roman" w:cs="Times New Roman"/>
          <w:color w:val="auto"/>
          <w:lang w:eastAsia="zh-CN"/>
        </w:rPr>
        <w:t>《哈尔滨市生态环境质量报告书（2022年）》（黑龙江省哈尔滨生态环境监测中心，2023年6月）</w:t>
      </w:r>
      <w:r>
        <w:rPr>
          <w:rFonts w:ascii="Times New Roman" w:hAnsi="Times New Roman" w:cs="Times New Roman"/>
          <w:color w:val="auto"/>
        </w:rPr>
        <w:t>，</w:t>
      </w:r>
      <w:r>
        <w:rPr>
          <w:rFonts w:hint="default" w:ascii="Times New Roman" w:hAnsi="Times New Roman" w:cs="Times New Roman"/>
          <w:color w:val="auto"/>
          <w:lang w:val="en-US" w:eastAsia="zh-CN"/>
        </w:rPr>
        <w:t>2022年哈尔滨市环境空气质量有效监测天数365天，达标310天，达标率84.9%。其中优167天，良143天。超标55天，其中轻度污染31天，中度污染14天，重度污染9天，严重污染1天。超标天数中首要污染物47天为细颗粒物，3天为臭氧，5天为可吸入颗粒物。年度综合指数3.80。</w:t>
      </w:r>
      <w:r>
        <w:rPr>
          <w:rFonts w:ascii="Times New Roman" w:hAnsi="Times New Roman" w:cs="Times New Roman"/>
          <w:color w:val="auto"/>
        </w:rPr>
        <w:t>除细颗粒物总体评价未达到二级标准，其他五项污染物均达到二级标准。本项目所在区域为不达标区。通过补充监测结果表明，</w:t>
      </w:r>
      <w:r>
        <w:rPr>
          <w:rFonts w:hint="default" w:ascii="Times New Roman" w:hAnsi="Times New Roman" w:eastAsia="宋体" w:cs="Times New Roman"/>
          <w:color w:val="auto"/>
          <w:sz w:val="24"/>
          <w:szCs w:val="24"/>
          <w:lang w:eastAsia="zh-CN"/>
        </w:rPr>
        <w:t>总悬浮颗粒物（</w:t>
      </w:r>
      <w:r>
        <w:rPr>
          <w:rFonts w:hint="default" w:ascii="Times New Roman" w:hAnsi="Times New Roman" w:eastAsia="宋体" w:cs="Times New Roman"/>
          <w:color w:val="auto"/>
          <w:sz w:val="24"/>
          <w:szCs w:val="24"/>
          <w:lang w:val="en-US" w:eastAsia="zh-CN"/>
        </w:rPr>
        <w:t>TSP</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满足《环境空气质量标准》（GB3095-2012）中二级标准，</w:t>
      </w:r>
      <w:r>
        <w:rPr>
          <w:rFonts w:ascii="Times New Roman" w:hAnsi="Times New Roman" w:eastAsia="宋体" w:cs="Times New Roman"/>
          <w:color w:val="auto"/>
        </w:rPr>
        <w:t>监测点NH</w:t>
      </w:r>
      <w:r>
        <w:rPr>
          <w:rFonts w:ascii="Times New Roman" w:hAnsi="Times New Roman" w:eastAsia="宋体" w:cs="Times New Roman"/>
          <w:color w:val="auto"/>
          <w:vertAlign w:val="subscript"/>
        </w:rPr>
        <w:t>3</w:t>
      </w:r>
      <w:r>
        <w:rPr>
          <w:rFonts w:hint="eastAsia" w:ascii="Times New Roman" w:hAnsi="Times New Roman" w:eastAsia="宋体" w:cs="Times New Roman"/>
          <w:color w:val="auto"/>
          <w:vertAlign w:val="baseline"/>
          <w:lang w:eastAsia="zh-CN"/>
        </w:rPr>
        <w:t>、</w:t>
      </w:r>
      <w:r>
        <w:rPr>
          <w:rFonts w:ascii="Times New Roman" w:hAnsi="Times New Roman" w:eastAsia="宋体" w:cs="Times New Roman"/>
          <w:color w:val="auto"/>
        </w:rPr>
        <w:t>H</w:t>
      </w:r>
      <w:r>
        <w:rPr>
          <w:rFonts w:ascii="Times New Roman" w:hAnsi="Times New Roman" w:eastAsia="宋体" w:cs="Times New Roman"/>
          <w:color w:val="auto"/>
          <w:vertAlign w:val="subscript"/>
        </w:rPr>
        <w:t>2</w:t>
      </w:r>
      <w:r>
        <w:rPr>
          <w:rFonts w:ascii="Times New Roman" w:hAnsi="Times New Roman" w:eastAsia="宋体" w:cs="Times New Roman"/>
          <w:color w:val="auto"/>
        </w:rPr>
        <w:t>S未检出，满足《环境影响评价技术导则大气环境》（HJ 2.2-2018）附录D标准。</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（4）声环境质量现状评价结论</w:t>
      </w:r>
    </w:p>
    <w:p>
      <w:pPr>
        <w:spacing w:line="360" w:lineRule="auto"/>
        <w:ind w:firstLine="480" w:firstLineChars="200"/>
        <w:contextualSpacing/>
        <w:rPr>
          <w:color w:val="auto"/>
          <w:sz w:val="24"/>
        </w:rPr>
      </w:pPr>
      <w:r>
        <w:rPr>
          <w:color w:val="auto"/>
          <w:sz w:val="24"/>
        </w:rPr>
        <w:t>项目区评价范围内各监测点昼间及夜间等效连续A声级均无超标现象，达标率100%，评价区厂界噪声背景值满足《声环境质量标准》（GB3096-2008）</w:t>
      </w:r>
      <w:r>
        <w:rPr>
          <w:rFonts w:hint="eastAsia"/>
          <w:color w:val="auto"/>
          <w:sz w:val="24"/>
        </w:rPr>
        <w:t>2</w:t>
      </w:r>
      <w:r>
        <w:rPr>
          <w:color w:val="auto"/>
          <w:sz w:val="24"/>
        </w:rPr>
        <w:t>类标准。</w:t>
      </w:r>
    </w:p>
    <w:p>
      <w:pPr>
        <w:pStyle w:val="6"/>
        <w:spacing w:before="0" w:after="0" w:line="360" w:lineRule="auto"/>
        <w:contextualSpacing/>
        <w:rPr>
          <w:rFonts w:ascii="Times New Roman" w:hAnsi="Times New Roman" w:eastAsia="宋体" w:cs="Times New Roman"/>
          <w:bCs w:val="0"/>
          <w:color w:val="auto"/>
        </w:rPr>
      </w:pPr>
      <w:bookmarkStart w:id="273" w:name="_Toc15991738"/>
      <w:r>
        <w:rPr>
          <w:rFonts w:ascii="Times New Roman" w:hAnsi="Times New Roman" w:eastAsia="宋体" w:cs="Times New Roman"/>
          <w:bCs w:val="0"/>
          <w:color w:val="auto"/>
        </w:rPr>
        <w:t>9.1.4污染防治措施可行性结论</w:t>
      </w:r>
      <w:bookmarkEnd w:id="273"/>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（1）大气</w:t>
      </w:r>
    </w:p>
    <w:p>
      <w:pPr>
        <w:pStyle w:val="74"/>
        <w:adjustRightInd/>
        <w:snapToGrid/>
        <w:contextualSpacing/>
        <w:jc w:val="both"/>
        <w:rPr>
          <w:rFonts w:ascii="Times New Roman" w:hAnsi="Times New Roman" w:eastAsia="宋体" w:cs="Times New Roman"/>
          <w:bCs/>
          <w:color w:val="auto"/>
        </w:rPr>
      </w:pPr>
      <w:r>
        <w:rPr>
          <w:rFonts w:ascii="Times New Roman" w:hAnsi="Times New Roman" w:eastAsia="宋体" w:cs="Times New Roman"/>
          <w:color w:val="auto"/>
        </w:rPr>
        <w:t>本项目食堂油烟经油烟净化器处理后，经高于楼顶的专用烟道排放，油烟排放浓度</w:t>
      </w:r>
      <w:r>
        <w:rPr>
          <w:rFonts w:ascii="Times New Roman" w:hAnsi="Times New Roman" w:eastAsia="宋体" w:cs="Times New Roman"/>
          <w:bCs/>
          <w:color w:val="auto"/>
        </w:rPr>
        <w:t>满足《饮食业油烟排放标准（试行）》（GB18483-2001）中小型食堂油烟的标准限值要求。</w:t>
      </w:r>
    </w:p>
    <w:p>
      <w:pPr>
        <w:pStyle w:val="74"/>
        <w:contextualSpacing/>
        <w:rPr>
          <w:rFonts w:ascii="Times New Roman" w:hAnsi="Times New Roman" w:cs="Times New Roman"/>
          <w:bCs/>
          <w:color w:val="auto"/>
        </w:rPr>
      </w:pPr>
      <w:r>
        <w:rPr>
          <w:rFonts w:ascii="Times New Roman" w:cs="Times New Roman"/>
          <w:bCs/>
          <w:color w:val="auto"/>
        </w:rPr>
        <w:t>本项目</w:t>
      </w:r>
      <w:r>
        <w:rPr>
          <w:rFonts w:hint="eastAsia" w:ascii="Times New Roman" w:cs="Times New Roman"/>
          <w:bCs/>
          <w:color w:val="auto"/>
        </w:rPr>
        <w:t>屠宰车间封闭，</w:t>
      </w:r>
      <w:r>
        <w:rPr>
          <w:rFonts w:ascii="Times New Roman" w:cs="Times New Roman"/>
          <w:bCs/>
          <w:color w:val="auto"/>
        </w:rPr>
        <w:t>产生的恶臭气体经负压集中收集后，通过活性炭吸附净化后由15m高排气筒（</w:t>
      </w:r>
      <w:r>
        <w:rPr>
          <w:rFonts w:hint="eastAsia" w:ascii="Times New Roman" w:cs="Times New Roman"/>
          <w:bCs/>
          <w:color w:val="auto"/>
        </w:rPr>
        <w:t>DA001</w:t>
      </w:r>
      <w:r>
        <w:rPr>
          <w:rFonts w:ascii="Times New Roman" w:cs="Times New Roman"/>
          <w:bCs/>
          <w:color w:val="auto"/>
        </w:rPr>
        <w:t>）排放。本项目污水处理站封闭，产生的恶臭气体经负压集中收集后，通过活性炭吸附净化后由15m高排气筒（</w:t>
      </w:r>
      <w:r>
        <w:rPr>
          <w:rFonts w:hint="eastAsia" w:ascii="Times New Roman" w:cs="Times New Roman"/>
          <w:bCs/>
          <w:color w:val="auto"/>
        </w:rPr>
        <w:t>DA002</w:t>
      </w:r>
      <w:r>
        <w:rPr>
          <w:rFonts w:ascii="Times New Roman" w:cs="Times New Roman"/>
          <w:bCs/>
          <w:color w:val="auto"/>
        </w:rPr>
        <w:t>）排放。本项目待宰</w:t>
      </w:r>
      <w:r>
        <w:rPr>
          <w:rFonts w:hint="eastAsia" w:ascii="Times New Roman" w:cs="Times New Roman"/>
          <w:bCs/>
          <w:color w:val="auto"/>
        </w:rPr>
        <w:t>间封闭，</w:t>
      </w:r>
      <w:r>
        <w:rPr>
          <w:rFonts w:ascii="Times New Roman" w:cs="Times New Roman"/>
          <w:bCs/>
          <w:color w:val="auto"/>
        </w:rPr>
        <w:t>及时清扫，并投加或喷洒除臭剂，产生的</w:t>
      </w:r>
      <w:r>
        <w:rPr>
          <w:rFonts w:hint="eastAsia" w:ascii="Times New Roman" w:cs="Times New Roman"/>
          <w:bCs/>
          <w:color w:val="auto"/>
        </w:rPr>
        <w:t>恶臭气体</w:t>
      </w:r>
      <w:r>
        <w:rPr>
          <w:rFonts w:ascii="Times New Roman" w:cs="Times New Roman"/>
          <w:bCs/>
          <w:color w:val="auto"/>
        </w:rPr>
        <w:t>经负压集中收集后，通过活性炭吸附净化后由15m高排气筒（</w:t>
      </w:r>
      <w:r>
        <w:rPr>
          <w:rFonts w:hint="eastAsia" w:ascii="Times New Roman" w:cs="Times New Roman"/>
          <w:bCs/>
          <w:color w:val="auto"/>
        </w:rPr>
        <w:t>DA00</w:t>
      </w:r>
      <w:r>
        <w:rPr>
          <w:rFonts w:hint="eastAsia" w:ascii="Times New Roman" w:cs="Times New Roman"/>
          <w:bCs/>
          <w:color w:val="auto"/>
          <w:lang w:val="en-US" w:eastAsia="zh-CN"/>
        </w:rPr>
        <w:t>3</w:t>
      </w:r>
      <w:r>
        <w:rPr>
          <w:rFonts w:ascii="Times New Roman" w:cs="Times New Roman"/>
          <w:bCs/>
          <w:color w:val="auto"/>
        </w:rPr>
        <w:t>）排放。本项目</w:t>
      </w:r>
      <w:r>
        <w:rPr>
          <w:rFonts w:ascii="Times New Roman" w:hAnsi="Times New Roman" w:cs="Times New Roman"/>
          <w:bCs/>
          <w:color w:val="auto"/>
        </w:rPr>
        <w:t>DA001</w:t>
      </w:r>
      <w:r>
        <w:rPr>
          <w:rFonts w:hint="eastAsia" w:ascii="Times New Roman" w:cs="Times New Roman"/>
          <w:bCs/>
          <w:color w:val="auto"/>
        </w:rPr>
        <w:t>、</w:t>
      </w:r>
      <w:r>
        <w:rPr>
          <w:rFonts w:ascii="Times New Roman" w:hAnsi="Times New Roman" w:cs="Times New Roman"/>
          <w:bCs/>
          <w:color w:val="auto"/>
        </w:rPr>
        <w:t>DA002及</w:t>
      </w:r>
      <w:r>
        <w:rPr>
          <w:rFonts w:hint="eastAsia" w:ascii="Times New Roman" w:hAnsi="Times New Roman" w:cs="Times New Roman"/>
          <w:bCs/>
          <w:color w:val="auto"/>
        </w:rPr>
        <w:t>DA00</w:t>
      </w:r>
      <w:r>
        <w:rPr>
          <w:rFonts w:hint="eastAsia" w:ascii="Times New Roman" w:hAnsi="Times New Roman" w:cs="Times New Roman"/>
          <w:bCs/>
          <w:color w:val="auto"/>
          <w:lang w:val="en-US" w:eastAsia="zh-CN"/>
        </w:rPr>
        <w:t>3</w:t>
      </w:r>
      <w:r>
        <w:rPr>
          <w:rFonts w:ascii="Times New Roman" w:cs="Times New Roman"/>
          <w:bCs/>
          <w:color w:val="auto"/>
        </w:rPr>
        <w:t>有组织排放</w:t>
      </w:r>
      <w:r>
        <w:rPr>
          <w:rFonts w:ascii="Times New Roman" w:hAnsi="Times New Roman" w:cs="Times New Roman"/>
          <w:bCs/>
          <w:color w:val="auto"/>
        </w:rPr>
        <w:t>NH</w:t>
      </w:r>
      <w:r>
        <w:rPr>
          <w:rFonts w:ascii="Times New Roman" w:hAnsi="Times New Roman" w:cs="Times New Roman"/>
          <w:bCs/>
          <w:color w:val="auto"/>
          <w:vertAlign w:val="subscript"/>
        </w:rPr>
        <w:t>3</w:t>
      </w:r>
      <w:r>
        <w:rPr>
          <w:rFonts w:ascii="Times New Roman" w:cs="Times New Roman"/>
          <w:bCs/>
          <w:color w:val="auto"/>
        </w:rPr>
        <w:t>、</w:t>
      </w:r>
      <w:r>
        <w:rPr>
          <w:rFonts w:ascii="Times New Roman" w:hAnsi="Times New Roman" w:cs="Times New Roman"/>
          <w:bCs/>
          <w:color w:val="auto"/>
        </w:rPr>
        <w:t>H</w:t>
      </w:r>
      <w:r>
        <w:rPr>
          <w:rFonts w:ascii="Times New Roman" w:hAnsi="Times New Roman" w:cs="Times New Roman"/>
          <w:bCs/>
          <w:color w:val="auto"/>
          <w:vertAlign w:val="subscript"/>
        </w:rPr>
        <w:t>2</w:t>
      </w:r>
      <w:r>
        <w:rPr>
          <w:rFonts w:ascii="Times New Roman" w:hAnsi="Times New Roman" w:cs="Times New Roman"/>
          <w:bCs/>
          <w:color w:val="auto"/>
        </w:rPr>
        <w:t>S</w:t>
      </w:r>
      <w:r>
        <w:rPr>
          <w:rFonts w:ascii="Times New Roman" w:cs="Times New Roman"/>
          <w:bCs/>
          <w:color w:val="auto"/>
        </w:rPr>
        <w:t>和臭气浓度均能够满足《恶臭污染物排放标准》（</w:t>
      </w:r>
      <w:r>
        <w:rPr>
          <w:rFonts w:ascii="Times New Roman" w:hAnsi="Times New Roman" w:cs="Times New Roman"/>
          <w:bCs/>
          <w:color w:val="auto"/>
        </w:rPr>
        <w:t>GB14554-93</w:t>
      </w:r>
      <w:r>
        <w:rPr>
          <w:rFonts w:ascii="Times New Roman" w:cs="Times New Roman"/>
          <w:bCs/>
          <w:color w:val="auto"/>
        </w:rPr>
        <w:t>）表</w:t>
      </w:r>
      <w:r>
        <w:rPr>
          <w:rFonts w:ascii="Times New Roman" w:hAnsi="Times New Roman" w:cs="Times New Roman"/>
          <w:bCs/>
          <w:color w:val="auto"/>
        </w:rPr>
        <w:t>2</w:t>
      </w:r>
      <w:r>
        <w:rPr>
          <w:rFonts w:ascii="Times New Roman" w:cs="Times New Roman"/>
          <w:bCs/>
          <w:color w:val="auto"/>
        </w:rPr>
        <w:t>恶臭污染物排放标准值。</w:t>
      </w:r>
    </w:p>
    <w:p>
      <w:pPr>
        <w:pStyle w:val="74"/>
        <w:adjustRightInd/>
        <w:snapToGrid/>
        <w:contextualSpacing/>
        <w:jc w:val="both"/>
        <w:rPr>
          <w:rFonts w:ascii="Times New Roman" w:hAnsi="Times New Roman" w:eastAsia="宋体" w:cs="Times New Roman"/>
          <w:bCs/>
          <w:color w:val="auto"/>
        </w:rPr>
      </w:pPr>
      <w:r>
        <w:rPr>
          <w:rFonts w:ascii="Times New Roman" w:hAnsi="Times New Roman" w:eastAsia="宋体" w:cs="Times New Roman"/>
          <w:bCs/>
          <w:color w:val="auto"/>
        </w:rPr>
        <w:t>待宰间、屠宰车间和污水处理站封闭，加强通风，未被收集的恶臭气体无组织排放。根据估算模式预测结果，无组织排放恶臭气体污染物经过自然风稀释扩散后，厂界NH</w:t>
      </w:r>
      <w:r>
        <w:rPr>
          <w:rFonts w:ascii="Times New Roman" w:hAnsi="Times New Roman" w:eastAsia="宋体" w:cs="Times New Roman"/>
          <w:bCs/>
          <w:color w:val="auto"/>
          <w:vertAlign w:val="subscript"/>
        </w:rPr>
        <w:t>3</w:t>
      </w:r>
      <w:r>
        <w:rPr>
          <w:rFonts w:ascii="Times New Roman" w:hAnsi="Times New Roman" w:eastAsia="宋体" w:cs="Times New Roman"/>
          <w:bCs/>
          <w:color w:val="auto"/>
        </w:rPr>
        <w:t>、H</w:t>
      </w:r>
      <w:r>
        <w:rPr>
          <w:rFonts w:ascii="Times New Roman" w:hAnsi="Times New Roman" w:eastAsia="宋体" w:cs="Times New Roman"/>
          <w:bCs/>
          <w:color w:val="auto"/>
          <w:vertAlign w:val="subscript"/>
        </w:rPr>
        <w:t>2</w:t>
      </w:r>
      <w:r>
        <w:rPr>
          <w:rFonts w:ascii="Times New Roman" w:hAnsi="Times New Roman" w:eastAsia="宋体" w:cs="Times New Roman"/>
          <w:bCs/>
          <w:color w:val="auto"/>
        </w:rPr>
        <w:t>S和臭气浓度能够满足《恶臭污染物排放标准》（GB14554-93）表1中二级新改扩建标准。</w:t>
      </w:r>
    </w:p>
    <w:p>
      <w:pPr>
        <w:pStyle w:val="74"/>
        <w:adjustRightInd/>
        <w:snapToGrid/>
        <w:contextualSpacing/>
        <w:rPr>
          <w:rFonts w:hint="default" w:ascii="Times New Roman" w:hAnsi="Times New Roman" w:eastAsia="宋体" w:cs="Times New Roman"/>
          <w:color w:val="FF0000"/>
          <w:lang w:val="en-US" w:eastAsia="zh-CN"/>
        </w:rPr>
      </w:pPr>
      <w:r>
        <w:rPr>
          <w:rFonts w:hint="default" w:ascii="Times New Roman" w:hAnsi="Times New Roman" w:eastAsia="宋体" w:cs="Times New Roman"/>
          <w:color w:val="auto"/>
          <w:kern w:val="2"/>
          <w:sz w:val="24"/>
          <w:szCs w:val="24"/>
          <w:lang w:val="en-US" w:eastAsia="zh-CN" w:bidi="ar-SA"/>
        </w:rPr>
        <w:t>本项目生活热源由1台</w:t>
      </w:r>
      <w:r>
        <w:rPr>
          <w:rFonts w:hint="eastAsia" w:ascii="Times New Roman" w:hAnsi="Times New Roman" w:eastAsia="宋体" w:cs="Times New Roman"/>
          <w:color w:val="auto"/>
          <w:kern w:val="2"/>
          <w:sz w:val="24"/>
          <w:szCs w:val="24"/>
          <w:lang w:val="en-US" w:eastAsia="zh-CN" w:bidi="ar-SA"/>
        </w:rPr>
        <w:t>2.1MW</w:t>
      </w:r>
      <w:r>
        <w:rPr>
          <w:rFonts w:hint="default" w:ascii="Times New Roman" w:hAnsi="Times New Roman" w:eastAsia="宋体" w:cs="Times New Roman"/>
          <w:color w:val="auto"/>
          <w:kern w:val="2"/>
          <w:sz w:val="24"/>
          <w:szCs w:val="24"/>
          <w:lang w:val="en-US" w:eastAsia="zh-CN" w:bidi="ar-SA"/>
        </w:rPr>
        <w:t>生物质热水锅炉供应，产生的烟气经布袋除尘器处理后，经</w:t>
      </w:r>
      <w:r>
        <w:rPr>
          <w:rFonts w:hint="eastAsia" w:ascii="Times New Roman" w:hAnsi="Times New Roman" w:eastAsia="宋体" w:cs="Times New Roman"/>
          <w:color w:val="auto"/>
          <w:kern w:val="2"/>
          <w:sz w:val="24"/>
          <w:szCs w:val="24"/>
          <w:lang w:val="en-US" w:eastAsia="zh-CN" w:bidi="ar-SA"/>
        </w:rPr>
        <w:t>30m</w:t>
      </w:r>
      <w:r>
        <w:rPr>
          <w:rFonts w:hint="default" w:ascii="Times New Roman" w:hAnsi="Times New Roman" w:eastAsia="宋体" w:cs="Times New Roman"/>
          <w:color w:val="auto"/>
          <w:kern w:val="2"/>
          <w:sz w:val="24"/>
          <w:szCs w:val="24"/>
          <w:lang w:val="en-US" w:eastAsia="zh-CN" w:bidi="ar-SA"/>
        </w:rPr>
        <w:t>高烟囱</w:t>
      </w:r>
      <w:r>
        <w:rPr>
          <w:rFonts w:hint="eastAsia" w:ascii="Times New Roman" w:hAnsi="Times New Roman" w:eastAsia="宋体" w:cs="Times New Roman"/>
          <w:color w:val="auto"/>
          <w:kern w:val="2"/>
          <w:sz w:val="24"/>
          <w:szCs w:val="24"/>
          <w:lang w:val="en-US" w:eastAsia="zh-CN" w:bidi="ar-SA"/>
        </w:rPr>
        <w:t>（DA005）</w:t>
      </w:r>
      <w:r>
        <w:rPr>
          <w:rFonts w:hint="default" w:ascii="Times New Roman" w:hAnsi="Times New Roman" w:eastAsia="宋体" w:cs="Times New Roman"/>
          <w:color w:val="auto"/>
          <w:kern w:val="2"/>
          <w:sz w:val="24"/>
          <w:szCs w:val="24"/>
          <w:lang w:val="en-US" w:eastAsia="zh-CN" w:bidi="ar-SA"/>
        </w:rPr>
        <w:t>排放，排放的污染物为颗粒物、SO</w:t>
      </w:r>
      <w:r>
        <w:rPr>
          <w:rFonts w:hint="default" w:ascii="Times New Roman" w:hAnsi="Times New Roman" w:eastAsia="宋体" w:cs="Times New Roman"/>
          <w:color w:val="auto"/>
          <w:kern w:val="2"/>
          <w:sz w:val="24"/>
          <w:szCs w:val="24"/>
          <w:vertAlign w:val="subscript"/>
          <w:lang w:val="en-US" w:eastAsia="zh-CN" w:bidi="ar-SA"/>
        </w:rPr>
        <w:t>2</w:t>
      </w:r>
      <w:r>
        <w:rPr>
          <w:rFonts w:hint="default" w:ascii="Times New Roman" w:hAnsi="Times New Roman" w:eastAsia="宋体" w:cs="Times New Roman"/>
          <w:color w:val="auto"/>
          <w:kern w:val="2"/>
          <w:sz w:val="24"/>
          <w:szCs w:val="24"/>
          <w:lang w:val="en-US" w:eastAsia="zh-CN" w:bidi="ar-SA"/>
        </w:rPr>
        <w:t>、NO</w:t>
      </w:r>
      <w:r>
        <w:rPr>
          <w:rFonts w:hint="default" w:ascii="Times New Roman" w:hAnsi="Times New Roman" w:eastAsia="宋体" w:cs="Times New Roman"/>
          <w:color w:val="auto"/>
          <w:kern w:val="2"/>
          <w:sz w:val="24"/>
          <w:szCs w:val="24"/>
          <w:vertAlign w:val="subscript"/>
          <w:lang w:val="en-US" w:eastAsia="zh-CN" w:bidi="ar-SA"/>
        </w:rPr>
        <w:t>X</w:t>
      </w:r>
      <w:r>
        <w:rPr>
          <w:rFonts w:hint="default"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lang w:val="en-US" w:eastAsia="zh-CN"/>
        </w:rPr>
        <w:t>锅炉烟气满足《锅炉大气污染物排放标准》（GB13271-2014）表3中“燃煤锅炉”大气污染物特别排放标准。</w:t>
      </w:r>
    </w:p>
    <w:p>
      <w:pPr>
        <w:pStyle w:val="74"/>
        <w:adjustRightInd/>
        <w:snapToGrid/>
        <w:contextualSpacing/>
        <w:rPr>
          <w:rFonts w:ascii="Times New Roman" w:hAnsi="Times New Roman" w:eastAsia="宋体" w:cs="Times New Roman"/>
          <w:color w:val="auto"/>
        </w:rPr>
      </w:pPr>
      <w:r>
        <w:rPr>
          <w:rFonts w:ascii="Times New Roman" w:hAnsi="Times New Roman" w:eastAsia="宋体" w:cs="Times New Roman"/>
          <w:color w:val="auto"/>
        </w:rPr>
        <w:t>项目运行期采取了积极有效的污染治理措施，各大气污染物对环境空气的贡献值均不大，并且可以达标排放，对周围环境影响不大，从环境空气的角度来看，该项目是可行的。</w:t>
      </w:r>
    </w:p>
    <w:p>
      <w:pPr>
        <w:pStyle w:val="74"/>
        <w:adjustRightInd/>
        <w:snapToGrid/>
        <w:contextualSpacing/>
        <w:rPr>
          <w:rFonts w:ascii="Times New Roman" w:hAnsi="Times New Roman" w:eastAsia="宋体" w:cs="Times New Roman"/>
          <w:color w:val="auto"/>
        </w:rPr>
      </w:pPr>
      <w:r>
        <w:rPr>
          <w:rFonts w:ascii="Times New Roman" w:hAnsi="Times New Roman" w:eastAsia="宋体" w:cs="Times New Roman"/>
          <w:color w:val="auto"/>
        </w:rPr>
        <w:t>（2）废水</w:t>
      </w:r>
    </w:p>
    <w:p>
      <w:pPr>
        <w:pStyle w:val="74"/>
        <w:adjustRightInd/>
        <w:snapToGrid/>
        <w:rPr>
          <w:rFonts w:ascii="Times New Roman" w:hAnsi="Times New Roman" w:eastAsia="宋体" w:cs="Times New Roman"/>
          <w:color w:val="auto"/>
        </w:rPr>
      </w:pPr>
      <w:r>
        <w:rPr>
          <w:rFonts w:ascii="Times New Roman" w:hAnsi="Times New Roman" w:eastAsia="宋体" w:cs="Times New Roman"/>
          <w:color w:val="auto"/>
        </w:rPr>
        <w:t>本项目废水主要包括生活污水</w:t>
      </w:r>
      <w:r>
        <w:rPr>
          <w:rFonts w:hint="eastAsia" w:ascii="Times New Roman" w:hAnsi="Times New Roman" w:eastAsia="宋体" w:cs="Times New Roman"/>
          <w:color w:val="auto"/>
        </w:rPr>
        <w:t>（含食堂废水）</w:t>
      </w:r>
      <w:r>
        <w:rPr>
          <w:rFonts w:ascii="Times New Roman" w:hAnsi="Times New Roman" w:eastAsia="宋体" w:cs="Times New Roman"/>
          <w:color w:val="auto"/>
        </w:rPr>
        <w:t>和生产废水，一同排入厂区自建污水处理站处理，污水处理站</w:t>
      </w:r>
      <w:r>
        <w:rPr>
          <w:rFonts w:hint="eastAsia" w:ascii="Times New Roman" w:hAnsi="Times New Roman" w:eastAsia="宋体" w:cs="Times New Roman"/>
          <w:color w:val="auto"/>
        </w:rPr>
        <w:t>采用“</w:t>
      </w:r>
      <w:r>
        <w:rPr>
          <w:rFonts w:ascii="Times New Roman" w:hAnsi="Times New Roman" w:eastAsia="宋体" w:cs="Times New Roman"/>
          <w:bCs/>
          <w:color w:val="auto"/>
        </w:rPr>
        <w:t>格栅+</w:t>
      </w:r>
      <w:r>
        <w:rPr>
          <w:rFonts w:ascii="Times New Roman" w:hAnsi="Times New Roman" w:eastAsia="宋体" w:cs="Times New Roman"/>
          <w:color w:val="auto"/>
        </w:rPr>
        <w:t>隔油沉砂+气浮+水解酸化+生物接触氧化+</w:t>
      </w:r>
      <w:r>
        <w:rPr>
          <w:rFonts w:hint="eastAsia" w:ascii="Times New Roman" w:hAnsi="Times New Roman" w:eastAsia="宋体" w:cs="Times New Roman"/>
          <w:color w:val="auto"/>
        </w:rPr>
        <w:t>二沉池+</w:t>
      </w:r>
      <w:r>
        <w:rPr>
          <w:rFonts w:ascii="Times New Roman" w:hAnsi="Times New Roman" w:eastAsia="宋体" w:cs="Times New Roman"/>
          <w:color w:val="auto"/>
        </w:rPr>
        <w:t>消毒</w:t>
      </w:r>
      <w:r>
        <w:rPr>
          <w:rFonts w:hint="eastAsia" w:ascii="Times New Roman" w:hAnsi="Times New Roman" w:eastAsia="宋体" w:cs="Times New Roman"/>
          <w:color w:val="auto"/>
        </w:rPr>
        <w:t>池”工艺，出水达到</w:t>
      </w:r>
      <w:r>
        <w:rPr>
          <w:rFonts w:ascii="Times New Roman" w:hAnsi="Times New Roman" w:eastAsia="宋体" w:cs="Times New Roman"/>
          <w:bCs/>
          <w:color w:val="auto"/>
        </w:rPr>
        <w:t>《肉类加工工业水污染物排放标准》（GB13457-92）表3三级畜类屠宰加工标准限值</w:t>
      </w:r>
      <w:r>
        <w:rPr>
          <w:rFonts w:hint="eastAsia" w:ascii="Times New Roman" w:hAnsi="Times New Roman" w:eastAsia="宋体" w:cs="Times New Roman"/>
          <w:color w:val="auto"/>
        </w:rPr>
        <w:t>排入贮水池，</w:t>
      </w:r>
      <w:r>
        <w:rPr>
          <w:rFonts w:hint="eastAsia"/>
          <w:bCs/>
          <w:color w:val="auto"/>
          <w:szCs w:val="21"/>
        </w:rPr>
        <w:t>每天</w:t>
      </w:r>
      <w:r>
        <w:rPr>
          <w:bCs/>
          <w:color w:val="auto"/>
          <w:szCs w:val="21"/>
        </w:rPr>
        <w:t>采用专用罐车</w:t>
      </w:r>
      <w:r>
        <w:rPr>
          <w:rFonts w:hint="eastAsia"/>
          <w:bCs/>
          <w:color w:val="auto"/>
          <w:szCs w:val="21"/>
        </w:rPr>
        <w:t>运至</w:t>
      </w:r>
      <w:r>
        <w:rPr>
          <w:rFonts w:hint="eastAsia"/>
          <w:bCs/>
          <w:color w:val="auto"/>
          <w:szCs w:val="21"/>
          <w:lang w:eastAsia="zh-CN"/>
        </w:rPr>
        <w:t>尚志污水处理厂</w:t>
      </w:r>
      <w:r>
        <w:rPr>
          <w:bCs/>
          <w:color w:val="auto"/>
          <w:szCs w:val="21"/>
        </w:rPr>
        <w:t>处理</w:t>
      </w:r>
      <w:r>
        <w:rPr>
          <w:rFonts w:hint="eastAsia" w:ascii="Times New Roman" w:hAnsi="Times New Roman" w:eastAsia="宋体" w:cs="Times New Roman"/>
          <w:color w:val="auto"/>
        </w:rPr>
        <w:t>达到《城镇污水处理厂污染物排放标准》（GB18918-2002）一级A标准后，</w:t>
      </w:r>
      <w:r>
        <w:rPr>
          <w:rFonts w:ascii="Times New Roman" w:hAnsi="Times New Roman" w:eastAsia="宋体" w:cs="Times New Roman"/>
          <w:color w:val="auto"/>
        </w:rPr>
        <w:t>排入</w:t>
      </w:r>
      <w:r>
        <w:rPr>
          <w:rFonts w:hint="eastAsia" w:ascii="Times New Roman" w:hAnsi="Times New Roman" w:eastAsia="宋体" w:cs="Times New Roman"/>
          <w:color w:val="auto"/>
          <w:lang w:eastAsia="zh-CN"/>
        </w:rPr>
        <w:t>乌珠河</w:t>
      </w:r>
      <w:r>
        <w:rPr>
          <w:rFonts w:ascii="Times New Roman" w:hAnsi="Times New Roman" w:eastAsia="宋体" w:cs="Times New Roman"/>
          <w:color w:val="auto"/>
        </w:rPr>
        <w:t>。</w:t>
      </w:r>
    </w:p>
    <w:p>
      <w:pPr>
        <w:spacing w:line="360" w:lineRule="auto"/>
        <w:ind w:firstLine="480" w:firstLineChars="200"/>
        <w:rPr>
          <w:color w:val="auto"/>
          <w:sz w:val="24"/>
          <w:szCs w:val="21"/>
        </w:rPr>
      </w:pPr>
      <w:r>
        <w:rPr>
          <w:color w:val="auto"/>
          <w:sz w:val="24"/>
          <w:szCs w:val="21"/>
        </w:rPr>
        <w:t>综上，本项目排放的废水不会对地表水环境产生影响。</w:t>
      </w:r>
    </w:p>
    <w:p>
      <w:pPr>
        <w:pStyle w:val="74"/>
        <w:adjustRightInd/>
        <w:snapToGrid/>
        <w:rPr>
          <w:rFonts w:ascii="Times New Roman" w:hAnsi="Times New Roman" w:eastAsia="宋体" w:cs="Times New Roman"/>
          <w:color w:val="auto"/>
        </w:rPr>
      </w:pPr>
      <w:r>
        <w:rPr>
          <w:rFonts w:ascii="Times New Roman" w:hAnsi="Times New Roman" w:eastAsia="宋体" w:cs="Times New Roman"/>
          <w:color w:val="auto"/>
        </w:rPr>
        <w:t>（3）噪声</w:t>
      </w:r>
    </w:p>
    <w:p>
      <w:pPr>
        <w:pStyle w:val="74"/>
        <w:adjustRightInd/>
        <w:snapToGrid/>
        <w:jc w:val="both"/>
        <w:rPr>
          <w:rFonts w:ascii="Times New Roman" w:hAnsi="Times New Roman" w:eastAsia="宋体" w:cs="Times New Roman"/>
          <w:color w:val="auto"/>
        </w:rPr>
      </w:pPr>
      <w:r>
        <w:rPr>
          <w:rFonts w:ascii="Times New Roman" w:hAnsi="Times New Roman" w:eastAsia="宋体" w:cs="Times New Roman"/>
          <w:color w:val="auto"/>
        </w:rPr>
        <w:t>本项目固定噪声源主要为</w:t>
      </w:r>
      <w:r>
        <w:rPr>
          <w:rFonts w:hint="eastAsia" w:ascii="Times New Roman" w:hAnsi="Times New Roman" w:eastAsia="宋体" w:cs="Times New Roman"/>
          <w:color w:val="auto"/>
        </w:rPr>
        <w:t>压缩机</w:t>
      </w:r>
      <w:r>
        <w:rPr>
          <w:rFonts w:ascii="Times New Roman" w:hAnsi="Times New Roman" w:eastAsia="宋体" w:cs="Times New Roman"/>
          <w:color w:val="auto"/>
        </w:rPr>
        <w:t>、风机、</w:t>
      </w:r>
      <w:r>
        <w:rPr>
          <w:rFonts w:hint="eastAsia" w:ascii="Times New Roman" w:hAnsi="Times New Roman" w:eastAsia="宋体" w:cs="Times New Roman"/>
          <w:color w:val="auto"/>
        </w:rPr>
        <w:t>生产设备</w:t>
      </w:r>
      <w:r>
        <w:rPr>
          <w:rFonts w:ascii="Times New Roman" w:hAnsi="Times New Roman" w:eastAsia="宋体" w:cs="Times New Roman"/>
          <w:color w:val="auto"/>
        </w:rPr>
        <w:t>等，通过选用低噪声设备、厂房隔声、</w:t>
      </w:r>
      <w:r>
        <w:rPr>
          <w:rFonts w:hint="eastAsia" w:ascii="Times New Roman" w:hAnsi="Times New Roman" w:eastAsia="宋体" w:cs="Times New Roman"/>
          <w:color w:val="auto"/>
        </w:rPr>
        <w:t>基础减振、</w:t>
      </w:r>
      <w:r>
        <w:rPr>
          <w:rFonts w:ascii="Times New Roman" w:hAnsi="Times New Roman" w:eastAsia="宋体" w:cs="Times New Roman"/>
          <w:color w:val="auto"/>
        </w:rPr>
        <w:t>绿化降噪等措施后，厂界噪声可满足</w:t>
      </w:r>
      <w:r>
        <w:rPr>
          <w:rFonts w:hint="eastAsia" w:ascii="Times New Roman" w:hAnsi="Times New Roman" w:eastAsia="宋体" w:cs="Times New Roman"/>
          <w:color w:val="auto"/>
        </w:rPr>
        <w:t>《工业企业厂界环境噪声排放标准》（</w:t>
      </w:r>
      <w:r>
        <w:rPr>
          <w:rFonts w:ascii="Times New Roman" w:hAnsi="Times New Roman" w:eastAsia="宋体" w:cs="Times New Roman"/>
          <w:color w:val="auto"/>
        </w:rPr>
        <w:t>GB12348-2008</w:t>
      </w:r>
      <w:r>
        <w:rPr>
          <w:rFonts w:hint="eastAsia" w:ascii="Times New Roman" w:hAnsi="Times New Roman" w:eastAsia="宋体" w:cs="Times New Roman"/>
          <w:color w:val="auto"/>
        </w:rPr>
        <w:t>）中的</w:t>
      </w:r>
      <w:r>
        <w:rPr>
          <w:rFonts w:ascii="Times New Roman" w:hAnsi="Times New Roman" w:eastAsia="宋体" w:cs="Times New Roman"/>
          <w:color w:val="auto"/>
        </w:rPr>
        <w:t>2</w:t>
      </w:r>
      <w:r>
        <w:rPr>
          <w:rFonts w:hint="eastAsia" w:ascii="Times New Roman" w:hAnsi="Times New Roman" w:eastAsia="宋体" w:cs="Times New Roman"/>
          <w:color w:val="auto"/>
        </w:rPr>
        <w:t>类噪声排放限值。</w:t>
      </w:r>
    </w:p>
    <w:p>
      <w:pPr>
        <w:pStyle w:val="74"/>
        <w:adjustRightInd/>
        <w:snapToGrid/>
        <w:rPr>
          <w:rFonts w:ascii="Times New Roman" w:hAnsi="Times New Roman" w:eastAsia="宋体" w:cs="Times New Roman"/>
          <w:color w:val="auto"/>
        </w:rPr>
      </w:pPr>
      <w:r>
        <w:rPr>
          <w:rFonts w:ascii="Times New Roman" w:hAnsi="Times New Roman" w:eastAsia="宋体" w:cs="Times New Roman"/>
          <w:color w:val="auto"/>
        </w:rPr>
        <w:t>（4）固废</w:t>
      </w:r>
    </w:p>
    <w:p>
      <w:pPr>
        <w:pStyle w:val="74"/>
        <w:rPr>
          <w:rFonts w:hint="eastAsia" w:ascii="Times New Roman" w:cs="Times New Roman"/>
          <w:bCs/>
          <w:color w:val="auto"/>
          <w:lang w:val="en-US" w:eastAsia="zh-CN"/>
        </w:rPr>
      </w:pPr>
      <w:r>
        <w:rPr>
          <w:rFonts w:ascii="Times New Roman" w:cs="Times New Roman"/>
          <w:color w:val="auto"/>
        </w:rPr>
        <w:t>本项目采用干清粪工艺，暂存于待宰间内储粪池内，日产日清，使用密闭运输车运走作为有机肥原料外卖；生活垃圾统一运至指定垃圾转运站，由市政部门统一处理；</w:t>
      </w:r>
      <w:r>
        <w:rPr>
          <w:rFonts w:hint="eastAsia"/>
          <w:bCs/>
          <w:color w:val="auto"/>
          <w:sz w:val="24"/>
        </w:rPr>
        <w:t>废活性炭</w:t>
      </w:r>
      <w:r>
        <w:rPr>
          <w:rFonts w:hint="eastAsia"/>
          <w:bCs/>
          <w:color w:val="auto"/>
          <w:sz w:val="24"/>
          <w:lang w:val="en-US" w:eastAsia="zh-CN"/>
        </w:rPr>
        <w:t>交由厂家再生利用；</w:t>
      </w:r>
      <w:r>
        <w:rPr>
          <w:rFonts w:ascii="Times New Roman" w:cs="Times New Roman"/>
          <w:color w:val="auto"/>
        </w:rPr>
        <w:t>检疫不合格肉牛及病死牛委托</w:t>
      </w:r>
      <w:r>
        <w:rPr>
          <w:rFonts w:hint="eastAsia" w:ascii="Times New Roman" w:cs="Times New Roman"/>
          <w:color w:val="auto"/>
          <w:lang w:eastAsia="zh-CN"/>
        </w:rPr>
        <w:t>无害化处理有限公司</w:t>
      </w:r>
      <w:r>
        <w:rPr>
          <w:rFonts w:ascii="Times New Roman" w:cs="Times New Roman"/>
          <w:color w:val="auto"/>
        </w:rPr>
        <w:t>处理；污水处理站污泥采用压滤机脱水后同栅渣，送生活垃圾填埋场处理；</w:t>
      </w:r>
      <w:r>
        <w:rPr>
          <w:rFonts w:ascii="Times New Roman" w:cs="Times New Roman"/>
          <w:bCs/>
          <w:color w:val="auto"/>
        </w:rPr>
        <w:t>食堂餐馀垃圾交由符合规定的回收处置单位统一回收处置；食堂废油脂按</w:t>
      </w:r>
      <w:r>
        <w:rPr>
          <w:rFonts w:hint="eastAsia" w:ascii="Times New Roman" w:cs="Times New Roman"/>
          <w:bCs/>
          <w:color w:val="auto"/>
          <w:lang w:eastAsia="zh-CN"/>
        </w:rPr>
        <w:t>《哈尔滨市城市餐厨废弃物管理办法》</w:t>
      </w:r>
      <w:r>
        <w:rPr>
          <w:rFonts w:ascii="Times New Roman" w:cs="Times New Roman"/>
          <w:bCs/>
          <w:color w:val="auto"/>
        </w:rPr>
        <w:t>处置；</w:t>
      </w:r>
      <w:r>
        <w:rPr>
          <w:rFonts w:hint="eastAsia" w:ascii="Times New Roman" w:cs="Times New Roman"/>
          <w:bCs/>
          <w:color w:val="auto"/>
        </w:rPr>
        <w:t>污水处理站废油脂交由有资质单位处置；</w:t>
      </w:r>
      <w:r>
        <w:rPr>
          <w:rFonts w:hint="eastAsia" w:ascii="Times New Roman" w:hAnsi="Times New Roman" w:eastAsia="宋体" w:cs="Times New Roman"/>
          <w:bCs/>
          <w:color w:val="auto"/>
        </w:rPr>
        <w:t>肠胃内容物同粪便暂存于待宰间内储粪池内，日产日清，使用密闭运输车运走作为有机肥原料外卖；废弃包装物</w:t>
      </w:r>
      <w:r>
        <w:rPr>
          <w:rFonts w:ascii="Times New Roman" w:hAnsi="Times New Roman" w:eastAsia="宋体" w:cs="Times New Roman"/>
          <w:bCs/>
          <w:color w:val="auto"/>
        </w:rPr>
        <w:t>集中收集，外售综合利用；</w:t>
      </w:r>
      <w:r>
        <w:rPr>
          <w:rFonts w:hint="eastAsia" w:ascii="Times New Roman" w:hAnsi="Times New Roman" w:eastAsia="宋体" w:cs="Times New Roman"/>
          <w:bCs/>
          <w:color w:val="auto"/>
        </w:rPr>
        <w:t>不可食用内脏产生后，采用专用存储桶暂存屠宰车间内，日产日清，</w:t>
      </w:r>
      <w:r>
        <w:rPr>
          <w:rFonts w:ascii="Times New Roman" w:hAnsi="Times New Roman" w:eastAsia="宋体" w:cs="Times New Roman"/>
          <w:bCs/>
          <w:color w:val="auto"/>
        </w:rPr>
        <w:t>集中收集交由</w:t>
      </w:r>
      <w:r>
        <w:rPr>
          <w:rFonts w:hint="eastAsia" w:ascii="Times New Roman" w:hAnsi="Times New Roman" w:eastAsia="宋体" w:cs="Times New Roman"/>
          <w:bCs/>
          <w:color w:val="auto"/>
          <w:lang w:eastAsia="zh-CN"/>
        </w:rPr>
        <w:t>无害化处理有限公司</w:t>
      </w:r>
      <w:r>
        <w:rPr>
          <w:rFonts w:hint="eastAsia" w:ascii="Times New Roman" w:hAnsi="Times New Roman" w:eastAsia="宋体" w:cs="Times New Roman"/>
          <w:bCs/>
          <w:color w:val="auto"/>
        </w:rPr>
        <w:t>处理；</w:t>
      </w:r>
      <w:r>
        <w:rPr>
          <w:rFonts w:hint="eastAsia" w:ascii="Times New Roman" w:cs="Times New Roman"/>
          <w:bCs/>
          <w:color w:val="auto"/>
        </w:rPr>
        <w:t>检疫废物</w:t>
      </w:r>
      <w:r>
        <w:rPr>
          <w:rFonts w:ascii="Times New Roman" w:hAnsi="Times New Roman" w:cs="Times New Roman"/>
          <w:bCs/>
          <w:color w:val="auto"/>
        </w:rPr>
        <w:t>（HW01）</w:t>
      </w:r>
      <w:r>
        <w:rPr>
          <w:rFonts w:ascii="Times New Roman" w:cs="Times New Roman"/>
          <w:bCs/>
          <w:color w:val="auto"/>
        </w:rPr>
        <w:t>单独收集，用</w:t>
      </w:r>
      <w:r>
        <w:rPr>
          <w:rFonts w:hint="eastAsia" w:ascii="Times New Roman" w:cs="Times New Roman"/>
          <w:bCs/>
          <w:color w:val="auto"/>
        </w:rPr>
        <w:t>有</w:t>
      </w:r>
      <w:r>
        <w:rPr>
          <w:rFonts w:ascii="Times New Roman" w:cs="Times New Roman"/>
          <w:bCs/>
          <w:color w:val="auto"/>
        </w:rPr>
        <w:t>明显标识的</w:t>
      </w:r>
      <w:r>
        <w:rPr>
          <w:rFonts w:hint="eastAsia" w:ascii="Times New Roman" w:cs="Times New Roman"/>
          <w:bCs/>
          <w:color w:val="auto"/>
        </w:rPr>
        <w:t>塑料袋</w:t>
      </w:r>
      <w:r>
        <w:rPr>
          <w:rFonts w:ascii="Times New Roman" w:cs="Times New Roman"/>
          <w:bCs/>
          <w:color w:val="auto"/>
        </w:rPr>
        <w:t>盛装，暂存于</w:t>
      </w:r>
      <w:r>
        <w:rPr>
          <w:rFonts w:hint="eastAsia" w:ascii="Times New Roman" w:cs="Times New Roman"/>
          <w:bCs/>
          <w:color w:val="auto"/>
          <w:lang w:eastAsia="zh-CN"/>
        </w:rPr>
        <w:t>危险废物贮存点</w:t>
      </w:r>
      <w:r>
        <w:rPr>
          <w:rFonts w:ascii="Times New Roman" w:cs="Times New Roman"/>
          <w:bCs/>
          <w:color w:val="auto"/>
        </w:rPr>
        <w:t>，</w:t>
      </w:r>
      <w:r>
        <w:rPr>
          <w:rFonts w:hint="eastAsia" w:ascii="Times New Roman" w:cs="Times New Roman"/>
          <w:bCs/>
          <w:color w:val="auto"/>
        </w:rPr>
        <w:t>交</w:t>
      </w:r>
      <w:r>
        <w:rPr>
          <w:rFonts w:ascii="Times New Roman" w:cs="Times New Roman"/>
          <w:bCs/>
          <w:color w:val="auto"/>
        </w:rPr>
        <w:t>由有资质单位进行处置。</w:t>
      </w:r>
      <w:r>
        <w:rPr>
          <w:rFonts w:hint="eastAsia" w:ascii="Times New Roman" w:cs="Times New Roman"/>
          <w:bCs/>
          <w:color w:val="auto"/>
          <w:lang w:val="en-US" w:eastAsia="zh-CN"/>
        </w:rPr>
        <w:t>锅炉房软化水设备产生的废离子交换树脂由厂家回收；废布袋由除尘器厂家回收利用；锅炉产生灰渣暂存于锅炉房内灰渣间，收集后袋装密封暂存，外售用于生产有机肥。</w:t>
      </w:r>
    </w:p>
    <w:p>
      <w:pPr>
        <w:pStyle w:val="74"/>
        <w:adjustRightInd/>
        <w:snapToGrid/>
        <w:contextualSpacing/>
        <w:jc w:val="both"/>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5</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地下水</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本项目对厂区进行分区防渗：</w:t>
      </w:r>
    </w:p>
    <w:p>
      <w:pPr>
        <w:spacing w:line="360" w:lineRule="auto"/>
        <w:ind w:firstLine="480" w:firstLineChars="200"/>
        <w:rPr>
          <w:bCs/>
          <w:color w:val="auto"/>
          <w:sz w:val="24"/>
        </w:rPr>
      </w:pPr>
      <w:r>
        <w:rPr>
          <w:bCs/>
          <w:color w:val="auto"/>
          <w:sz w:val="24"/>
        </w:rPr>
        <w:t>重点防渗区：</w:t>
      </w:r>
      <w:r>
        <w:rPr>
          <w:rFonts w:hint="eastAsia"/>
          <w:bCs/>
          <w:color w:val="auto"/>
          <w:sz w:val="24"/>
          <w:lang w:eastAsia="zh-CN"/>
        </w:rPr>
        <w:t>危险废物贮存点</w:t>
      </w:r>
      <w:r>
        <w:rPr>
          <w:bCs/>
          <w:color w:val="auto"/>
          <w:sz w:val="24"/>
          <w:lang w:val="en-GB"/>
        </w:rPr>
        <w:t>地面和墙裙</w:t>
      </w:r>
      <w:r>
        <w:rPr>
          <w:bCs/>
          <w:color w:val="auto"/>
          <w:sz w:val="24"/>
        </w:rPr>
        <w:t>采用至少1m厚粘土层（渗透系数K≤10</w:t>
      </w:r>
      <w:r>
        <w:rPr>
          <w:bCs/>
          <w:color w:val="auto"/>
          <w:sz w:val="24"/>
          <w:vertAlign w:val="superscript"/>
        </w:rPr>
        <w:t>-7</w:t>
      </w:r>
      <w:r>
        <w:rPr>
          <w:bCs/>
          <w:color w:val="auto"/>
          <w:sz w:val="24"/>
        </w:rPr>
        <w:t>cm/s）或2mm厚高密度聚乙烯或至少2mm厚的其他人工材料（渗透系数K≤10</w:t>
      </w:r>
      <w:r>
        <w:rPr>
          <w:bCs/>
          <w:color w:val="auto"/>
          <w:sz w:val="24"/>
          <w:vertAlign w:val="superscript"/>
        </w:rPr>
        <w:t>-10</w:t>
      </w:r>
      <w:r>
        <w:rPr>
          <w:bCs/>
          <w:color w:val="auto"/>
          <w:sz w:val="24"/>
        </w:rPr>
        <w:t>cm/s）。</w:t>
      </w:r>
    </w:p>
    <w:p>
      <w:pPr>
        <w:spacing w:line="360" w:lineRule="auto"/>
        <w:ind w:firstLine="480" w:firstLineChars="200"/>
        <w:rPr>
          <w:bCs/>
          <w:color w:val="auto"/>
          <w:sz w:val="24"/>
        </w:rPr>
      </w:pPr>
      <w:r>
        <w:rPr>
          <w:bCs/>
          <w:color w:val="auto"/>
          <w:sz w:val="24"/>
        </w:rPr>
        <w:t>一般防渗区：</w:t>
      </w:r>
      <w:r>
        <w:rPr>
          <w:rFonts w:hint="eastAsia"/>
          <w:bCs/>
          <w:color w:val="auto"/>
          <w:sz w:val="24"/>
        </w:rPr>
        <w:t>待宰间、</w:t>
      </w:r>
      <w:r>
        <w:rPr>
          <w:rFonts w:hint="eastAsia"/>
          <w:bCs/>
          <w:color w:val="auto"/>
          <w:sz w:val="24"/>
          <w:lang w:val="en-US" w:eastAsia="zh-CN"/>
        </w:rPr>
        <w:t>急宰间、</w:t>
      </w:r>
      <w:r>
        <w:rPr>
          <w:rFonts w:hint="eastAsia"/>
          <w:bCs/>
          <w:color w:val="auto"/>
          <w:sz w:val="24"/>
        </w:rPr>
        <w:t>屠宰车间、</w:t>
      </w:r>
      <w:r>
        <w:rPr>
          <w:bCs/>
          <w:color w:val="auto"/>
          <w:sz w:val="24"/>
          <w:lang w:val="en-GB"/>
        </w:rPr>
        <w:t>冷库、</w:t>
      </w:r>
      <w:r>
        <w:rPr>
          <w:bCs/>
          <w:color w:val="auto"/>
          <w:sz w:val="24"/>
        </w:rPr>
        <w:t>污水处理站、贮水池、事故池池体及</w:t>
      </w:r>
      <w:r>
        <w:rPr>
          <w:bCs/>
          <w:color w:val="auto"/>
          <w:sz w:val="24"/>
          <w:lang w:val="en-GB"/>
        </w:rPr>
        <w:t>地面基础防渗，防渗层为至少1m厚粘土层或2mm厚高密度聚乙烯，需满足等效黏土防渗层Mb≥1.5m，K≤1×10</w:t>
      </w:r>
      <w:r>
        <w:rPr>
          <w:bCs/>
          <w:color w:val="auto"/>
          <w:sz w:val="24"/>
          <w:vertAlign w:val="superscript"/>
          <w:lang w:val="en-GB"/>
        </w:rPr>
        <w:t>-7</w:t>
      </w:r>
      <w:r>
        <w:rPr>
          <w:bCs/>
          <w:color w:val="auto"/>
          <w:sz w:val="24"/>
          <w:lang w:val="en-GB"/>
        </w:rPr>
        <w:t>cm/s的要求。</w:t>
      </w:r>
    </w:p>
    <w:p>
      <w:pPr>
        <w:spacing w:line="360" w:lineRule="auto"/>
        <w:ind w:firstLine="480" w:firstLineChars="200"/>
        <w:rPr>
          <w:bCs/>
          <w:color w:val="auto"/>
          <w:sz w:val="24"/>
        </w:rPr>
      </w:pPr>
      <w:r>
        <w:rPr>
          <w:bCs/>
          <w:color w:val="auto"/>
          <w:sz w:val="24"/>
        </w:rPr>
        <w:t>简单防渗区：</w:t>
      </w:r>
      <w:r>
        <w:rPr>
          <w:rFonts w:hint="eastAsia"/>
          <w:bCs/>
          <w:color w:val="auto"/>
          <w:sz w:val="24"/>
          <w:lang w:val="en-GB" w:eastAsia="zh-CN"/>
        </w:rPr>
        <w:t>办公楼</w:t>
      </w:r>
      <w:r>
        <w:rPr>
          <w:bCs/>
          <w:color w:val="auto"/>
          <w:sz w:val="24"/>
          <w:lang w:val="en-GB"/>
        </w:rPr>
        <w:t>、库房等</w:t>
      </w:r>
      <w:r>
        <w:rPr>
          <w:bCs/>
          <w:color w:val="auto"/>
          <w:sz w:val="24"/>
        </w:rPr>
        <w:t>对其地面采用混凝土进行一般地面硬化。</w:t>
      </w:r>
    </w:p>
    <w:p>
      <w:pPr>
        <w:pStyle w:val="74"/>
        <w:rPr>
          <w:rFonts w:hint="default" w:ascii="Times New Roman" w:cs="Times New Roman"/>
          <w:bCs/>
          <w:color w:val="FF0000"/>
          <w:highlight w:val="yellow"/>
          <w:lang w:val="en-US" w:eastAsia="zh-CN"/>
        </w:rPr>
      </w:pPr>
      <w:r>
        <w:rPr>
          <w:rFonts w:ascii="Times New Roman" w:hAnsi="Times New Roman" w:eastAsia="宋体" w:cs="Times New Roman"/>
          <w:bCs/>
          <w:color w:val="auto"/>
        </w:rPr>
        <w:t>在厂区</w:t>
      </w:r>
      <w:r>
        <w:rPr>
          <w:rFonts w:hint="eastAsia" w:ascii="Times New Roman" w:hAnsi="Times New Roman" w:eastAsia="宋体" w:cs="Times New Roman"/>
          <w:bCs/>
          <w:color w:val="auto"/>
          <w:lang w:eastAsia="zh-CN"/>
        </w:rPr>
        <w:t>东侧</w:t>
      </w:r>
      <w:r>
        <w:rPr>
          <w:rFonts w:ascii="Times New Roman" w:hAnsi="Times New Roman" w:eastAsia="宋体" w:cs="Times New Roman"/>
          <w:bCs/>
          <w:color w:val="auto"/>
        </w:rPr>
        <w:t>设置1口地下水跟踪监控井。为最大限度地减轻对区域地下水的影响，项目采取分区防渗措施，设置监测井定期监测，可防范污染物渗漏污染地下水环境。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bookmarkStart w:id="274" w:name="_Toc6977"/>
      <w:bookmarkStart w:id="275" w:name="_Toc8895"/>
      <w:r>
        <w:rPr>
          <w:rFonts w:hint="eastAsia"/>
          <w:sz w:val="24"/>
          <w:szCs w:val="24"/>
          <w:lang w:val="en-US" w:eastAsia="zh-CN"/>
        </w:rPr>
        <w:t>（6）</w:t>
      </w:r>
      <w:r>
        <w:rPr>
          <w:rFonts w:hint="default"/>
          <w:sz w:val="24"/>
          <w:szCs w:val="24"/>
          <w:lang w:val="en-US" w:eastAsia="zh-CN"/>
        </w:rPr>
        <w:t>环境风险</w:t>
      </w:r>
      <w:bookmarkEnd w:id="274"/>
      <w:bookmarkEnd w:id="275"/>
    </w:p>
    <w:p>
      <w:pPr>
        <w:pStyle w:val="74"/>
        <w:adjustRightInd/>
        <w:snapToGrid/>
        <w:rPr>
          <w:rFonts w:ascii="Times New Roman" w:hAnsi="Times New Roman" w:eastAsia="宋体" w:cs="Times New Roman"/>
          <w:color w:val="auto"/>
        </w:rPr>
      </w:pPr>
      <w:r>
        <w:rPr>
          <w:rFonts w:hint="default" w:ascii="Times New Roman" w:hAnsi="Times New Roman" w:eastAsia="宋体" w:cs="Times New Roman"/>
          <w:color w:val="auto"/>
          <w:spacing w:val="0"/>
          <w:w w:val="100"/>
          <w:kern w:val="21"/>
          <w:position w:val="0"/>
          <w:sz w:val="24"/>
          <w:szCs w:val="24"/>
        </w:rPr>
        <w:t>为了及时发现和减少事故的潜在危害，确保生命财产和人身安全，有必要建立风险事故决策支持系统和事故应急监测技术支持系统，在事故发生时及时采取应急救援措施，形成风险安全系统工程。从环境控制的角度来评价，经采取相应应急措施，能大大减少事故发生概率，如一旦发生事故，能迅速采取有力措施，减小对环境污染。其潜在的事故风险是可以防范的。因此本项目环境风险可控，对周围环境影响较小。</w:t>
      </w:r>
    </w:p>
    <w:p>
      <w:pPr>
        <w:pStyle w:val="74"/>
        <w:adjustRightInd/>
        <w:snapToGrid/>
        <w:rPr>
          <w:rFonts w:ascii="Times New Roman" w:hAnsi="Times New Roman" w:eastAsia="宋体" w:cs="Times New Roman"/>
          <w:color w:val="auto"/>
        </w:rPr>
      </w:pPr>
      <w:r>
        <w:rPr>
          <w:rFonts w:ascii="Times New Roman" w:hAnsi="Times New Roman" w:eastAsia="宋体" w:cs="Times New Roman"/>
          <w:color w:val="auto"/>
        </w:rPr>
        <w:t>综合分析，本项目所采取的各项污染防治措施从技术经济角度分析均具有可行性，且在项目建设方认真落实报告所述各项污染防治措施后，可使区域环境质量得到明显改善。</w:t>
      </w:r>
    </w:p>
    <w:p>
      <w:pPr>
        <w:pStyle w:val="6"/>
        <w:spacing w:before="0" w:after="0" w:line="360" w:lineRule="auto"/>
        <w:rPr>
          <w:rFonts w:ascii="Times New Roman" w:hAnsi="Times New Roman" w:eastAsia="宋体" w:cs="Times New Roman"/>
          <w:bCs w:val="0"/>
          <w:color w:val="auto"/>
        </w:rPr>
      </w:pPr>
      <w:bookmarkStart w:id="276" w:name="_Toc15991739"/>
      <w:r>
        <w:rPr>
          <w:rFonts w:ascii="Times New Roman" w:hAnsi="Times New Roman" w:eastAsia="宋体" w:cs="Times New Roman"/>
          <w:bCs w:val="0"/>
          <w:color w:val="auto"/>
        </w:rPr>
        <w:t>9.1.5经济损益分析结论</w:t>
      </w:r>
      <w:bookmarkEnd w:id="276"/>
    </w:p>
    <w:p>
      <w:pPr>
        <w:pStyle w:val="74"/>
        <w:adjustRightInd/>
        <w:snapToGrid/>
        <w:jc w:val="both"/>
        <w:rPr>
          <w:rFonts w:ascii="Times New Roman" w:hAnsi="Times New Roman" w:eastAsia="宋体" w:cs="Times New Roman"/>
          <w:color w:val="auto"/>
        </w:rPr>
      </w:pPr>
      <w:r>
        <w:rPr>
          <w:rFonts w:ascii="Times New Roman" w:hAnsi="Times New Roman" w:eastAsia="宋体" w:cs="Times New Roman"/>
          <w:color w:val="auto"/>
        </w:rPr>
        <w:t>本项目的建设具有良好的社会效益和经济效益，不会对当地环境产生明显不利影响，因此该项目的实施做到了社会效益、经济效益和环境效益的同步发展。</w:t>
      </w:r>
    </w:p>
    <w:p>
      <w:pPr>
        <w:pStyle w:val="6"/>
        <w:spacing w:before="0" w:after="0" w:line="360" w:lineRule="auto"/>
        <w:rPr>
          <w:rFonts w:ascii="Times New Roman" w:hAnsi="Times New Roman" w:eastAsia="宋体" w:cs="Times New Roman"/>
          <w:bCs w:val="0"/>
          <w:color w:val="auto"/>
        </w:rPr>
      </w:pPr>
      <w:bookmarkStart w:id="277" w:name="_Toc486255152"/>
      <w:bookmarkStart w:id="278" w:name="_Toc15991740"/>
      <w:r>
        <w:rPr>
          <w:rFonts w:ascii="Times New Roman" w:hAnsi="Times New Roman" w:eastAsia="宋体" w:cs="Times New Roman"/>
          <w:bCs w:val="0"/>
          <w:color w:val="auto"/>
        </w:rPr>
        <w:t>9.1.6环境管理与监测结论</w:t>
      </w:r>
      <w:bookmarkEnd w:id="277"/>
      <w:bookmarkEnd w:id="278"/>
    </w:p>
    <w:p>
      <w:pPr>
        <w:spacing w:line="360" w:lineRule="auto"/>
        <w:ind w:firstLine="480" w:firstLineChars="200"/>
        <w:rPr>
          <w:snapToGrid w:val="0"/>
          <w:color w:val="auto"/>
          <w:kern w:val="0"/>
          <w:sz w:val="24"/>
        </w:rPr>
      </w:pPr>
      <w:r>
        <w:rPr>
          <w:snapToGrid w:val="0"/>
          <w:color w:val="auto"/>
          <w:kern w:val="0"/>
          <w:sz w:val="24"/>
        </w:rPr>
        <w:t>项目运行期通过加强建设和运行的环境管理与监控，建立健全安全生产管理制度，制订科学严谨的操作规程，通过职工操作技能培训，提高危险识辨、防护和保护能力，落实责任到人。同时加强厂内各类设备包括污染治理设施的日常运行管理和维护，对生产设备进行定期检测，对关键设备进行不定期探伤测试。增强岗位职责和环保、安全意识，保证生产设施和环保治理设施运行的可靠性、稳定性。</w:t>
      </w:r>
    </w:p>
    <w:p>
      <w:pPr>
        <w:pStyle w:val="6"/>
        <w:spacing w:before="0" w:after="0" w:line="360" w:lineRule="auto"/>
        <w:rPr>
          <w:rFonts w:ascii="Times New Roman" w:hAnsi="Times New Roman" w:eastAsia="宋体" w:cs="Times New Roman"/>
          <w:bCs w:val="0"/>
          <w:color w:val="auto"/>
        </w:rPr>
      </w:pPr>
      <w:bookmarkStart w:id="279" w:name="_Toc486255150"/>
      <w:bookmarkStart w:id="280" w:name="_Toc15991741"/>
      <w:r>
        <w:rPr>
          <w:rFonts w:ascii="Times New Roman" w:hAnsi="Times New Roman" w:eastAsia="宋体" w:cs="Times New Roman"/>
          <w:bCs w:val="0"/>
          <w:color w:val="auto"/>
        </w:rPr>
        <w:t>9.1.7公众意见采纳情况</w:t>
      </w:r>
      <w:bookmarkEnd w:id="279"/>
      <w:bookmarkEnd w:id="280"/>
    </w:p>
    <w:p>
      <w:pPr>
        <w:pStyle w:val="74"/>
        <w:adjustRightInd/>
        <w:snapToGrid/>
        <w:jc w:val="both"/>
        <w:rPr>
          <w:b/>
          <w:bCs/>
          <w:color w:val="auto"/>
        </w:rPr>
      </w:pPr>
      <w:bookmarkStart w:id="281" w:name="_Toc15991742"/>
      <w:bookmarkStart w:id="282" w:name="_Toc342462538"/>
      <w:bookmarkStart w:id="283" w:name="_Toc285188950"/>
      <w:r>
        <w:rPr>
          <w:color w:val="auto"/>
        </w:rPr>
        <w:t>本项目在公示期间，建设单位未接到公众反馈意见。项目投产后公众最关心的环境问题主要是噪声、废气、废水对环境的影响，建设单位要充分重视，切实落实各项污染防治措施，加强环境管理，把本工程环境污染降低到最低限度。从总体上看，公众对建设项目的意见是支持项目建设，同意项目选址。</w:t>
      </w:r>
    </w:p>
    <w:p>
      <w:pPr>
        <w:pStyle w:val="6"/>
        <w:spacing w:before="0" w:after="0" w:line="360" w:lineRule="auto"/>
        <w:rPr>
          <w:rFonts w:ascii="Times New Roman" w:hAnsi="Times New Roman" w:eastAsia="宋体" w:cs="Times New Roman"/>
          <w:bCs w:val="0"/>
          <w:color w:val="auto"/>
        </w:rPr>
      </w:pPr>
      <w:r>
        <w:rPr>
          <w:rFonts w:ascii="Times New Roman" w:hAnsi="Times New Roman" w:eastAsia="宋体" w:cs="Times New Roman"/>
          <w:bCs w:val="0"/>
          <w:color w:val="auto"/>
        </w:rPr>
        <w:t>9.1.8总结论</w:t>
      </w:r>
      <w:bookmarkEnd w:id="281"/>
      <w:bookmarkEnd w:id="282"/>
      <w:bookmarkEnd w:id="283"/>
    </w:p>
    <w:p>
      <w:pPr>
        <w:pStyle w:val="74"/>
        <w:adjustRightInd/>
        <w:snapToGrid/>
        <w:contextualSpacing/>
        <w:jc w:val="both"/>
        <w:rPr>
          <w:rFonts w:ascii="Times New Roman" w:hAnsi="Times New Roman" w:eastAsia="宋体" w:cs="Times New Roman"/>
          <w:color w:val="auto"/>
        </w:rPr>
      </w:pPr>
      <w:r>
        <w:rPr>
          <w:rFonts w:hint="eastAsia" w:ascii="Times New Roman" w:hAnsi="Times New Roman" w:eastAsia="宋体" w:cs="Times New Roman"/>
          <w:color w:val="auto"/>
        </w:rPr>
        <w:t>本项目针对生产废水对水环境的影响；</w:t>
      </w:r>
      <w:r>
        <w:rPr>
          <w:rFonts w:hint="eastAsia" w:ascii="Times New Roman" w:hAnsi="Times New Roman" w:eastAsia="宋体" w:cs="Times New Roman"/>
          <w:color w:val="auto"/>
          <w:lang w:val="en-US" w:eastAsia="zh-CN"/>
        </w:rPr>
        <w:t>锅炉房烟气、</w:t>
      </w:r>
      <w:r>
        <w:rPr>
          <w:rFonts w:hint="eastAsia" w:ascii="Times New Roman" w:hAnsi="Times New Roman" w:eastAsia="宋体" w:cs="Times New Roman"/>
          <w:color w:val="auto"/>
        </w:rPr>
        <w:t>屠宰车间、待宰间及污水处理站恶臭对大气环境的影响；压缩机</w:t>
      </w:r>
      <w:r>
        <w:rPr>
          <w:rFonts w:ascii="Times New Roman" w:hAnsi="Times New Roman" w:eastAsia="宋体" w:cs="Times New Roman"/>
          <w:color w:val="auto"/>
        </w:rPr>
        <w:t>、风机、</w:t>
      </w:r>
      <w:r>
        <w:rPr>
          <w:rFonts w:hint="eastAsia" w:ascii="Times New Roman" w:hAnsi="Times New Roman" w:eastAsia="宋体" w:cs="Times New Roman"/>
          <w:color w:val="auto"/>
        </w:rPr>
        <w:t>生产设备</w:t>
      </w:r>
      <w:r>
        <w:rPr>
          <w:rFonts w:ascii="Times New Roman" w:hAnsi="Times New Roman" w:eastAsia="宋体" w:cs="Times New Roman"/>
          <w:color w:val="auto"/>
        </w:rPr>
        <w:t>等</w:t>
      </w:r>
      <w:r>
        <w:rPr>
          <w:rFonts w:hint="eastAsia" w:ascii="Times New Roman" w:hAnsi="Times New Roman" w:eastAsia="宋体" w:cs="Times New Roman"/>
          <w:color w:val="auto"/>
        </w:rPr>
        <w:t>噪声设备对声环境影响；</w:t>
      </w:r>
      <w:r>
        <w:rPr>
          <w:rFonts w:hint="eastAsia" w:ascii="Times New Roman" w:hAnsi="Times New Roman" w:eastAsia="宋体" w:cs="Times New Roman"/>
          <w:color w:val="auto"/>
          <w:lang w:val="en-US" w:eastAsia="zh-CN"/>
        </w:rPr>
        <w:t>锅炉灰渣、废布袋、废离子交换树脂、</w:t>
      </w:r>
      <w:r>
        <w:rPr>
          <w:rFonts w:hint="eastAsia" w:ascii="Times New Roman" w:hAnsi="Times New Roman" w:eastAsia="宋体" w:cs="Times New Roman"/>
          <w:color w:val="auto"/>
        </w:rPr>
        <w:t>待宰间粪便、检疫不合格肉牛及病死牛、污水处理站栅渣及污泥、食堂</w:t>
      </w:r>
      <w:r>
        <w:rPr>
          <w:rFonts w:ascii="Times New Roman" w:hAnsi="Times New Roman" w:eastAsia="宋体" w:cs="Times New Roman"/>
          <w:color w:val="auto"/>
        </w:rPr>
        <w:t>餐馀垃圾及废油脂</w:t>
      </w:r>
      <w:r>
        <w:rPr>
          <w:rFonts w:hint="eastAsia" w:ascii="Times New Roman" w:hAnsi="Times New Roman" w:eastAsia="宋体" w:cs="Times New Roman"/>
          <w:color w:val="auto"/>
        </w:rPr>
        <w:t>、肠胃内容物、废弃包装物、不可食用内脏、生活垃圾、废活性炭及检疫废物</w:t>
      </w:r>
      <w:r>
        <w:rPr>
          <w:rFonts w:ascii="Times New Roman" w:hAnsi="Times New Roman" w:cs="Times New Roman"/>
          <w:bCs/>
          <w:color w:val="auto"/>
        </w:rPr>
        <w:t>（HW01）</w:t>
      </w:r>
      <w:r>
        <w:rPr>
          <w:rFonts w:hint="eastAsia" w:ascii="Times New Roman" w:hAnsi="Times New Roman" w:eastAsia="宋体" w:cs="Times New Roman"/>
          <w:color w:val="auto"/>
        </w:rPr>
        <w:t>等固体废物影响；</w:t>
      </w:r>
      <w:r>
        <w:rPr>
          <w:rFonts w:hint="eastAsia" w:ascii="Times New Roman" w:hAnsi="Times New Roman" w:eastAsia="宋体" w:cs="Times New Roman"/>
          <w:color w:val="auto"/>
          <w:lang w:val="en-US" w:eastAsia="zh-CN"/>
        </w:rPr>
        <w:t>污水处理站、</w:t>
      </w:r>
      <w:r>
        <w:rPr>
          <w:rFonts w:hint="eastAsia" w:ascii="Times New Roman" w:hAnsi="Times New Roman" w:eastAsia="宋体" w:cs="Times New Roman"/>
          <w:color w:val="auto"/>
        </w:rPr>
        <w:t>消毒剂次氯酸钠</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制冷剂液氨</w:t>
      </w:r>
      <w:r>
        <w:rPr>
          <w:rFonts w:hint="eastAsia" w:ascii="Times New Roman" w:hAnsi="Times New Roman" w:eastAsia="宋体" w:cs="Times New Roman"/>
          <w:color w:val="auto"/>
        </w:rPr>
        <w:t>存在泄漏等环境风险等均采取了相应地防治措施</w:t>
      </w:r>
      <w:r>
        <w:rPr>
          <w:rFonts w:ascii="Times New Roman" w:hAnsi="Times New Roman" w:eastAsia="宋体" w:cs="Times New Roman"/>
          <w:color w:val="auto"/>
        </w:rPr>
        <w:t>，在认真落实本报告书污染防治措施后，各类污染物可达标排放</w:t>
      </w:r>
      <w:r>
        <w:rPr>
          <w:rFonts w:hint="eastAsia" w:ascii="Times New Roman" w:hAnsi="Times New Roman" w:eastAsia="宋体" w:cs="Times New Roman"/>
          <w:color w:val="auto"/>
        </w:rPr>
        <w:t>，</w:t>
      </w:r>
      <w:r>
        <w:rPr>
          <w:rFonts w:ascii="Times New Roman" w:hAnsi="Times New Roman" w:eastAsia="宋体" w:cs="Times New Roman"/>
          <w:color w:val="auto"/>
        </w:rPr>
        <w:t>不会对周围环境产生明显不利影响。</w:t>
      </w:r>
      <w:r>
        <w:rPr>
          <w:rFonts w:hint="eastAsia" w:ascii="Times New Roman" w:hAnsi="Times New Roman" w:eastAsia="宋体" w:cs="Times New Roman"/>
          <w:color w:val="auto"/>
        </w:rPr>
        <w:t>建设单位对项目进行公示期间，无任何人向建设单位和评价单位进行咨询或提出任何问题。项目投产后，</w:t>
      </w:r>
      <w:r>
        <w:rPr>
          <w:rFonts w:ascii="Times New Roman" w:hAnsi="Times New Roman" w:eastAsia="宋体" w:cs="Times New Roman"/>
          <w:color w:val="auto"/>
        </w:rPr>
        <w:t>企业环境管理机构</w:t>
      </w:r>
      <w:r>
        <w:rPr>
          <w:rFonts w:hint="eastAsia" w:ascii="Times New Roman" w:hAnsi="Times New Roman" w:eastAsia="宋体" w:cs="Times New Roman"/>
          <w:color w:val="auto"/>
        </w:rPr>
        <w:t>应对厂内环保实行统一管理，并对厂区的环境质量全面进行监测。</w:t>
      </w:r>
      <w:r>
        <w:rPr>
          <w:rFonts w:ascii="Times New Roman" w:hAnsi="Times New Roman" w:eastAsia="宋体" w:cs="Times New Roman"/>
          <w:color w:val="auto"/>
        </w:rPr>
        <w:t>从环境角度分析，本项目的建设是可行的。</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因此，从环境保护角度分析，本项目具有可行性。</w:t>
      </w:r>
    </w:p>
    <w:p>
      <w:pPr>
        <w:keepNext/>
        <w:keepLines/>
        <w:spacing w:line="360" w:lineRule="auto"/>
        <w:contextualSpacing/>
        <w:jc w:val="left"/>
        <w:outlineLvl w:val="1"/>
        <w:rPr>
          <w:b/>
          <w:bCs/>
          <w:snapToGrid w:val="0"/>
          <w:color w:val="auto"/>
          <w:kern w:val="0"/>
          <w:sz w:val="30"/>
          <w:szCs w:val="30"/>
        </w:rPr>
      </w:pPr>
      <w:bookmarkStart w:id="284" w:name="_Toc16736"/>
      <w:bookmarkStart w:id="285" w:name="_Toc477368707"/>
      <w:bookmarkStart w:id="286" w:name="_Toc15991743"/>
      <w:r>
        <w:rPr>
          <w:b/>
          <w:bCs/>
          <w:snapToGrid w:val="0"/>
          <w:color w:val="auto"/>
          <w:kern w:val="0"/>
          <w:sz w:val="30"/>
          <w:szCs w:val="30"/>
        </w:rPr>
        <w:t>9.2建议</w:t>
      </w:r>
      <w:bookmarkEnd w:id="284"/>
      <w:bookmarkEnd w:id="285"/>
      <w:bookmarkEnd w:id="286"/>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（1）建设单位在项目实施过程中，应认真落实本项目的各项治理措施，加强对环保设施的运行管理，制定有效的管理规章制度，建立环保管理机制。</w:t>
      </w:r>
    </w:p>
    <w:p>
      <w:pPr>
        <w:pStyle w:val="74"/>
        <w:adjustRightInd/>
        <w:snapToGrid/>
        <w:contextualSpacing/>
        <w:jc w:val="both"/>
        <w:rPr>
          <w:rFonts w:ascii="Times New Roman" w:hAnsi="Times New Roman" w:eastAsia="宋体" w:cs="Times New Roman"/>
          <w:color w:val="auto"/>
        </w:rPr>
      </w:pPr>
      <w:r>
        <w:rPr>
          <w:rFonts w:ascii="Times New Roman" w:hAnsi="Times New Roman" w:eastAsia="宋体" w:cs="Times New Roman"/>
          <w:color w:val="auto"/>
        </w:rPr>
        <w:t>（</w:t>
      </w:r>
      <w:r>
        <w:rPr>
          <w:rFonts w:hint="eastAsia" w:ascii="Times New Roman" w:hAnsi="Times New Roman" w:eastAsia="宋体" w:cs="Times New Roman"/>
          <w:color w:val="auto"/>
        </w:rPr>
        <w:t>2</w:t>
      </w:r>
      <w:r>
        <w:rPr>
          <w:rFonts w:ascii="Times New Roman" w:hAnsi="Times New Roman" w:eastAsia="宋体" w:cs="Times New Roman"/>
          <w:color w:val="auto"/>
        </w:rPr>
        <w:t>）严格执行“三同时”制度，落实各项环保措施，平时注意各项环保设施的维护，及时发现处理设备的隐患，确保处理系统正常运行；开、停、检修要有预案，有严密周全的计划，确保不发生非正常排放。</w:t>
      </w:r>
    </w:p>
    <w:p>
      <w:pPr>
        <w:pStyle w:val="74"/>
        <w:adjustRightInd/>
        <w:snapToGrid/>
        <w:contextualSpacing/>
        <w:jc w:val="both"/>
        <w:rPr>
          <w:rFonts w:ascii="Times New Roman" w:hAnsi="Times New Roman" w:eastAsia="宋体" w:cs="Times New Roman"/>
          <w:color w:val="auto"/>
        </w:rPr>
        <w:sectPr>
          <w:headerReference r:id="rId12" w:type="first"/>
          <w:footerReference r:id="rId15" w:type="first"/>
          <w:headerReference r:id="rId10" w:type="default"/>
          <w:footerReference r:id="rId13" w:type="default"/>
          <w:headerReference r:id="rId11" w:type="even"/>
          <w:footerReference r:id="rId14" w:type="even"/>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ascii="Times New Roman" w:hAnsi="Times New Roman" w:eastAsia="宋体" w:cs="Times New Roman"/>
          <w:color w:val="auto"/>
        </w:rPr>
        <w:t>（</w:t>
      </w:r>
      <w:r>
        <w:rPr>
          <w:rFonts w:hint="eastAsia" w:ascii="Times New Roman" w:hAnsi="Times New Roman" w:eastAsia="宋体" w:cs="Times New Roman"/>
          <w:color w:val="auto"/>
        </w:rPr>
        <w:t>3</w:t>
      </w:r>
      <w:r>
        <w:rPr>
          <w:rFonts w:ascii="Times New Roman" w:hAnsi="Times New Roman" w:eastAsia="宋体" w:cs="Times New Roman"/>
          <w:color w:val="auto"/>
        </w:rPr>
        <w:t>）尽可能多的吸收场区周围农民为本项目工作人员，并对其进行技术培训，提高当地居民的收入。</w:t>
      </w:r>
    </w:p>
    <w:p>
      <w:pPr>
        <w:tabs>
          <w:tab w:val="left" w:pos="720"/>
        </w:tabs>
        <w:spacing w:before="50" w:after="50" w:line="360" w:lineRule="auto"/>
        <w:jc w:val="center"/>
        <w:rPr>
          <w:b/>
          <w:color w:val="auto"/>
          <w:sz w:val="24"/>
        </w:rPr>
      </w:pPr>
      <w:r>
        <w:rPr>
          <w:b/>
          <w:color w:val="auto"/>
          <w:sz w:val="24"/>
        </w:rPr>
        <w:t>建设项目大气环境影响评价自查表</w:t>
      </w:r>
    </w:p>
    <w:tbl>
      <w:tblPr>
        <w:tblStyle w:val="46"/>
        <w:tblW w:w="924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51"/>
        <w:gridCol w:w="1798"/>
        <w:gridCol w:w="940"/>
        <w:gridCol w:w="287"/>
        <w:gridCol w:w="134"/>
        <w:gridCol w:w="178"/>
        <w:gridCol w:w="19"/>
        <w:gridCol w:w="78"/>
        <w:gridCol w:w="17"/>
        <w:gridCol w:w="559"/>
        <w:gridCol w:w="433"/>
        <w:gridCol w:w="489"/>
        <w:gridCol w:w="37"/>
        <w:gridCol w:w="290"/>
        <w:gridCol w:w="162"/>
        <w:gridCol w:w="10"/>
        <w:gridCol w:w="104"/>
        <w:gridCol w:w="42"/>
        <w:gridCol w:w="802"/>
        <w:gridCol w:w="34"/>
        <w:gridCol w:w="564"/>
        <w:gridCol w:w="142"/>
        <w:gridCol w:w="287"/>
        <w:gridCol w:w="108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549" w:type="dxa"/>
            <w:gridSpan w:val="2"/>
            <w:tcBorders>
              <w:top w:val="single" w:color="000000" w:sz="12" w:space="0"/>
              <w:left w:val="single" w:color="000000" w:sz="12"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工作内容</w:t>
            </w:r>
          </w:p>
        </w:tc>
        <w:tc>
          <w:tcPr>
            <w:tcW w:w="6691" w:type="dxa"/>
            <w:gridSpan w:val="22"/>
            <w:tcBorders>
              <w:top w:val="single" w:color="000000" w:sz="12" w:space="0"/>
              <w:left w:val="single" w:color="000000"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自查项目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restart"/>
            <w:tcBorders>
              <w:top w:val="single" w:color="000000" w:sz="4" w:space="0"/>
              <w:left w:val="single" w:color="000000" w:sz="12"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评价等级与范围</w:t>
            </w: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评价等级</w:t>
            </w:r>
          </w:p>
        </w:tc>
        <w:tc>
          <w:tcPr>
            <w:tcW w:w="1558" w:type="dxa"/>
            <w:gridSpan w:val="5"/>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一级□</w:t>
            </w:r>
          </w:p>
        </w:tc>
        <w:tc>
          <w:tcPr>
            <w:tcW w:w="3023" w:type="dxa"/>
            <w:gridSpan w:val="12"/>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二级√</w:t>
            </w:r>
          </w:p>
        </w:tc>
        <w:tc>
          <w:tcPr>
            <w:tcW w:w="2110" w:type="dxa"/>
            <w:gridSpan w:val="5"/>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三级□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2" w:hRule="atLeast"/>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评价范围</w:t>
            </w:r>
          </w:p>
        </w:tc>
        <w:tc>
          <w:tcPr>
            <w:tcW w:w="1558" w:type="dxa"/>
            <w:gridSpan w:val="5"/>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边长=50km□</w:t>
            </w:r>
          </w:p>
        </w:tc>
        <w:tc>
          <w:tcPr>
            <w:tcW w:w="3023" w:type="dxa"/>
            <w:gridSpan w:val="12"/>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边长5~50km□</w:t>
            </w:r>
          </w:p>
        </w:tc>
        <w:tc>
          <w:tcPr>
            <w:tcW w:w="2110" w:type="dxa"/>
            <w:gridSpan w:val="5"/>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边长=5km√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restart"/>
            <w:tcBorders>
              <w:top w:val="single" w:color="000000" w:sz="4" w:space="0"/>
              <w:left w:val="single" w:color="000000" w:sz="12"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评价因子</w:t>
            </w: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SO</w:t>
            </w:r>
            <w:r>
              <w:rPr>
                <w:bCs/>
                <w:color w:val="auto"/>
                <w:kern w:val="0"/>
                <w:szCs w:val="21"/>
                <w:vertAlign w:val="subscript"/>
              </w:rPr>
              <w:t>2</w:t>
            </w:r>
            <w:r>
              <w:rPr>
                <w:bCs/>
                <w:color w:val="auto"/>
                <w:kern w:val="0"/>
                <w:szCs w:val="21"/>
              </w:rPr>
              <w:t>+NO</w:t>
            </w:r>
            <w:r>
              <w:rPr>
                <w:bCs/>
                <w:color w:val="auto"/>
                <w:kern w:val="0"/>
                <w:szCs w:val="21"/>
                <w:vertAlign w:val="subscript"/>
              </w:rPr>
              <w:t>X</w:t>
            </w:r>
            <w:r>
              <w:rPr>
                <w:bCs/>
                <w:color w:val="auto"/>
                <w:kern w:val="0"/>
                <w:szCs w:val="21"/>
              </w:rPr>
              <w:t>排放量</w:t>
            </w:r>
          </w:p>
        </w:tc>
        <w:tc>
          <w:tcPr>
            <w:tcW w:w="1558" w:type="dxa"/>
            <w:gridSpan w:val="5"/>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≥2000t/a□</w:t>
            </w:r>
          </w:p>
        </w:tc>
        <w:tc>
          <w:tcPr>
            <w:tcW w:w="3023" w:type="dxa"/>
            <w:gridSpan w:val="12"/>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500~2000t/a□</w:t>
            </w:r>
          </w:p>
        </w:tc>
        <w:tc>
          <w:tcPr>
            <w:tcW w:w="2110" w:type="dxa"/>
            <w:gridSpan w:val="5"/>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&lt;500t/a√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评价因子</w:t>
            </w:r>
          </w:p>
        </w:tc>
        <w:tc>
          <w:tcPr>
            <w:tcW w:w="4581" w:type="dxa"/>
            <w:gridSpan w:val="17"/>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基本污染物（PM</w:t>
            </w:r>
            <w:r>
              <w:rPr>
                <w:bCs/>
                <w:color w:val="auto"/>
                <w:kern w:val="0"/>
                <w:szCs w:val="21"/>
                <w:vertAlign w:val="subscript"/>
              </w:rPr>
              <w:t>10</w:t>
            </w:r>
            <w:r>
              <w:rPr>
                <w:bCs/>
                <w:color w:val="auto"/>
                <w:kern w:val="0"/>
                <w:szCs w:val="21"/>
              </w:rPr>
              <w:t>、PM</w:t>
            </w:r>
            <w:r>
              <w:rPr>
                <w:bCs/>
                <w:color w:val="auto"/>
                <w:kern w:val="0"/>
                <w:szCs w:val="21"/>
                <w:vertAlign w:val="subscript"/>
              </w:rPr>
              <w:t>2.5</w:t>
            </w:r>
            <w:r>
              <w:rPr>
                <w:bCs/>
                <w:color w:val="auto"/>
                <w:kern w:val="0"/>
                <w:szCs w:val="21"/>
              </w:rPr>
              <w:t>、SO</w:t>
            </w:r>
            <w:r>
              <w:rPr>
                <w:bCs/>
                <w:color w:val="auto"/>
                <w:kern w:val="0"/>
                <w:szCs w:val="21"/>
                <w:vertAlign w:val="subscript"/>
              </w:rPr>
              <w:t>2</w:t>
            </w:r>
            <w:r>
              <w:rPr>
                <w:bCs/>
                <w:color w:val="auto"/>
                <w:kern w:val="0"/>
                <w:szCs w:val="21"/>
              </w:rPr>
              <w:t>、NO</w:t>
            </w:r>
            <w:r>
              <w:rPr>
                <w:bCs/>
                <w:color w:val="auto"/>
                <w:kern w:val="0"/>
                <w:szCs w:val="21"/>
                <w:vertAlign w:val="subscript"/>
              </w:rPr>
              <w:t>2</w:t>
            </w:r>
            <w:r>
              <w:rPr>
                <w:bCs/>
                <w:color w:val="auto"/>
                <w:kern w:val="0"/>
                <w:szCs w:val="21"/>
              </w:rPr>
              <w:t>、CO、O</w:t>
            </w:r>
            <w:r>
              <w:rPr>
                <w:bCs/>
                <w:color w:val="auto"/>
                <w:kern w:val="0"/>
                <w:szCs w:val="21"/>
                <w:vertAlign w:val="subscript"/>
              </w:rPr>
              <w:t>3</w:t>
            </w:r>
            <w:r>
              <w:rPr>
                <w:bCs/>
                <w:color w:val="auto"/>
                <w:kern w:val="0"/>
                <w:szCs w:val="21"/>
              </w:rPr>
              <w:t>）其他污染物（硫化氢、氨</w:t>
            </w:r>
            <w:r>
              <w:rPr>
                <w:rFonts w:hint="eastAsia"/>
                <w:bCs/>
                <w:color w:val="auto"/>
                <w:kern w:val="0"/>
                <w:szCs w:val="21"/>
                <w:lang w:eastAsia="zh-CN"/>
              </w:rPr>
              <w:t>、</w:t>
            </w:r>
            <w:r>
              <w:rPr>
                <w:rFonts w:hint="eastAsia"/>
                <w:bCs/>
                <w:color w:val="auto"/>
                <w:kern w:val="0"/>
                <w:szCs w:val="21"/>
                <w:lang w:val="en-US" w:eastAsia="zh-CN"/>
              </w:rPr>
              <w:t>颗粒物、二氧化硫、氮氧化物</w:t>
            </w:r>
            <w:r>
              <w:rPr>
                <w:bCs/>
                <w:color w:val="auto"/>
                <w:kern w:val="0"/>
                <w:szCs w:val="21"/>
              </w:rPr>
              <w:t>）</w:t>
            </w:r>
          </w:p>
        </w:tc>
        <w:tc>
          <w:tcPr>
            <w:tcW w:w="2110" w:type="dxa"/>
            <w:gridSpan w:val="5"/>
            <w:tcBorders>
              <w:top w:val="single" w:color="000000" w:sz="4" w:space="0"/>
              <w:left w:val="single" w:color="auto"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包括二次PM</w:t>
            </w:r>
            <w:r>
              <w:rPr>
                <w:bCs/>
                <w:color w:val="auto"/>
                <w:kern w:val="0"/>
                <w:szCs w:val="21"/>
                <w:vertAlign w:val="subscript"/>
              </w:rPr>
              <w:t>2.5</w:t>
            </w:r>
            <w:r>
              <w:rPr>
                <w:bCs/>
                <w:color w:val="auto"/>
                <w:kern w:val="0"/>
                <w:szCs w:val="21"/>
              </w:rPr>
              <w:t>□</w:t>
            </w:r>
          </w:p>
          <w:p>
            <w:pPr>
              <w:spacing w:line="0" w:lineRule="atLeast"/>
              <w:jc w:val="center"/>
              <w:rPr>
                <w:bCs/>
                <w:color w:val="auto"/>
                <w:kern w:val="0"/>
                <w:szCs w:val="21"/>
              </w:rPr>
            </w:pPr>
            <w:r>
              <w:rPr>
                <w:bCs/>
                <w:color w:val="auto"/>
                <w:kern w:val="0"/>
                <w:szCs w:val="21"/>
              </w:rPr>
              <w:t>不包括二次PM</w:t>
            </w:r>
            <w:r>
              <w:rPr>
                <w:bCs/>
                <w:color w:val="auto"/>
                <w:kern w:val="0"/>
                <w:szCs w:val="21"/>
                <w:vertAlign w:val="subscript"/>
              </w:rPr>
              <w:t>2.5</w:t>
            </w:r>
            <w:r>
              <w:rPr>
                <w:bCs/>
                <w:color w:val="auto"/>
                <w:kern w:val="0"/>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tcBorders>
              <w:top w:val="single" w:color="000000" w:sz="4" w:space="0"/>
              <w:left w:val="single" w:color="000000" w:sz="12"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评价标准</w:t>
            </w: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评价标准</w:t>
            </w:r>
          </w:p>
        </w:tc>
        <w:tc>
          <w:tcPr>
            <w:tcW w:w="1227" w:type="dxa"/>
            <w:gridSpan w:val="2"/>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国家标准√</w:t>
            </w:r>
          </w:p>
        </w:tc>
        <w:tc>
          <w:tcPr>
            <w:tcW w:w="2510" w:type="dxa"/>
            <w:gridSpan w:val="13"/>
            <w:tcBorders>
              <w:top w:val="single" w:color="000000" w:sz="4" w:space="0"/>
              <w:left w:val="single" w:color="auto" w:sz="4" w:space="0"/>
              <w:bottom w:val="single" w:color="000000" w:sz="4" w:space="0"/>
              <w:right w:val="single" w:color="auto" w:sz="4" w:space="0"/>
            </w:tcBorders>
            <w:vAlign w:val="center"/>
          </w:tcPr>
          <w:p>
            <w:pPr>
              <w:spacing w:line="0" w:lineRule="atLeast"/>
              <w:jc w:val="center"/>
              <w:rPr>
                <w:bCs/>
                <w:color w:val="auto"/>
                <w:kern w:val="0"/>
                <w:szCs w:val="21"/>
              </w:rPr>
            </w:pPr>
            <w:r>
              <w:rPr>
                <w:bCs/>
                <w:color w:val="auto"/>
                <w:kern w:val="0"/>
                <w:szCs w:val="21"/>
              </w:rPr>
              <w:t>地方标准□</w:t>
            </w:r>
          </w:p>
        </w:tc>
        <w:tc>
          <w:tcPr>
            <w:tcW w:w="1442" w:type="dxa"/>
            <w:gridSpan w:val="4"/>
            <w:tcBorders>
              <w:top w:val="single" w:color="000000" w:sz="4" w:space="0"/>
              <w:left w:val="single" w:color="auto" w:sz="4" w:space="0"/>
              <w:bottom w:val="single" w:color="000000" w:sz="4" w:space="0"/>
              <w:right w:val="single" w:color="auto" w:sz="4" w:space="0"/>
            </w:tcBorders>
            <w:vAlign w:val="center"/>
          </w:tcPr>
          <w:p>
            <w:pPr>
              <w:spacing w:line="0" w:lineRule="atLeast"/>
              <w:jc w:val="center"/>
              <w:rPr>
                <w:bCs/>
                <w:color w:val="auto"/>
                <w:kern w:val="0"/>
                <w:szCs w:val="21"/>
              </w:rPr>
            </w:pPr>
            <w:r>
              <w:rPr>
                <w:bCs/>
                <w:color w:val="auto"/>
                <w:kern w:val="0"/>
                <w:szCs w:val="21"/>
              </w:rPr>
              <w:t>附录D√</w:t>
            </w:r>
          </w:p>
        </w:tc>
        <w:tc>
          <w:tcPr>
            <w:tcW w:w="1512" w:type="dxa"/>
            <w:gridSpan w:val="3"/>
            <w:tcBorders>
              <w:top w:val="single" w:color="000000" w:sz="4" w:space="0"/>
              <w:left w:val="single" w:color="auto"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其他标准□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restart"/>
            <w:tcBorders>
              <w:top w:val="single" w:color="000000" w:sz="4" w:space="0"/>
              <w:left w:val="single" w:color="000000" w:sz="12"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现状评价</w:t>
            </w: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环境功能区</w:t>
            </w:r>
          </w:p>
        </w:tc>
        <w:tc>
          <w:tcPr>
            <w:tcW w:w="1558" w:type="dxa"/>
            <w:gridSpan w:val="5"/>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一类区□</w:t>
            </w:r>
          </w:p>
        </w:tc>
        <w:tc>
          <w:tcPr>
            <w:tcW w:w="3023" w:type="dxa"/>
            <w:gridSpan w:val="12"/>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二类区√</w:t>
            </w:r>
          </w:p>
        </w:tc>
        <w:tc>
          <w:tcPr>
            <w:tcW w:w="2110" w:type="dxa"/>
            <w:gridSpan w:val="5"/>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一类区和二类区□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评价基准年</w:t>
            </w:r>
          </w:p>
        </w:tc>
        <w:tc>
          <w:tcPr>
            <w:tcW w:w="6691" w:type="dxa"/>
            <w:gridSpan w:val="22"/>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（20</w:t>
            </w:r>
            <w:r>
              <w:rPr>
                <w:rFonts w:hint="eastAsia"/>
                <w:bCs/>
                <w:color w:val="auto"/>
                <w:kern w:val="0"/>
                <w:szCs w:val="21"/>
              </w:rPr>
              <w:t>2</w:t>
            </w:r>
            <w:r>
              <w:rPr>
                <w:rFonts w:hint="eastAsia"/>
                <w:bCs/>
                <w:color w:val="auto"/>
                <w:kern w:val="0"/>
                <w:szCs w:val="21"/>
                <w:lang w:val="en-US" w:eastAsia="zh-CN"/>
              </w:rPr>
              <w:t>2</w:t>
            </w:r>
            <w:r>
              <w:rPr>
                <w:bCs/>
                <w:color w:val="auto"/>
                <w:kern w:val="0"/>
                <w:szCs w:val="21"/>
              </w:rPr>
              <w:t>）年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环境空气质量现状调查数据来源</w:t>
            </w:r>
          </w:p>
        </w:tc>
        <w:tc>
          <w:tcPr>
            <w:tcW w:w="1558" w:type="dxa"/>
            <w:gridSpan w:val="5"/>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长期例行监测数据□</w:t>
            </w:r>
          </w:p>
        </w:tc>
        <w:tc>
          <w:tcPr>
            <w:tcW w:w="3023" w:type="dxa"/>
            <w:gridSpan w:val="12"/>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主管部门发布的数据√</w:t>
            </w:r>
          </w:p>
        </w:tc>
        <w:tc>
          <w:tcPr>
            <w:tcW w:w="2110" w:type="dxa"/>
            <w:gridSpan w:val="5"/>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现状补充监测√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现状评价</w:t>
            </w:r>
          </w:p>
        </w:tc>
        <w:tc>
          <w:tcPr>
            <w:tcW w:w="3171" w:type="dxa"/>
            <w:gridSpan w:val="11"/>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达标区□</w:t>
            </w:r>
          </w:p>
        </w:tc>
        <w:tc>
          <w:tcPr>
            <w:tcW w:w="3520" w:type="dxa"/>
            <w:gridSpan w:val="11"/>
            <w:tcBorders>
              <w:top w:val="single" w:color="000000" w:sz="4" w:space="0"/>
              <w:left w:val="single" w:color="auto"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不达标区√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tcBorders>
              <w:top w:val="single" w:color="000000" w:sz="4" w:space="0"/>
              <w:left w:val="single" w:color="000000" w:sz="12"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污染源调查</w:t>
            </w: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调查内容</w:t>
            </w:r>
          </w:p>
        </w:tc>
        <w:tc>
          <w:tcPr>
            <w:tcW w:w="1653" w:type="dxa"/>
            <w:gridSpan w:val="7"/>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本项目正常排放源√</w:t>
            </w:r>
          </w:p>
          <w:p>
            <w:pPr>
              <w:spacing w:line="0" w:lineRule="atLeast"/>
              <w:jc w:val="center"/>
              <w:rPr>
                <w:bCs/>
                <w:color w:val="auto"/>
                <w:kern w:val="0"/>
                <w:szCs w:val="21"/>
              </w:rPr>
            </w:pPr>
            <w:r>
              <w:rPr>
                <w:bCs/>
                <w:color w:val="auto"/>
                <w:kern w:val="0"/>
                <w:szCs w:val="21"/>
              </w:rPr>
              <w:t>本项目非正常排放源√</w:t>
            </w:r>
          </w:p>
          <w:p>
            <w:pPr>
              <w:spacing w:line="0" w:lineRule="atLeast"/>
              <w:jc w:val="center"/>
              <w:rPr>
                <w:bCs/>
                <w:color w:val="auto"/>
                <w:kern w:val="0"/>
                <w:szCs w:val="21"/>
              </w:rPr>
            </w:pPr>
            <w:r>
              <w:rPr>
                <w:bCs/>
                <w:color w:val="auto"/>
                <w:kern w:val="0"/>
                <w:szCs w:val="21"/>
              </w:rPr>
              <w:t>现有污染源□</w:t>
            </w:r>
          </w:p>
        </w:tc>
        <w:tc>
          <w:tcPr>
            <w:tcW w:w="1808" w:type="dxa"/>
            <w:gridSpan w:val="5"/>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拟替代的污染源□</w:t>
            </w:r>
          </w:p>
        </w:tc>
        <w:tc>
          <w:tcPr>
            <w:tcW w:w="1860" w:type="dxa"/>
            <w:gridSpan w:val="8"/>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其他在建、拟建项目污染源□</w:t>
            </w:r>
          </w:p>
        </w:tc>
        <w:tc>
          <w:tcPr>
            <w:tcW w:w="1370" w:type="dxa"/>
            <w:gridSpan w:val="2"/>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区域污染源□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restart"/>
            <w:tcBorders>
              <w:top w:val="single" w:color="000000" w:sz="4" w:space="0"/>
              <w:left w:val="single" w:color="000000" w:sz="12"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大气环境影响预测与评价</w:t>
            </w: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预测模型</w:t>
            </w:r>
          </w:p>
        </w:tc>
        <w:tc>
          <w:tcPr>
            <w:tcW w:w="940"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AERMOD□</w:t>
            </w:r>
          </w:p>
        </w:tc>
        <w:tc>
          <w:tcPr>
            <w:tcW w:w="713" w:type="dxa"/>
            <w:gridSpan w:val="6"/>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ADMS□</w:t>
            </w:r>
          </w:p>
        </w:tc>
        <w:tc>
          <w:tcPr>
            <w:tcW w:w="992" w:type="dxa"/>
            <w:gridSpan w:val="2"/>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AUSTAL2000□</w:t>
            </w:r>
          </w:p>
        </w:tc>
        <w:tc>
          <w:tcPr>
            <w:tcW w:w="1134" w:type="dxa"/>
            <w:gridSpan w:val="7"/>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EDMS/AEDT□</w:t>
            </w:r>
          </w:p>
        </w:tc>
        <w:tc>
          <w:tcPr>
            <w:tcW w:w="836" w:type="dxa"/>
            <w:gridSpan w:val="2"/>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CALPUFF□</w:t>
            </w:r>
          </w:p>
        </w:tc>
        <w:tc>
          <w:tcPr>
            <w:tcW w:w="993" w:type="dxa"/>
            <w:gridSpan w:val="3"/>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网格模型□</w:t>
            </w:r>
          </w:p>
        </w:tc>
        <w:tc>
          <w:tcPr>
            <w:tcW w:w="1083" w:type="dxa"/>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预测范围</w:t>
            </w:r>
          </w:p>
        </w:tc>
        <w:tc>
          <w:tcPr>
            <w:tcW w:w="1636" w:type="dxa"/>
            <w:gridSpan w:val="6"/>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边长≥50km□</w:t>
            </w:r>
          </w:p>
        </w:tc>
        <w:tc>
          <w:tcPr>
            <w:tcW w:w="2945" w:type="dxa"/>
            <w:gridSpan w:val="11"/>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边长5~50km□</w:t>
            </w:r>
          </w:p>
        </w:tc>
        <w:tc>
          <w:tcPr>
            <w:tcW w:w="2110" w:type="dxa"/>
            <w:gridSpan w:val="5"/>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边长=5km□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预测因子</w:t>
            </w:r>
          </w:p>
        </w:tc>
        <w:tc>
          <w:tcPr>
            <w:tcW w:w="3623" w:type="dxa"/>
            <w:gridSpan w:val="13"/>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预测因子（</w:t>
            </w:r>
            <w:r>
              <w:rPr>
                <w:rFonts w:hint="eastAsia"/>
                <w:bCs/>
                <w:color w:val="auto"/>
                <w:kern w:val="0"/>
                <w:szCs w:val="21"/>
                <w:lang w:val="en-US" w:eastAsia="zh-CN"/>
              </w:rPr>
              <w:t>颗粒物、氮氧化物、二氧化硫、</w:t>
            </w:r>
            <w:r>
              <w:rPr>
                <w:color w:val="auto"/>
                <w:szCs w:val="21"/>
              </w:rPr>
              <w:t>H</w:t>
            </w:r>
            <w:r>
              <w:rPr>
                <w:color w:val="auto"/>
                <w:szCs w:val="21"/>
                <w:vertAlign w:val="subscript"/>
              </w:rPr>
              <w:t>2</w:t>
            </w:r>
            <w:r>
              <w:rPr>
                <w:color w:val="auto"/>
                <w:szCs w:val="21"/>
              </w:rPr>
              <w:t>S、NH</w:t>
            </w:r>
            <w:r>
              <w:rPr>
                <w:color w:val="auto"/>
                <w:szCs w:val="21"/>
                <w:vertAlign w:val="subscript"/>
              </w:rPr>
              <w:t>3</w:t>
            </w:r>
            <w:r>
              <w:rPr>
                <w:bCs/>
                <w:color w:val="auto"/>
                <w:kern w:val="0"/>
                <w:szCs w:val="21"/>
              </w:rPr>
              <w:t>）</w:t>
            </w:r>
          </w:p>
        </w:tc>
        <w:tc>
          <w:tcPr>
            <w:tcW w:w="3068" w:type="dxa"/>
            <w:gridSpan w:val="9"/>
            <w:tcBorders>
              <w:top w:val="single" w:color="000000" w:sz="4" w:space="0"/>
              <w:left w:val="single" w:color="auto"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包括二次PM</w:t>
            </w:r>
            <w:r>
              <w:rPr>
                <w:bCs/>
                <w:color w:val="auto"/>
                <w:kern w:val="0"/>
                <w:szCs w:val="21"/>
                <w:vertAlign w:val="subscript"/>
              </w:rPr>
              <w:t>2.5</w:t>
            </w:r>
            <w:r>
              <w:rPr>
                <w:bCs/>
                <w:color w:val="auto"/>
                <w:kern w:val="0"/>
                <w:szCs w:val="21"/>
              </w:rPr>
              <w:t>□</w:t>
            </w:r>
          </w:p>
          <w:p>
            <w:pPr>
              <w:spacing w:line="0" w:lineRule="atLeast"/>
              <w:jc w:val="center"/>
              <w:rPr>
                <w:bCs/>
                <w:color w:val="auto"/>
                <w:kern w:val="0"/>
                <w:szCs w:val="21"/>
              </w:rPr>
            </w:pPr>
            <w:r>
              <w:rPr>
                <w:bCs/>
                <w:color w:val="auto"/>
                <w:kern w:val="0"/>
                <w:szCs w:val="21"/>
              </w:rPr>
              <w:t>不包括二次PM</w:t>
            </w:r>
            <w:r>
              <w:rPr>
                <w:bCs/>
                <w:color w:val="auto"/>
                <w:kern w:val="0"/>
                <w:szCs w:val="21"/>
                <w:vertAlign w:val="subscript"/>
              </w:rPr>
              <w:t>2.5</w:t>
            </w:r>
            <w:r>
              <w:rPr>
                <w:bCs/>
                <w:color w:val="auto"/>
                <w:kern w:val="0"/>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正常排放短期浓度贡献值</w:t>
            </w:r>
          </w:p>
        </w:tc>
        <w:tc>
          <w:tcPr>
            <w:tcW w:w="3623" w:type="dxa"/>
            <w:gridSpan w:val="13"/>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C</w:t>
            </w:r>
            <w:r>
              <w:rPr>
                <w:bCs/>
                <w:color w:val="auto"/>
                <w:kern w:val="0"/>
                <w:szCs w:val="21"/>
                <w:vertAlign w:val="subscript"/>
              </w:rPr>
              <w:t>本项目</w:t>
            </w:r>
            <w:r>
              <w:rPr>
                <w:bCs/>
                <w:color w:val="auto"/>
                <w:kern w:val="0"/>
                <w:szCs w:val="21"/>
              </w:rPr>
              <w:t>最大占标率≤100%□</w:t>
            </w:r>
          </w:p>
        </w:tc>
        <w:tc>
          <w:tcPr>
            <w:tcW w:w="3068" w:type="dxa"/>
            <w:gridSpan w:val="9"/>
            <w:tcBorders>
              <w:top w:val="single" w:color="000000" w:sz="4" w:space="0"/>
              <w:left w:val="single" w:color="auto"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C</w:t>
            </w:r>
            <w:r>
              <w:rPr>
                <w:bCs/>
                <w:color w:val="auto"/>
                <w:kern w:val="0"/>
                <w:szCs w:val="21"/>
                <w:vertAlign w:val="subscript"/>
              </w:rPr>
              <w:t>本项目</w:t>
            </w:r>
            <w:r>
              <w:rPr>
                <w:bCs/>
                <w:color w:val="auto"/>
                <w:kern w:val="0"/>
                <w:szCs w:val="21"/>
              </w:rPr>
              <w:t>最大占标率&gt;100%□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bCs/>
                <w:color w:val="auto"/>
                <w:kern w:val="0"/>
                <w:szCs w:val="21"/>
              </w:rPr>
            </w:pPr>
          </w:p>
        </w:tc>
        <w:tc>
          <w:tcPr>
            <w:tcW w:w="1798" w:type="dxa"/>
            <w:vMerge w:val="restart"/>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正常排放年均浓度贡献值</w:t>
            </w:r>
          </w:p>
        </w:tc>
        <w:tc>
          <w:tcPr>
            <w:tcW w:w="940"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一类区</w:t>
            </w:r>
          </w:p>
        </w:tc>
        <w:tc>
          <w:tcPr>
            <w:tcW w:w="2693" w:type="dxa"/>
            <w:gridSpan w:val="13"/>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C</w:t>
            </w:r>
            <w:r>
              <w:rPr>
                <w:bCs/>
                <w:color w:val="auto"/>
                <w:kern w:val="0"/>
                <w:szCs w:val="21"/>
                <w:vertAlign w:val="subscript"/>
              </w:rPr>
              <w:t>本项目</w:t>
            </w:r>
            <w:r>
              <w:rPr>
                <w:bCs/>
                <w:color w:val="auto"/>
                <w:kern w:val="0"/>
                <w:szCs w:val="21"/>
              </w:rPr>
              <w:t>最大占标率≤10%□</w:t>
            </w:r>
          </w:p>
        </w:tc>
        <w:tc>
          <w:tcPr>
            <w:tcW w:w="3058" w:type="dxa"/>
            <w:gridSpan w:val="8"/>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C</w:t>
            </w:r>
            <w:r>
              <w:rPr>
                <w:bCs/>
                <w:color w:val="auto"/>
                <w:kern w:val="0"/>
                <w:szCs w:val="21"/>
                <w:vertAlign w:val="subscript"/>
              </w:rPr>
              <w:t>本项目</w:t>
            </w:r>
            <w:r>
              <w:rPr>
                <w:bCs/>
                <w:color w:val="auto"/>
                <w:kern w:val="0"/>
                <w:szCs w:val="21"/>
              </w:rPr>
              <w:t>最大占标率&gt;10%□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bCs/>
                <w:color w:val="auto"/>
                <w:kern w:val="0"/>
                <w:szCs w:val="21"/>
              </w:rPr>
            </w:pPr>
          </w:p>
        </w:tc>
        <w:tc>
          <w:tcPr>
            <w:tcW w:w="1798"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bCs/>
                <w:color w:val="auto"/>
                <w:kern w:val="0"/>
                <w:szCs w:val="21"/>
              </w:rPr>
            </w:pPr>
          </w:p>
        </w:tc>
        <w:tc>
          <w:tcPr>
            <w:tcW w:w="940"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二类区</w:t>
            </w:r>
          </w:p>
        </w:tc>
        <w:tc>
          <w:tcPr>
            <w:tcW w:w="2693" w:type="dxa"/>
            <w:gridSpan w:val="13"/>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C</w:t>
            </w:r>
            <w:r>
              <w:rPr>
                <w:bCs/>
                <w:color w:val="auto"/>
                <w:kern w:val="0"/>
                <w:szCs w:val="21"/>
                <w:vertAlign w:val="subscript"/>
              </w:rPr>
              <w:t>本项目</w:t>
            </w:r>
            <w:r>
              <w:rPr>
                <w:bCs/>
                <w:color w:val="auto"/>
                <w:kern w:val="0"/>
                <w:szCs w:val="21"/>
              </w:rPr>
              <w:t>最大占标率≤30%√</w:t>
            </w:r>
          </w:p>
        </w:tc>
        <w:tc>
          <w:tcPr>
            <w:tcW w:w="3058" w:type="dxa"/>
            <w:gridSpan w:val="8"/>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C</w:t>
            </w:r>
            <w:r>
              <w:rPr>
                <w:bCs/>
                <w:color w:val="auto"/>
                <w:kern w:val="0"/>
                <w:szCs w:val="21"/>
                <w:vertAlign w:val="subscript"/>
              </w:rPr>
              <w:t>本项目</w:t>
            </w:r>
            <w:r>
              <w:rPr>
                <w:bCs/>
                <w:color w:val="auto"/>
                <w:kern w:val="0"/>
                <w:szCs w:val="21"/>
              </w:rPr>
              <w:t>最大占标率&gt;30%□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非正常排放1h浓度贡献值</w:t>
            </w:r>
          </w:p>
        </w:tc>
        <w:tc>
          <w:tcPr>
            <w:tcW w:w="1361" w:type="dxa"/>
            <w:gridSpan w:val="3"/>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非正常持续时长（）h</w:t>
            </w:r>
          </w:p>
        </w:tc>
        <w:tc>
          <w:tcPr>
            <w:tcW w:w="2272" w:type="dxa"/>
            <w:gridSpan w:val="11"/>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C</w:t>
            </w:r>
            <w:r>
              <w:rPr>
                <w:bCs/>
                <w:color w:val="auto"/>
                <w:kern w:val="0"/>
                <w:szCs w:val="21"/>
                <w:vertAlign w:val="subscript"/>
              </w:rPr>
              <w:t>非正常</w:t>
            </w:r>
            <w:r>
              <w:rPr>
                <w:bCs/>
                <w:color w:val="auto"/>
                <w:kern w:val="0"/>
                <w:szCs w:val="21"/>
              </w:rPr>
              <w:t>占标率≤100%□</w:t>
            </w:r>
          </w:p>
        </w:tc>
        <w:tc>
          <w:tcPr>
            <w:tcW w:w="3058" w:type="dxa"/>
            <w:gridSpan w:val="8"/>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C</w:t>
            </w:r>
            <w:r>
              <w:rPr>
                <w:bCs/>
                <w:color w:val="auto"/>
                <w:kern w:val="0"/>
                <w:szCs w:val="21"/>
                <w:vertAlign w:val="subscript"/>
              </w:rPr>
              <w:t>非正常</w:t>
            </w:r>
            <w:r>
              <w:rPr>
                <w:bCs/>
                <w:color w:val="auto"/>
                <w:kern w:val="0"/>
                <w:szCs w:val="21"/>
              </w:rPr>
              <w:t>占标率&gt;100%□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保证率日平均浓度和年平均浓度叠加值</w:t>
            </w:r>
          </w:p>
        </w:tc>
        <w:tc>
          <w:tcPr>
            <w:tcW w:w="3134" w:type="dxa"/>
            <w:gridSpan w:val="10"/>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C</w:t>
            </w:r>
            <w:r>
              <w:rPr>
                <w:bCs/>
                <w:color w:val="auto"/>
                <w:kern w:val="0"/>
                <w:szCs w:val="21"/>
                <w:vertAlign w:val="subscript"/>
              </w:rPr>
              <w:t>叠加</w:t>
            </w:r>
            <w:r>
              <w:rPr>
                <w:bCs/>
                <w:color w:val="auto"/>
                <w:kern w:val="0"/>
                <w:szCs w:val="21"/>
              </w:rPr>
              <w:t>达标□</w:t>
            </w:r>
          </w:p>
        </w:tc>
        <w:tc>
          <w:tcPr>
            <w:tcW w:w="3557" w:type="dxa"/>
            <w:gridSpan w:val="12"/>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C</w:t>
            </w:r>
            <w:r>
              <w:rPr>
                <w:bCs/>
                <w:color w:val="auto"/>
                <w:kern w:val="0"/>
                <w:szCs w:val="21"/>
                <w:vertAlign w:val="subscript"/>
              </w:rPr>
              <w:t>叠加</w:t>
            </w:r>
            <w:r>
              <w:rPr>
                <w:bCs/>
                <w:color w:val="auto"/>
                <w:kern w:val="0"/>
                <w:szCs w:val="21"/>
              </w:rPr>
              <w:t>不达标□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区域环境质量的整体变化情况</w:t>
            </w:r>
          </w:p>
        </w:tc>
        <w:tc>
          <w:tcPr>
            <w:tcW w:w="3134" w:type="dxa"/>
            <w:gridSpan w:val="10"/>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k≤-20%□</w:t>
            </w:r>
          </w:p>
        </w:tc>
        <w:tc>
          <w:tcPr>
            <w:tcW w:w="3557" w:type="dxa"/>
            <w:gridSpan w:val="12"/>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k&gt;-20%□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restart"/>
            <w:tcBorders>
              <w:top w:val="single" w:color="000000" w:sz="4" w:space="0"/>
              <w:left w:val="single" w:color="000000" w:sz="12"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环境监测计划</w:t>
            </w: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污染源监测</w:t>
            </w:r>
          </w:p>
        </w:tc>
        <w:tc>
          <w:tcPr>
            <w:tcW w:w="2212" w:type="dxa"/>
            <w:gridSpan w:val="8"/>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监测因子：（</w:t>
            </w:r>
            <w:r>
              <w:rPr>
                <w:color w:val="auto"/>
                <w:szCs w:val="21"/>
              </w:rPr>
              <w:t>H</w:t>
            </w:r>
            <w:r>
              <w:rPr>
                <w:color w:val="auto"/>
                <w:szCs w:val="21"/>
                <w:vertAlign w:val="subscript"/>
              </w:rPr>
              <w:t>2</w:t>
            </w:r>
            <w:r>
              <w:rPr>
                <w:color w:val="auto"/>
                <w:szCs w:val="21"/>
              </w:rPr>
              <w:t>S、NH</w:t>
            </w:r>
            <w:r>
              <w:rPr>
                <w:color w:val="auto"/>
                <w:szCs w:val="21"/>
                <w:vertAlign w:val="subscript"/>
              </w:rPr>
              <w:t>3</w:t>
            </w:r>
            <w:r>
              <w:rPr>
                <w:rFonts w:hint="eastAsia"/>
                <w:color w:val="auto"/>
                <w:sz w:val="21"/>
                <w:szCs w:val="21"/>
                <w:lang w:val="en-US" w:eastAsia="zh-CN"/>
              </w:rPr>
              <w:t>颗粒物、氮氧化物、二氧化硫</w:t>
            </w:r>
            <w:r>
              <w:rPr>
                <w:bCs/>
                <w:color w:val="auto"/>
                <w:kern w:val="0"/>
                <w:szCs w:val="21"/>
              </w:rPr>
              <w:t>）</w:t>
            </w:r>
          </w:p>
        </w:tc>
        <w:tc>
          <w:tcPr>
            <w:tcW w:w="2369" w:type="dxa"/>
            <w:gridSpan w:val="9"/>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有组织废气监测√</w:t>
            </w:r>
          </w:p>
          <w:p>
            <w:pPr>
              <w:spacing w:line="0" w:lineRule="atLeast"/>
              <w:jc w:val="center"/>
              <w:rPr>
                <w:bCs/>
                <w:color w:val="auto"/>
                <w:kern w:val="0"/>
                <w:szCs w:val="21"/>
              </w:rPr>
            </w:pPr>
            <w:r>
              <w:rPr>
                <w:bCs/>
                <w:color w:val="auto"/>
                <w:kern w:val="0"/>
                <w:szCs w:val="21"/>
              </w:rPr>
              <w:t>无组织废气监测√</w:t>
            </w:r>
          </w:p>
        </w:tc>
        <w:tc>
          <w:tcPr>
            <w:tcW w:w="2110" w:type="dxa"/>
            <w:gridSpan w:val="5"/>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无监测□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环境质量监测</w:t>
            </w:r>
          </w:p>
        </w:tc>
        <w:tc>
          <w:tcPr>
            <w:tcW w:w="2212" w:type="dxa"/>
            <w:gridSpan w:val="8"/>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监测因子：（）</w:t>
            </w:r>
          </w:p>
        </w:tc>
        <w:tc>
          <w:tcPr>
            <w:tcW w:w="2369" w:type="dxa"/>
            <w:gridSpan w:val="9"/>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监测点位数（）</w:t>
            </w:r>
          </w:p>
        </w:tc>
        <w:tc>
          <w:tcPr>
            <w:tcW w:w="2110" w:type="dxa"/>
            <w:gridSpan w:val="5"/>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无监测□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tcBorders>
              <w:top w:val="single" w:color="000000" w:sz="4" w:space="0"/>
              <w:left w:val="single" w:color="000000" w:sz="12"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评价结论</w:t>
            </w: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环境影响</w:t>
            </w:r>
          </w:p>
        </w:tc>
        <w:tc>
          <w:tcPr>
            <w:tcW w:w="6691" w:type="dxa"/>
            <w:gridSpan w:val="22"/>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可以接受√       不可以接受□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restart"/>
            <w:tcBorders>
              <w:top w:val="single" w:color="000000" w:sz="4" w:space="0"/>
              <w:left w:val="single" w:color="000000" w:sz="12"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评价结论</w:t>
            </w: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大气环境防护距离</w:t>
            </w:r>
          </w:p>
        </w:tc>
        <w:tc>
          <w:tcPr>
            <w:tcW w:w="6691" w:type="dxa"/>
            <w:gridSpan w:val="22"/>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距（）厂界最远（）m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污染源年排放量</w:t>
            </w:r>
          </w:p>
        </w:tc>
        <w:tc>
          <w:tcPr>
            <w:tcW w:w="1539" w:type="dxa"/>
            <w:gridSpan w:val="4"/>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SO</w:t>
            </w:r>
            <w:r>
              <w:rPr>
                <w:bCs/>
                <w:color w:val="auto"/>
                <w:kern w:val="0"/>
                <w:szCs w:val="21"/>
                <w:vertAlign w:val="subscript"/>
              </w:rPr>
              <w:t>2</w:t>
            </w:r>
            <w:r>
              <w:rPr>
                <w:bCs/>
                <w:color w:val="auto"/>
                <w:kern w:val="0"/>
                <w:szCs w:val="21"/>
              </w:rPr>
              <w:t>：（</w:t>
            </w:r>
            <w:r>
              <w:rPr>
                <w:rFonts w:hint="eastAsia"/>
                <w:bCs/>
                <w:color w:val="auto"/>
                <w:kern w:val="0"/>
                <w:szCs w:val="21"/>
                <w:lang w:val="en-US" w:eastAsia="zh-CN"/>
              </w:rPr>
              <w:t>0.101</w:t>
            </w:r>
            <w:r>
              <w:rPr>
                <w:bCs/>
                <w:color w:val="auto"/>
                <w:kern w:val="0"/>
                <w:szCs w:val="21"/>
              </w:rPr>
              <w:t>）t/a</w:t>
            </w:r>
          </w:p>
        </w:tc>
        <w:tc>
          <w:tcPr>
            <w:tcW w:w="1595" w:type="dxa"/>
            <w:gridSpan w:val="6"/>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NO</w:t>
            </w:r>
            <w:r>
              <w:rPr>
                <w:bCs/>
                <w:color w:val="auto"/>
                <w:kern w:val="0"/>
                <w:szCs w:val="21"/>
                <w:vertAlign w:val="subscript"/>
              </w:rPr>
              <w:t>X</w:t>
            </w:r>
            <w:r>
              <w:rPr>
                <w:bCs/>
                <w:color w:val="auto"/>
                <w:kern w:val="0"/>
                <w:szCs w:val="21"/>
              </w:rPr>
              <w:t>：（</w:t>
            </w:r>
            <w:r>
              <w:rPr>
                <w:rFonts w:hint="eastAsia"/>
                <w:bCs/>
                <w:color w:val="auto"/>
                <w:kern w:val="0"/>
                <w:szCs w:val="21"/>
                <w:lang w:val="en-US" w:eastAsia="zh-CN"/>
              </w:rPr>
              <w:t>0.427</w:t>
            </w:r>
            <w:r>
              <w:rPr>
                <w:bCs/>
                <w:color w:val="auto"/>
                <w:kern w:val="0"/>
                <w:szCs w:val="21"/>
              </w:rPr>
              <w:t>）t/a</w:t>
            </w:r>
          </w:p>
        </w:tc>
        <w:tc>
          <w:tcPr>
            <w:tcW w:w="1447" w:type="dxa"/>
            <w:gridSpan w:val="7"/>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bCs/>
                <w:color w:val="auto"/>
                <w:kern w:val="0"/>
                <w:szCs w:val="21"/>
              </w:rPr>
            </w:pPr>
            <w:r>
              <w:rPr>
                <w:bCs/>
                <w:color w:val="auto"/>
                <w:kern w:val="0"/>
                <w:szCs w:val="21"/>
              </w:rPr>
              <w:t>颗粒物：（</w:t>
            </w:r>
            <w:r>
              <w:rPr>
                <w:rFonts w:hint="eastAsia"/>
                <w:bCs/>
                <w:color w:val="auto"/>
                <w:kern w:val="0"/>
                <w:szCs w:val="21"/>
                <w:lang w:val="en-US" w:eastAsia="zh-CN"/>
              </w:rPr>
              <w:t>0.074</w:t>
            </w:r>
            <w:r>
              <w:rPr>
                <w:bCs/>
                <w:color w:val="auto"/>
                <w:kern w:val="0"/>
                <w:szCs w:val="21"/>
              </w:rPr>
              <w:t>）t/a</w:t>
            </w:r>
          </w:p>
        </w:tc>
        <w:tc>
          <w:tcPr>
            <w:tcW w:w="2110" w:type="dxa"/>
            <w:gridSpan w:val="5"/>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bCs/>
                <w:color w:val="auto"/>
                <w:kern w:val="0"/>
                <w:szCs w:val="21"/>
              </w:rPr>
            </w:pPr>
            <w:r>
              <w:rPr>
                <w:bCs/>
                <w:color w:val="auto"/>
                <w:kern w:val="0"/>
                <w:szCs w:val="21"/>
              </w:rPr>
              <w:t>VOCs：（）t/a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5" w:hRule="atLeast"/>
          <w:jc w:val="center"/>
        </w:trPr>
        <w:tc>
          <w:tcPr>
            <w:tcW w:w="9240" w:type="dxa"/>
            <w:gridSpan w:val="24"/>
            <w:tcBorders>
              <w:top w:val="single" w:color="000000" w:sz="4" w:space="0"/>
              <w:left w:val="single" w:color="000000" w:sz="12" w:space="0"/>
              <w:bottom w:val="single" w:color="000000" w:sz="12" w:space="0"/>
              <w:right w:val="single" w:color="000000" w:sz="12" w:space="0"/>
            </w:tcBorders>
            <w:vAlign w:val="center"/>
          </w:tcPr>
          <w:p>
            <w:pPr>
              <w:spacing w:line="0" w:lineRule="atLeast"/>
              <w:rPr>
                <w:bCs/>
                <w:color w:val="auto"/>
                <w:kern w:val="0"/>
                <w:szCs w:val="21"/>
              </w:rPr>
            </w:pPr>
            <w:r>
              <w:rPr>
                <w:bCs/>
                <w:color w:val="auto"/>
                <w:kern w:val="0"/>
                <w:szCs w:val="21"/>
              </w:rPr>
              <w:t>注：“□”为勾选项，填“√”；“（）”为内容填写项</w:t>
            </w:r>
          </w:p>
        </w:tc>
      </w:tr>
    </w:tbl>
    <w:p>
      <w:pPr>
        <w:widowControl/>
        <w:spacing w:line="360" w:lineRule="auto"/>
        <w:jc w:val="left"/>
        <w:rPr>
          <w:color w:val="auto"/>
          <w:sz w:val="24"/>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jc w:val="center"/>
        <w:rPr>
          <w:b/>
          <w:color w:val="auto"/>
          <w:sz w:val="24"/>
        </w:rPr>
      </w:pPr>
      <w:r>
        <w:rPr>
          <w:b/>
          <w:color w:val="auto"/>
          <w:sz w:val="24"/>
        </w:rPr>
        <w:t>地表水环境影响评价自查表</w:t>
      </w:r>
    </w:p>
    <w:tbl>
      <w:tblPr>
        <w:tblStyle w:val="77"/>
        <w:tblW w:w="0" w:type="auto"/>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389"/>
        <w:gridCol w:w="2529"/>
        <w:gridCol w:w="2389"/>
        <w:gridCol w:w="2670"/>
        <w:gridCol w:w="6075"/>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37" w:hRule="atLeast"/>
        </w:trPr>
        <w:tc>
          <w:tcPr>
            <w:tcW w:w="2918" w:type="dxa"/>
            <w:gridSpan w:val="2"/>
            <w:tcBorders>
              <w:top w:val="single" w:color="000000" w:themeColor="text1" w:sz="12" w:space="0"/>
              <w:left w:val="single" w:color="000000" w:themeColor="text1" w:sz="12"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工作内容</w:t>
            </w:r>
          </w:p>
        </w:tc>
        <w:tc>
          <w:tcPr>
            <w:tcW w:w="11134" w:type="dxa"/>
            <w:gridSpan w:val="3"/>
            <w:tcBorders>
              <w:top w:val="single" w:color="000000" w:themeColor="text1" w:sz="12" w:space="0"/>
              <w:left w:val="single" w:color="000000" w:themeColor="text1" w:sz="6" w:space="0"/>
              <w:bottom w:val="single" w:color="000000" w:themeColor="text1" w:sz="6" w:space="0"/>
              <w:right w:val="single" w:color="000000" w:themeColor="text1" w:sz="12" w:space="0"/>
            </w:tcBorders>
            <w:vAlign w:val="center"/>
          </w:tcPr>
          <w:p>
            <w:pPr>
              <w:snapToGrid w:val="0"/>
              <w:jc w:val="center"/>
              <w:rPr>
                <w:color w:val="auto"/>
                <w:kern w:val="0"/>
                <w:szCs w:val="21"/>
              </w:rPr>
            </w:pPr>
            <w:r>
              <w:rPr>
                <w:color w:val="auto"/>
                <w:kern w:val="0"/>
                <w:szCs w:val="21"/>
              </w:rPr>
              <w:t>自查项目</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37" w:hRule="atLeast"/>
        </w:trPr>
        <w:tc>
          <w:tcPr>
            <w:tcW w:w="389" w:type="dxa"/>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影响识别</w:t>
            </w:r>
          </w:p>
        </w:tc>
        <w:tc>
          <w:tcPr>
            <w:tcW w:w="252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影响类型</w:t>
            </w:r>
          </w:p>
        </w:tc>
        <w:tc>
          <w:tcPr>
            <w:tcW w:w="11134"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color w:val="auto"/>
                <w:kern w:val="0"/>
                <w:szCs w:val="21"/>
              </w:rPr>
            </w:pPr>
            <w:r>
              <w:rPr>
                <w:color w:val="auto"/>
                <w:kern w:val="0"/>
                <w:szCs w:val="21"/>
              </w:rPr>
              <w:t>水污染影响型√；水文要素影响型□</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995" w:hRule="atLeast"/>
        </w:trPr>
        <w:tc>
          <w:tcPr>
            <w:tcW w:w="389"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color w:val="auto"/>
                <w:kern w:val="0"/>
                <w:szCs w:val="21"/>
              </w:rPr>
            </w:pPr>
          </w:p>
        </w:tc>
        <w:tc>
          <w:tcPr>
            <w:tcW w:w="252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水环境保护目标</w:t>
            </w:r>
          </w:p>
        </w:tc>
        <w:tc>
          <w:tcPr>
            <w:tcW w:w="11134"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color w:val="auto"/>
                <w:kern w:val="0"/>
                <w:szCs w:val="21"/>
              </w:rPr>
            </w:pPr>
            <w:r>
              <w:rPr>
                <w:color w:val="auto"/>
                <w:kern w:val="0"/>
                <w:szCs w:val="21"/>
              </w:rPr>
              <w:t>饮用水水源保护区□；饮用水取水□；涉水的自然保护区□；重要湿地□；</w:t>
            </w:r>
          </w:p>
          <w:p>
            <w:pPr>
              <w:snapToGrid w:val="0"/>
              <w:jc w:val="left"/>
              <w:rPr>
                <w:color w:val="auto"/>
                <w:kern w:val="0"/>
                <w:szCs w:val="21"/>
              </w:rPr>
            </w:pPr>
            <w:r>
              <w:rPr>
                <w:color w:val="auto"/>
                <w:kern w:val="0"/>
                <w:szCs w:val="21"/>
              </w:rPr>
              <w:t>重点保护与珍惜水生生物的栖息地□；重要水生生物的自然产卵场及索饵场、越冬场和洄游通道、天然渔场等渔业水体□；涉水的风景名胜区□；其他□</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37" w:hRule="atLeast"/>
        </w:trPr>
        <w:tc>
          <w:tcPr>
            <w:tcW w:w="389"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color w:val="auto"/>
                <w:kern w:val="0"/>
                <w:szCs w:val="21"/>
              </w:rPr>
            </w:pPr>
          </w:p>
        </w:tc>
        <w:tc>
          <w:tcPr>
            <w:tcW w:w="2529"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影响途径</w:t>
            </w: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水污染影响型</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color w:val="auto"/>
                <w:kern w:val="0"/>
                <w:szCs w:val="21"/>
              </w:rPr>
            </w:pPr>
            <w:r>
              <w:rPr>
                <w:color w:val="auto"/>
                <w:kern w:val="0"/>
                <w:szCs w:val="21"/>
              </w:rPr>
              <w:t>水文要素影响型</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37" w:hRule="atLeast"/>
        </w:trPr>
        <w:tc>
          <w:tcPr>
            <w:tcW w:w="389"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color w:val="auto"/>
                <w:kern w:val="0"/>
                <w:szCs w:val="21"/>
              </w:rPr>
            </w:pPr>
          </w:p>
        </w:tc>
        <w:tc>
          <w:tcPr>
            <w:tcW w:w="2529"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color w:val="auto"/>
                <w:kern w:val="0"/>
                <w:szCs w:val="21"/>
              </w:rPr>
            </w:pP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left"/>
              <w:rPr>
                <w:color w:val="auto"/>
                <w:kern w:val="0"/>
                <w:szCs w:val="21"/>
              </w:rPr>
            </w:pPr>
            <w:r>
              <w:rPr>
                <w:color w:val="auto"/>
                <w:kern w:val="0"/>
                <w:szCs w:val="21"/>
              </w:rPr>
              <w:t>直接排放□；间接排放□；其他√</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color w:val="auto"/>
                <w:kern w:val="0"/>
                <w:szCs w:val="21"/>
              </w:rPr>
            </w:pPr>
            <w:r>
              <w:rPr>
                <w:color w:val="auto"/>
                <w:kern w:val="0"/>
                <w:szCs w:val="21"/>
              </w:rPr>
              <w:t>水温□；径流□；水域面积□</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980" w:hRule="atLeast"/>
        </w:trPr>
        <w:tc>
          <w:tcPr>
            <w:tcW w:w="389"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color w:val="auto"/>
                <w:kern w:val="0"/>
                <w:szCs w:val="21"/>
              </w:rPr>
            </w:pPr>
          </w:p>
        </w:tc>
        <w:tc>
          <w:tcPr>
            <w:tcW w:w="252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影响因子</w:t>
            </w: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left"/>
              <w:rPr>
                <w:color w:val="auto"/>
                <w:kern w:val="0"/>
                <w:szCs w:val="21"/>
              </w:rPr>
            </w:pPr>
            <w:r>
              <w:rPr>
                <w:color w:val="auto"/>
                <w:kern w:val="0"/>
                <w:szCs w:val="21"/>
              </w:rPr>
              <w:t>持久性污染物□；有毒有害污染物□；非持久性污染物√；</w:t>
            </w:r>
          </w:p>
          <w:p>
            <w:pPr>
              <w:snapToGrid w:val="0"/>
              <w:jc w:val="left"/>
              <w:rPr>
                <w:color w:val="auto"/>
                <w:kern w:val="0"/>
                <w:szCs w:val="21"/>
              </w:rPr>
            </w:pPr>
            <w:r>
              <w:rPr>
                <w:color w:val="auto"/>
                <w:kern w:val="0"/>
                <w:szCs w:val="21"/>
              </w:rPr>
              <w:t>pH值□；热污染□；富营养化□；其他□</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color w:val="auto"/>
                <w:kern w:val="0"/>
                <w:szCs w:val="21"/>
              </w:rPr>
            </w:pPr>
            <w:r>
              <w:rPr>
                <w:color w:val="auto"/>
                <w:kern w:val="0"/>
                <w:szCs w:val="21"/>
              </w:rPr>
              <w:t>水温□；水位（水深□）；流速□；流量□；其他□</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22" w:hRule="atLeast"/>
        </w:trPr>
        <w:tc>
          <w:tcPr>
            <w:tcW w:w="2918" w:type="dxa"/>
            <w:gridSpan w:val="2"/>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评价等级</w:t>
            </w: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水污染影响型</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color w:val="auto"/>
                <w:kern w:val="0"/>
                <w:szCs w:val="21"/>
              </w:rPr>
            </w:pPr>
            <w:r>
              <w:rPr>
                <w:color w:val="auto"/>
                <w:kern w:val="0"/>
                <w:szCs w:val="21"/>
              </w:rPr>
              <w:t>水文要素影响型</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170" w:hRule="atLeast"/>
        </w:trPr>
        <w:tc>
          <w:tcPr>
            <w:tcW w:w="2918" w:type="dxa"/>
            <w:gridSpan w:val="2"/>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color w:val="auto"/>
                <w:kern w:val="0"/>
                <w:szCs w:val="21"/>
              </w:rPr>
            </w:pP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left"/>
              <w:rPr>
                <w:color w:val="auto"/>
                <w:kern w:val="0"/>
                <w:szCs w:val="21"/>
              </w:rPr>
            </w:pPr>
            <w:r>
              <w:rPr>
                <w:color w:val="auto"/>
                <w:kern w:val="0"/>
                <w:szCs w:val="21"/>
              </w:rPr>
              <w:t>一级□；二级□；三级A□；三级B√</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color w:val="auto"/>
                <w:kern w:val="0"/>
                <w:szCs w:val="21"/>
              </w:rPr>
            </w:pPr>
            <w:r>
              <w:rPr>
                <w:color w:val="auto"/>
                <w:kern w:val="0"/>
                <w:szCs w:val="21"/>
              </w:rPr>
              <w:t>一级□；二级□；三级□</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22" w:hRule="atLeast"/>
        </w:trPr>
        <w:tc>
          <w:tcPr>
            <w:tcW w:w="389" w:type="dxa"/>
            <w:vMerge w:val="restart"/>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pPr>
              <w:snapToGrid w:val="0"/>
              <w:jc w:val="center"/>
              <w:rPr>
                <w:color w:val="auto"/>
                <w:kern w:val="0"/>
                <w:szCs w:val="21"/>
              </w:rPr>
            </w:pPr>
            <w:r>
              <w:rPr>
                <w:color w:val="auto"/>
                <w:kern w:val="0"/>
                <w:szCs w:val="21"/>
              </w:rPr>
              <w:t>现状调查</w:t>
            </w:r>
          </w:p>
        </w:tc>
        <w:tc>
          <w:tcPr>
            <w:tcW w:w="2529"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区域污染源</w:t>
            </w: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调查项目</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color w:val="auto"/>
                <w:kern w:val="0"/>
                <w:szCs w:val="21"/>
              </w:rPr>
            </w:pPr>
            <w:r>
              <w:rPr>
                <w:color w:val="auto"/>
                <w:kern w:val="0"/>
                <w:szCs w:val="21"/>
              </w:rPr>
              <w:t>数据起源</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675" w:hRule="atLeast"/>
        </w:trPr>
        <w:tc>
          <w:tcPr>
            <w:tcW w:w="389"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pPr>
              <w:widowControl/>
              <w:snapToGrid w:val="0"/>
              <w:jc w:val="left"/>
              <w:rPr>
                <w:color w:val="auto"/>
                <w:kern w:val="0"/>
                <w:szCs w:val="21"/>
              </w:rPr>
            </w:pPr>
          </w:p>
        </w:tc>
        <w:tc>
          <w:tcPr>
            <w:tcW w:w="2529"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color w:val="auto"/>
                <w:kern w:val="0"/>
                <w:szCs w:val="21"/>
              </w:rPr>
            </w:pPr>
          </w:p>
        </w:tc>
        <w:tc>
          <w:tcPr>
            <w:tcW w:w="238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已建□；在建□；拟建√；其他□</w:t>
            </w:r>
          </w:p>
        </w:tc>
        <w:tc>
          <w:tcPr>
            <w:tcW w:w="2670"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拟替代的污染源□</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color w:val="auto"/>
                <w:kern w:val="0"/>
                <w:szCs w:val="21"/>
              </w:rPr>
            </w:pPr>
            <w:r>
              <w:rPr>
                <w:color w:val="auto"/>
                <w:kern w:val="0"/>
                <w:szCs w:val="21"/>
              </w:rPr>
              <w:t>排污许可证□；环评□；环保验收□；既有实测□；现场监测□；入河排放口数据□；其他□</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69" w:hRule="atLeast"/>
        </w:trPr>
        <w:tc>
          <w:tcPr>
            <w:tcW w:w="389"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pPr>
              <w:widowControl/>
              <w:snapToGrid w:val="0"/>
              <w:jc w:val="left"/>
              <w:rPr>
                <w:color w:val="auto"/>
                <w:kern w:val="0"/>
                <w:szCs w:val="21"/>
              </w:rPr>
            </w:pPr>
          </w:p>
        </w:tc>
        <w:tc>
          <w:tcPr>
            <w:tcW w:w="2529"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受影响水体环境质量</w:t>
            </w: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调查时期</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color w:val="auto"/>
                <w:kern w:val="0"/>
                <w:szCs w:val="21"/>
              </w:rPr>
            </w:pPr>
            <w:r>
              <w:rPr>
                <w:color w:val="auto"/>
                <w:kern w:val="0"/>
                <w:szCs w:val="21"/>
              </w:rPr>
              <w:t>数据起源</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675" w:hRule="atLeast"/>
        </w:trPr>
        <w:tc>
          <w:tcPr>
            <w:tcW w:w="389"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pPr>
              <w:widowControl/>
              <w:snapToGrid w:val="0"/>
              <w:jc w:val="left"/>
              <w:rPr>
                <w:color w:val="auto"/>
                <w:kern w:val="0"/>
                <w:szCs w:val="21"/>
              </w:rPr>
            </w:pPr>
          </w:p>
        </w:tc>
        <w:tc>
          <w:tcPr>
            <w:tcW w:w="2529"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color w:val="auto"/>
                <w:kern w:val="0"/>
                <w:szCs w:val="21"/>
              </w:rPr>
            </w:pP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left"/>
              <w:rPr>
                <w:color w:val="auto"/>
                <w:kern w:val="0"/>
                <w:szCs w:val="21"/>
              </w:rPr>
            </w:pPr>
            <w:r>
              <w:rPr>
                <w:color w:val="auto"/>
                <w:kern w:val="0"/>
                <w:szCs w:val="21"/>
              </w:rPr>
              <w:t>丰水期□；平水期□；枯水期□；冰封期□</w:t>
            </w:r>
          </w:p>
          <w:p>
            <w:pPr>
              <w:snapToGrid w:val="0"/>
              <w:jc w:val="left"/>
              <w:rPr>
                <w:color w:val="auto"/>
                <w:kern w:val="0"/>
                <w:szCs w:val="21"/>
              </w:rPr>
            </w:pPr>
            <w:r>
              <w:rPr>
                <w:color w:val="auto"/>
                <w:kern w:val="0"/>
                <w:szCs w:val="21"/>
              </w:rPr>
              <w:t>春季√；夏季√；秋季√；冬季√</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color w:val="auto"/>
                <w:kern w:val="0"/>
                <w:szCs w:val="21"/>
              </w:rPr>
            </w:pPr>
            <w:r>
              <w:rPr>
                <w:color w:val="auto"/>
                <w:kern w:val="0"/>
                <w:szCs w:val="21"/>
              </w:rPr>
              <w:t>生态环境保护主管部门√；补充监测□；其他□</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53" w:hRule="atLeast"/>
        </w:trPr>
        <w:tc>
          <w:tcPr>
            <w:tcW w:w="389"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pPr>
              <w:widowControl/>
              <w:snapToGrid w:val="0"/>
              <w:jc w:val="left"/>
              <w:rPr>
                <w:color w:val="auto"/>
                <w:kern w:val="0"/>
                <w:szCs w:val="21"/>
              </w:rPr>
            </w:pPr>
          </w:p>
        </w:tc>
        <w:tc>
          <w:tcPr>
            <w:tcW w:w="252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区域水资源开发利用状况</w:t>
            </w:r>
          </w:p>
        </w:tc>
        <w:tc>
          <w:tcPr>
            <w:tcW w:w="11134"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color w:val="auto"/>
                <w:kern w:val="0"/>
                <w:szCs w:val="21"/>
              </w:rPr>
            </w:pPr>
            <w:r>
              <w:rPr>
                <w:color w:val="auto"/>
                <w:kern w:val="0"/>
                <w:szCs w:val="21"/>
              </w:rPr>
              <w:t>未开发□；开发量40%以下□；开发量40%以上□</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53" w:hRule="atLeast"/>
        </w:trPr>
        <w:tc>
          <w:tcPr>
            <w:tcW w:w="389"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pPr>
              <w:widowControl/>
              <w:snapToGrid w:val="0"/>
              <w:jc w:val="left"/>
              <w:rPr>
                <w:color w:val="auto"/>
                <w:kern w:val="0"/>
                <w:szCs w:val="21"/>
              </w:rPr>
            </w:pPr>
          </w:p>
        </w:tc>
        <w:tc>
          <w:tcPr>
            <w:tcW w:w="2529" w:type="dxa"/>
            <w:vMerge w:val="restart"/>
            <w:tcBorders>
              <w:top w:val="single" w:color="000000" w:themeColor="text1" w:sz="6" w:space="0"/>
              <w:left w:val="single" w:color="000000" w:themeColor="text1" w:sz="6" w:space="0"/>
              <w:bottom w:val="single" w:color="000000" w:themeColor="text1" w:sz="12" w:space="0"/>
              <w:right w:val="single" w:color="000000" w:themeColor="text1" w:sz="6" w:space="0"/>
            </w:tcBorders>
            <w:vAlign w:val="center"/>
          </w:tcPr>
          <w:p>
            <w:pPr>
              <w:snapToGrid w:val="0"/>
              <w:jc w:val="center"/>
              <w:rPr>
                <w:color w:val="auto"/>
                <w:kern w:val="0"/>
                <w:szCs w:val="21"/>
              </w:rPr>
            </w:pPr>
            <w:r>
              <w:rPr>
                <w:color w:val="auto"/>
                <w:kern w:val="0"/>
                <w:szCs w:val="21"/>
              </w:rPr>
              <w:t>水文情势调查</w:t>
            </w: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调查时期</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color w:val="auto"/>
                <w:kern w:val="0"/>
                <w:szCs w:val="21"/>
              </w:rPr>
            </w:pPr>
            <w:r>
              <w:rPr>
                <w:color w:val="auto"/>
                <w:kern w:val="0"/>
                <w:szCs w:val="21"/>
              </w:rPr>
              <w:t>数据来源</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690" w:hRule="atLeast"/>
        </w:trPr>
        <w:tc>
          <w:tcPr>
            <w:tcW w:w="389"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pPr>
              <w:widowControl/>
              <w:snapToGrid w:val="0"/>
              <w:jc w:val="left"/>
              <w:rPr>
                <w:color w:val="auto"/>
                <w:kern w:val="0"/>
                <w:szCs w:val="21"/>
              </w:rPr>
            </w:pPr>
          </w:p>
        </w:tc>
        <w:tc>
          <w:tcPr>
            <w:tcW w:w="2529" w:type="dxa"/>
            <w:vMerge w:val="continue"/>
            <w:tcBorders>
              <w:top w:val="single" w:color="000000" w:themeColor="text1" w:sz="6" w:space="0"/>
              <w:left w:val="single" w:color="000000" w:themeColor="text1" w:sz="6" w:space="0"/>
              <w:bottom w:val="single" w:color="000000" w:themeColor="text1" w:sz="12" w:space="0"/>
              <w:right w:val="single" w:color="000000" w:themeColor="text1" w:sz="6" w:space="0"/>
            </w:tcBorders>
            <w:vAlign w:val="center"/>
          </w:tcPr>
          <w:p>
            <w:pPr>
              <w:widowControl/>
              <w:snapToGrid w:val="0"/>
              <w:jc w:val="left"/>
              <w:rPr>
                <w:color w:val="auto"/>
                <w:kern w:val="0"/>
                <w:szCs w:val="21"/>
              </w:rPr>
            </w:pPr>
          </w:p>
        </w:tc>
        <w:tc>
          <w:tcPr>
            <w:tcW w:w="5059" w:type="dxa"/>
            <w:gridSpan w:val="2"/>
            <w:tcBorders>
              <w:top w:val="single" w:color="000000" w:themeColor="text1" w:sz="6" w:space="0"/>
              <w:left w:val="single" w:color="000000" w:themeColor="text1" w:sz="6" w:space="0"/>
              <w:bottom w:val="single" w:color="000000" w:themeColor="text1" w:sz="12" w:space="0"/>
              <w:right w:val="single" w:color="000000" w:themeColor="text1" w:sz="6" w:space="0"/>
            </w:tcBorders>
            <w:vAlign w:val="center"/>
          </w:tcPr>
          <w:p>
            <w:pPr>
              <w:snapToGrid w:val="0"/>
              <w:jc w:val="left"/>
              <w:rPr>
                <w:color w:val="auto"/>
                <w:kern w:val="0"/>
                <w:szCs w:val="21"/>
              </w:rPr>
            </w:pPr>
            <w:r>
              <w:rPr>
                <w:color w:val="auto"/>
                <w:kern w:val="0"/>
                <w:szCs w:val="21"/>
              </w:rPr>
              <w:t>丰水期□；平水期□；枯水期□；冰封期□</w:t>
            </w:r>
          </w:p>
          <w:p>
            <w:pPr>
              <w:snapToGrid w:val="0"/>
              <w:jc w:val="left"/>
              <w:rPr>
                <w:color w:val="auto"/>
                <w:kern w:val="0"/>
                <w:szCs w:val="21"/>
              </w:rPr>
            </w:pPr>
            <w:r>
              <w:rPr>
                <w:color w:val="auto"/>
                <w:kern w:val="0"/>
                <w:szCs w:val="21"/>
              </w:rPr>
              <w:t>春季□；夏季□；秋季□；冬季□</w:t>
            </w:r>
          </w:p>
        </w:tc>
        <w:tc>
          <w:tcPr>
            <w:tcW w:w="6075" w:type="dxa"/>
            <w:tcBorders>
              <w:top w:val="single" w:color="000000" w:themeColor="text1" w:sz="6" w:space="0"/>
              <w:left w:val="single" w:color="000000" w:themeColor="text1" w:sz="6" w:space="0"/>
              <w:bottom w:val="single" w:color="000000" w:themeColor="text1" w:sz="12" w:space="0"/>
              <w:right w:val="single" w:color="000000" w:themeColor="text1" w:sz="12" w:space="0"/>
            </w:tcBorders>
            <w:vAlign w:val="center"/>
          </w:tcPr>
          <w:p>
            <w:pPr>
              <w:snapToGrid w:val="0"/>
              <w:jc w:val="left"/>
              <w:rPr>
                <w:color w:val="auto"/>
                <w:kern w:val="0"/>
                <w:szCs w:val="21"/>
              </w:rPr>
            </w:pPr>
            <w:r>
              <w:rPr>
                <w:color w:val="auto"/>
                <w:kern w:val="0"/>
                <w:szCs w:val="21"/>
              </w:rPr>
              <w:t>水行政主管部门□；补充监测□；其他□</w:t>
            </w:r>
          </w:p>
        </w:tc>
      </w:tr>
    </w:tbl>
    <w:p>
      <w:pPr>
        <w:jc w:val="right"/>
        <w:rPr>
          <w:b/>
          <w:color w:val="auto"/>
        </w:rPr>
      </w:pPr>
      <w:r>
        <w:rPr>
          <w:b/>
          <w:color w:val="auto"/>
        </w:rPr>
        <w:t>续表</w:t>
      </w:r>
    </w:p>
    <w:tbl>
      <w:tblPr>
        <w:tblStyle w:val="77"/>
        <w:tblW w:w="0" w:type="auto"/>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390"/>
        <w:gridCol w:w="2539"/>
        <w:gridCol w:w="5588"/>
        <w:gridCol w:w="2794"/>
        <w:gridCol w:w="1211"/>
        <w:gridCol w:w="1584"/>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92" w:hRule="atLeast"/>
        </w:trPr>
        <w:tc>
          <w:tcPr>
            <w:tcW w:w="2929" w:type="dxa"/>
            <w:gridSpan w:val="2"/>
            <w:tcBorders>
              <w:top w:val="single" w:color="000000" w:themeColor="text1" w:sz="12" w:space="0"/>
              <w:left w:val="single" w:color="000000" w:themeColor="text1" w:sz="12"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工作内容</w:t>
            </w:r>
          </w:p>
        </w:tc>
        <w:tc>
          <w:tcPr>
            <w:tcW w:w="11177" w:type="dxa"/>
            <w:gridSpan w:val="4"/>
            <w:tcBorders>
              <w:top w:val="single" w:color="000000" w:themeColor="text1" w:sz="12" w:space="0"/>
              <w:left w:val="single" w:color="000000" w:themeColor="text1" w:sz="6" w:space="0"/>
              <w:bottom w:val="single" w:color="000000" w:themeColor="text1" w:sz="6" w:space="0"/>
              <w:right w:val="single" w:color="000000" w:themeColor="text1" w:sz="12" w:space="0"/>
            </w:tcBorders>
            <w:vAlign w:val="center"/>
          </w:tcPr>
          <w:p>
            <w:pPr>
              <w:snapToGrid w:val="0"/>
              <w:jc w:val="center"/>
              <w:rPr>
                <w:color w:val="auto"/>
                <w:kern w:val="0"/>
                <w:szCs w:val="21"/>
              </w:rPr>
            </w:pPr>
            <w:r>
              <w:rPr>
                <w:color w:val="auto"/>
                <w:kern w:val="0"/>
                <w:szCs w:val="21"/>
              </w:rPr>
              <w:t>自查项目</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71" w:hRule="atLeast"/>
        </w:trPr>
        <w:tc>
          <w:tcPr>
            <w:tcW w:w="390" w:type="dxa"/>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现状调查</w:t>
            </w:r>
          </w:p>
        </w:tc>
        <w:tc>
          <w:tcPr>
            <w:tcW w:w="2539"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补充监测</w:t>
            </w:r>
          </w:p>
        </w:tc>
        <w:tc>
          <w:tcPr>
            <w:tcW w:w="5588"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监测时期</w:t>
            </w:r>
          </w:p>
        </w:tc>
        <w:tc>
          <w:tcPr>
            <w:tcW w:w="2794"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监测因子</w:t>
            </w:r>
          </w:p>
        </w:tc>
        <w:tc>
          <w:tcPr>
            <w:tcW w:w="2795"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color w:val="auto"/>
                <w:kern w:val="0"/>
                <w:szCs w:val="21"/>
              </w:rPr>
            </w:pPr>
            <w:r>
              <w:rPr>
                <w:color w:val="auto"/>
                <w:kern w:val="0"/>
                <w:szCs w:val="21"/>
              </w:rPr>
              <w:t>监测断面或点位</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640" w:hRule="atLeast"/>
        </w:trPr>
        <w:tc>
          <w:tcPr>
            <w:tcW w:w="390"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color w:val="auto"/>
                <w:kern w:val="0"/>
                <w:szCs w:val="21"/>
              </w:rPr>
            </w:pPr>
          </w:p>
        </w:tc>
        <w:tc>
          <w:tcPr>
            <w:tcW w:w="2539"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color w:val="auto"/>
                <w:kern w:val="0"/>
                <w:szCs w:val="21"/>
              </w:rPr>
            </w:pPr>
          </w:p>
        </w:tc>
        <w:tc>
          <w:tcPr>
            <w:tcW w:w="5588"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left"/>
              <w:rPr>
                <w:color w:val="auto"/>
                <w:kern w:val="0"/>
                <w:szCs w:val="21"/>
              </w:rPr>
            </w:pPr>
            <w:r>
              <w:rPr>
                <w:color w:val="auto"/>
                <w:kern w:val="0"/>
                <w:szCs w:val="21"/>
              </w:rPr>
              <w:t>丰水期□；平水期□；枯水期□；冰封期□</w:t>
            </w:r>
          </w:p>
          <w:p>
            <w:pPr>
              <w:snapToGrid w:val="0"/>
              <w:jc w:val="left"/>
              <w:rPr>
                <w:color w:val="auto"/>
                <w:kern w:val="0"/>
                <w:szCs w:val="21"/>
              </w:rPr>
            </w:pPr>
            <w:r>
              <w:rPr>
                <w:color w:val="auto"/>
                <w:kern w:val="0"/>
                <w:szCs w:val="21"/>
              </w:rPr>
              <w:t>春季□；夏季□；秋季□；冬季□</w:t>
            </w:r>
          </w:p>
        </w:tc>
        <w:tc>
          <w:tcPr>
            <w:tcW w:w="2794"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w:t>
            </w:r>
          </w:p>
        </w:tc>
        <w:tc>
          <w:tcPr>
            <w:tcW w:w="2795"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color w:val="auto"/>
                <w:kern w:val="0"/>
                <w:szCs w:val="21"/>
              </w:rPr>
            </w:pPr>
            <w:r>
              <w:rPr>
                <w:color w:val="auto"/>
                <w:kern w:val="0"/>
                <w:szCs w:val="21"/>
              </w:rPr>
              <w:t>监测断面或点位个数（）个</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21" w:hRule="atLeast"/>
        </w:trPr>
        <w:tc>
          <w:tcPr>
            <w:tcW w:w="390" w:type="dxa"/>
            <w:vMerge w:val="restart"/>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pPr>
              <w:snapToGrid w:val="0"/>
              <w:jc w:val="center"/>
              <w:rPr>
                <w:color w:val="auto"/>
                <w:kern w:val="0"/>
                <w:szCs w:val="21"/>
              </w:rPr>
            </w:pPr>
            <w:r>
              <w:rPr>
                <w:color w:val="auto"/>
                <w:kern w:val="0"/>
                <w:szCs w:val="21"/>
              </w:rPr>
              <w:t>现状评价</w:t>
            </w:r>
          </w:p>
        </w:tc>
        <w:tc>
          <w:tcPr>
            <w:tcW w:w="253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评价范围</w:t>
            </w:r>
          </w:p>
        </w:tc>
        <w:tc>
          <w:tcPr>
            <w:tcW w:w="11177"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color w:val="auto"/>
                <w:kern w:val="0"/>
                <w:szCs w:val="21"/>
              </w:rPr>
            </w:pPr>
            <w:r>
              <w:rPr>
                <w:color w:val="auto"/>
                <w:kern w:val="0"/>
                <w:szCs w:val="21"/>
              </w:rPr>
              <w:t>河流：长度（）km；湖库、河口及近岸海域：面积（）km</w:t>
            </w:r>
            <w:r>
              <w:rPr>
                <w:color w:val="auto"/>
                <w:kern w:val="0"/>
                <w:szCs w:val="21"/>
                <w:vertAlign w:val="superscript"/>
              </w:rPr>
              <w:t>2</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13" w:hRule="atLeast"/>
        </w:trPr>
        <w:tc>
          <w:tcPr>
            <w:tcW w:w="390"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pPr>
              <w:widowControl/>
              <w:snapToGrid w:val="0"/>
              <w:jc w:val="left"/>
              <w:rPr>
                <w:color w:val="auto"/>
                <w:kern w:val="0"/>
                <w:szCs w:val="21"/>
              </w:rPr>
            </w:pPr>
          </w:p>
        </w:tc>
        <w:tc>
          <w:tcPr>
            <w:tcW w:w="253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评价因子</w:t>
            </w:r>
          </w:p>
        </w:tc>
        <w:tc>
          <w:tcPr>
            <w:tcW w:w="11177"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color w:val="auto"/>
                <w:kern w:val="0"/>
                <w:szCs w:val="21"/>
              </w:rPr>
            </w:pPr>
            <w:r>
              <w:rPr>
                <w:color w:val="auto"/>
                <w:kern w:val="0"/>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13" w:hRule="atLeast"/>
        </w:trPr>
        <w:tc>
          <w:tcPr>
            <w:tcW w:w="390"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pPr>
              <w:widowControl/>
              <w:snapToGrid w:val="0"/>
              <w:jc w:val="left"/>
              <w:rPr>
                <w:color w:val="auto"/>
                <w:kern w:val="0"/>
                <w:szCs w:val="21"/>
              </w:rPr>
            </w:pPr>
          </w:p>
        </w:tc>
        <w:tc>
          <w:tcPr>
            <w:tcW w:w="253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评价标准</w:t>
            </w:r>
          </w:p>
        </w:tc>
        <w:tc>
          <w:tcPr>
            <w:tcW w:w="11177"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rFonts w:hint="eastAsia" w:eastAsia="宋体"/>
                <w:color w:val="auto"/>
                <w:kern w:val="0"/>
                <w:szCs w:val="21"/>
                <w:lang w:eastAsia="zh-CN"/>
              </w:rPr>
            </w:pPr>
            <w:r>
              <w:rPr>
                <w:color w:val="auto"/>
                <w:kern w:val="0"/>
                <w:szCs w:val="21"/>
              </w:rPr>
              <w:t>河流、湖库、河口：</w:t>
            </w:r>
            <w:r>
              <w:rPr>
                <w:rFonts w:hint="eastAsia" w:ascii="宋体" w:hAnsi="宋体" w:cs="宋体"/>
                <w:color w:val="auto"/>
                <w:kern w:val="0"/>
                <w:szCs w:val="21"/>
              </w:rPr>
              <w:t>Ⅰ</w:t>
            </w:r>
            <w:r>
              <w:rPr>
                <w:color w:val="auto"/>
                <w:kern w:val="0"/>
                <w:szCs w:val="21"/>
              </w:rPr>
              <w:t>类□；</w:t>
            </w:r>
            <w:r>
              <w:rPr>
                <w:rFonts w:hint="eastAsia" w:ascii="宋体" w:hAnsi="宋体" w:cs="宋体"/>
                <w:color w:val="auto"/>
                <w:kern w:val="0"/>
                <w:szCs w:val="21"/>
              </w:rPr>
              <w:t>Ⅱ</w:t>
            </w:r>
            <w:r>
              <w:rPr>
                <w:color w:val="auto"/>
                <w:kern w:val="0"/>
                <w:szCs w:val="21"/>
              </w:rPr>
              <w:t>类□；</w:t>
            </w:r>
            <w:r>
              <w:rPr>
                <w:rFonts w:hint="eastAsia" w:ascii="宋体" w:hAnsi="宋体" w:cs="宋体"/>
                <w:color w:val="auto"/>
                <w:kern w:val="0"/>
                <w:szCs w:val="21"/>
              </w:rPr>
              <w:t>Ⅲ</w:t>
            </w:r>
            <w:r>
              <w:rPr>
                <w:color w:val="auto"/>
                <w:kern w:val="0"/>
                <w:szCs w:val="21"/>
              </w:rPr>
              <w:t>类√；</w:t>
            </w:r>
            <w:r>
              <w:rPr>
                <w:rFonts w:hint="eastAsia" w:ascii="宋体" w:hAnsi="宋体" w:cs="宋体"/>
                <w:color w:val="auto"/>
                <w:kern w:val="0"/>
                <w:szCs w:val="21"/>
              </w:rPr>
              <w:t>Ⅳ</w:t>
            </w:r>
            <w:r>
              <w:rPr>
                <w:color w:val="auto"/>
                <w:kern w:val="0"/>
                <w:szCs w:val="21"/>
              </w:rPr>
              <w:t>类□；</w:t>
            </w:r>
            <w:r>
              <w:rPr>
                <w:rFonts w:hint="eastAsia" w:ascii="宋体" w:hAnsi="宋体" w:cs="宋体"/>
                <w:color w:val="auto"/>
                <w:kern w:val="0"/>
                <w:szCs w:val="21"/>
              </w:rPr>
              <w:t>Ⅴ</w:t>
            </w:r>
            <w:r>
              <w:rPr>
                <w:color w:val="auto"/>
                <w:kern w:val="0"/>
                <w:szCs w:val="21"/>
              </w:rPr>
              <w:t>类</w:t>
            </w:r>
            <w:r>
              <w:rPr>
                <w:rFonts w:hint="eastAsia"/>
                <w:color w:val="auto"/>
                <w:kern w:val="0"/>
                <w:szCs w:val="21"/>
                <w:lang w:eastAsia="zh-CN"/>
              </w:rPr>
              <w:t>☑</w:t>
            </w:r>
          </w:p>
          <w:p>
            <w:pPr>
              <w:snapToGrid w:val="0"/>
              <w:jc w:val="left"/>
              <w:rPr>
                <w:color w:val="auto"/>
                <w:kern w:val="0"/>
                <w:szCs w:val="21"/>
              </w:rPr>
            </w:pPr>
            <w:r>
              <w:rPr>
                <w:color w:val="auto"/>
                <w:kern w:val="0"/>
                <w:szCs w:val="21"/>
              </w:rPr>
              <w:t>近岸海域：第一类□；第二类□；第三类□；第四类□</w:t>
            </w:r>
          </w:p>
          <w:p>
            <w:pPr>
              <w:snapToGrid w:val="0"/>
              <w:jc w:val="left"/>
              <w:rPr>
                <w:color w:val="auto"/>
                <w:kern w:val="0"/>
                <w:szCs w:val="21"/>
              </w:rPr>
            </w:pPr>
            <w:r>
              <w:rPr>
                <w:color w:val="auto"/>
                <w:kern w:val="0"/>
                <w:szCs w:val="21"/>
              </w:rPr>
              <w:t>规划年评价标准（</w:t>
            </w:r>
            <w:r>
              <w:rPr>
                <w:rFonts w:hint="eastAsia"/>
                <w:color w:val="auto"/>
                <w:kern w:val="0"/>
                <w:szCs w:val="21"/>
              </w:rPr>
              <w:t>202</w:t>
            </w:r>
            <w:r>
              <w:rPr>
                <w:rFonts w:hint="eastAsia"/>
                <w:color w:val="auto"/>
                <w:kern w:val="0"/>
                <w:szCs w:val="21"/>
                <w:lang w:val="en-US" w:eastAsia="zh-CN"/>
              </w:rPr>
              <w:t>2</w:t>
            </w:r>
            <w:r>
              <w:rPr>
                <w:color w:val="auto"/>
                <w:kern w:val="0"/>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13" w:hRule="atLeast"/>
        </w:trPr>
        <w:tc>
          <w:tcPr>
            <w:tcW w:w="390"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pPr>
              <w:widowControl/>
              <w:snapToGrid w:val="0"/>
              <w:jc w:val="left"/>
              <w:rPr>
                <w:color w:val="auto"/>
                <w:kern w:val="0"/>
                <w:szCs w:val="21"/>
              </w:rPr>
            </w:pPr>
          </w:p>
        </w:tc>
        <w:tc>
          <w:tcPr>
            <w:tcW w:w="253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评价时期</w:t>
            </w:r>
          </w:p>
        </w:tc>
        <w:tc>
          <w:tcPr>
            <w:tcW w:w="11177"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color w:val="auto"/>
                <w:kern w:val="0"/>
                <w:szCs w:val="21"/>
              </w:rPr>
            </w:pPr>
            <w:r>
              <w:rPr>
                <w:color w:val="auto"/>
                <w:kern w:val="0"/>
                <w:szCs w:val="21"/>
              </w:rPr>
              <w:t>丰水期□；平水期□；枯水期□；冰封期□</w:t>
            </w:r>
          </w:p>
          <w:p>
            <w:pPr>
              <w:snapToGrid w:val="0"/>
              <w:jc w:val="left"/>
              <w:rPr>
                <w:color w:val="auto"/>
                <w:kern w:val="0"/>
                <w:szCs w:val="21"/>
              </w:rPr>
            </w:pPr>
            <w:r>
              <w:rPr>
                <w:color w:val="auto"/>
                <w:kern w:val="0"/>
                <w:szCs w:val="21"/>
              </w:rPr>
              <w:t>春季□；夏季□；秋季□；冬季□</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13" w:hRule="atLeast"/>
        </w:trPr>
        <w:tc>
          <w:tcPr>
            <w:tcW w:w="390"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color w:val="auto"/>
                <w:kern w:val="0"/>
                <w:szCs w:val="21"/>
              </w:rPr>
            </w:pPr>
          </w:p>
        </w:tc>
        <w:tc>
          <w:tcPr>
            <w:tcW w:w="253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评价结论</w:t>
            </w:r>
          </w:p>
        </w:tc>
        <w:tc>
          <w:tcPr>
            <w:tcW w:w="9593"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left"/>
              <w:rPr>
                <w:color w:val="auto"/>
                <w:kern w:val="0"/>
                <w:szCs w:val="21"/>
              </w:rPr>
            </w:pPr>
            <w:r>
              <w:rPr>
                <w:color w:val="auto"/>
                <w:kern w:val="0"/>
                <w:szCs w:val="21"/>
              </w:rPr>
              <w:t>水环境功能区或水功能区、近岸海域环境功能区水质达标状况：达标</w:t>
            </w:r>
            <w:r>
              <w:rPr>
                <w:rFonts w:eastAsiaTheme="minorEastAsia"/>
                <w:color w:val="auto"/>
                <w:kern w:val="0"/>
                <w:szCs w:val="21"/>
              </w:rPr>
              <w:t>√</w:t>
            </w:r>
            <w:r>
              <w:rPr>
                <w:color w:val="auto"/>
                <w:kern w:val="0"/>
                <w:szCs w:val="21"/>
              </w:rPr>
              <w:t>；不达标□</w:t>
            </w:r>
          </w:p>
          <w:p>
            <w:pPr>
              <w:snapToGrid w:val="0"/>
              <w:jc w:val="left"/>
              <w:rPr>
                <w:color w:val="auto"/>
                <w:kern w:val="0"/>
                <w:szCs w:val="21"/>
              </w:rPr>
            </w:pPr>
            <w:r>
              <w:rPr>
                <w:color w:val="auto"/>
                <w:kern w:val="0"/>
                <w:szCs w:val="21"/>
              </w:rPr>
              <w:t>水环境控制单元或断面水质达标状况：达标□；不达标□</w:t>
            </w:r>
          </w:p>
          <w:p>
            <w:pPr>
              <w:snapToGrid w:val="0"/>
              <w:jc w:val="left"/>
              <w:rPr>
                <w:color w:val="auto"/>
                <w:kern w:val="0"/>
                <w:szCs w:val="21"/>
              </w:rPr>
            </w:pPr>
            <w:r>
              <w:rPr>
                <w:color w:val="auto"/>
                <w:kern w:val="0"/>
                <w:szCs w:val="21"/>
              </w:rPr>
              <w:t>水环境保护目标质量状况：达标□；不达标□</w:t>
            </w:r>
          </w:p>
          <w:p>
            <w:pPr>
              <w:snapToGrid w:val="0"/>
              <w:jc w:val="left"/>
              <w:rPr>
                <w:color w:val="auto"/>
                <w:kern w:val="0"/>
                <w:szCs w:val="21"/>
              </w:rPr>
            </w:pPr>
            <w:r>
              <w:rPr>
                <w:color w:val="auto"/>
                <w:kern w:val="0"/>
                <w:szCs w:val="21"/>
              </w:rPr>
              <w:t>对照断面、控制断面等代表性断面的水质状况；达标□；不达标□</w:t>
            </w:r>
          </w:p>
          <w:p>
            <w:pPr>
              <w:snapToGrid w:val="0"/>
              <w:jc w:val="left"/>
              <w:rPr>
                <w:color w:val="auto"/>
                <w:kern w:val="0"/>
                <w:szCs w:val="21"/>
              </w:rPr>
            </w:pPr>
            <w:r>
              <w:rPr>
                <w:color w:val="auto"/>
                <w:kern w:val="0"/>
                <w:szCs w:val="21"/>
              </w:rPr>
              <w:t>底泥污染评价□</w:t>
            </w:r>
          </w:p>
          <w:p>
            <w:pPr>
              <w:snapToGrid w:val="0"/>
              <w:jc w:val="left"/>
              <w:rPr>
                <w:color w:val="auto"/>
                <w:kern w:val="0"/>
                <w:szCs w:val="21"/>
              </w:rPr>
            </w:pPr>
            <w:r>
              <w:rPr>
                <w:color w:val="auto"/>
                <w:kern w:val="0"/>
                <w:szCs w:val="21"/>
              </w:rPr>
              <w:t>水资源与开发利用程度及其水文情势评价□</w:t>
            </w:r>
          </w:p>
          <w:p>
            <w:pPr>
              <w:snapToGrid w:val="0"/>
              <w:jc w:val="left"/>
              <w:rPr>
                <w:color w:val="auto"/>
                <w:kern w:val="0"/>
                <w:szCs w:val="21"/>
              </w:rPr>
            </w:pPr>
            <w:r>
              <w:rPr>
                <w:color w:val="auto"/>
                <w:kern w:val="0"/>
                <w:szCs w:val="21"/>
              </w:rPr>
              <w:t>水环境质量回顾评价□</w:t>
            </w:r>
          </w:p>
          <w:p>
            <w:pPr>
              <w:snapToGrid w:val="0"/>
              <w:jc w:val="left"/>
              <w:rPr>
                <w:color w:val="auto"/>
                <w:kern w:val="0"/>
                <w:szCs w:val="21"/>
              </w:rPr>
            </w:pPr>
            <w:r>
              <w:rPr>
                <w:color w:val="auto"/>
                <w:kern w:val="0"/>
                <w:szCs w:val="21"/>
              </w:rPr>
              <w:t>流域（区域）水资源（包括水能资源）与开发利用总体状况、生态流量管理要求与现状满足程度、建设项目占用水域空间的水流状况与河湖演变状况□</w:t>
            </w:r>
          </w:p>
        </w:tc>
        <w:tc>
          <w:tcPr>
            <w:tcW w:w="1584"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color w:val="auto"/>
                <w:kern w:val="0"/>
                <w:szCs w:val="21"/>
              </w:rPr>
            </w:pPr>
            <w:r>
              <w:rPr>
                <w:color w:val="auto"/>
                <w:kern w:val="0"/>
                <w:szCs w:val="21"/>
              </w:rPr>
              <w:t>达标区√</w:t>
            </w:r>
          </w:p>
          <w:p>
            <w:pPr>
              <w:snapToGrid w:val="0"/>
              <w:jc w:val="left"/>
              <w:rPr>
                <w:color w:val="auto"/>
                <w:kern w:val="0"/>
                <w:szCs w:val="21"/>
              </w:rPr>
            </w:pPr>
            <w:r>
              <w:rPr>
                <w:color w:val="auto"/>
                <w:kern w:val="0"/>
                <w:szCs w:val="21"/>
              </w:rPr>
              <w:t>不达标区□</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13" w:hRule="atLeast"/>
        </w:trPr>
        <w:tc>
          <w:tcPr>
            <w:tcW w:w="390" w:type="dxa"/>
            <w:vMerge w:val="restart"/>
            <w:tcBorders>
              <w:top w:val="single" w:color="000000" w:themeColor="text1" w:sz="6" w:space="0"/>
              <w:left w:val="single" w:color="000000" w:themeColor="text1" w:sz="12" w:space="0"/>
              <w:right w:val="single" w:color="000000" w:themeColor="text1" w:sz="6" w:space="0"/>
            </w:tcBorders>
            <w:vAlign w:val="center"/>
          </w:tcPr>
          <w:p>
            <w:pPr>
              <w:widowControl/>
              <w:snapToGrid w:val="0"/>
              <w:jc w:val="left"/>
              <w:rPr>
                <w:color w:val="auto"/>
                <w:kern w:val="0"/>
                <w:szCs w:val="21"/>
              </w:rPr>
            </w:pPr>
            <w:r>
              <w:rPr>
                <w:color w:val="auto"/>
                <w:kern w:val="0"/>
                <w:szCs w:val="21"/>
              </w:rPr>
              <w:t>影响预测</w:t>
            </w:r>
          </w:p>
        </w:tc>
        <w:tc>
          <w:tcPr>
            <w:tcW w:w="253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预测范围</w:t>
            </w:r>
          </w:p>
        </w:tc>
        <w:tc>
          <w:tcPr>
            <w:tcW w:w="11177"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color w:val="auto"/>
                <w:kern w:val="0"/>
                <w:szCs w:val="21"/>
              </w:rPr>
            </w:pPr>
            <w:r>
              <w:rPr>
                <w:color w:val="auto"/>
                <w:kern w:val="0"/>
                <w:szCs w:val="21"/>
              </w:rPr>
              <w:t>河流：长度（）km；湖库、河口及近岸海域：面积（）km</w:t>
            </w:r>
            <w:r>
              <w:rPr>
                <w:color w:val="auto"/>
                <w:kern w:val="0"/>
                <w:szCs w:val="21"/>
                <w:vertAlign w:val="superscript"/>
              </w:rPr>
              <w:t>2</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13" w:hRule="atLeast"/>
        </w:trPr>
        <w:tc>
          <w:tcPr>
            <w:tcW w:w="390" w:type="dxa"/>
            <w:vMerge w:val="continue"/>
            <w:tcBorders>
              <w:left w:val="single" w:color="000000" w:themeColor="text1" w:sz="12" w:space="0"/>
              <w:right w:val="single" w:color="000000" w:themeColor="text1" w:sz="6" w:space="0"/>
            </w:tcBorders>
            <w:vAlign w:val="center"/>
          </w:tcPr>
          <w:p>
            <w:pPr>
              <w:widowControl/>
              <w:snapToGrid w:val="0"/>
              <w:jc w:val="left"/>
              <w:rPr>
                <w:color w:val="auto"/>
                <w:kern w:val="0"/>
                <w:szCs w:val="21"/>
              </w:rPr>
            </w:pPr>
          </w:p>
        </w:tc>
        <w:tc>
          <w:tcPr>
            <w:tcW w:w="253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预测因子</w:t>
            </w:r>
          </w:p>
        </w:tc>
        <w:tc>
          <w:tcPr>
            <w:tcW w:w="11177"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color w:val="auto"/>
                <w:kern w:val="0"/>
                <w:szCs w:val="21"/>
              </w:rPr>
            </w:pPr>
            <w:r>
              <w:rPr>
                <w:color w:val="auto"/>
                <w:kern w:val="0"/>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13" w:hRule="atLeast"/>
        </w:trPr>
        <w:tc>
          <w:tcPr>
            <w:tcW w:w="390" w:type="dxa"/>
            <w:vMerge w:val="continue"/>
            <w:tcBorders>
              <w:left w:val="single" w:color="000000" w:themeColor="text1" w:sz="12" w:space="0"/>
              <w:bottom w:val="single" w:color="000000" w:themeColor="text1" w:sz="12" w:space="0"/>
              <w:right w:val="single" w:color="000000" w:themeColor="text1" w:sz="6" w:space="0"/>
            </w:tcBorders>
            <w:vAlign w:val="center"/>
          </w:tcPr>
          <w:p>
            <w:pPr>
              <w:widowControl/>
              <w:snapToGrid w:val="0"/>
              <w:jc w:val="left"/>
              <w:rPr>
                <w:color w:val="auto"/>
                <w:kern w:val="0"/>
                <w:szCs w:val="21"/>
              </w:rPr>
            </w:pPr>
          </w:p>
        </w:tc>
        <w:tc>
          <w:tcPr>
            <w:tcW w:w="2539" w:type="dxa"/>
            <w:tcBorders>
              <w:top w:val="single" w:color="000000" w:themeColor="text1" w:sz="6" w:space="0"/>
              <w:left w:val="single" w:color="000000" w:themeColor="text1" w:sz="6" w:space="0"/>
              <w:bottom w:val="single" w:color="000000" w:themeColor="text1" w:sz="12" w:space="0"/>
              <w:right w:val="single" w:color="000000" w:themeColor="text1" w:sz="6" w:space="0"/>
            </w:tcBorders>
            <w:vAlign w:val="center"/>
          </w:tcPr>
          <w:p>
            <w:pPr>
              <w:snapToGrid w:val="0"/>
              <w:jc w:val="center"/>
              <w:rPr>
                <w:color w:val="auto"/>
                <w:kern w:val="0"/>
                <w:szCs w:val="21"/>
              </w:rPr>
            </w:pPr>
            <w:r>
              <w:rPr>
                <w:color w:val="auto"/>
                <w:kern w:val="0"/>
                <w:szCs w:val="21"/>
              </w:rPr>
              <w:t>预测时期</w:t>
            </w:r>
          </w:p>
        </w:tc>
        <w:tc>
          <w:tcPr>
            <w:tcW w:w="11177" w:type="dxa"/>
            <w:gridSpan w:val="4"/>
            <w:tcBorders>
              <w:top w:val="single" w:color="000000" w:themeColor="text1" w:sz="6" w:space="0"/>
              <w:left w:val="single" w:color="000000" w:themeColor="text1" w:sz="6" w:space="0"/>
              <w:bottom w:val="single" w:color="000000" w:themeColor="text1" w:sz="12" w:space="0"/>
              <w:right w:val="single" w:color="000000" w:themeColor="text1" w:sz="12" w:space="0"/>
            </w:tcBorders>
            <w:vAlign w:val="center"/>
          </w:tcPr>
          <w:p>
            <w:pPr>
              <w:snapToGrid w:val="0"/>
              <w:jc w:val="left"/>
              <w:rPr>
                <w:color w:val="auto"/>
                <w:kern w:val="0"/>
                <w:szCs w:val="21"/>
              </w:rPr>
            </w:pPr>
            <w:r>
              <w:rPr>
                <w:color w:val="auto"/>
                <w:kern w:val="0"/>
                <w:szCs w:val="21"/>
              </w:rPr>
              <w:t>丰水期□；平水期□；枯水期□；冰封期□</w:t>
            </w:r>
          </w:p>
          <w:p>
            <w:pPr>
              <w:snapToGrid w:val="0"/>
              <w:jc w:val="left"/>
              <w:rPr>
                <w:color w:val="auto"/>
                <w:kern w:val="0"/>
                <w:szCs w:val="21"/>
              </w:rPr>
            </w:pPr>
            <w:r>
              <w:rPr>
                <w:color w:val="auto"/>
                <w:kern w:val="0"/>
                <w:szCs w:val="21"/>
              </w:rPr>
              <w:t>春季□；夏季□；秋季□；冬季□</w:t>
            </w:r>
          </w:p>
          <w:p>
            <w:pPr>
              <w:snapToGrid w:val="0"/>
              <w:jc w:val="left"/>
              <w:rPr>
                <w:color w:val="auto"/>
                <w:kern w:val="0"/>
                <w:szCs w:val="21"/>
              </w:rPr>
            </w:pPr>
            <w:r>
              <w:rPr>
                <w:color w:val="auto"/>
                <w:kern w:val="0"/>
                <w:szCs w:val="21"/>
              </w:rPr>
              <w:t>设计水文条件□</w:t>
            </w:r>
          </w:p>
        </w:tc>
      </w:tr>
    </w:tbl>
    <w:p>
      <w:pPr>
        <w:jc w:val="right"/>
        <w:rPr>
          <w:b/>
          <w:color w:val="auto"/>
          <w:szCs w:val="22"/>
        </w:rPr>
      </w:pPr>
    </w:p>
    <w:p>
      <w:pPr>
        <w:jc w:val="right"/>
        <w:rPr>
          <w:b/>
          <w:color w:val="auto"/>
        </w:rPr>
      </w:pPr>
      <w:r>
        <w:rPr>
          <w:b/>
          <w:color w:val="auto"/>
        </w:rPr>
        <w:t>续表</w:t>
      </w:r>
    </w:p>
    <w:tbl>
      <w:tblPr>
        <w:tblStyle w:val="77"/>
        <w:tblW w:w="14024" w:type="dxa"/>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387"/>
        <w:gridCol w:w="2525"/>
        <w:gridCol w:w="2076"/>
        <w:gridCol w:w="1369"/>
        <w:gridCol w:w="1016"/>
        <w:gridCol w:w="2516"/>
        <w:gridCol w:w="709"/>
        <w:gridCol w:w="1417"/>
        <w:gridCol w:w="2009"/>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42" w:hRule="atLeast"/>
        </w:trPr>
        <w:tc>
          <w:tcPr>
            <w:tcW w:w="2912" w:type="dxa"/>
            <w:gridSpan w:val="2"/>
            <w:tcBorders>
              <w:top w:val="single" w:color="000000" w:themeColor="text1" w:sz="12" w:space="0"/>
              <w:left w:val="single" w:color="000000" w:themeColor="text1" w:sz="12"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工作内容</w:t>
            </w:r>
          </w:p>
        </w:tc>
        <w:tc>
          <w:tcPr>
            <w:tcW w:w="11112" w:type="dxa"/>
            <w:gridSpan w:val="7"/>
            <w:tcBorders>
              <w:top w:val="single" w:color="000000" w:themeColor="text1" w:sz="12" w:space="0"/>
              <w:left w:val="single" w:color="000000" w:themeColor="text1" w:sz="6" w:space="0"/>
              <w:bottom w:val="single" w:color="000000" w:themeColor="text1" w:sz="6" w:space="0"/>
              <w:right w:val="single" w:color="000000" w:themeColor="text1" w:sz="12" w:space="0"/>
            </w:tcBorders>
            <w:vAlign w:val="center"/>
          </w:tcPr>
          <w:p>
            <w:pPr>
              <w:snapToGrid w:val="0"/>
              <w:jc w:val="center"/>
              <w:rPr>
                <w:color w:val="auto"/>
                <w:kern w:val="0"/>
                <w:szCs w:val="21"/>
              </w:rPr>
            </w:pPr>
            <w:r>
              <w:rPr>
                <w:color w:val="auto"/>
                <w:kern w:val="0"/>
                <w:szCs w:val="21"/>
              </w:rPr>
              <w:t>自查项目</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1006" w:hRule="atLeast"/>
        </w:trPr>
        <w:tc>
          <w:tcPr>
            <w:tcW w:w="387" w:type="dxa"/>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color w:val="auto"/>
                <w:kern w:val="0"/>
                <w:szCs w:val="21"/>
              </w:rPr>
            </w:pPr>
            <w:r>
              <w:rPr>
                <w:color w:val="auto"/>
                <w:kern w:val="0"/>
                <w:szCs w:val="21"/>
              </w:rPr>
              <w:t>影响预测</w:t>
            </w:r>
          </w:p>
        </w:tc>
        <w:tc>
          <w:tcPr>
            <w:tcW w:w="2525"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预测情景</w:t>
            </w:r>
          </w:p>
        </w:tc>
        <w:tc>
          <w:tcPr>
            <w:tcW w:w="11112" w:type="dxa"/>
            <w:gridSpan w:val="7"/>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color w:val="auto"/>
                <w:kern w:val="0"/>
                <w:szCs w:val="21"/>
              </w:rPr>
            </w:pPr>
            <w:r>
              <w:rPr>
                <w:color w:val="auto"/>
                <w:kern w:val="0"/>
                <w:szCs w:val="21"/>
              </w:rPr>
              <w:t>建设期□；生产运行期□；服务器满后□</w:t>
            </w:r>
          </w:p>
          <w:p>
            <w:pPr>
              <w:snapToGrid w:val="0"/>
              <w:jc w:val="left"/>
              <w:rPr>
                <w:color w:val="auto"/>
                <w:kern w:val="0"/>
                <w:szCs w:val="21"/>
              </w:rPr>
            </w:pPr>
            <w:r>
              <w:rPr>
                <w:color w:val="auto"/>
                <w:kern w:val="0"/>
                <w:szCs w:val="21"/>
              </w:rPr>
              <w:t>正常工况□；非正常工况□</w:t>
            </w:r>
          </w:p>
          <w:p>
            <w:pPr>
              <w:snapToGrid w:val="0"/>
              <w:jc w:val="left"/>
              <w:rPr>
                <w:color w:val="auto"/>
                <w:kern w:val="0"/>
                <w:szCs w:val="21"/>
              </w:rPr>
            </w:pPr>
            <w:r>
              <w:rPr>
                <w:color w:val="auto"/>
                <w:kern w:val="0"/>
                <w:szCs w:val="21"/>
              </w:rPr>
              <w:t>污染控制和减缓措施方案□</w:t>
            </w:r>
          </w:p>
          <w:p>
            <w:pPr>
              <w:snapToGrid w:val="0"/>
              <w:jc w:val="left"/>
              <w:rPr>
                <w:color w:val="auto"/>
                <w:kern w:val="0"/>
                <w:szCs w:val="21"/>
              </w:rPr>
            </w:pPr>
            <w:r>
              <w:rPr>
                <w:color w:val="auto"/>
                <w:kern w:val="0"/>
                <w:szCs w:val="21"/>
              </w:rPr>
              <w:t>区（流）域水环境质量改善目标要求情景□</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68" w:hRule="atLeast"/>
        </w:trPr>
        <w:tc>
          <w:tcPr>
            <w:tcW w:w="38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color w:val="auto"/>
                <w:kern w:val="0"/>
                <w:szCs w:val="21"/>
              </w:rPr>
            </w:pPr>
          </w:p>
        </w:tc>
        <w:tc>
          <w:tcPr>
            <w:tcW w:w="2525"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预测方法</w:t>
            </w:r>
          </w:p>
        </w:tc>
        <w:tc>
          <w:tcPr>
            <w:tcW w:w="11112" w:type="dxa"/>
            <w:gridSpan w:val="7"/>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color w:val="auto"/>
                <w:kern w:val="0"/>
                <w:szCs w:val="21"/>
              </w:rPr>
            </w:pPr>
            <w:r>
              <w:rPr>
                <w:color w:val="auto"/>
                <w:kern w:val="0"/>
                <w:szCs w:val="21"/>
              </w:rPr>
              <w:t>数值解□；解析解□；其他□</w:t>
            </w:r>
          </w:p>
          <w:p>
            <w:pPr>
              <w:snapToGrid w:val="0"/>
              <w:jc w:val="left"/>
              <w:rPr>
                <w:color w:val="auto"/>
                <w:kern w:val="0"/>
                <w:szCs w:val="21"/>
              </w:rPr>
            </w:pPr>
            <w:r>
              <w:rPr>
                <w:color w:val="auto"/>
                <w:kern w:val="0"/>
                <w:szCs w:val="21"/>
              </w:rPr>
              <w:t>导则推荐模式□；其他□</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33" w:hRule="atLeast"/>
        </w:trPr>
        <w:tc>
          <w:tcPr>
            <w:tcW w:w="387" w:type="dxa"/>
            <w:vMerge w:val="restart"/>
            <w:tcBorders>
              <w:top w:val="single" w:color="000000" w:themeColor="text1" w:sz="6" w:space="0"/>
              <w:left w:val="single" w:color="000000" w:themeColor="text1" w:sz="12" w:space="0"/>
              <w:right w:val="single" w:color="000000" w:themeColor="text1" w:sz="6" w:space="0"/>
            </w:tcBorders>
            <w:vAlign w:val="center"/>
          </w:tcPr>
          <w:p>
            <w:pPr>
              <w:snapToGrid w:val="0"/>
              <w:jc w:val="center"/>
              <w:rPr>
                <w:color w:val="auto"/>
                <w:kern w:val="0"/>
                <w:szCs w:val="21"/>
              </w:rPr>
            </w:pPr>
            <w:r>
              <w:rPr>
                <w:color w:val="auto"/>
                <w:kern w:val="0"/>
                <w:szCs w:val="21"/>
              </w:rPr>
              <w:t>影响评价</w:t>
            </w:r>
          </w:p>
        </w:tc>
        <w:tc>
          <w:tcPr>
            <w:tcW w:w="2525"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水污染控制和水环境影响减缓措施有效性评价</w:t>
            </w:r>
          </w:p>
        </w:tc>
        <w:tc>
          <w:tcPr>
            <w:tcW w:w="11112" w:type="dxa"/>
            <w:gridSpan w:val="7"/>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color w:val="auto"/>
                <w:kern w:val="0"/>
                <w:szCs w:val="21"/>
              </w:rPr>
            </w:pPr>
            <w:r>
              <w:rPr>
                <w:color w:val="auto"/>
                <w:kern w:val="0"/>
                <w:szCs w:val="21"/>
              </w:rPr>
              <w:t>区（流）域水环境质量改善目标□；替代削减源□</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609" w:hRule="atLeast"/>
        </w:trPr>
        <w:tc>
          <w:tcPr>
            <w:tcW w:w="387" w:type="dxa"/>
            <w:vMerge w:val="continue"/>
            <w:tcBorders>
              <w:left w:val="single" w:color="000000" w:themeColor="text1" w:sz="12" w:space="0"/>
              <w:right w:val="single" w:color="000000" w:themeColor="text1" w:sz="6" w:space="0"/>
            </w:tcBorders>
            <w:vAlign w:val="center"/>
          </w:tcPr>
          <w:p>
            <w:pPr>
              <w:widowControl/>
              <w:snapToGrid w:val="0"/>
              <w:jc w:val="left"/>
              <w:rPr>
                <w:color w:val="auto"/>
                <w:kern w:val="0"/>
                <w:szCs w:val="21"/>
              </w:rPr>
            </w:pPr>
          </w:p>
        </w:tc>
        <w:tc>
          <w:tcPr>
            <w:tcW w:w="2525"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水环境影响评价</w:t>
            </w:r>
          </w:p>
        </w:tc>
        <w:tc>
          <w:tcPr>
            <w:tcW w:w="11112" w:type="dxa"/>
            <w:gridSpan w:val="7"/>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color w:val="auto"/>
                <w:kern w:val="0"/>
                <w:szCs w:val="21"/>
              </w:rPr>
            </w:pPr>
            <w:r>
              <w:rPr>
                <w:color w:val="auto"/>
                <w:kern w:val="0"/>
                <w:szCs w:val="21"/>
              </w:rPr>
              <w:t>排放口混合区外满足水环境管理要求 □</w:t>
            </w:r>
          </w:p>
          <w:p>
            <w:pPr>
              <w:snapToGrid w:val="0"/>
              <w:jc w:val="left"/>
              <w:rPr>
                <w:color w:val="auto"/>
                <w:kern w:val="0"/>
                <w:szCs w:val="21"/>
              </w:rPr>
            </w:pPr>
            <w:r>
              <w:rPr>
                <w:color w:val="auto"/>
                <w:kern w:val="0"/>
                <w:szCs w:val="21"/>
              </w:rPr>
              <w:t>水环境功能区或水功能区、近岸海域环境功能区水质达标 □</w:t>
            </w:r>
          </w:p>
          <w:p>
            <w:pPr>
              <w:snapToGrid w:val="0"/>
              <w:jc w:val="left"/>
              <w:rPr>
                <w:color w:val="auto"/>
                <w:kern w:val="0"/>
                <w:szCs w:val="21"/>
              </w:rPr>
            </w:pPr>
            <w:r>
              <w:rPr>
                <w:color w:val="auto"/>
                <w:kern w:val="0"/>
                <w:szCs w:val="21"/>
              </w:rPr>
              <w:t>满足水环境保护目标水域水环境质量要求 □</w:t>
            </w:r>
          </w:p>
          <w:p>
            <w:pPr>
              <w:snapToGrid w:val="0"/>
              <w:jc w:val="left"/>
              <w:rPr>
                <w:color w:val="auto"/>
                <w:kern w:val="0"/>
                <w:szCs w:val="21"/>
              </w:rPr>
            </w:pPr>
            <w:r>
              <w:rPr>
                <w:color w:val="auto"/>
                <w:kern w:val="0"/>
                <w:szCs w:val="21"/>
              </w:rPr>
              <w:t>水环境控制单元或断面水质达标 □</w:t>
            </w:r>
          </w:p>
          <w:p>
            <w:pPr>
              <w:snapToGrid w:val="0"/>
              <w:jc w:val="left"/>
              <w:rPr>
                <w:color w:val="auto"/>
                <w:kern w:val="0"/>
                <w:szCs w:val="21"/>
              </w:rPr>
            </w:pPr>
            <w:r>
              <w:rPr>
                <w:color w:val="auto"/>
                <w:kern w:val="0"/>
                <w:szCs w:val="21"/>
              </w:rPr>
              <w:t>满足重点水污染物排放总量控制指标要求，重点行业建设项目，主要污染物排放满足等量或减量替代要求 □</w:t>
            </w:r>
          </w:p>
          <w:p>
            <w:pPr>
              <w:snapToGrid w:val="0"/>
              <w:jc w:val="left"/>
              <w:rPr>
                <w:color w:val="auto"/>
                <w:kern w:val="0"/>
                <w:szCs w:val="21"/>
              </w:rPr>
            </w:pPr>
            <w:r>
              <w:rPr>
                <w:color w:val="auto"/>
                <w:kern w:val="0"/>
                <w:szCs w:val="21"/>
              </w:rPr>
              <w:t>满足区（流）域水环境质量改善目标要求 □</w:t>
            </w:r>
          </w:p>
          <w:p>
            <w:pPr>
              <w:snapToGrid w:val="0"/>
              <w:jc w:val="left"/>
              <w:rPr>
                <w:color w:val="auto"/>
                <w:kern w:val="0"/>
                <w:szCs w:val="21"/>
              </w:rPr>
            </w:pPr>
            <w:r>
              <w:rPr>
                <w:color w:val="auto"/>
                <w:kern w:val="0"/>
                <w:szCs w:val="21"/>
              </w:rPr>
              <w:t>水文要素影响型建设项目同时应包括水文情势变化评价、主要水文特征值影响评价、生态流量符合性评价□</w:t>
            </w:r>
          </w:p>
          <w:p>
            <w:pPr>
              <w:snapToGrid w:val="0"/>
              <w:jc w:val="left"/>
              <w:rPr>
                <w:color w:val="auto"/>
                <w:kern w:val="0"/>
                <w:szCs w:val="21"/>
              </w:rPr>
            </w:pPr>
            <w:r>
              <w:rPr>
                <w:color w:val="auto"/>
                <w:kern w:val="0"/>
                <w:szCs w:val="21"/>
              </w:rPr>
              <w:t>对于新设或调整入河（湖库、近岸海域）排放口的建设项目，应包括排放口设置的环境合理性评价□</w:t>
            </w:r>
          </w:p>
          <w:p>
            <w:pPr>
              <w:snapToGrid w:val="0"/>
              <w:jc w:val="left"/>
              <w:rPr>
                <w:color w:val="auto"/>
                <w:kern w:val="0"/>
                <w:szCs w:val="21"/>
              </w:rPr>
            </w:pPr>
            <w:r>
              <w:rPr>
                <w:color w:val="auto"/>
                <w:kern w:val="0"/>
                <w:szCs w:val="21"/>
              </w:rPr>
              <w:t>满足生态保护红线、水环境质量底线、资源利用上线和环境准入清单管理要求□</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03" w:hRule="atLeast"/>
        </w:trPr>
        <w:tc>
          <w:tcPr>
            <w:tcW w:w="387" w:type="dxa"/>
            <w:vMerge w:val="continue"/>
            <w:tcBorders>
              <w:left w:val="single" w:color="000000" w:themeColor="text1" w:sz="12" w:space="0"/>
              <w:right w:val="single" w:color="000000" w:themeColor="text1" w:sz="6" w:space="0"/>
            </w:tcBorders>
            <w:vAlign w:val="center"/>
          </w:tcPr>
          <w:p>
            <w:pPr>
              <w:widowControl/>
              <w:snapToGrid w:val="0"/>
              <w:jc w:val="left"/>
              <w:rPr>
                <w:color w:val="auto"/>
                <w:kern w:val="0"/>
                <w:szCs w:val="21"/>
              </w:rPr>
            </w:pPr>
          </w:p>
        </w:tc>
        <w:tc>
          <w:tcPr>
            <w:tcW w:w="2525" w:type="dxa"/>
            <w:vMerge w:val="restart"/>
            <w:tcBorders>
              <w:top w:val="single" w:color="000000" w:themeColor="text1" w:sz="6" w:space="0"/>
              <w:left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污染物排放量核算</w:t>
            </w:r>
          </w:p>
        </w:tc>
        <w:tc>
          <w:tcPr>
            <w:tcW w:w="3445" w:type="dxa"/>
            <w:gridSpan w:val="2"/>
            <w:tcBorders>
              <w:top w:val="single" w:color="000000" w:themeColor="text1" w:sz="6" w:space="0"/>
              <w:left w:val="single" w:color="000000" w:themeColor="text1" w:sz="6" w:space="0"/>
              <w:bottom w:val="single" w:color="auto" w:sz="2" w:space="0"/>
              <w:right w:val="single" w:color="auto" w:sz="2" w:space="0"/>
            </w:tcBorders>
            <w:vAlign w:val="center"/>
          </w:tcPr>
          <w:p>
            <w:pPr>
              <w:snapToGrid w:val="0"/>
              <w:jc w:val="center"/>
              <w:rPr>
                <w:color w:val="auto"/>
                <w:kern w:val="0"/>
                <w:szCs w:val="21"/>
              </w:rPr>
            </w:pPr>
            <w:r>
              <w:rPr>
                <w:color w:val="auto"/>
                <w:kern w:val="0"/>
                <w:szCs w:val="21"/>
              </w:rPr>
              <w:t>污染物名称</w:t>
            </w:r>
          </w:p>
        </w:tc>
        <w:tc>
          <w:tcPr>
            <w:tcW w:w="4241" w:type="dxa"/>
            <w:gridSpan w:val="3"/>
            <w:tcBorders>
              <w:top w:val="single" w:color="000000" w:themeColor="text1" w:sz="6" w:space="0"/>
              <w:left w:val="single" w:color="auto" w:sz="2" w:space="0"/>
              <w:bottom w:val="single" w:color="auto" w:sz="2" w:space="0"/>
              <w:right w:val="single" w:color="auto" w:sz="2" w:space="0"/>
            </w:tcBorders>
            <w:vAlign w:val="center"/>
          </w:tcPr>
          <w:p>
            <w:pPr>
              <w:snapToGrid w:val="0"/>
              <w:jc w:val="center"/>
              <w:rPr>
                <w:color w:val="auto"/>
                <w:kern w:val="0"/>
                <w:szCs w:val="21"/>
              </w:rPr>
            </w:pPr>
            <w:r>
              <w:rPr>
                <w:color w:val="auto"/>
                <w:kern w:val="0"/>
                <w:szCs w:val="21"/>
              </w:rPr>
              <w:t>排放量/（t/a）</w:t>
            </w:r>
          </w:p>
        </w:tc>
        <w:tc>
          <w:tcPr>
            <w:tcW w:w="3426" w:type="dxa"/>
            <w:gridSpan w:val="2"/>
            <w:tcBorders>
              <w:top w:val="single" w:color="000000" w:themeColor="text1" w:sz="6" w:space="0"/>
              <w:left w:val="single" w:color="auto" w:sz="2" w:space="0"/>
              <w:bottom w:val="single" w:color="auto" w:sz="2" w:space="0"/>
              <w:right w:val="single" w:color="000000" w:themeColor="text1" w:sz="12" w:space="0"/>
            </w:tcBorders>
            <w:vAlign w:val="center"/>
          </w:tcPr>
          <w:p>
            <w:pPr>
              <w:snapToGrid w:val="0"/>
              <w:jc w:val="center"/>
              <w:rPr>
                <w:color w:val="auto"/>
                <w:kern w:val="0"/>
                <w:szCs w:val="21"/>
              </w:rPr>
            </w:pPr>
            <w:r>
              <w:rPr>
                <w:color w:val="auto"/>
                <w:kern w:val="0"/>
                <w:szCs w:val="21"/>
              </w:rPr>
              <w:t>排放浓度/（mg/L）</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62" w:hRule="atLeast"/>
        </w:trPr>
        <w:tc>
          <w:tcPr>
            <w:tcW w:w="387" w:type="dxa"/>
            <w:vMerge w:val="continue"/>
            <w:tcBorders>
              <w:left w:val="single" w:color="000000" w:themeColor="text1" w:sz="12" w:space="0"/>
              <w:right w:val="single" w:color="000000" w:themeColor="text1" w:sz="6" w:space="0"/>
            </w:tcBorders>
            <w:vAlign w:val="center"/>
          </w:tcPr>
          <w:p>
            <w:pPr>
              <w:widowControl/>
              <w:snapToGrid w:val="0"/>
              <w:jc w:val="left"/>
              <w:rPr>
                <w:color w:val="auto"/>
                <w:kern w:val="0"/>
                <w:szCs w:val="21"/>
              </w:rPr>
            </w:pPr>
          </w:p>
        </w:tc>
        <w:tc>
          <w:tcPr>
            <w:tcW w:w="2525" w:type="dxa"/>
            <w:vMerge w:val="continue"/>
            <w:tcBorders>
              <w:top w:val="single" w:color="000000" w:themeColor="text1" w:sz="6" w:space="0"/>
              <w:left w:val="single" w:color="000000" w:themeColor="text1" w:sz="6" w:space="0"/>
              <w:bottom w:val="single" w:color="auto" w:sz="2" w:space="0"/>
              <w:right w:val="single" w:color="000000" w:themeColor="text1" w:sz="6" w:space="0"/>
            </w:tcBorders>
            <w:vAlign w:val="center"/>
          </w:tcPr>
          <w:p>
            <w:pPr>
              <w:snapToGrid w:val="0"/>
              <w:jc w:val="center"/>
              <w:rPr>
                <w:color w:val="auto"/>
                <w:kern w:val="0"/>
                <w:szCs w:val="21"/>
              </w:rPr>
            </w:pPr>
          </w:p>
        </w:tc>
        <w:tc>
          <w:tcPr>
            <w:tcW w:w="3445" w:type="dxa"/>
            <w:gridSpan w:val="2"/>
            <w:tcBorders>
              <w:top w:val="single" w:color="auto" w:sz="2" w:space="0"/>
              <w:left w:val="single" w:color="000000" w:themeColor="text1" w:sz="6" w:space="0"/>
              <w:bottom w:val="single" w:color="auto" w:sz="2" w:space="0"/>
              <w:right w:val="single" w:color="auto" w:sz="2" w:space="0"/>
            </w:tcBorders>
            <w:vAlign w:val="center"/>
          </w:tcPr>
          <w:p>
            <w:pPr>
              <w:snapToGrid w:val="0"/>
              <w:jc w:val="center"/>
              <w:rPr>
                <w:color w:val="auto"/>
                <w:kern w:val="0"/>
                <w:szCs w:val="21"/>
              </w:rPr>
            </w:pPr>
            <w:r>
              <w:rPr>
                <w:color w:val="auto"/>
                <w:kern w:val="0"/>
                <w:szCs w:val="21"/>
              </w:rPr>
              <w:t>（</w:t>
            </w:r>
            <w:r>
              <w:rPr>
                <w:rFonts w:hint="eastAsia"/>
                <w:color w:val="auto"/>
                <w:kern w:val="0"/>
                <w:szCs w:val="21"/>
              </w:rPr>
              <w:t>COD、氨氮</w:t>
            </w:r>
            <w:r>
              <w:rPr>
                <w:color w:val="auto"/>
                <w:kern w:val="0"/>
                <w:szCs w:val="21"/>
              </w:rPr>
              <w:t>）</w:t>
            </w:r>
          </w:p>
        </w:tc>
        <w:tc>
          <w:tcPr>
            <w:tcW w:w="4241" w:type="dxa"/>
            <w:gridSpan w:val="3"/>
            <w:tcBorders>
              <w:top w:val="single" w:color="auto" w:sz="2" w:space="0"/>
              <w:left w:val="single" w:color="auto" w:sz="2" w:space="0"/>
              <w:bottom w:val="single" w:color="auto" w:sz="2" w:space="0"/>
              <w:right w:val="single" w:color="auto" w:sz="2" w:space="0"/>
            </w:tcBorders>
            <w:vAlign w:val="center"/>
          </w:tcPr>
          <w:p>
            <w:pPr>
              <w:snapToGrid w:val="0"/>
              <w:jc w:val="center"/>
              <w:rPr>
                <w:color w:val="auto"/>
                <w:kern w:val="0"/>
                <w:szCs w:val="21"/>
              </w:rPr>
            </w:pPr>
            <w:r>
              <w:rPr>
                <w:color w:val="auto"/>
                <w:kern w:val="0"/>
                <w:szCs w:val="21"/>
              </w:rPr>
              <w:t>（</w:t>
            </w:r>
            <w:r>
              <w:rPr>
                <w:rFonts w:hint="eastAsia"/>
                <w:color w:val="auto"/>
                <w:kern w:val="0"/>
                <w:szCs w:val="21"/>
              </w:rPr>
              <w:t>COD：</w:t>
            </w:r>
            <w:r>
              <w:rPr>
                <w:rFonts w:hint="eastAsia"/>
                <w:color w:val="auto"/>
                <w:kern w:val="0"/>
                <w:szCs w:val="21"/>
                <w:lang w:eastAsia="zh-CN"/>
              </w:rPr>
              <w:t>3.31</w:t>
            </w:r>
            <w:r>
              <w:rPr>
                <w:rFonts w:hint="eastAsia"/>
                <w:color w:val="auto"/>
                <w:kern w:val="0"/>
                <w:szCs w:val="21"/>
              </w:rPr>
              <w:t>、氨氮：</w:t>
            </w:r>
            <w:r>
              <w:rPr>
                <w:rFonts w:hint="eastAsia"/>
                <w:color w:val="auto"/>
                <w:kern w:val="0"/>
                <w:szCs w:val="21"/>
                <w:lang w:eastAsia="zh-CN"/>
              </w:rPr>
              <w:t>0.55</w:t>
            </w:r>
            <w:r>
              <w:rPr>
                <w:color w:val="auto"/>
                <w:kern w:val="0"/>
                <w:szCs w:val="21"/>
              </w:rPr>
              <w:t>）</w:t>
            </w:r>
          </w:p>
        </w:tc>
        <w:tc>
          <w:tcPr>
            <w:tcW w:w="3426" w:type="dxa"/>
            <w:gridSpan w:val="2"/>
            <w:tcBorders>
              <w:top w:val="single" w:color="auto" w:sz="2" w:space="0"/>
              <w:left w:val="single" w:color="auto" w:sz="2" w:space="0"/>
              <w:bottom w:val="single" w:color="auto" w:sz="2" w:space="0"/>
              <w:right w:val="single" w:color="000000" w:themeColor="text1" w:sz="12" w:space="0"/>
            </w:tcBorders>
            <w:vAlign w:val="center"/>
          </w:tcPr>
          <w:p>
            <w:pPr>
              <w:snapToGrid w:val="0"/>
              <w:jc w:val="center"/>
              <w:rPr>
                <w:color w:val="auto"/>
                <w:kern w:val="0"/>
                <w:szCs w:val="21"/>
              </w:rPr>
            </w:pPr>
            <w:r>
              <w:rPr>
                <w:color w:val="auto"/>
                <w:kern w:val="0"/>
                <w:szCs w:val="21"/>
              </w:rPr>
              <w:t>（</w:t>
            </w:r>
            <w:r>
              <w:rPr>
                <w:rFonts w:hint="eastAsia"/>
                <w:color w:val="auto"/>
                <w:kern w:val="0"/>
                <w:szCs w:val="21"/>
              </w:rPr>
              <w:t>COD：</w:t>
            </w:r>
            <w:r>
              <w:rPr>
                <w:rFonts w:hint="eastAsia"/>
                <w:snapToGrid w:val="0"/>
                <w:color w:val="auto"/>
                <w:kern w:val="0"/>
                <w:szCs w:val="21"/>
                <w:lang w:eastAsia="zh-CN"/>
              </w:rPr>
              <w:t>189.11</w:t>
            </w:r>
            <w:r>
              <w:rPr>
                <w:rFonts w:hint="eastAsia"/>
                <w:color w:val="auto"/>
                <w:kern w:val="0"/>
                <w:szCs w:val="21"/>
              </w:rPr>
              <w:t>、氨氮：</w:t>
            </w:r>
            <w:r>
              <w:rPr>
                <w:rFonts w:hint="eastAsia"/>
                <w:color w:val="auto"/>
                <w:kern w:val="0"/>
                <w:szCs w:val="21"/>
                <w:lang w:eastAsia="zh-CN"/>
              </w:rPr>
              <w:t>31.27</w:t>
            </w:r>
            <w:r>
              <w:rPr>
                <w:color w:val="auto"/>
                <w:kern w:val="0"/>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132" w:hRule="atLeast"/>
        </w:trPr>
        <w:tc>
          <w:tcPr>
            <w:tcW w:w="387" w:type="dxa"/>
            <w:vMerge w:val="continue"/>
            <w:tcBorders>
              <w:left w:val="single" w:color="000000" w:themeColor="text1" w:sz="12" w:space="0"/>
              <w:right w:val="single" w:color="000000" w:themeColor="text1" w:sz="6" w:space="0"/>
            </w:tcBorders>
            <w:vAlign w:val="center"/>
          </w:tcPr>
          <w:p>
            <w:pPr>
              <w:widowControl/>
              <w:snapToGrid w:val="0"/>
              <w:jc w:val="left"/>
              <w:rPr>
                <w:color w:val="auto"/>
                <w:kern w:val="0"/>
                <w:szCs w:val="21"/>
              </w:rPr>
            </w:pPr>
          </w:p>
        </w:tc>
        <w:tc>
          <w:tcPr>
            <w:tcW w:w="2525" w:type="dxa"/>
            <w:vMerge w:val="restart"/>
            <w:tcBorders>
              <w:top w:val="single" w:color="auto" w:sz="2" w:space="0"/>
              <w:left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替代源排放情况</w:t>
            </w:r>
          </w:p>
        </w:tc>
        <w:tc>
          <w:tcPr>
            <w:tcW w:w="2076" w:type="dxa"/>
            <w:tcBorders>
              <w:top w:val="single" w:color="auto" w:sz="2" w:space="0"/>
              <w:left w:val="single" w:color="000000" w:themeColor="text1" w:sz="6" w:space="0"/>
              <w:bottom w:val="single" w:color="auto" w:sz="2" w:space="0"/>
              <w:right w:val="single" w:color="auto" w:sz="2" w:space="0"/>
            </w:tcBorders>
            <w:vAlign w:val="center"/>
          </w:tcPr>
          <w:p>
            <w:pPr>
              <w:snapToGrid w:val="0"/>
              <w:jc w:val="center"/>
              <w:rPr>
                <w:color w:val="auto"/>
                <w:kern w:val="0"/>
                <w:szCs w:val="21"/>
              </w:rPr>
            </w:pPr>
            <w:r>
              <w:rPr>
                <w:color w:val="auto"/>
                <w:kern w:val="0"/>
                <w:szCs w:val="21"/>
              </w:rPr>
              <w:t>污染源名称</w:t>
            </w:r>
          </w:p>
        </w:tc>
        <w:tc>
          <w:tcPr>
            <w:tcW w:w="2385" w:type="dxa"/>
            <w:gridSpan w:val="2"/>
            <w:tcBorders>
              <w:top w:val="single" w:color="auto" w:sz="2" w:space="0"/>
              <w:left w:val="single" w:color="auto" w:sz="2" w:space="0"/>
              <w:bottom w:val="single" w:color="auto" w:sz="2" w:space="0"/>
              <w:right w:val="single" w:color="auto" w:sz="2" w:space="0"/>
            </w:tcBorders>
            <w:vAlign w:val="center"/>
          </w:tcPr>
          <w:p>
            <w:pPr>
              <w:snapToGrid w:val="0"/>
              <w:jc w:val="center"/>
              <w:rPr>
                <w:color w:val="auto"/>
                <w:kern w:val="0"/>
                <w:szCs w:val="21"/>
              </w:rPr>
            </w:pPr>
            <w:r>
              <w:rPr>
                <w:color w:val="auto"/>
                <w:kern w:val="0"/>
                <w:szCs w:val="21"/>
              </w:rPr>
              <w:t>排污许可证编号</w:t>
            </w:r>
          </w:p>
        </w:tc>
        <w:tc>
          <w:tcPr>
            <w:tcW w:w="2516" w:type="dxa"/>
            <w:tcBorders>
              <w:top w:val="single" w:color="auto" w:sz="2" w:space="0"/>
              <w:left w:val="single" w:color="auto" w:sz="2" w:space="0"/>
              <w:bottom w:val="single" w:color="auto" w:sz="2" w:space="0"/>
              <w:right w:val="single" w:color="auto" w:sz="2" w:space="0"/>
            </w:tcBorders>
            <w:vAlign w:val="center"/>
          </w:tcPr>
          <w:p>
            <w:pPr>
              <w:snapToGrid w:val="0"/>
              <w:jc w:val="center"/>
              <w:rPr>
                <w:color w:val="auto"/>
                <w:kern w:val="0"/>
                <w:szCs w:val="21"/>
              </w:rPr>
            </w:pPr>
            <w:r>
              <w:rPr>
                <w:color w:val="auto"/>
                <w:kern w:val="0"/>
                <w:szCs w:val="21"/>
              </w:rPr>
              <w:t>污染物名称</w:t>
            </w:r>
          </w:p>
        </w:tc>
        <w:tc>
          <w:tcPr>
            <w:tcW w:w="2126" w:type="dxa"/>
            <w:gridSpan w:val="2"/>
            <w:tcBorders>
              <w:top w:val="single" w:color="auto" w:sz="2" w:space="0"/>
              <w:left w:val="single" w:color="auto" w:sz="2" w:space="0"/>
              <w:bottom w:val="single" w:color="auto" w:sz="2" w:space="0"/>
              <w:right w:val="single" w:color="auto" w:sz="2" w:space="0"/>
            </w:tcBorders>
            <w:vAlign w:val="center"/>
          </w:tcPr>
          <w:p>
            <w:pPr>
              <w:snapToGrid w:val="0"/>
              <w:jc w:val="center"/>
              <w:rPr>
                <w:color w:val="auto"/>
                <w:kern w:val="0"/>
                <w:szCs w:val="21"/>
              </w:rPr>
            </w:pPr>
            <w:r>
              <w:rPr>
                <w:color w:val="auto"/>
                <w:kern w:val="0"/>
                <w:szCs w:val="21"/>
              </w:rPr>
              <w:t>排放量/（t/a）</w:t>
            </w:r>
          </w:p>
        </w:tc>
        <w:tc>
          <w:tcPr>
            <w:tcW w:w="2009" w:type="dxa"/>
            <w:tcBorders>
              <w:top w:val="single" w:color="auto" w:sz="2" w:space="0"/>
              <w:left w:val="single" w:color="auto" w:sz="2" w:space="0"/>
              <w:bottom w:val="single" w:color="auto" w:sz="2" w:space="0"/>
              <w:right w:val="single" w:color="000000" w:themeColor="text1" w:sz="12" w:space="0"/>
            </w:tcBorders>
            <w:vAlign w:val="center"/>
          </w:tcPr>
          <w:p>
            <w:pPr>
              <w:snapToGrid w:val="0"/>
              <w:jc w:val="center"/>
              <w:rPr>
                <w:color w:val="auto"/>
                <w:kern w:val="0"/>
                <w:szCs w:val="21"/>
              </w:rPr>
            </w:pPr>
            <w:r>
              <w:rPr>
                <w:color w:val="auto"/>
                <w:kern w:val="0"/>
                <w:szCs w:val="21"/>
              </w:rPr>
              <w:t>排放浓度/（mg/L）</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106" w:hRule="atLeast"/>
        </w:trPr>
        <w:tc>
          <w:tcPr>
            <w:tcW w:w="387" w:type="dxa"/>
            <w:vMerge w:val="continue"/>
            <w:tcBorders>
              <w:left w:val="single" w:color="000000" w:themeColor="text1" w:sz="12" w:space="0"/>
              <w:right w:val="single" w:color="000000" w:themeColor="text1" w:sz="6" w:space="0"/>
            </w:tcBorders>
            <w:vAlign w:val="center"/>
          </w:tcPr>
          <w:p>
            <w:pPr>
              <w:widowControl/>
              <w:snapToGrid w:val="0"/>
              <w:jc w:val="left"/>
              <w:rPr>
                <w:color w:val="auto"/>
                <w:kern w:val="0"/>
                <w:szCs w:val="21"/>
              </w:rPr>
            </w:pPr>
          </w:p>
        </w:tc>
        <w:tc>
          <w:tcPr>
            <w:tcW w:w="2525" w:type="dxa"/>
            <w:vMerge w:val="continue"/>
            <w:tcBorders>
              <w:left w:val="single" w:color="000000" w:themeColor="text1" w:sz="6" w:space="0"/>
              <w:right w:val="single" w:color="000000" w:themeColor="text1" w:sz="6" w:space="0"/>
            </w:tcBorders>
            <w:vAlign w:val="center"/>
          </w:tcPr>
          <w:p>
            <w:pPr>
              <w:snapToGrid w:val="0"/>
              <w:jc w:val="center"/>
              <w:rPr>
                <w:color w:val="auto"/>
                <w:kern w:val="0"/>
                <w:szCs w:val="21"/>
              </w:rPr>
            </w:pPr>
          </w:p>
        </w:tc>
        <w:tc>
          <w:tcPr>
            <w:tcW w:w="2076" w:type="dxa"/>
            <w:tcBorders>
              <w:top w:val="single" w:color="auto" w:sz="2" w:space="0"/>
              <w:left w:val="single" w:color="000000" w:themeColor="text1" w:sz="6" w:space="0"/>
              <w:bottom w:val="single" w:color="auto" w:sz="2" w:space="0"/>
              <w:right w:val="single" w:color="auto" w:sz="2" w:space="0"/>
            </w:tcBorders>
            <w:vAlign w:val="center"/>
          </w:tcPr>
          <w:p>
            <w:pPr>
              <w:snapToGrid w:val="0"/>
              <w:jc w:val="center"/>
              <w:rPr>
                <w:color w:val="auto"/>
                <w:kern w:val="0"/>
                <w:szCs w:val="21"/>
              </w:rPr>
            </w:pPr>
            <w:r>
              <w:rPr>
                <w:color w:val="auto"/>
                <w:kern w:val="0"/>
                <w:szCs w:val="21"/>
              </w:rPr>
              <w:t>（）</w:t>
            </w:r>
          </w:p>
        </w:tc>
        <w:tc>
          <w:tcPr>
            <w:tcW w:w="2385" w:type="dxa"/>
            <w:gridSpan w:val="2"/>
            <w:tcBorders>
              <w:top w:val="single" w:color="auto" w:sz="2" w:space="0"/>
              <w:left w:val="single" w:color="auto" w:sz="2" w:space="0"/>
              <w:bottom w:val="single" w:color="auto" w:sz="2" w:space="0"/>
              <w:right w:val="single" w:color="auto" w:sz="2" w:space="0"/>
            </w:tcBorders>
            <w:vAlign w:val="center"/>
          </w:tcPr>
          <w:p>
            <w:pPr>
              <w:snapToGrid w:val="0"/>
              <w:jc w:val="center"/>
              <w:rPr>
                <w:color w:val="auto"/>
                <w:kern w:val="0"/>
                <w:szCs w:val="21"/>
              </w:rPr>
            </w:pPr>
            <w:r>
              <w:rPr>
                <w:color w:val="auto"/>
                <w:kern w:val="0"/>
                <w:szCs w:val="21"/>
              </w:rPr>
              <w:t>（）</w:t>
            </w:r>
          </w:p>
        </w:tc>
        <w:tc>
          <w:tcPr>
            <w:tcW w:w="2516" w:type="dxa"/>
            <w:tcBorders>
              <w:top w:val="single" w:color="auto" w:sz="2" w:space="0"/>
              <w:left w:val="single" w:color="auto" w:sz="2" w:space="0"/>
              <w:bottom w:val="single" w:color="auto" w:sz="2" w:space="0"/>
              <w:right w:val="single" w:color="auto" w:sz="2" w:space="0"/>
            </w:tcBorders>
            <w:vAlign w:val="center"/>
          </w:tcPr>
          <w:p>
            <w:pPr>
              <w:snapToGrid w:val="0"/>
              <w:jc w:val="center"/>
              <w:rPr>
                <w:color w:val="auto"/>
                <w:kern w:val="0"/>
                <w:szCs w:val="21"/>
              </w:rPr>
            </w:pPr>
            <w:r>
              <w:rPr>
                <w:color w:val="auto"/>
                <w:kern w:val="0"/>
                <w:szCs w:val="21"/>
              </w:rPr>
              <w:t>（）</w:t>
            </w:r>
          </w:p>
        </w:tc>
        <w:tc>
          <w:tcPr>
            <w:tcW w:w="2126" w:type="dxa"/>
            <w:gridSpan w:val="2"/>
            <w:tcBorders>
              <w:top w:val="single" w:color="auto" w:sz="2" w:space="0"/>
              <w:left w:val="single" w:color="auto" w:sz="2" w:space="0"/>
              <w:bottom w:val="single" w:color="auto" w:sz="2" w:space="0"/>
              <w:right w:val="single" w:color="auto" w:sz="2" w:space="0"/>
            </w:tcBorders>
            <w:vAlign w:val="center"/>
          </w:tcPr>
          <w:p>
            <w:pPr>
              <w:snapToGrid w:val="0"/>
              <w:jc w:val="center"/>
              <w:rPr>
                <w:color w:val="auto"/>
                <w:kern w:val="0"/>
                <w:szCs w:val="21"/>
              </w:rPr>
            </w:pPr>
            <w:r>
              <w:rPr>
                <w:color w:val="auto"/>
                <w:kern w:val="0"/>
                <w:szCs w:val="21"/>
              </w:rPr>
              <w:t>（）</w:t>
            </w:r>
          </w:p>
        </w:tc>
        <w:tc>
          <w:tcPr>
            <w:tcW w:w="2009" w:type="dxa"/>
            <w:tcBorders>
              <w:top w:val="single" w:color="auto" w:sz="2" w:space="0"/>
              <w:left w:val="single" w:color="auto" w:sz="2" w:space="0"/>
              <w:bottom w:val="single" w:color="auto" w:sz="2" w:space="0"/>
              <w:right w:val="single" w:color="000000" w:themeColor="text1" w:sz="12" w:space="0"/>
            </w:tcBorders>
            <w:vAlign w:val="center"/>
          </w:tcPr>
          <w:p>
            <w:pPr>
              <w:snapToGrid w:val="0"/>
              <w:jc w:val="center"/>
              <w:rPr>
                <w:color w:val="auto"/>
                <w:kern w:val="0"/>
                <w:szCs w:val="21"/>
              </w:rPr>
            </w:pPr>
            <w:r>
              <w:rPr>
                <w:color w:val="auto"/>
                <w:kern w:val="0"/>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106" w:hRule="atLeast"/>
        </w:trPr>
        <w:tc>
          <w:tcPr>
            <w:tcW w:w="387" w:type="dxa"/>
            <w:vMerge w:val="continue"/>
            <w:tcBorders>
              <w:left w:val="single" w:color="000000" w:themeColor="text1" w:sz="12" w:space="0"/>
              <w:right w:val="single" w:color="000000" w:themeColor="text1" w:sz="6" w:space="0"/>
            </w:tcBorders>
            <w:vAlign w:val="center"/>
          </w:tcPr>
          <w:p>
            <w:pPr>
              <w:widowControl/>
              <w:snapToGrid w:val="0"/>
              <w:jc w:val="left"/>
              <w:rPr>
                <w:color w:val="auto"/>
                <w:kern w:val="0"/>
                <w:szCs w:val="21"/>
              </w:rPr>
            </w:pPr>
          </w:p>
        </w:tc>
        <w:tc>
          <w:tcPr>
            <w:tcW w:w="2525" w:type="dxa"/>
            <w:tcBorders>
              <w:left w:val="single" w:color="000000" w:themeColor="text1" w:sz="6" w:space="0"/>
              <w:bottom w:val="single" w:color="auto" w:sz="12" w:space="0"/>
              <w:right w:val="single" w:color="000000" w:themeColor="text1" w:sz="6" w:space="0"/>
            </w:tcBorders>
            <w:vAlign w:val="center"/>
          </w:tcPr>
          <w:p>
            <w:pPr>
              <w:snapToGrid w:val="0"/>
              <w:jc w:val="center"/>
              <w:rPr>
                <w:color w:val="auto"/>
                <w:kern w:val="0"/>
                <w:szCs w:val="21"/>
              </w:rPr>
            </w:pPr>
            <w:r>
              <w:rPr>
                <w:color w:val="auto"/>
                <w:kern w:val="0"/>
                <w:szCs w:val="21"/>
              </w:rPr>
              <w:t>生态流量确定</w:t>
            </w:r>
          </w:p>
        </w:tc>
        <w:tc>
          <w:tcPr>
            <w:tcW w:w="11112" w:type="dxa"/>
            <w:gridSpan w:val="7"/>
            <w:tcBorders>
              <w:top w:val="single" w:color="auto" w:sz="2" w:space="0"/>
              <w:left w:val="single" w:color="000000" w:themeColor="text1" w:sz="6" w:space="0"/>
              <w:bottom w:val="single" w:color="auto" w:sz="12" w:space="0"/>
              <w:right w:val="single" w:color="000000" w:themeColor="text1" w:sz="12" w:space="0"/>
            </w:tcBorders>
            <w:vAlign w:val="center"/>
          </w:tcPr>
          <w:p>
            <w:pPr>
              <w:snapToGrid w:val="0"/>
              <w:jc w:val="left"/>
              <w:rPr>
                <w:color w:val="auto"/>
                <w:kern w:val="0"/>
                <w:szCs w:val="21"/>
              </w:rPr>
            </w:pPr>
            <w:r>
              <w:rPr>
                <w:color w:val="auto"/>
                <w:kern w:val="0"/>
                <w:szCs w:val="21"/>
              </w:rPr>
              <w:t>生态流量：一般水期（）m</w:t>
            </w:r>
            <w:r>
              <w:rPr>
                <w:color w:val="auto"/>
                <w:kern w:val="0"/>
                <w:szCs w:val="21"/>
                <w:vertAlign w:val="superscript"/>
              </w:rPr>
              <w:t>3</w:t>
            </w:r>
            <w:r>
              <w:rPr>
                <w:color w:val="auto"/>
                <w:kern w:val="0"/>
                <w:szCs w:val="21"/>
              </w:rPr>
              <w:t>/s；鱼类繁殖期（）m</w:t>
            </w:r>
            <w:r>
              <w:rPr>
                <w:color w:val="auto"/>
                <w:kern w:val="0"/>
                <w:szCs w:val="21"/>
                <w:vertAlign w:val="superscript"/>
              </w:rPr>
              <w:t>3</w:t>
            </w:r>
            <w:r>
              <w:rPr>
                <w:color w:val="auto"/>
                <w:kern w:val="0"/>
                <w:szCs w:val="21"/>
              </w:rPr>
              <w:t>/s；其他（）m</w:t>
            </w:r>
            <w:r>
              <w:rPr>
                <w:color w:val="auto"/>
                <w:kern w:val="0"/>
                <w:szCs w:val="21"/>
                <w:vertAlign w:val="superscript"/>
              </w:rPr>
              <w:t>3</w:t>
            </w:r>
            <w:r>
              <w:rPr>
                <w:color w:val="auto"/>
                <w:kern w:val="0"/>
                <w:szCs w:val="21"/>
              </w:rPr>
              <w:t>/s</w:t>
            </w:r>
          </w:p>
          <w:p>
            <w:pPr>
              <w:snapToGrid w:val="0"/>
              <w:jc w:val="left"/>
              <w:rPr>
                <w:color w:val="auto"/>
                <w:kern w:val="0"/>
                <w:szCs w:val="21"/>
              </w:rPr>
            </w:pPr>
            <w:r>
              <w:rPr>
                <w:color w:val="auto"/>
                <w:kern w:val="0"/>
                <w:szCs w:val="21"/>
              </w:rPr>
              <w:t>生态水位：一般水期（）m；鱼类繁殖期（）m；其他（）m</w:t>
            </w:r>
          </w:p>
        </w:tc>
      </w:tr>
    </w:tbl>
    <w:p>
      <w:pPr>
        <w:jc w:val="right"/>
        <w:rPr>
          <w:b/>
          <w:color w:val="FF0000"/>
        </w:rPr>
      </w:pPr>
    </w:p>
    <w:p>
      <w:pPr>
        <w:jc w:val="right"/>
        <w:rPr>
          <w:b/>
          <w:color w:val="FF0000"/>
        </w:rPr>
      </w:pPr>
    </w:p>
    <w:p>
      <w:pPr>
        <w:jc w:val="right"/>
        <w:rPr>
          <w:b/>
          <w:color w:val="FF0000"/>
        </w:rPr>
      </w:pPr>
    </w:p>
    <w:p>
      <w:pPr>
        <w:jc w:val="right"/>
        <w:rPr>
          <w:b/>
          <w:color w:val="auto"/>
          <w:szCs w:val="22"/>
        </w:rPr>
      </w:pPr>
      <w:r>
        <w:rPr>
          <w:b/>
          <w:color w:val="auto"/>
        </w:rPr>
        <w:t>续表</w:t>
      </w:r>
    </w:p>
    <w:tbl>
      <w:tblPr>
        <w:tblStyle w:val="77"/>
        <w:tblW w:w="0" w:type="auto"/>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392"/>
        <w:gridCol w:w="2551"/>
        <w:gridCol w:w="3743"/>
        <w:gridCol w:w="3744"/>
        <w:gridCol w:w="3744"/>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2943" w:type="dxa"/>
            <w:gridSpan w:val="2"/>
            <w:tcBorders>
              <w:top w:val="single" w:color="000000" w:themeColor="text1" w:sz="12" w:space="0"/>
              <w:left w:val="single" w:color="000000" w:themeColor="text1" w:sz="12"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工作内容</w:t>
            </w:r>
          </w:p>
        </w:tc>
        <w:tc>
          <w:tcPr>
            <w:tcW w:w="11231" w:type="dxa"/>
            <w:gridSpan w:val="3"/>
            <w:tcBorders>
              <w:top w:val="single" w:color="000000" w:themeColor="text1" w:sz="12" w:space="0"/>
              <w:left w:val="single" w:color="000000" w:themeColor="text1" w:sz="6" w:space="0"/>
              <w:bottom w:val="single" w:color="000000" w:themeColor="text1" w:sz="6" w:space="0"/>
              <w:right w:val="single" w:color="000000" w:themeColor="text1" w:sz="12" w:space="0"/>
            </w:tcBorders>
            <w:vAlign w:val="center"/>
          </w:tcPr>
          <w:p>
            <w:pPr>
              <w:snapToGrid w:val="0"/>
              <w:jc w:val="center"/>
              <w:rPr>
                <w:color w:val="auto"/>
                <w:kern w:val="0"/>
                <w:szCs w:val="21"/>
              </w:rPr>
            </w:pPr>
            <w:r>
              <w:rPr>
                <w:color w:val="auto"/>
                <w:kern w:val="0"/>
                <w:szCs w:val="21"/>
              </w:rPr>
              <w:t>自查项目</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392" w:type="dxa"/>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防治措施</w:t>
            </w:r>
          </w:p>
        </w:tc>
        <w:tc>
          <w:tcPr>
            <w:tcW w:w="2551"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环保措施</w:t>
            </w:r>
          </w:p>
        </w:tc>
        <w:tc>
          <w:tcPr>
            <w:tcW w:w="11231"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color w:val="auto"/>
                <w:kern w:val="0"/>
                <w:szCs w:val="21"/>
              </w:rPr>
            </w:pPr>
            <w:r>
              <w:rPr>
                <w:color w:val="auto"/>
                <w:kern w:val="0"/>
                <w:szCs w:val="21"/>
              </w:rPr>
              <w:t>污水处理设施□；水文减缓设施□；生态流量保障措施□；区域削减□；依托其他工程措施□；其他□</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392"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color w:val="auto"/>
                <w:kern w:val="0"/>
                <w:szCs w:val="21"/>
              </w:rPr>
            </w:pPr>
          </w:p>
        </w:tc>
        <w:tc>
          <w:tcPr>
            <w:tcW w:w="2551"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监测计划</w:t>
            </w:r>
          </w:p>
        </w:tc>
        <w:tc>
          <w:tcPr>
            <w:tcW w:w="3743"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环境质量</w:t>
            </w: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color w:val="auto"/>
                <w:kern w:val="0"/>
                <w:szCs w:val="21"/>
              </w:rPr>
            </w:pPr>
            <w:r>
              <w:rPr>
                <w:color w:val="auto"/>
                <w:kern w:val="0"/>
                <w:szCs w:val="21"/>
              </w:rPr>
              <w:t>污染源</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392"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color w:val="auto"/>
                <w:kern w:val="0"/>
                <w:szCs w:val="21"/>
              </w:rPr>
            </w:pPr>
          </w:p>
        </w:tc>
        <w:tc>
          <w:tcPr>
            <w:tcW w:w="2551"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color w:val="auto"/>
                <w:kern w:val="0"/>
                <w:szCs w:val="21"/>
              </w:rPr>
            </w:pPr>
          </w:p>
        </w:tc>
        <w:tc>
          <w:tcPr>
            <w:tcW w:w="3743"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监测方式</w:t>
            </w: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手动□；自动□；无监测□</w:t>
            </w: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color w:val="auto"/>
                <w:kern w:val="0"/>
                <w:szCs w:val="21"/>
              </w:rPr>
            </w:pPr>
            <w:r>
              <w:rPr>
                <w:color w:val="auto"/>
                <w:kern w:val="0"/>
                <w:szCs w:val="21"/>
              </w:rPr>
              <w:t>手动□；自动□；无监测□</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392"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color w:val="auto"/>
                <w:kern w:val="0"/>
                <w:szCs w:val="21"/>
              </w:rPr>
            </w:pPr>
          </w:p>
        </w:tc>
        <w:tc>
          <w:tcPr>
            <w:tcW w:w="2551"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color w:val="auto"/>
                <w:kern w:val="0"/>
                <w:szCs w:val="21"/>
              </w:rPr>
            </w:pPr>
          </w:p>
        </w:tc>
        <w:tc>
          <w:tcPr>
            <w:tcW w:w="3743"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监测点位</w:t>
            </w: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w:t>
            </w: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color w:val="auto"/>
                <w:kern w:val="0"/>
                <w:szCs w:val="21"/>
              </w:rPr>
            </w:pPr>
            <w:r>
              <w:rPr>
                <w:color w:val="auto"/>
                <w:kern w:val="0"/>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392"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color w:val="auto"/>
                <w:kern w:val="0"/>
                <w:szCs w:val="21"/>
              </w:rPr>
            </w:pPr>
          </w:p>
        </w:tc>
        <w:tc>
          <w:tcPr>
            <w:tcW w:w="2551"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color w:val="auto"/>
                <w:kern w:val="0"/>
                <w:szCs w:val="21"/>
              </w:rPr>
            </w:pPr>
          </w:p>
        </w:tc>
        <w:tc>
          <w:tcPr>
            <w:tcW w:w="3743"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监测因子</w:t>
            </w: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w:t>
            </w: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color w:val="auto"/>
                <w:kern w:val="0"/>
                <w:szCs w:val="21"/>
              </w:rPr>
            </w:pPr>
            <w:r>
              <w:rPr>
                <w:color w:val="auto"/>
                <w:kern w:val="0"/>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392"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color w:val="auto"/>
                <w:kern w:val="0"/>
                <w:szCs w:val="21"/>
              </w:rPr>
            </w:pPr>
          </w:p>
        </w:tc>
        <w:tc>
          <w:tcPr>
            <w:tcW w:w="2551"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污染物排放清单</w:t>
            </w:r>
          </w:p>
        </w:tc>
        <w:tc>
          <w:tcPr>
            <w:tcW w:w="11231"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color w:val="auto"/>
                <w:kern w:val="0"/>
                <w:szCs w:val="21"/>
              </w:rPr>
            </w:pPr>
            <w:r>
              <w:rPr>
                <w:color w:val="auto"/>
                <w:kern w:val="0"/>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392"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color w:val="auto"/>
                <w:kern w:val="0"/>
                <w:szCs w:val="21"/>
              </w:rPr>
            </w:pPr>
          </w:p>
        </w:tc>
        <w:tc>
          <w:tcPr>
            <w:tcW w:w="2551"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color w:val="auto"/>
                <w:kern w:val="0"/>
                <w:szCs w:val="21"/>
              </w:rPr>
            </w:pPr>
            <w:r>
              <w:rPr>
                <w:color w:val="auto"/>
                <w:kern w:val="0"/>
                <w:szCs w:val="21"/>
              </w:rPr>
              <w:t>评价结论</w:t>
            </w:r>
          </w:p>
        </w:tc>
        <w:tc>
          <w:tcPr>
            <w:tcW w:w="11231"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color w:val="auto"/>
                <w:kern w:val="0"/>
                <w:szCs w:val="21"/>
              </w:rPr>
            </w:pPr>
            <w:r>
              <w:rPr>
                <w:color w:val="auto"/>
                <w:kern w:val="0"/>
                <w:szCs w:val="21"/>
              </w:rPr>
              <w:t>可以接受□；不可以接受□</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14174" w:type="dxa"/>
            <w:gridSpan w:val="5"/>
            <w:tcBorders>
              <w:top w:val="single" w:color="000000" w:themeColor="text1" w:sz="6" w:space="0"/>
              <w:left w:val="single" w:color="000000" w:themeColor="text1" w:sz="12" w:space="0"/>
              <w:bottom w:val="single" w:color="000000" w:themeColor="text1" w:sz="12" w:space="0"/>
              <w:right w:val="single" w:color="000000" w:themeColor="text1" w:sz="12" w:space="0"/>
            </w:tcBorders>
            <w:vAlign w:val="center"/>
          </w:tcPr>
          <w:p>
            <w:pPr>
              <w:snapToGrid w:val="0"/>
              <w:jc w:val="left"/>
              <w:rPr>
                <w:color w:val="auto"/>
                <w:kern w:val="0"/>
                <w:szCs w:val="21"/>
              </w:rPr>
            </w:pPr>
            <w:r>
              <w:rPr>
                <w:color w:val="auto"/>
                <w:kern w:val="0"/>
                <w:szCs w:val="21"/>
              </w:rPr>
              <w:t>注：“□”为勾选项，可√；“（）”为内容填写项；“备注”为其他补充内容。</w:t>
            </w:r>
          </w:p>
        </w:tc>
      </w:tr>
    </w:tbl>
    <w:p>
      <w:pPr>
        <w:jc w:val="center"/>
        <w:rPr>
          <w:b/>
          <w:color w:val="FF0000"/>
          <w:sz w:val="24"/>
          <w:szCs w:val="22"/>
        </w:rPr>
      </w:pPr>
    </w:p>
    <w:p>
      <w:pPr>
        <w:widowControl/>
        <w:adjustRightInd w:val="0"/>
        <w:snapToGrid w:val="0"/>
        <w:spacing w:after="200" w:line="360" w:lineRule="auto"/>
        <w:jc w:val="center"/>
        <w:rPr>
          <w:color w:val="FF0000"/>
          <w:kern w:val="0"/>
          <w:sz w:val="24"/>
        </w:rPr>
      </w:pPr>
    </w:p>
    <w:p>
      <w:pPr>
        <w:spacing w:line="360" w:lineRule="auto"/>
        <w:jc w:val="left"/>
        <w:rPr>
          <w:color w:val="FF0000"/>
          <w:sz w:val="24"/>
        </w:rPr>
      </w:pPr>
    </w:p>
    <w:p>
      <w:pPr>
        <w:widowControl/>
        <w:jc w:val="left"/>
        <w:rPr>
          <w:b/>
          <w:color w:val="FF0000"/>
          <w:szCs w:val="22"/>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jc w:val="center"/>
        <w:rPr>
          <w:rFonts w:eastAsiaTheme="minorEastAsia"/>
          <w:b/>
          <w:color w:val="auto"/>
          <w:sz w:val="24"/>
        </w:rPr>
      </w:pPr>
      <w:r>
        <w:rPr>
          <w:rFonts w:hAnsiTheme="minorEastAsia" w:eastAsiaTheme="minorEastAsia"/>
          <w:b/>
          <w:color w:val="auto"/>
          <w:sz w:val="24"/>
        </w:rPr>
        <w:t>环境风险评价自查表</w:t>
      </w:r>
    </w:p>
    <w:tbl>
      <w:tblPr>
        <w:tblStyle w:val="77"/>
        <w:tblW w:w="9075" w:type="dxa"/>
        <w:tblInd w:w="-318"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427"/>
        <w:gridCol w:w="1277"/>
        <w:gridCol w:w="1276"/>
        <w:gridCol w:w="151"/>
        <w:gridCol w:w="357"/>
        <w:gridCol w:w="595"/>
        <w:gridCol w:w="173"/>
        <w:gridCol w:w="303"/>
        <w:gridCol w:w="405"/>
        <w:gridCol w:w="309"/>
        <w:gridCol w:w="426"/>
        <w:gridCol w:w="287"/>
        <w:gridCol w:w="341"/>
        <w:gridCol w:w="135"/>
        <w:gridCol w:w="441"/>
        <w:gridCol w:w="52"/>
        <w:gridCol w:w="102"/>
        <w:gridCol w:w="357"/>
        <w:gridCol w:w="170"/>
        <w:gridCol w:w="629"/>
        <w:gridCol w:w="862"/>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79" w:hRule="atLeast"/>
        </w:trPr>
        <w:tc>
          <w:tcPr>
            <w:tcW w:w="1704" w:type="dxa"/>
            <w:gridSpan w:val="2"/>
            <w:tcBorders>
              <w:top w:val="single" w:color="000000" w:themeColor="text1" w:sz="12"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工作内容</w:t>
            </w:r>
          </w:p>
        </w:tc>
        <w:tc>
          <w:tcPr>
            <w:tcW w:w="7371" w:type="dxa"/>
            <w:gridSpan w:val="19"/>
            <w:tcBorders>
              <w:top w:val="single" w:color="000000" w:themeColor="text1" w:sz="12"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完成情况</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79" w:hRule="atLeast"/>
        </w:trPr>
        <w:tc>
          <w:tcPr>
            <w:tcW w:w="427" w:type="dxa"/>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风险调查</w:t>
            </w:r>
          </w:p>
        </w:tc>
        <w:tc>
          <w:tcPr>
            <w:tcW w:w="1277"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危险物质</w:t>
            </w:r>
          </w:p>
        </w:tc>
        <w:tc>
          <w:tcPr>
            <w:tcW w:w="1276"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名称</w:t>
            </w:r>
          </w:p>
        </w:tc>
        <w:tc>
          <w:tcPr>
            <w:tcW w:w="1276"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int="eastAsia" w:hAnsiTheme="minorEastAsia" w:eastAsiaTheme="minorEastAsia"/>
                <w:color w:val="auto"/>
                <w:kern w:val="0"/>
                <w:szCs w:val="21"/>
              </w:rPr>
              <w:t>次氯酸钠</w:t>
            </w:r>
          </w:p>
        </w:tc>
        <w:tc>
          <w:tcPr>
            <w:tcW w:w="708"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eastAsia" w:eastAsiaTheme="minorEastAsia"/>
                <w:color w:val="auto"/>
                <w:kern w:val="0"/>
                <w:szCs w:val="21"/>
                <w:lang w:val="en-US" w:eastAsia="zh-CN"/>
              </w:rPr>
            </w:pPr>
            <w:r>
              <w:rPr>
                <w:rFonts w:hint="eastAsia" w:eastAsiaTheme="minorEastAsia"/>
                <w:color w:val="auto"/>
                <w:kern w:val="0"/>
                <w:szCs w:val="21"/>
                <w:lang w:val="en-US" w:eastAsia="zh-CN"/>
              </w:rPr>
              <w:t>液氨</w:t>
            </w:r>
          </w:p>
        </w:tc>
        <w:tc>
          <w:tcPr>
            <w:tcW w:w="735"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p>
        </w:tc>
        <w:tc>
          <w:tcPr>
            <w:tcW w:w="628"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p>
        </w:tc>
        <w:tc>
          <w:tcPr>
            <w:tcW w:w="628"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p>
        </w:tc>
        <w:tc>
          <w:tcPr>
            <w:tcW w:w="629"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p>
        </w:tc>
        <w:tc>
          <w:tcPr>
            <w:tcW w:w="62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p>
        </w:tc>
        <w:tc>
          <w:tcPr>
            <w:tcW w:w="862"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68"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7"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6"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存在总量</w:t>
            </w:r>
            <w:r>
              <w:rPr>
                <w:rFonts w:eastAsiaTheme="minorEastAsia"/>
                <w:color w:val="auto"/>
                <w:kern w:val="0"/>
                <w:szCs w:val="21"/>
              </w:rPr>
              <w:t>/t</w:t>
            </w:r>
          </w:p>
        </w:tc>
        <w:tc>
          <w:tcPr>
            <w:tcW w:w="1276"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int="eastAsia" w:eastAsiaTheme="minorEastAsia"/>
                <w:color w:val="auto"/>
                <w:kern w:val="0"/>
                <w:szCs w:val="21"/>
              </w:rPr>
              <w:t>0.2</w:t>
            </w:r>
          </w:p>
        </w:tc>
        <w:tc>
          <w:tcPr>
            <w:tcW w:w="708"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eastAsia" w:eastAsiaTheme="minorEastAsia"/>
                <w:color w:val="auto"/>
                <w:kern w:val="0"/>
                <w:szCs w:val="21"/>
                <w:lang w:val="en-US" w:eastAsia="zh-CN"/>
              </w:rPr>
            </w:pPr>
            <w:r>
              <w:rPr>
                <w:rFonts w:hint="eastAsia" w:eastAsiaTheme="minorEastAsia"/>
                <w:color w:val="auto"/>
                <w:kern w:val="0"/>
                <w:szCs w:val="21"/>
                <w:lang w:val="en-US" w:eastAsia="zh-CN"/>
              </w:rPr>
              <w:t>8</w:t>
            </w:r>
          </w:p>
        </w:tc>
        <w:tc>
          <w:tcPr>
            <w:tcW w:w="735"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p>
        </w:tc>
        <w:tc>
          <w:tcPr>
            <w:tcW w:w="628"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p>
        </w:tc>
        <w:tc>
          <w:tcPr>
            <w:tcW w:w="628"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p>
        </w:tc>
        <w:tc>
          <w:tcPr>
            <w:tcW w:w="629"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p>
        </w:tc>
        <w:tc>
          <w:tcPr>
            <w:tcW w:w="62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p>
        </w:tc>
        <w:tc>
          <w:tcPr>
            <w:tcW w:w="862"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79"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7"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环境敏感性</w:t>
            </w:r>
          </w:p>
        </w:tc>
        <w:tc>
          <w:tcPr>
            <w:tcW w:w="1276"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大气</w:t>
            </w:r>
          </w:p>
        </w:tc>
        <w:tc>
          <w:tcPr>
            <w:tcW w:w="3347" w:type="dxa"/>
            <w:gridSpan w:val="10"/>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500m</w:t>
            </w:r>
            <w:r>
              <w:rPr>
                <w:rFonts w:hAnsiTheme="minorEastAsia" w:eastAsiaTheme="minorEastAsia"/>
                <w:color w:val="auto"/>
                <w:kern w:val="0"/>
                <w:szCs w:val="21"/>
              </w:rPr>
              <w:t>范围内人口数人</w:t>
            </w:r>
          </w:p>
        </w:tc>
        <w:tc>
          <w:tcPr>
            <w:tcW w:w="2748" w:type="dxa"/>
            <w:gridSpan w:val="8"/>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eastAsiaTheme="minorEastAsia"/>
                <w:color w:val="auto"/>
                <w:kern w:val="0"/>
                <w:szCs w:val="21"/>
              </w:rPr>
              <w:t>5km</w:t>
            </w:r>
            <w:r>
              <w:rPr>
                <w:rFonts w:hAnsiTheme="minorEastAsia" w:eastAsiaTheme="minorEastAsia"/>
                <w:color w:val="auto"/>
                <w:kern w:val="0"/>
                <w:szCs w:val="21"/>
              </w:rPr>
              <w:t>范围内人口数人</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79"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7"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6"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4604" w:type="dxa"/>
            <w:gridSpan w:val="1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每公里管段周边</w:t>
            </w:r>
            <w:r>
              <w:rPr>
                <w:rFonts w:eastAsiaTheme="minorEastAsia"/>
                <w:color w:val="auto"/>
                <w:kern w:val="0"/>
                <w:szCs w:val="21"/>
              </w:rPr>
              <w:t>200m</w:t>
            </w:r>
            <w:r>
              <w:rPr>
                <w:rFonts w:hAnsiTheme="minorEastAsia" w:eastAsiaTheme="minorEastAsia"/>
                <w:color w:val="auto"/>
                <w:kern w:val="0"/>
                <w:szCs w:val="21"/>
              </w:rPr>
              <w:t>范围内人口数（最大）</w:t>
            </w:r>
          </w:p>
        </w:tc>
        <w:tc>
          <w:tcPr>
            <w:tcW w:w="1491"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人</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68"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7"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6"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地表水</w:t>
            </w:r>
          </w:p>
        </w:tc>
        <w:tc>
          <w:tcPr>
            <w:tcW w:w="1984"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地表水功能敏感性</w:t>
            </w:r>
          </w:p>
        </w:tc>
        <w:tc>
          <w:tcPr>
            <w:tcW w:w="1363"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F1□</w:t>
            </w:r>
          </w:p>
        </w:tc>
        <w:tc>
          <w:tcPr>
            <w:tcW w:w="1257"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F2□</w:t>
            </w:r>
          </w:p>
        </w:tc>
        <w:tc>
          <w:tcPr>
            <w:tcW w:w="1491"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eastAsiaTheme="minorEastAsia"/>
                <w:color w:val="auto"/>
                <w:kern w:val="0"/>
                <w:szCs w:val="21"/>
              </w:rPr>
              <w:t>F3□</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79"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7"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6"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984"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环境敏感目标分级</w:t>
            </w:r>
          </w:p>
        </w:tc>
        <w:tc>
          <w:tcPr>
            <w:tcW w:w="1363"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S1□</w:t>
            </w:r>
          </w:p>
        </w:tc>
        <w:tc>
          <w:tcPr>
            <w:tcW w:w="1257"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S2□</w:t>
            </w:r>
          </w:p>
        </w:tc>
        <w:tc>
          <w:tcPr>
            <w:tcW w:w="1491"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eastAsiaTheme="minorEastAsia"/>
                <w:color w:val="auto"/>
                <w:kern w:val="0"/>
                <w:szCs w:val="21"/>
              </w:rPr>
              <w:t>S3□</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7"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6"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地下水</w:t>
            </w:r>
          </w:p>
        </w:tc>
        <w:tc>
          <w:tcPr>
            <w:tcW w:w="1984"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地下水功能敏感性</w:t>
            </w:r>
          </w:p>
        </w:tc>
        <w:tc>
          <w:tcPr>
            <w:tcW w:w="1363"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G1□</w:t>
            </w:r>
          </w:p>
        </w:tc>
        <w:tc>
          <w:tcPr>
            <w:tcW w:w="1257"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G2□</w:t>
            </w:r>
          </w:p>
        </w:tc>
        <w:tc>
          <w:tcPr>
            <w:tcW w:w="1491"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eastAsiaTheme="minorEastAsia"/>
                <w:color w:val="auto"/>
                <w:kern w:val="0"/>
                <w:szCs w:val="21"/>
              </w:rPr>
              <w:t>G3√</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7"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6"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984"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包气带防污性能</w:t>
            </w:r>
          </w:p>
        </w:tc>
        <w:tc>
          <w:tcPr>
            <w:tcW w:w="1363"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D1√</w:t>
            </w:r>
          </w:p>
        </w:tc>
        <w:tc>
          <w:tcPr>
            <w:tcW w:w="1257"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D2□</w:t>
            </w:r>
          </w:p>
        </w:tc>
        <w:tc>
          <w:tcPr>
            <w:tcW w:w="1491"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eastAsiaTheme="minorEastAsia"/>
                <w:color w:val="auto"/>
                <w:kern w:val="0"/>
                <w:szCs w:val="21"/>
              </w:rPr>
              <w:t>D2□</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1704" w:type="dxa"/>
            <w:gridSpan w:val="2"/>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物质及工艺系统危险性</w:t>
            </w:r>
          </w:p>
        </w:tc>
        <w:tc>
          <w:tcPr>
            <w:tcW w:w="1276"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Q</w:t>
            </w:r>
            <w:r>
              <w:rPr>
                <w:rFonts w:hAnsiTheme="minorEastAsia" w:eastAsiaTheme="minorEastAsia"/>
                <w:color w:val="auto"/>
                <w:kern w:val="0"/>
                <w:szCs w:val="21"/>
              </w:rPr>
              <w:t>值</w:t>
            </w:r>
          </w:p>
        </w:tc>
        <w:tc>
          <w:tcPr>
            <w:tcW w:w="1984"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Q</w:t>
            </w:r>
            <w:r>
              <w:rPr>
                <w:rFonts w:hAnsiTheme="minorEastAsia" w:eastAsiaTheme="minorEastAsia"/>
                <w:color w:val="auto"/>
                <w:kern w:val="0"/>
                <w:szCs w:val="21"/>
              </w:rPr>
              <w:t>＜</w:t>
            </w:r>
            <w:r>
              <w:rPr>
                <w:rFonts w:eastAsiaTheme="minorEastAsia"/>
                <w:color w:val="auto"/>
                <w:kern w:val="0"/>
                <w:szCs w:val="21"/>
              </w:rPr>
              <w:t>1√</w:t>
            </w:r>
          </w:p>
        </w:tc>
        <w:tc>
          <w:tcPr>
            <w:tcW w:w="1363"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1≤Q</w:t>
            </w:r>
            <w:r>
              <w:rPr>
                <w:rFonts w:hAnsiTheme="minorEastAsia" w:eastAsiaTheme="minorEastAsia"/>
                <w:color w:val="auto"/>
                <w:kern w:val="0"/>
                <w:szCs w:val="21"/>
              </w:rPr>
              <w:t>＜</w:t>
            </w:r>
            <w:r>
              <w:rPr>
                <w:rFonts w:eastAsiaTheme="minorEastAsia"/>
                <w:color w:val="auto"/>
                <w:kern w:val="0"/>
                <w:szCs w:val="21"/>
              </w:rPr>
              <w:t>10□</w:t>
            </w:r>
          </w:p>
        </w:tc>
        <w:tc>
          <w:tcPr>
            <w:tcW w:w="1257"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10≤Q</w:t>
            </w:r>
            <w:r>
              <w:rPr>
                <w:rFonts w:hAnsiTheme="minorEastAsia" w:eastAsiaTheme="minorEastAsia"/>
                <w:color w:val="auto"/>
                <w:kern w:val="0"/>
                <w:szCs w:val="21"/>
              </w:rPr>
              <w:t>＜</w:t>
            </w:r>
            <w:r>
              <w:rPr>
                <w:rFonts w:eastAsiaTheme="minorEastAsia"/>
                <w:color w:val="auto"/>
                <w:kern w:val="0"/>
                <w:szCs w:val="21"/>
              </w:rPr>
              <w:t>100□</w:t>
            </w:r>
          </w:p>
        </w:tc>
        <w:tc>
          <w:tcPr>
            <w:tcW w:w="1491"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eastAsiaTheme="minorEastAsia"/>
                <w:color w:val="auto"/>
                <w:kern w:val="0"/>
                <w:szCs w:val="21"/>
              </w:rPr>
              <w:t>Q</w:t>
            </w:r>
            <w:r>
              <w:rPr>
                <w:rFonts w:hAnsiTheme="minorEastAsia" w:eastAsiaTheme="minorEastAsia"/>
                <w:color w:val="auto"/>
                <w:kern w:val="0"/>
                <w:szCs w:val="21"/>
              </w:rPr>
              <w:t>＞</w:t>
            </w:r>
            <w:r>
              <w:rPr>
                <w:rFonts w:eastAsiaTheme="minorEastAsia"/>
                <w:color w:val="auto"/>
                <w:kern w:val="0"/>
                <w:szCs w:val="21"/>
              </w:rPr>
              <w:t>100□</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1704" w:type="dxa"/>
            <w:gridSpan w:val="2"/>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6"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M</w:t>
            </w:r>
            <w:r>
              <w:rPr>
                <w:rFonts w:hAnsiTheme="minorEastAsia" w:eastAsiaTheme="minorEastAsia"/>
                <w:color w:val="auto"/>
                <w:kern w:val="0"/>
                <w:szCs w:val="21"/>
              </w:rPr>
              <w:t>值</w:t>
            </w:r>
          </w:p>
        </w:tc>
        <w:tc>
          <w:tcPr>
            <w:tcW w:w="1984"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M1□</w:t>
            </w:r>
          </w:p>
        </w:tc>
        <w:tc>
          <w:tcPr>
            <w:tcW w:w="1363"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M2□</w:t>
            </w:r>
          </w:p>
        </w:tc>
        <w:tc>
          <w:tcPr>
            <w:tcW w:w="1257"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M3□</w:t>
            </w:r>
          </w:p>
        </w:tc>
        <w:tc>
          <w:tcPr>
            <w:tcW w:w="1491"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eastAsiaTheme="minorEastAsia"/>
                <w:color w:val="auto"/>
                <w:kern w:val="0"/>
                <w:szCs w:val="21"/>
              </w:rPr>
              <w:t>M4□</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1704" w:type="dxa"/>
            <w:gridSpan w:val="2"/>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6"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P</w:t>
            </w:r>
            <w:r>
              <w:rPr>
                <w:rFonts w:hAnsiTheme="minorEastAsia" w:eastAsiaTheme="minorEastAsia"/>
                <w:color w:val="auto"/>
                <w:kern w:val="0"/>
                <w:szCs w:val="21"/>
              </w:rPr>
              <w:t>值</w:t>
            </w:r>
          </w:p>
        </w:tc>
        <w:tc>
          <w:tcPr>
            <w:tcW w:w="1984"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P1□</w:t>
            </w:r>
          </w:p>
        </w:tc>
        <w:tc>
          <w:tcPr>
            <w:tcW w:w="1363"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P2□</w:t>
            </w:r>
          </w:p>
        </w:tc>
        <w:tc>
          <w:tcPr>
            <w:tcW w:w="1257"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P3□</w:t>
            </w:r>
          </w:p>
        </w:tc>
        <w:tc>
          <w:tcPr>
            <w:tcW w:w="1491"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eastAsiaTheme="minorEastAsia"/>
                <w:color w:val="auto"/>
                <w:kern w:val="0"/>
                <w:szCs w:val="21"/>
              </w:rPr>
              <w:t>P4□</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1704" w:type="dxa"/>
            <w:gridSpan w:val="2"/>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环境敏感程度</w:t>
            </w:r>
          </w:p>
        </w:tc>
        <w:tc>
          <w:tcPr>
            <w:tcW w:w="1276"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大气</w:t>
            </w:r>
          </w:p>
        </w:tc>
        <w:tc>
          <w:tcPr>
            <w:tcW w:w="1984"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E1□</w:t>
            </w:r>
          </w:p>
        </w:tc>
        <w:tc>
          <w:tcPr>
            <w:tcW w:w="1939"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E2□</w:t>
            </w:r>
          </w:p>
        </w:tc>
        <w:tc>
          <w:tcPr>
            <w:tcW w:w="2172" w:type="dxa"/>
            <w:gridSpan w:val="6"/>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eastAsiaTheme="minorEastAsia"/>
                <w:color w:val="auto"/>
                <w:kern w:val="0"/>
                <w:szCs w:val="21"/>
              </w:rPr>
              <w:t>E3□</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1704" w:type="dxa"/>
            <w:gridSpan w:val="2"/>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6"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地表水</w:t>
            </w:r>
          </w:p>
        </w:tc>
        <w:tc>
          <w:tcPr>
            <w:tcW w:w="1984"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E1□</w:t>
            </w:r>
          </w:p>
        </w:tc>
        <w:tc>
          <w:tcPr>
            <w:tcW w:w="1939"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E2□</w:t>
            </w:r>
          </w:p>
        </w:tc>
        <w:tc>
          <w:tcPr>
            <w:tcW w:w="2172" w:type="dxa"/>
            <w:gridSpan w:val="6"/>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eastAsiaTheme="minorEastAsia"/>
                <w:color w:val="auto"/>
                <w:kern w:val="0"/>
                <w:szCs w:val="21"/>
              </w:rPr>
              <w:t>E3□</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1704" w:type="dxa"/>
            <w:gridSpan w:val="2"/>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6"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地下水</w:t>
            </w:r>
          </w:p>
        </w:tc>
        <w:tc>
          <w:tcPr>
            <w:tcW w:w="1984"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E1□</w:t>
            </w:r>
          </w:p>
        </w:tc>
        <w:tc>
          <w:tcPr>
            <w:tcW w:w="1939"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E2□</w:t>
            </w:r>
          </w:p>
        </w:tc>
        <w:tc>
          <w:tcPr>
            <w:tcW w:w="2172" w:type="dxa"/>
            <w:gridSpan w:val="6"/>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eastAsiaTheme="minorEastAsia"/>
                <w:color w:val="auto"/>
                <w:kern w:val="0"/>
                <w:szCs w:val="21"/>
              </w:rPr>
              <w:t>E3□</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1704" w:type="dxa"/>
            <w:gridSpan w:val="2"/>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环境风险潜势</w:t>
            </w:r>
          </w:p>
        </w:tc>
        <w:tc>
          <w:tcPr>
            <w:tcW w:w="1427"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Ⅳ</w:t>
            </w:r>
            <w:r>
              <w:rPr>
                <w:rFonts w:eastAsiaTheme="minorEastAsia"/>
                <w:color w:val="auto"/>
                <w:kern w:val="0"/>
                <w:szCs w:val="21"/>
                <w:vertAlign w:val="superscript"/>
              </w:rPr>
              <w:t>+</w:t>
            </w:r>
            <w:r>
              <w:rPr>
                <w:rFonts w:eastAsiaTheme="minorEastAsia"/>
                <w:color w:val="auto"/>
                <w:kern w:val="0"/>
                <w:szCs w:val="21"/>
              </w:rPr>
              <w:t>□</w:t>
            </w:r>
          </w:p>
        </w:tc>
        <w:tc>
          <w:tcPr>
            <w:tcW w:w="1428"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Ⅳ□</w:t>
            </w:r>
          </w:p>
        </w:tc>
        <w:tc>
          <w:tcPr>
            <w:tcW w:w="1427"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Ⅲ□</w:t>
            </w:r>
          </w:p>
        </w:tc>
        <w:tc>
          <w:tcPr>
            <w:tcW w:w="1428"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Ⅱ□</w:t>
            </w:r>
          </w:p>
        </w:tc>
        <w:tc>
          <w:tcPr>
            <w:tcW w:w="1661"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eastAsiaTheme="minorEastAsia"/>
                <w:color w:val="auto"/>
                <w:kern w:val="0"/>
                <w:szCs w:val="21"/>
              </w:rPr>
              <w:t>Ⅰ√</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1704" w:type="dxa"/>
            <w:gridSpan w:val="2"/>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评价等级</w:t>
            </w:r>
          </w:p>
        </w:tc>
        <w:tc>
          <w:tcPr>
            <w:tcW w:w="2855"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一级</w:t>
            </w:r>
            <w:r>
              <w:rPr>
                <w:rFonts w:eastAsiaTheme="minorEastAsia"/>
                <w:color w:val="auto"/>
                <w:kern w:val="0"/>
                <w:szCs w:val="21"/>
              </w:rPr>
              <w:t>□</w:t>
            </w:r>
          </w:p>
        </w:tc>
        <w:tc>
          <w:tcPr>
            <w:tcW w:w="1427"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二级</w:t>
            </w:r>
            <w:r>
              <w:rPr>
                <w:rFonts w:eastAsiaTheme="minorEastAsia"/>
                <w:color w:val="auto"/>
                <w:kern w:val="0"/>
                <w:szCs w:val="21"/>
              </w:rPr>
              <w:t>□</w:t>
            </w:r>
          </w:p>
        </w:tc>
        <w:tc>
          <w:tcPr>
            <w:tcW w:w="1428"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三级</w:t>
            </w:r>
            <w:r>
              <w:rPr>
                <w:rFonts w:eastAsiaTheme="minorEastAsia"/>
                <w:color w:val="auto"/>
                <w:kern w:val="0"/>
                <w:szCs w:val="21"/>
              </w:rPr>
              <w:t>□</w:t>
            </w:r>
          </w:p>
        </w:tc>
        <w:tc>
          <w:tcPr>
            <w:tcW w:w="1661"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简单分析</w:t>
            </w:r>
            <w:r>
              <w:rPr>
                <w:rFonts w:eastAsiaTheme="minorEastAsia"/>
                <w:color w:val="auto"/>
                <w:kern w:val="0"/>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427" w:type="dxa"/>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风险识别</w:t>
            </w:r>
          </w:p>
        </w:tc>
        <w:tc>
          <w:tcPr>
            <w:tcW w:w="1277"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物质危险性</w:t>
            </w:r>
          </w:p>
        </w:tc>
        <w:tc>
          <w:tcPr>
            <w:tcW w:w="3569" w:type="dxa"/>
            <w:gridSpan w:val="8"/>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有毒有害</w:t>
            </w:r>
            <w:r>
              <w:rPr>
                <w:rFonts w:eastAsiaTheme="minorEastAsia"/>
                <w:color w:val="auto"/>
                <w:kern w:val="0"/>
                <w:szCs w:val="21"/>
              </w:rPr>
              <w:t>√</w:t>
            </w:r>
          </w:p>
        </w:tc>
        <w:tc>
          <w:tcPr>
            <w:tcW w:w="3802" w:type="dxa"/>
            <w:gridSpan w:val="11"/>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易燃易爆</w:t>
            </w:r>
            <w:r>
              <w:rPr>
                <w:rFonts w:eastAsiaTheme="minorEastAsia"/>
                <w:color w:val="auto"/>
                <w:kern w:val="0"/>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7"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环境风险类型</w:t>
            </w:r>
          </w:p>
        </w:tc>
        <w:tc>
          <w:tcPr>
            <w:tcW w:w="3569" w:type="dxa"/>
            <w:gridSpan w:val="8"/>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泄漏</w:t>
            </w:r>
            <w:r>
              <w:rPr>
                <w:rFonts w:eastAsiaTheme="minorEastAsia"/>
                <w:color w:val="auto"/>
                <w:kern w:val="0"/>
                <w:szCs w:val="21"/>
              </w:rPr>
              <w:t>□</w:t>
            </w:r>
          </w:p>
        </w:tc>
        <w:tc>
          <w:tcPr>
            <w:tcW w:w="3802" w:type="dxa"/>
            <w:gridSpan w:val="11"/>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火灾、爆炸引发伴生</w:t>
            </w:r>
            <w:r>
              <w:rPr>
                <w:rFonts w:eastAsiaTheme="minorEastAsia"/>
                <w:color w:val="auto"/>
                <w:kern w:val="0"/>
                <w:szCs w:val="21"/>
              </w:rPr>
              <w:t>/</w:t>
            </w:r>
            <w:r>
              <w:rPr>
                <w:rFonts w:hAnsiTheme="minorEastAsia" w:eastAsiaTheme="minorEastAsia"/>
                <w:color w:val="auto"/>
                <w:kern w:val="0"/>
                <w:szCs w:val="21"/>
              </w:rPr>
              <w:t>次生污染物排放</w:t>
            </w:r>
            <w:r>
              <w:rPr>
                <w:rFonts w:eastAsiaTheme="minorEastAsia"/>
                <w:color w:val="auto"/>
                <w:kern w:val="0"/>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7"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影响途径</w:t>
            </w:r>
          </w:p>
        </w:tc>
        <w:tc>
          <w:tcPr>
            <w:tcW w:w="2379"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eastAsia" w:eastAsiaTheme="minorEastAsia"/>
                <w:color w:val="auto"/>
                <w:kern w:val="0"/>
                <w:szCs w:val="21"/>
                <w:lang w:eastAsia="zh-CN"/>
              </w:rPr>
            </w:pPr>
            <w:r>
              <w:rPr>
                <w:rFonts w:hAnsiTheme="minorEastAsia" w:eastAsiaTheme="minorEastAsia"/>
                <w:color w:val="auto"/>
                <w:kern w:val="0"/>
                <w:szCs w:val="21"/>
              </w:rPr>
              <w:t>大气</w:t>
            </w:r>
            <w:r>
              <w:rPr>
                <w:rFonts w:hint="eastAsia" w:eastAsiaTheme="minorEastAsia"/>
                <w:color w:val="auto"/>
                <w:kern w:val="0"/>
                <w:szCs w:val="21"/>
                <w:lang w:eastAsia="zh-CN"/>
              </w:rPr>
              <w:t>☑</w:t>
            </w:r>
          </w:p>
        </w:tc>
        <w:tc>
          <w:tcPr>
            <w:tcW w:w="2379" w:type="dxa"/>
            <w:gridSpan w:val="8"/>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地表水</w:t>
            </w:r>
            <w:r>
              <w:rPr>
                <w:rFonts w:eastAsiaTheme="minorEastAsia"/>
                <w:color w:val="auto"/>
                <w:kern w:val="0"/>
                <w:szCs w:val="21"/>
              </w:rPr>
              <w:t>√</w:t>
            </w:r>
          </w:p>
        </w:tc>
        <w:tc>
          <w:tcPr>
            <w:tcW w:w="2613" w:type="dxa"/>
            <w:gridSpan w:val="7"/>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地下水</w:t>
            </w:r>
            <w:r>
              <w:rPr>
                <w:rFonts w:eastAsiaTheme="minorEastAsia"/>
                <w:color w:val="auto"/>
                <w:kern w:val="0"/>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1704" w:type="dxa"/>
            <w:gridSpan w:val="2"/>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事故情形分析</w:t>
            </w:r>
          </w:p>
        </w:tc>
        <w:tc>
          <w:tcPr>
            <w:tcW w:w="1784"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源强设定方法</w:t>
            </w:r>
          </w:p>
        </w:tc>
        <w:tc>
          <w:tcPr>
            <w:tcW w:w="1785"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计算法</w:t>
            </w:r>
            <w:r>
              <w:rPr>
                <w:rFonts w:eastAsiaTheme="minorEastAsia"/>
                <w:color w:val="auto"/>
                <w:kern w:val="0"/>
                <w:szCs w:val="21"/>
              </w:rPr>
              <w:t>□</w:t>
            </w:r>
          </w:p>
        </w:tc>
        <w:tc>
          <w:tcPr>
            <w:tcW w:w="1784" w:type="dxa"/>
            <w:gridSpan w:val="7"/>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经验估算法</w:t>
            </w:r>
            <w:r>
              <w:rPr>
                <w:rFonts w:eastAsiaTheme="minorEastAsia"/>
                <w:color w:val="auto"/>
                <w:kern w:val="0"/>
                <w:szCs w:val="21"/>
              </w:rPr>
              <w:t>□</w:t>
            </w:r>
          </w:p>
        </w:tc>
        <w:tc>
          <w:tcPr>
            <w:tcW w:w="2018"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其他估算法</w:t>
            </w:r>
            <w:r>
              <w:rPr>
                <w:rFonts w:eastAsiaTheme="minorEastAsia"/>
                <w:color w:val="auto"/>
                <w:kern w:val="0"/>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427" w:type="dxa"/>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风险预测与评价</w:t>
            </w:r>
          </w:p>
        </w:tc>
        <w:tc>
          <w:tcPr>
            <w:tcW w:w="1277"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大气</w:t>
            </w:r>
          </w:p>
        </w:tc>
        <w:tc>
          <w:tcPr>
            <w:tcW w:w="1784"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预测模型</w:t>
            </w:r>
          </w:p>
        </w:tc>
        <w:tc>
          <w:tcPr>
            <w:tcW w:w="1785"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SLAB□</w:t>
            </w:r>
          </w:p>
        </w:tc>
        <w:tc>
          <w:tcPr>
            <w:tcW w:w="1784" w:type="dxa"/>
            <w:gridSpan w:val="7"/>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eastAsiaTheme="minorEastAsia"/>
                <w:color w:val="auto"/>
                <w:kern w:val="0"/>
                <w:szCs w:val="21"/>
              </w:rPr>
              <w:t>AFTOX□</w:t>
            </w:r>
          </w:p>
        </w:tc>
        <w:tc>
          <w:tcPr>
            <w:tcW w:w="2018"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其他</w:t>
            </w:r>
            <w:r>
              <w:rPr>
                <w:rFonts w:eastAsiaTheme="minorEastAsia"/>
                <w:color w:val="auto"/>
                <w:kern w:val="0"/>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7"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784" w:type="dxa"/>
            <w:gridSpan w:val="3"/>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预测结果</w:t>
            </w:r>
          </w:p>
        </w:tc>
        <w:tc>
          <w:tcPr>
            <w:tcW w:w="5587" w:type="dxa"/>
            <w:gridSpan w:val="16"/>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大气毒性终点浓度</w:t>
            </w:r>
            <w:r>
              <w:rPr>
                <w:rFonts w:eastAsiaTheme="minorEastAsia"/>
                <w:color w:val="auto"/>
                <w:kern w:val="0"/>
                <w:szCs w:val="21"/>
              </w:rPr>
              <w:t xml:space="preserve">-1 </w:t>
            </w:r>
            <w:r>
              <w:rPr>
                <w:rFonts w:hAnsiTheme="minorEastAsia" w:eastAsiaTheme="minorEastAsia"/>
                <w:color w:val="auto"/>
                <w:kern w:val="0"/>
                <w:szCs w:val="21"/>
              </w:rPr>
              <w:t>最大影响范围</w:t>
            </w:r>
            <w:r>
              <w:rPr>
                <w:rFonts w:eastAsiaTheme="minorEastAsia"/>
                <w:color w:val="auto"/>
                <w:kern w:val="0"/>
                <w:szCs w:val="21"/>
              </w:rPr>
              <w:t>m</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7"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784" w:type="dxa"/>
            <w:gridSpan w:val="3"/>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5587" w:type="dxa"/>
            <w:gridSpan w:val="16"/>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大气毒性终点浓度</w:t>
            </w:r>
            <w:r>
              <w:rPr>
                <w:rFonts w:eastAsiaTheme="minorEastAsia"/>
                <w:color w:val="auto"/>
                <w:kern w:val="0"/>
                <w:szCs w:val="21"/>
              </w:rPr>
              <w:t xml:space="preserve">-2 </w:t>
            </w:r>
            <w:r>
              <w:rPr>
                <w:rFonts w:hAnsiTheme="minorEastAsia" w:eastAsiaTheme="minorEastAsia"/>
                <w:color w:val="auto"/>
                <w:kern w:val="0"/>
                <w:szCs w:val="21"/>
              </w:rPr>
              <w:t>最大影响范围</w:t>
            </w:r>
            <w:r>
              <w:rPr>
                <w:rFonts w:eastAsiaTheme="minorEastAsia"/>
                <w:color w:val="auto"/>
                <w:kern w:val="0"/>
                <w:szCs w:val="21"/>
              </w:rPr>
              <w:t>m</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7"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地表水</w:t>
            </w:r>
          </w:p>
        </w:tc>
        <w:tc>
          <w:tcPr>
            <w:tcW w:w="7371" w:type="dxa"/>
            <w:gridSpan w:val="19"/>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最近环境敏感目标，到达时间</w:t>
            </w:r>
            <w:r>
              <w:rPr>
                <w:rFonts w:eastAsiaTheme="minorEastAsia"/>
                <w:color w:val="auto"/>
                <w:kern w:val="0"/>
                <w:szCs w:val="21"/>
              </w:rPr>
              <w:t>h</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7"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地下水</w:t>
            </w:r>
          </w:p>
        </w:tc>
        <w:tc>
          <w:tcPr>
            <w:tcW w:w="7371" w:type="dxa"/>
            <w:gridSpan w:val="19"/>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下游厂区边界到达时间</w:t>
            </w:r>
            <w:r>
              <w:rPr>
                <w:rFonts w:eastAsiaTheme="minorEastAsia"/>
                <w:color w:val="auto"/>
                <w:kern w:val="0"/>
                <w:szCs w:val="21"/>
              </w:rPr>
              <w:t>h</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06"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1277"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eastAsiaTheme="minorEastAsia"/>
                <w:color w:val="auto"/>
                <w:kern w:val="0"/>
                <w:szCs w:val="21"/>
              </w:rPr>
            </w:pPr>
          </w:p>
        </w:tc>
        <w:tc>
          <w:tcPr>
            <w:tcW w:w="7371" w:type="dxa"/>
            <w:gridSpan w:val="19"/>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最近环境敏感目标，到达时间</w:t>
            </w:r>
            <w:r>
              <w:rPr>
                <w:rFonts w:eastAsiaTheme="minorEastAsia"/>
                <w:color w:val="auto"/>
                <w:kern w:val="0"/>
                <w:szCs w:val="21"/>
              </w:rPr>
              <w:t>h</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754" w:hRule="atLeast"/>
        </w:trPr>
        <w:tc>
          <w:tcPr>
            <w:tcW w:w="1704" w:type="dxa"/>
            <w:gridSpan w:val="2"/>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hint="eastAsia" w:eastAsiaTheme="minorEastAsia"/>
                <w:color w:val="auto"/>
                <w:kern w:val="0"/>
                <w:szCs w:val="21"/>
                <w:highlight w:val="none"/>
                <w:lang w:eastAsia="zh-CN"/>
              </w:rPr>
            </w:pPr>
            <w:r>
              <w:rPr>
                <w:rFonts w:hAnsiTheme="minorEastAsia" w:eastAsiaTheme="minorEastAsia"/>
                <w:color w:val="auto"/>
                <w:kern w:val="0"/>
                <w:szCs w:val="21"/>
                <w:highlight w:val="none"/>
              </w:rPr>
              <w:t>重点风险防范措施</w:t>
            </w:r>
          </w:p>
        </w:tc>
        <w:tc>
          <w:tcPr>
            <w:tcW w:w="7371" w:type="dxa"/>
            <w:gridSpan w:val="19"/>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rPr>
                <w:rFonts w:hAnsiTheme="minorEastAsia" w:eastAsiaTheme="minorEastAsia"/>
                <w:color w:val="auto"/>
                <w:szCs w:val="21"/>
                <w:highlight w:val="none"/>
              </w:rPr>
            </w:pPr>
            <w:r>
              <w:rPr>
                <w:rFonts w:hint="eastAsia" w:hAnsiTheme="minorEastAsia" w:eastAsiaTheme="minorEastAsia"/>
                <w:color w:val="auto"/>
                <w:szCs w:val="21"/>
                <w:highlight w:val="none"/>
              </w:rPr>
              <w:t>（1）消毒剂存储位置</w:t>
            </w:r>
            <w:r>
              <w:rPr>
                <w:rFonts w:hint="eastAsia" w:hAnsiTheme="minorEastAsia" w:eastAsiaTheme="minorEastAsia"/>
                <w:color w:val="auto"/>
                <w:szCs w:val="21"/>
                <w:highlight w:val="none"/>
                <w:lang w:val="en-US" w:eastAsia="zh-CN"/>
              </w:rPr>
              <w:t>及储氨罐</w:t>
            </w:r>
            <w:r>
              <w:rPr>
                <w:rFonts w:hint="eastAsia" w:hAnsiTheme="minorEastAsia" w:eastAsiaTheme="minorEastAsia"/>
                <w:color w:val="auto"/>
                <w:szCs w:val="21"/>
                <w:highlight w:val="none"/>
              </w:rPr>
              <w:t>周围设置围堰；</w:t>
            </w:r>
          </w:p>
          <w:p>
            <w:pPr>
              <w:snapToGrid w:val="0"/>
              <w:rPr>
                <w:rFonts w:hint="eastAsia" w:hAnsiTheme="minorEastAsia" w:eastAsiaTheme="minorEastAsia"/>
                <w:color w:val="auto"/>
                <w:szCs w:val="21"/>
                <w:highlight w:val="none"/>
                <w:lang w:eastAsia="zh-CN"/>
              </w:rPr>
            </w:pPr>
            <w:r>
              <w:rPr>
                <w:rFonts w:hint="eastAsia" w:hAnsiTheme="minorEastAsia" w:eastAsiaTheme="minorEastAsia"/>
                <w:color w:val="auto"/>
                <w:szCs w:val="21"/>
                <w:highlight w:val="none"/>
                <w:lang w:eastAsia="zh-CN"/>
              </w:rPr>
              <w:t>（</w:t>
            </w:r>
            <w:r>
              <w:rPr>
                <w:rFonts w:hint="eastAsia" w:hAnsiTheme="minorEastAsia" w:eastAsiaTheme="minorEastAsia"/>
                <w:color w:val="auto"/>
                <w:szCs w:val="21"/>
                <w:highlight w:val="none"/>
                <w:lang w:val="en-US" w:eastAsia="zh-CN"/>
              </w:rPr>
              <w:t>2</w:t>
            </w:r>
            <w:r>
              <w:rPr>
                <w:rFonts w:hint="eastAsia" w:hAnsiTheme="minorEastAsia" w:eastAsiaTheme="minorEastAsia"/>
                <w:color w:val="auto"/>
                <w:szCs w:val="21"/>
                <w:highlight w:val="none"/>
                <w:lang w:eastAsia="zh-CN"/>
              </w:rPr>
              <w:t>）储</w:t>
            </w:r>
            <w:r>
              <w:rPr>
                <w:rFonts w:hint="eastAsia" w:hAnsiTheme="minorEastAsia" w:eastAsiaTheme="minorEastAsia"/>
                <w:color w:val="auto"/>
                <w:szCs w:val="21"/>
                <w:highlight w:val="none"/>
                <w:lang w:val="en-US" w:eastAsia="zh-CN"/>
              </w:rPr>
              <w:t>氨</w:t>
            </w:r>
            <w:r>
              <w:rPr>
                <w:rFonts w:hint="eastAsia" w:hAnsiTheme="minorEastAsia" w:eastAsiaTheme="minorEastAsia"/>
                <w:color w:val="auto"/>
                <w:szCs w:val="21"/>
                <w:highlight w:val="none"/>
                <w:lang w:eastAsia="zh-CN"/>
              </w:rPr>
              <w:t>罐设置阻火器和呼吸阀；罐储时要有防火防爆技术措施，配备相应品种和数量的消防器材。</w:t>
            </w:r>
          </w:p>
          <w:p>
            <w:pPr>
              <w:snapToGrid w:val="0"/>
              <w:rPr>
                <w:rFonts w:hint="eastAsia" w:hAnsiTheme="minorEastAsia" w:eastAsiaTheme="minorEastAsia"/>
                <w:color w:val="auto"/>
                <w:szCs w:val="21"/>
                <w:highlight w:val="none"/>
                <w:lang w:eastAsia="zh-CN"/>
              </w:rPr>
            </w:pPr>
            <w:r>
              <w:rPr>
                <w:rFonts w:hint="eastAsia" w:hAnsiTheme="minorEastAsia" w:eastAsiaTheme="minorEastAsia"/>
                <w:color w:val="auto"/>
                <w:szCs w:val="21"/>
                <w:highlight w:val="none"/>
                <w:lang w:eastAsia="zh-CN"/>
              </w:rPr>
              <w:t>（</w:t>
            </w:r>
            <w:r>
              <w:rPr>
                <w:rFonts w:hint="eastAsia" w:hAnsiTheme="minorEastAsia" w:eastAsiaTheme="minorEastAsia"/>
                <w:color w:val="auto"/>
                <w:szCs w:val="21"/>
                <w:highlight w:val="none"/>
                <w:lang w:val="en-US" w:eastAsia="zh-CN"/>
              </w:rPr>
              <w:t>3</w:t>
            </w:r>
            <w:r>
              <w:rPr>
                <w:rFonts w:hint="eastAsia" w:hAnsiTheme="minorEastAsia" w:eastAsiaTheme="minorEastAsia"/>
                <w:color w:val="auto"/>
                <w:szCs w:val="21"/>
                <w:highlight w:val="none"/>
                <w:lang w:eastAsia="zh-CN"/>
              </w:rPr>
              <w:t>）</w:t>
            </w:r>
            <w:r>
              <w:rPr>
                <w:rFonts w:hint="eastAsia" w:hAnsiTheme="minorEastAsia" w:eastAsiaTheme="minorEastAsia"/>
                <w:color w:val="auto"/>
                <w:szCs w:val="21"/>
                <w:highlight w:val="none"/>
                <w:lang w:val="en-US" w:eastAsia="zh-CN"/>
              </w:rPr>
              <w:t>冷库的氨制冷机房贮氨器上方宜设置局部水喷淋系统，水喷淋系统宜选用开式喷头，开式喷头保护面积应按贮氨器占地面积确定。开式喷头的水源可由库区消防给水系统供给，操作可为手动或电动方式。</w:t>
            </w:r>
          </w:p>
          <w:p>
            <w:pPr>
              <w:snapToGrid w:val="0"/>
              <w:rPr>
                <w:rFonts w:hint="eastAsia" w:hAnsiTheme="minorEastAsia" w:eastAsiaTheme="minorEastAsia"/>
                <w:color w:val="auto"/>
                <w:szCs w:val="21"/>
                <w:highlight w:val="none"/>
                <w:lang w:eastAsia="zh-CN"/>
              </w:rPr>
            </w:pPr>
            <w:r>
              <w:rPr>
                <w:rFonts w:hint="eastAsia" w:hAnsiTheme="minorEastAsia" w:eastAsiaTheme="minorEastAsia"/>
                <w:color w:val="auto"/>
                <w:szCs w:val="21"/>
                <w:highlight w:val="none"/>
                <w:lang w:eastAsia="zh-CN"/>
              </w:rPr>
              <w:t>（</w:t>
            </w:r>
            <w:r>
              <w:rPr>
                <w:rFonts w:hint="eastAsia" w:hAnsiTheme="minorEastAsia" w:eastAsiaTheme="minorEastAsia"/>
                <w:color w:val="auto"/>
                <w:szCs w:val="21"/>
                <w:highlight w:val="none"/>
                <w:lang w:val="en-US" w:eastAsia="zh-CN"/>
              </w:rPr>
              <w:t>4</w:t>
            </w:r>
            <w:r>
              <w:rPr>
                <w:rFonts w:hint="eastAsia" w:hAnsiTheme="minorEastAsia" w:eastAsiaTheme="minorEastAsia"/>
                <w:color w:val="auto"/>
                <w:szCs w:val="21"/>
                <w:highlight w:val="none"/>
                <w:lang w:eastAsia="zh-CN"/>
              </w:rPr>
              <w:t>）储</w:t>
            </w:r>
            <w:r>
              <w:rPr>
                <w:rFonts w:hint="eastAsia" w:hAnsiTheme="minorEastAsia" w:eastAsiaTheme="minorEastAsia"/>
                <w:color w:val="auto"/>
                <w:szCs w:val="21"/>
                <w:highlight w:val="none"/>
                <w:lang w:val="en-US" w:eastAsia="zh-CN"/>
              </w:rPr>
              <w:t>氨</w:t>
            </w:r>
            <w:r>
              <w:rPr>
                <w:rFonts w:hint="eastAsia" w:hAnsiTheme="minorEastAsia" w:eastAsiaTheme="minorEastAsia"/>
                <w:color w:val="auto"/>
                <w:szCs w:val="21"/>
                <w:highlight w:val="none"/>
                <w:lang w:eastAsia="zh-CN"/>
              </w:rPr>
              <w:t>罐设防雷接地并按规定监测，保持有效。防雷装置实行定期检测制度。防雷装置检测为每年一次，对爆炸危险环境的防雷装置可以每半年检测一次。</w:t>
            </w:r>
          </w:p>
          <w:p>
            <w:pPr>
              <w:snapToGrid w:val="0"/>
              <w:rPr>
                <w:rFonts w:hint="eastAsia" w:hAnsiTheme="minorEastAsia" w:eastAsiaTheme="minorEastAsia"/>
                <w:color w:val="auto"/>
                <w:szCs w:val="21"/>
                <w:highlight w:val="none"/>
                <w:lang w:eastAsia="zh-CN"/>
              </w:rPr>
            </w:pPr>
            <w:r>
              <w:rPr>
                <w:rFonts w:hint="eastAsia" w:hAnsiTheme="minorEastAsia" w:eastAsiaTheme="minorEastAsia"/>
                <w:color w:val="auto"/>
                <w:szCs w:val="21"/>
                <w:highlight w:val="none"/>
                <w:lang w:eastAsia="zh-CN"/>
              </w:rPr>
              <w:t>（</w:t>
            </w:r>
            <w:r>
              <w:rPr>
                <w:rFonts w:hint="eastAsia" w:hAnsiTheme="minorEastAsia" w:eastAsiaTheme="minorEastAsia"/>
                <w:color w:val="auto"/>
                <w:szCs w:val="21"/>
                <w:highlight w:val="none"/>
                <w:lang w:val="en-US" w:eastAsia="zh-CN"/>
              </w:rPr>
              <w:t>5</w:t>
            </w:r>
            <w:r>
              <w:rPr>
                <w:rFonts w:hint="eastAsia" w:hAnsiTheme="minorEastAsia" w:eastAsiaTheme="minorEastAsia"/>
                <w:color w:val="auto"/>
                <w:szCs w:val="21"/>
                <w:highlight w:val="none"/>
                <w:lang w:eastAsia="zh-CN"/>
              </w:rPr>
              <w:t>）贮氨器罐体、阀门、管道及泵均设置防静电接地措施。</w:t>
            </w:r>
          </w:p>
          <w:p>
            <w:pPr>
              <w:snapToGrid w:val="0"/>
              <w:rPr>
                <w:rFonts w:hint="eastAsia" w:hAnsiTheme="minorEastAsia" w:eastAsiaTheme="minorEastAsia"/>
                <w:color w:val="auto"/>
                <w:szCs w:val="21"/>
                <w:highlight w:val="none"/>
                <w:lang w:eastAsia="zh-CN"/>
              </w:rPr>
            </w:pPr>
            <w:r>
              <w:rPr>
                <w:rFonts w:hint="eastAsia" w:hAnsiTheme="minorEastAsia" w:eastAsiaTheme="minorEastAsia"/>
                <w:color w:val="auto"/>
                <w:szCs w:val="21"/>
                <w:highlight w:val="none"/>
                <w:lang w:eastAsia="zh-CN"/>
              </w:rPr>
              <w:t>（</w:t>
            </w:r>
            <w:r>
              <w:rPr>
                <w:rFonts w:hint="eastAsia" w:hAnsiTheme="minorEastAsia" w:eastAsiaTheme="minorEastAsia"/>
                <w:color w:val="auto"/>
                <w:szCs w:val="21"/>
                <w:highlight w:val="none"/>
                <w:lang w:val="en-US" w:eastAsia="zh-CN"/>
              </w:rPr>
              <w:t>6</w:t>
            </w:r>
            <w:r>
              <w:rPr>
                <w:rFonts w:hint="eastAsia" w:hAnsiTheme="minorEastAsia" w:eastAsiaTheme="minorEastAsia"/>
                <w:color w:val="auto"/>
                <w:szCs w:val="21"/>
                <w:highlight w:val="none"/>
                <w:lang w:eastAsia="zh-CN"/>
              </w:rPr>
              <w:t>）储</w:t>
            </w:r>
            <w:r>
              <w:rPr>
                <w:rFonts w:hint="eastAsia" w:hAnsiTheme="minorEastAsia" w:eastAsiaTheme="minorEastAsia"/>
                <w:color w:val="auto"/>
                <w:szCs w:val="21"/>
                <w:highlight w:val="none"/>
                <w:lang w:val="en-US" w:eastAsia="zh-CN"/>
              </w:rPr>
              <w:t>氨</w:t>
            </w:r>
            <w:r>
              <w:rPr>
                <w:rFonts w:hint="eastAsia" w:hAnsiTheme="minorEastAsia" w:eastAsiaTheme="minorEastAsia"/>
                <w:color w:val="auto"/>
                <w:szCs w:val="21"/>
                <w:highlight w:val="none"/>
                <w:lang w:eastAsia="zh-CN"/>
              </w:rPr>
              <w:t>罐由抗腐蚀材料制作，液氨罐在充装前必须保证液氨罐充装中和充装后压力不超过1Mpa，储罐充装量不得超过安全警戒线，在液氨设备15m距离内，严禁明火和热源，液氨罐在高温时段应急喷淋水源进行降温处理。</w:t>
            </w:r>
          </w:p>
          <w:p>
            <w:pPr>
              <w:snapToGrid w:val="0"/>
              <w:rPr>
                <w:rFonts w:hint="eastAsia" w:hAnsiTheme="minorEastAsia" w:eastAsiaTheme="minorEastAsia"/>
                <w:color w:val="auto"/>
                <w:szCs w:val="21"/>
                <w:highlight w:val="none"/>
                <w:lang w:eastAsia="zh-CN"/>
              </w:rPr>
            </w:pPr>
            <w:r>
              <w:rPr>
                <w:rFonts w:hint="eastAsia" w:hAnsiTheme="minorEastAsia" w:eastAsiaTheme="minorEastAsia"/>
                <w:color w:val="auto"/>
                <w:szCs w:val="21"/>
                <w:highlight w:val="none"/>
                <w:lang w:eastAsia="zh-CN"/>
              </w:rPr>
              <w:t>（</w:t>
            </w:r>
            <w:r>
              <w:rPr>
                <w:rFonts w:hint="eastAsia" w:hAnsiTheme="minorEastAsia" w:eastAsiaTheme="minorEastAsia"/>
                <w:color w:val="auto"/>
                <w:szCs w:val="21"/>
                <w:highlight w:val="none"/>
                <w:lang w:val="en-US" w:eastAsia="zh-CN"/>
              </w:rPr>
              <w:t>7</w:t>
            </w:r>
            <w:r>
              <w:rPr>
                <w:rFonts w:hint="eastAsia" w:hAnsiTheme="minorEastAsia" w:eastAsiaTheme="minorEastAsia"/>
                <w:color w:val="auto"/>
                <w:szCs w:val="21"/>
                <w:highlight w:val="none"/>
                <w:lang w:eastAsia="zh-CN"/>
              </w:rPr>
              <w:t>）储氨区四周在明显和便于操作部位设置手动报警按钮。</w:t>
            </w:r>
          </w:p>
          <w:p>
            <w:pPr>
              <w:snapToGrid w:val="0"/>
              <w:rPr>
                <w:rFonts w:hint="default" w:hAnsiTheme="minorEastAsia" w:eastAsiaTheme="minorEastAsia"/>
                <w:color w:val="auto"/>
                <w:szCs w:val="21"/>
                <w:highlight w:val="none"/>
                <w:lang w:val="en-US" w:eastAsia="zh-CN"/>
              </w:rPr>
            </w:pPr>
            <w:r>
              <w:rPr>
                <w:rFonts w:hint="eastAsia" w:hAnsiTheme="minorEastAsia" w:eastAsiaTheme="minorEastAsia"/>
                <w:color w:val="auto"/>
                <w:szCs w:val="21"/>
                <w:highlight w:val="none"/>
                <w:lang w:eastAsia="zh-CN"/>
              </w:rPr>
              <w:t>（</w:t>
            </w:r>
            <w:r>
              <w:rPr>
                <w:rFonts w:hint="eastAsia" w:hAnsiTheme="minorEastAsia" w:eastAsiaTheme="minorEastAsia"/>
                <w:color w:val="auto"/>
                <w:szCs w:val="21"/>
                <w:highlight w:val="none"/>
                <w:lang w:val="en-US" w:eastAsia="zh-CN"/>
              </w:rPr>
              <w:t>8</w:t>
            </w:r>
            <w:r>
              <w:rPr>
                <w:rFonts w:hint="eastAsia" w:hAnsiTheme="minorEastAsia" w:eastAsiaTheme="minorEastAsia"/>
                <w:color w:val="auto"/>
                <w:szCs w:val="21"/>
                <w:highlight w:val="none"/>
                <w:lang w:eastAsia="zh-CN"/>
              </w:rPr>
              <w:t>）</w:t>
            </w:r>
            <w:r>
              <w:rPr>
                <w:rFonts w:hint="eastAsia" w:hAnsiTheme="minorEastAsia" w:eastAsiaTheme="minorEastAsia"/>
                <w:color w:val="auto"/>
                <w:szCs w:val="21"/>
                <w:highlight w:val="none"/>
                <w:lang w:val="en-US" w:eastAsia="zh-CN"/>
              </w:rPr>
              <w:t>设置氨气泄露报警系统。</w:t>
            </w:r>
          </w:p>
          <w:p>
            <w:pPr>
              <w:snapToGrid w:val="0"/>
              <w:rPr>
                <w:rFonts w:hAnsiTheme="minorEastAsia" w:eastAsiaTheme="minorEastAsia"/>
                <w:color w:val="auto"/>
                <w:szCs w:val="21"/>
                <w:highlight w:val="none"/>
              </w:rPr>
            </w:pPr>
            <w:r>
              <w:rPr>
                <w:rFonts w:hint="eastAsia" w:hAnsiTheme="minorEastAsia" w:eastAsiaTheme="minorEastAsia"/>
                <w:color w:val="auto"/>
                <w:szCs w:val="21"/>
                <w:highlight w:val="none"/>
              </w:rPr>
              <w:t>（</w:t>
            </w:r>
            <w:r>
              <w:rPr>
                <w:rFonts w:hint="eastAsia" w:hAnsiTheme="minorEastAsia" w:eastAsiaTheme="minorEastAsia"/>
                <w:color w:val="auto"/>
                <w:szCs w:val="21"/>
                <w:highlight w:val="none"/>
                <w:lang w:val="en-US" w:eastAsia="zh-CN"/>
              </w:rPr>
              <w:t>9</w:t>
            </w:r>
            <w:r>
              <w:rPr>
                <w:rFonts w:hint="eastAsia" w:hAnsiTheme="minorEastAsia" w:eastAsiaTheme="minorEastAsia"/>
                <w:color w:val="auto"/>
                <w:szCs w:val="21"/>
                <w:highlight w:val="none"/>
              </w:rPr>
              <w:t>）当发生泄漏时建议应急处理人员戴自给正压式呼吸器，穿防酸碱工作服。不要直接接触泄漏物。尽可能切断泄漏源，用砂土、蛭石或其它惰性材料吸收，并交由有资质单位处置。</w:t>
            </w:r>
          </w:p>
          <w:p>
            <w:pPr>
              <w:snapToGrid w:val="0"/>
              <w:rPr>
                <w:rFonts w:hint="eastAsia" w:hAnsiTheme="minorEastAsia" w:eastAsiaTheme="minorEastAsia"/>
                <w:color w:val="auto"/>
                <w:szCs w:val="21"/>
                <w:highlight w:val="none"/>
                <w:lang w:eastAsia="zh-CN"/>
              </w:rPr>
            </w:pPr>
            <w:r>
              <w:rPr>
                <w:rFonts w:hint="eastAsia" w:hAnsiTheme="minorEastAsia" w:eastAsiaTheme="minorEastAsia"/>
                <w:color w:val="auto"/>
                <w:szCs w:val="21"/>
                <w:highlight w:val="none"/>
                <w:lang w:eastAsia="zh-CN"/>
              </w:rPr>
              <w:t>（</w:t>
            </w:r>
            <w:r>
              <w:rPr>
                <w:rFonts w:hint="eastAsia" w:hAnsiTheme="minorEastAsia" w:eastAsiaTheme="minorEastAsia"/>
                <w:color w:val="auto"/>
                <w:szCs w:val="21"/>
                <w:highlight w:val="none"/>
                <w:lang w:val="en-US" w:eastAsia="zh-CN"/>
              </w:rPr>
              <w:t>10</w:t>
            </w:r>
            <w:r>
              <w:rPr>
                <w:rFonts w:hint="eastAsia" w:hAnsiTheme="minorEastAsia" w:eastAsiaTheme="minorEastAsia"/>
                <w:color w:val="auto"/>
                <w:szCs w:val="21"/>
                <w:highlight w:val="none"/>
                <w:lang w:eastAsia="zh-CN"/>
              </w:rPr>
              <w:t>）工程废水处理设施发生事故性排放主要有设备故障和停电因素，若出现设备故障因素引起的事故性排放，可将排放污水引入事故水池中；若出现停电事故，生产也将停止，废水可引入事故水池，不对周围水环境造成影响。</w:t>
            </w:r>
          </w:p>
          <w:p>
            <w:pPr>
              <w:snapToGrid w:val="0"/>
              <w:rPr>
                <w:rFonts w:hAnsiTheme="minorEastAsia" w:eastAsiaTheme="minorEastAsia"/>
                <w:color w:val="auto"/>
                <w:szCs w:val="21"/>
                <w:highlight w:val="none"/>
              </w:rPr>
            </w:pPr>
            <w:r>
              <w:rPr>
                <w:rFonts w:hint="eastAsia" w:hAnsiTheme="minorEastAsia" w:eastAsiaTheme="minorEastAsia"/>
                <w:color w:val="auto"/>
                <w:szCs w:val="21"/>
                <w:highlight w:val="none"/>
              </w:rPr>
              <w:t>（</w:t>
            </w:r>
            <w:r>
              <w:rPr>
                <w:rFonts w:hint="eastAsia" w:hAnsiTheme="minorEastAsia" w:eastAsiaTheme="minorEastAsia"/>
                <w:color w:val="auto"/>
                <w:szCs w:val="21"/>
                <w:highlight w:val="none"/>
                <w:lang w:val="en-US" w:eastAsia="zh-CN"/>
              </w:rPr>
              <w:t>11</w:t>
            </w:r>
            <w:r>
              <w:rPr>
                <w:rFonts w:hint="eastAsia" w:hAnsiTheme="minorEastAsia" w:eastAsiaTheme="minorEastAsia"/>
                <w:color w:val="auto"/>
                <w:szCs w:val="21"/>
                <w:highlight w:val="none"/>
              </w:rPr>
              <w:t>）</w:t>
            </w:r>
            <w:r>
              <w:rPr>
                <w:rFonts w:hAnsiTheme="minorEastAsia" w:eastAsiaTheme="minorEastAsia"/>
                <w:color w:val="auto"/>
                <w:szCs w:val="21"/>
                <w:highlight w:val="none"/>
              </w:rPr>
              <w:t>制定安全生产管理制度、安全操作规程和危险化学品储运方案等方面的程序文件和作业指导书，并严格按要求执行。按设计规范要求配备消防、环保、监控等安全环保设备和实施，确保包装完好</w:t>
            </w:r>
            <w:r>
              <w:rPr>
                <w:rFonts w:hint="eastAsia" w:hAnsiTheme="minorEastAsia" w:eastAsiaTheme="minorEastAsia"/>
                <w:color w:val="auto"/>
                <w:szCs w:val="21"/>
                <w:highlight w:val="none"/>
              </w:rPr>
              <w:t>；</w:t>
            </w:r>
          </w:p>
          <w:p>
            <w:pPr>
              <w:snapToGrid w:val="0"/>
              <w:rPr>
                <w:rFonts w:hAnsiTheme="minorEastAsia" w:eastAsiaTheme="minorEastAsia"/>
                <w:color w:val="auto"/>
                <w:szCs w:val="21"/>
                <w:highlight w:val="none"/>
              </w:rPr>
            </w:pPr>
            <w:r>
              <w:rPr>
                <w:rFonts w:hAnsiTheme="minorEastAsia" w:eastAsiaTheme="minorEastAsia"/>
                <w:color w:val="auto"/>
                <w:szCs w:val="21"/>
                <w:highlight w:val="none"/>
              </w:rPr>
              <w:t>（</w:t>
            </w:r>
            <w:r>
              <w:rPr>
                <w:rFonts w:hint="eastAsia" w:hAnsiTheme="minorEastAsia" w:eastAsiaTheme="minorEastAsia"/>
                <w:color w:val="auto"/>
                <w:szCs w:val="21"/>
                <w:highlight w:val="none"/>
                <w:lang w:val="en-US" w:eastAsia="zh-CN"/>
              </w:rPr>
              <w:t>12</w:t>
            </w:r>
            <w:r>
              <w:rPr>
                <w:rFonts w:hAnsiTheme="minorEastAsia" w:eastAsiaTheme="minorEastAsia"/>
                <w:color w:val="auto"/>
                <w:szCs w:val="21"/>
                <w:highlight w:val="none"/>
              </w:rPr>
              <w:t>）</w:t>
            </w:r>
            <w:r>
              <w:rPr>
                <w:rFonts w:hint="eastAsia" w:hAnsiTheme="minorEastAsia" w:eastAsiaTheme="minorEastAsia"/>
                <w:color w:val="auto"/>
                <w:szCs w:val="21"/>
                <w:highlight w:val="none"/>
              </w:rPr>
              <w:t>按照《突发环境事件应急预案管理暂行办法》和《企业事业单位突发环境事件应急预案备案管理办法（试行）》等相关文件要求编制突发环境事件应急预案，并在相应的生态环境主管部门进行备案。</w:t>
            </w:r>
          </w:p>
          <w:p>
            <w:pPr>
              <w:snapToGrid w:val="0"/>
              <w:jc w:val="left"/>
              <w:rPr>
                <w:rFonts w:eastAsiaTheme="minorEastAsia"/>
                <w:color w:val="auto"/>
                <w:kern w:val="0"/>
                <w:szCs w:val="21"/>
                <w:highlight w:val="none"/>
              </w:rPr>
            </w:pPr>
            <w:r>
              <w:rPr>
                <w:rFonts w:hAnsiTheme="minorEastAsia" w:eastAsiaTheme="minorEastAsia"/>
                <w:color w:val="auto"/>
                <w:szCs w:val="21"/>
                <w:highlight w:val="none"/>
              </w:rPr>
              <w:t>在严格落实应急措施后，可将风险发生的概率和影响后果降到最低限度。一旦发生事故，及时采取应急措施，可将对</w:t>
            </w:r>
            <w:r>
              <w:rPr>
                <w:rFonts w:hint="eastAsia" w:hAnsiTheme="minorEastAsia" w:eastAsiaTheme="minorEastAsia"/>
                <w:color w:val="auto"/>
                <w:szCs w:val="21"/>
                <w:highlight w:val="none"/>
              </w:rPr>
              <w:t>地表水</w:t>
            </w:r>
            <w:r>
              <w:rPr>
                <w:rFonts w:hAnsiTheme="minorEastAsia" w:eastAsiaTheme="minorEastAsia"/>
                <w:color w:val="auto"/>
                <w:szCs w:val="21"/>
                <w:highlight w:val="none"/>
              </w:rPr>
              <w:t>和地下水的影响降到最低限度，其风险水平可以被接受。</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1039" w:hRule="atLeast"/>
        </w:trPr>
        <w:tc>
          <w:tcPr>
            <w:tcW w:w="1702" w:type="dxa"/>
            <w:gridSpan w:val="2"/>
            <w:tcBorders>
              <w:top w:val="single" w:color="000000" w:themeColor="text1" w:sz="6" w:space="0"/>
              <w:left w:val="single" w:color="000000" w:themeColor="text1" w:sz="12" w:space="0"/>
              <w:bottom w:val="single" w:color="000000" w:themeColor="text1" w:sz="2" w:space="0"/>
              <w:right w:val="single" w:color="000000" w:themeColor="text1" w:sz="6" w:space="0"/>
            </w:tcBorders>
            <w:vAlign w:val="center"/>
          </w:tcPr>
          <w:p>
            <w:pPr>
              <w:snapToGrid w:val="0"/>
              <w:jc w:val="center"/>
              <w:rPr>
                <w:rFonts w:eastAsiaTheme="minorEastAsia"/>
                <w:color w:val="auto"/>
                <w:kern w:val="0"/>
                <w:szCs w:val="21"/>
              </w:rPr>
            </w:pPr>
            <w:r>
              <w:rPr>
                <w:rFonts w:hAnsiTheme="minorEastAsia" w:eastAsiaTheme="minorEastAsia"/>
                <w:color w:val="auto"/>
                <w:kern w:val="0"/>
                <w:szCs w:val="21"/>
              </w:rPr>
              <w:t>评价结论与建议</w:t>
            </w:r>
          </w:p>
        </w:tc>
        <w:tc>
          <w:tcPr>
            <w:tcW w:w="7371" w:type="dxa"/>
            <w:gridSpan w:val="19"/>
            <w:tcBorders>
              <w:top w:val="single" w:color="000000" w:themeColor="text1" w:sz="6" w:space="0"/>
              <w:left w:val="single" w:color="000000" w:themeColor="text1" w:sz="6" w:space="0"/>
              <w:bottom w:val="single" w:color="000000" w:themeColor="text1" w:sz="2" w:space="0"/>
              <w:right w:val="single" w:color="000000" w:themeColor="text1" w:sz="12" w:space="0"/>
            </w:tcBorders>
            <w:vAlign w:val="center"/>
          </w:tcPr>
          <w:p>
            <w:pPr>
              <w:snapToGrid w:val="0"/>
              <w:jc w:val="left"/>
              <w:rPr>
                <w:rFonts w:eastAsiaTheme="minorEastAsia"/>
                <w:color w:val="auto"/>
                <w:kern w:val="0"/>
                <w:szCs w:val="21"/>
              </w:rPr>
            </w:pPr>
            <w:r>
              <w:rPr>
                <w:rFonts w:hAnsiTheme="minorEastAsia" w:eastAsiaTheme="minorEastAsia"/>
                <w:color w:val="auto"/>
                <w:kern w:val="0"/>
                <w:szCs w:val="21"/>
              </w:rPr>
              <w:t>采取本项目提出的风险应急措施，可有效避免风险事故污染</w:t>
            </w:r>
            <w:r>
              <w:rPr>
                <w:rFonts w:hint="eastAsia" w:hAnsiTheme="minorEastAsia" w:eastAsiaTheme="minorEastAsia"/>
                <w:color w:val="auto"/>
                <w:kern w:val="0"/>
                <w:szCs w:val="21"/>
              </w:rPr>
              <w:t>水环境</w:t>
            </w:r>
            <w:r>
              <w:rPr>
                <w:rFonts w:hAnsiTheme="minorEastAsia" w:eastAsiaTheme="minorEastAsia"/>
                <w:color w:val="auto"/>
                <w:kern w:val="0"/>
                <w:szCs w:val="21"/>
              </w:rPr>
              <w:t>，可有效保护应急人员健康。</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1971" w:hRule="atLeast"/>
        </w:trPr>
        <w:tc>
          <w:tcPr>
            <w:tcW w:w="9073" w:type="dxa"/>
            <w:gridSpan w:val="21"/>
            <w:tcBorders>
              <w:top w:val="single" w:color="000000" w:themeColor="text1" w:sz="2" w:space="0"/>
              <w:left w:val="single" w:color="000000" w:themeColor="text1" w:sz="12" w:space="0"/>
              <w:bottom w:val="single" w:color="000000" w:themeColor="text1" w:sz="12" w:space="0"/>
              <w:right w:val="single" w:color="000000" w:themeColor="text1" w:sz="12" w:space="0"/>
            </w:tcBorders>
            <w:vAlign w:val="top"/>
          </w:tcPr>
          <w:p>
            <w:pPr>
              <w:snapToGrid w:val="0"/>
              <w:jc w:val="center"/>
              <w:rPr>
                <w:rFonts w:eastAsiaTheme="minorEastAsia"/>
                <w:color w:val="auto"/>
                <w:kern w:val="0"/>
                <w:szCs w:val="21"/>
              </w:rPr>
            </w:pPr>
            <w:r>
              <w:rPr>
                <w:rFonts w:hAnsiTheme="minorEastAsia" w:eastAsiaTheme="minorEastAsia"/>
                <w:color w:val="auto"/>
                <w:kern w:val="0"/>
                <w:szCs w:val="21"/>
              </w:rPr>
              <w:t>住：</w:t>
            </w:r>
            <w:r>
              <w:rPr>
                <w:rFonts w:eastAsiaTheme="minorEastAsia"/>
                <w:color w:val="auto"/>
                <w:kern w:val="0"/>
                <w:szCs w:val="21"/>
              </w:rPr>
              <w:t>“□”</w:t>
            </w:r>
            <w:r>
              <w:rPr>
                <w:rFonts w:hAnsiTheme="minorEastAsia" w:eastAsiaTheme="minorEastAsia"/>
                <w:color w:val="auto"/>
                <w:kern w:val="0"/>
                <w:szCs w:val="21"/>
              </w:rPr>
              <w:t>为勾选项，</w:t>
            </w:r>
            <w:r>
              <w:rPr>
                <w:rFonts w:eastAsiaTheme="minorEastAsia"/>
                <w:color w:val="auto"/>
                <w:kern w:val="0"/>
                <w:szCs w:val="21"/>
              </w:rPr>
              <w:t>“”</w:t>
            </w:r>
            <w:r>
              <w:rPr>
                <w:rFonts w:hAnsiTheme="minorEastAsia" w:eastAsiaTheme="minorEastAsia"/>
                <w:color w:val="auto"/>
                <w:kern w:val="0"/>
                <w:szCs w:val="21"/>
              </w:rPr>
              <w:t>为填写项。</w:t>
            </w:r>
          </w:p>
        </w:tc>
      </w:tr>
    </w:tbl>
    <w:p>
      <w:pPr>
        <w:rPr>
          <w:b/>
          <w:color w:val="FF0000"/>
          <w:sz w:val="24"/>
        </w:rPr>
      </w:pPr>
      <w:r>
        <w:rPr>
          <w:b/>
          <w:color w:val="FF0000"/>
          <w:sz w:val="24"/>
        </w:rPr>
        <w:br w:type="page"/>
      </w:r>
    </w:p>
    <w:p>
      <w:pPr>
        <w:spacing w:line="360" w:lineRule="auto"/>
        <w:ind w:firstLine="482" w:firstLineChars="200"/>
        <w:jc w:val="center"/>
        <w:rPr>
          <w:b/>
          <w:color w:val="auto"/>
          <w:sz w:val="24"/>
        </w:rPr>
      </w:pPr>
      <w:r>
        <w:rPr>
          <w:b/>
          <w:color w:val="auto"/>
          <w:sz w:val="24"/>
        </w:rPr>
        <w:t>声环境影响评价自查表</w:t>
      </w:r>
    </w:p>
    <w:tbl>
      <w:tblPr>
        <w:tblStyle w:val="46"/>
        <w:tblW w:w="840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91"/>
        <w:gridCol w:w="1275"/>
        <w:gridCol w:w="993"/>
        <w:gridCol w:w="1011"/>
        <w:gridCol w:w="831"/>
        <w:gridCol w:w="142"/>
        <w:gridCol w:w="992"/>
        <w:gridCol w:w="993"/>
        <w:gridCol w:w="12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66" w:type="dxa"/>
            <w:gridSpan w:val="2"/>
            <w:vAlign w:val="center"/>
          </w:tcPr>
          <w:p>
            <w:pPr>
              <w:jc w:val="center"/>
              <w:rPr>
                <w:color w:val="auto"/>
                <w:szCs w:val="21"/>
              </w:rPr>
            </w:pPr>
            <w:r>
              <w:rPr>
                <w:rFonts w:hAnsi="宋体"/>
                <w:color w:val="auto"/>
                <w:szCs w:val="21"/>
              </w:rPr>
              <w:t>工作内容</w:t>
            </w:r>
          </w:p>
        </w:tc>
        <w:tc>
          <w:tcPr>
            <w:tcW w:w="6237" w:type="dxa"/>
            <w:gridSpan w:val="7"/>
            <w:vAlign w:val="center"/>
          </w:tcPr>
          <w:p>
            <w:pPr>
              <w:jc w:val="center"/>
              <w:rPr>
                <w:color w:val="auto"/>
                <w:szCs w:val="21"/>
              </w:rPr>
            </w:pPr>
            <w:r>
              <w:rPr>
                <w:rFonts w:hAnsi="宋体"/>
                <w:color w:val="auto"/>
                <w:szCs w:val="21"/>
              </w:rPr>
              <w:t>自查项目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restart"/>
            <w:vAlign w:val="center"/>
          </w:tcPr>
          <w:p>
            <w:pPr>
              <w:jc w:val="center"/>
              <w:rPr>
                <w:color w:val="auto"/>
                <w:szCs w:val="21"/>
              </w:rPr>
            </w:pPr>
            <w:r>
              <w:rPr>
                <w:rFonts w:hAnsi="宋体"/>
                <w:color w:val="auto"/>
                <w:szCs w:val="21"/>
              </w:rPr>
              <w:t>评价等级与范围</w:t>
            </w:r>
          </w:p>
        </w:tc>
        <w:tc>
          <w:tcPr>
            <w:tcW w:w="1275" w:type="dxa"/>
            <w:vAlign w:val="center"/>
          </w:tcPr>
          <w:p>
            <w:pPr>
              <w:jc w:val="center"/>
              <w:rPr>
                <w:color w:val="auto"/>
                <w:szCs w:val="21"/>
              </w:rPr>
            </w:pPr>
            <w:r>
              <w:rPr>
                <w:rFonts w:hAnsi="宋体"/>
                <w:color w:val="auto"/>
                <w:szCs w:val="21"/>
              </w:rPr>
              <w:t>评价等级</w:t>
            </w:r>
          </w:p>
        </w:tc>
        <w:tc>
          <w:tcPr>
            <w:tcW w:w="6237" w:type="dxa"/>
            <w:gridSpan w:val="7"/>
            <w:vAlign w:val="center"/>
          </w:tcPr>
          <w:p>
            <w:pPr>
              <w:jc w:val="center"/>
              <w:rPr>
                <w:color w:val="auto"/>
                <w:szCs w:val="21"/>
              </w:rPr>
            </w:pPr>
            <w:r>
              <w:rPr>
                <w:rFonts w:hAnsi="宋体"/>
                <w:color w:val="auto"/>
                <w:szCs w:val="21"/>
              </w:rPr>
              <w:t>一级</w:t>
            </w:r>
            <w:r>
              <w:rPr>
                <w:color w:val="auto"/>
                <w:szCs w:val="21"/>
              </w:rPr>
              <w:t xml:space="preserve">□ </w:t>
            </w:r>
            <w:r>
              <w:rPr>
                <w:rFonts w:hAnsi="宋体"/>
                <w:color w:val="auto"/>
                <w:szCs w:val="21"/>
              </w:rPr>
              <w:t>二级</w:t>
            </w:r>
            <w:r>
              <w:rPr>
                <w:color w:val="auto"/>
                <w:szCs w:val="21"/>
              </w:rPr>
              <w:t xml:space="preserve">√ </w:t>
            </w:r>
            <w:r>
              <w:rPr>
                <w:rFonts w:hAnsi="宋体"/>
                <w:color w:val="auto"/>
                <w:szCs w:val="21"/>
              </w:rPr>
              <w:t>三级</w:t>
            </w:r>
            <w:r>
              <w:rPr>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pPr>
              <w:jc w:val="center"/>
              <w:rPr>
                <w:color w:val="auto"/>
                <w:szCs w:val="21"/>
              </w:rPr>
            </w:pPr>
          </w:p>
        </w:tc>
        <w:tc>
          <w:tcPr>
            <w:tcW w:w="1275" w:type="dxa"/>
            <w:vAlign w:val="center"/>
          </w:tcPr>
          <w:p>
            <w:pPr>
              <w:jc w:val="center"/>
              <w:rPr>
                <w:color w:val="auto"/>
                <w:szCs w:val="21"/>
              </w:rPr>
            </w:pPr>
            <w:r>
              <w:rPr>
                <w:rFonts w:hAnsi="宋体"/>
                <w:color w:val="auto"/>
                <w:szCs w:val="21"/>
              </w:rPr>
              <w:t>评价范围</w:t>
            </w:r>
          </w:p>
        </w:tc>
        <w:tc>
          <w:tcPr>
            <w:tcW w:w="6237" w:type="dxa"/>
            <w:gridSpan w:val="7"/>
            <w:vAlign w:val="center"/>
          </w:tcPr>
          <w:p>
            <w:pPr>
              <w:jc w:val="center"/>
              <w:rPr>
                <w:color w:val="auto"/>
                <w:szCs w:val="21"/>
              </w:rPr>
            </w:pPr>
            <w:r>
              <w:rPr>
                <w:rFonts w:hAnsi="宋体"/>
                <w:color w:val="auto"/>
                <w:szCs w:val="21"/>
              </w:rPr>
              <w:t>等效连续</w:t>
            </w:r>
            <w:r>
              <w:rPr>
                <w:color w:val="auto"/>
                <w:szCs w:val="21"/>
              </w:rPr>
              <w:t>A</w:t>
            </w:r>
            <w:r>
              <w:rPr>
                <w:rFonts w:hAnsi="宋体"/>
                <w:color w:val="auto"/>
                <w:szCs w:val="21"/>
              </w:rPr>
              <w:t>声级</w:t>
            </w:r>
            <w:r>
              <w:rPr>
                <w:color w:val="auto"/>
                <w:szCs w:val="21"/>
              </w:rPr>
              <w:t xml:space="preserve">√  </w:t>
            </w:r>
            <w:r>
              <w:rPr>
                <w:rFonts w:hAnsi="宋体"/>
                <w:color w:val="auto"/>
                <w:szCs w:val="21"/>
              </w:rPr>
              <w:t>最大</w:t>
            </w:r>
            <w:r>
              <w:rPr>
                <w:color w:val="auto"/>
                <w:szCs w:val="21"/>
              </w:rPr>
              <w:t>A</w:t>
            </w:r>
            <w:r>
              <w:rPr>
                <w:rFonts w:hAnsi="宋体"/>
                <w:color w:val="auto"/>
                <w:szCs w:val="21"/>
              </w:rPr>
              <w:t>声级</w:t>
            </w:r>
            <w:r>
              <w:rPr>
                <w:color w:val="auto"/>
                <w:szCs w:val="21"/>
              </w:rPr>
              <w:t xml:space="preserve">□  </w:t>
            </w:r>
            <w:r>
              <w:rPr>
                <w:rFonts w:hAnsi="宋体"/>
                <w:color w:val="auto"/>
                <w:szCs w:val="21"/>
              </w:rPr>
              <w:t>计权等效连续感觉噪声级</w:t>
            </w:r>
            <w:r>
              <w:rPr>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Align w:val="center"/>
          </w:tcPr>
          <w:p>
            <w:pPr>
              <w:jc w:val="center"/>
              <w:rPr>
                <w:color w:val="auto"/>
                <w:szCs w:val="21"/>
              </w:rPr>
            </w:pPr>
            <w:r>
              <w:rPr>
                <w:rFonts w:hAnsi="宋体"/>
                <w:color w:val="auto"/>
                <w:szCs w:val="21"/>
              </w:rPr>
              <w:t>评价因子</w:t>
            </w:r>
          </w:p>
        </w:tc>
        <w:tc>
          <w:tcPr>
            <w:tcW w:w="1275" w:type="dxa"/>
            <w:vAlign w:val="center"/>
          </w:tcPr>
          <w:p>
            <w:pPr>
              <w:jc w:val="center"/>
              <w:rPr>
                <w:color w:val="auto"/>
                <w:szCs w:val="21"/>
              </w:rPr>
            </w:pPr>
            <w:r>
              <w:rPr>
                <w:rFonts w:hAnsi="宋体"/>
                <w:color w:val="auto"/>
                <w:szCs w:val="21"/>
              </w:rPr>
              <w:t>评价因子</w:t>
            </w:r>
          </w:p>
        </w:tc>
        <w:tc>
          <w:tcPr>
            <w:tcW w:w="6237" w:type="dxa"/>
            <w:gridSpan w:val="7"/>
            <w:vAlign w:val="center"/>
          </w:tcPr>
          <w:p>
            <w:pPr>
              <w:jc w:val="center"/>
              <w:rPr>
                <w:color w:val="auto"/>
                <w:szCs w:val="21"/>
              </w:rPr>
            </w:pPr>
            <w:r>
              <w:rPr>
                <w:rFonts w:hAnsi="宋体"/>
                <w:color w:val="auto"/>
                <w:szCs w:val="21"/>
              </w:rPr>
              <w:t>国家标准</w:t>
            </w:r>
            <w:r>
              <w:rPr>
                <w:color w:val="auto"/>
                <w:szCs w:val="21"/>
              </w:rPr>
              <w:t xml:space="preserve">√  </w:t>
            </w:r>
            <w:r>
              <w:rPr>
                <w:rFonts w:hAnsi="宋体"/>
                <w:color w:val="auto"/>
                <w:szCs w:val="21"/>
              </w:rPr>
              <w:t>地方标准</w:t>
            </w:r>
            <w:r>
              <w:rPr>
                <w:color w:val="auto"/>
                <w:szCs w:val="21"/>
              </w:rPr>
              <w:t xml:space="preserve">□  </w:t>
            </w:r>
            <w:r>
              <w:rPr>
                <w:rFonts w:hAnsi="宋体"/>
                <w:color w:val="auto"/>
                <w:szCs w:val="21"/>
              </w:rPr>
              <w:t>国外标准</w:t>
            </w:r>
            <w:r>
              <w:rPr>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restart"/>
            <w:vAlign w:val="center"/>
          </w:tcPr>
          <w:p>
            <w:pPr>
              <w:jc w:val="center"/>
              <w:rPr>
                <w:color w:val="auto"/>
                <w:szCs w:val="21"/>
              </w:rPr>
            </w:pPr>
            <w:r>
              <w:rPr>
                <w:rFonts w:hAnsi="宋体"/>
                <w:color w:val="auto"/>
                <w:szCs w:val="21"/>
              </w:rPr>
              <w:t>现状评价</w:t>
            </w:r>
          </w:p>
        </w:tc>
        <w:tc>
          <w:tcPr>
            <w:tcW w:w="1275" w:type="dxa"/>
            <w:vAlign w:val="center"/>
          </w:tcPr>
          <w:p>
            <w:pPr>
              <w:jc w:val="center"/>
              <w:rPr>
                <w:color w:val="auto"/>
                <w:szCs w:val="21"/>
              </w:rPr>
            </w:pPr>
            <w:r>
              <w:rPr>
                <w:rFonts w:hAnsi="宋体"/>
                <w:color w:val="auto"/>
                <w:szCs w:val="21"/>
              </w:rPr>
              <w:t>环境功能区</w:t>
            </w:r>
          </w:p>
        </w:tc>
        <w:tc>
          <w:tcPr>
            <w:tcW w:w="993" w:type="dxa"/>
            <w:vAlign w:val="center"/>
          </w:tcPr>
          <w:p>
            <w:pPr>
              <w:jc w:val="center"/>
              <w:rPr>
                <w:color w:val="auto"/>
                <w:szCs w:val="21"/>
              </w:rPr>
            </w:pPr>
            <w:r>
              <w:rPr>
                <w:color w:val="auto"/>
                <w:szCs w:val="21"/>
              </w:rPr>
              <w:t>0</w:t>
            </w:r>
            <w:r>
              <w:rPr>
                <w:rFonts w:hAnsi="宋体"/>
                <w:color w:val="auto"/>
                <w:szCs w:val="21"/>
              </w:rPr>
              <w:t>类区</w:t>
            </w:r>
            <w:r>
              <w:rPr>
                <w:color w:val="auto"/>
                <w:szCs w:val="21"/>
              </w:rPr>
              <w:t>□</w:t>
            </w:r>
          </w:p>
        </w:tc>
        <w:tc>
          <w:tcPr>
            <w:tcW w:w="1011" w:type="dxa"/>
            <w:vAlign w:val="center"/>
          </w:tcPr>
          <w:p>
            <w:pPr>
              <w:jc w:val="center"/>
              <w:rPr>
                <w:color w:val="auto"/>
                <w:szCs w:val="21"/>
              </w:rPr>
            </w:pPr>
            <w:r>
              <w:rPr>
                <w:color w:val="auto"/>
                <w:szCs w:val="21"/>
              </w:rPr>
              <w:t>1</w:t>
            </w:r>
            <w:r>
              <w:rPr>
                <w:rFonts w:hAnsi="宋体"/>
                <w:color w:val="auto"/>
                <w:szCs w:val="21"/>
              </w:rPr>
              <w:t>类区</w:t>
            </w:r>
            <w:r>
              <w:rPr>
                <w:color w:val="auto"/>
                <w:szCs w:val="21"/>
              </w:rPr>
              <w:t>□</w:t>
            </w:r>
          </w:p>
        </w:tc>
        <w:tc>
          <w:tcPr>
            <w:tcW w:w="973" w:type="dxa"/>
            <w:gridSpan w:val="2"/>
            <w:vAlign w:val="center"/>
          </w:tcPr>
          <w:p>
            <w:pPr>
              <w:jc w:val="center"/>
              <w:rPr>
                <w:color w:val="auto"/>
                <w:szCs w:val="21"/>
              </w:rPr>
            </w:pPr>
            <w:r>
              <w:rPr>
                <w:color w:val="auto"/>
                <w:szCs w:val="21"/>
              </w:rPr>
              <w:t>2</w:t>
            </w:r>
            <w:r>
              <w:rPr>
                <w:rFonts w:hAnsi="宋体"/>
                <w:color w:val="auto"/>
                <w:szCs w:val="21"/>
              </w:rPr>
              <w:t>类区</w:t>
            </w:r>
            <w:r>
              <w:rPr>
                <w:color w:val="auto"/>
                <w:szCs w:val="21"/>
              </w:rPr>
              <w:t>√</w:t>
            </w:r>
          </w:p>
        </w:tc>
        <w:tc>
          <w:tcPr>
            <w:tcW w:w="992" w:type="dxa"/>
            <w:vAlign w:val="center"/>
          </w:tcPr>
          <w:p>
            <w:pPr>
              <w:jc w:val="center"/>
              <w:rPr>
                <w:color w:val="auto"/>
                <w:szCs w:val="21"/>
              </w:rPr>
            </w:pPr>
            <w:r>
              <w:rPr>
                <w:color w:val="auto"/>
                <w:szCs w:val="21"/>
              </w:rPr>
              <w:t>3</w:t>
            </w:r>
            <w:r>
              <w:rPr>
                <w:rFonts w:hAnsi="宋体"/>
                <w:color w:val="auto"/>
                <w:szCs w:val="21"/>
              </w:rPr>
              <w:t>类区</w:t>
            </w:r>
            <w:r>
              <w:rPr>
                <w:color w:val="auto"/>
                <w:szCs w:val="21"/>
              </w:rPr>
              <w:t>□</w:t>
            </w:r>
          </w:p>
        </w:tc>
        <w:tc>
          <w:tcPr>
            <w:tcW w:w="993" w:type="dxa"/>
            <w:vAlign w:val="center"/>
          </w:tcPr>
          <w:p>
            <w:pPr>
              <w:jc w:val="center"/>
              <w:rPr>
                <w:color w:val="auto"/>
                <w:szCs w:val="21"/>
              </w:rPr>
            </w:pPr>
            <w:r>
              <w:rPr>
                <w:color w:val="auto"/>
                <w:szCs w:val="21"/>
              </w:rPr>
              <w:t>4a</w:t>
            </w:r>
            <w:r>
              <w:rPr>
                <w:rFonts w:hAnsi="宋体"/>
                <w:color w:val="auto"/>
                <w:szCs w:val="21"/>
              </w:rPr>
              <w:t>类区</w:t>
            </w:r>
            <w:r>
              <w:rPr>
                <w:color w:val="auto"/>
                <w:szCs w:val="21"/>
              </w:rPr>
              <w:t>□</w:t>
            </w:r>
          </w:p>
        </w:tc>
        <w:tc>
          <w:tcPr>
            <w:tcW w:w="1275" w:type="dxa"/>
            <w:vAlign w:val="center"/>
          </w:tcPr>
          <w:p>
            <w:pPr>
              <w:jc w:val="center"/>
              <w:rPr>
                <w:color w:val="auto"/>
                <w:szCs w:val="21"/>
              </w:rPr>
            </w:pPr>
            <w:r>
              <w:rPr>
                <w:color w:val="auto"/>
                <w:szCs w:val="21"/>
              </w:rPr>
              <w:t>4b</w:t>
            </w:r>
            <w:r>
              <w:rPr>
                <w:rFonts w:hAnsi="宋体"/>
                <w:color w:val="auto"/>
                <w:szCs w:val="21"/>
              </w:rPr>
              <w:t>类区</w:t>
            </w:r>
            <w:r>
              <w:rPr>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pPr>
              <w:jc w:val="center"/>
              <w:rPr>
                <w:color w:val="auto"/>
                <w:szCs w:val="21"/>
              </w:rPr>
            </w:pPr>
          </w:p>
        </w:tc>
        <w:tc>
          <w:tcPr>
            <w:tcW w:w="1275" w:type="dxa"/>
            <w:vAlign w:val="center"/>
          </w:tcPr>
          <w:p>
            <w:pPr>
              <w:jc w:val="center"/>
              <w:rPr>
                <w:color w:val="auto"/>
                <w:szCs w:val="21"/>
              </w:rPr>
            </w:pPr>
            <w:r>
              <w:rPr>
                <w:rFonts w:hAnsi="宋体"/>
                <w:color w:val="auto"/>
                <w:szCs w:val="21"/>
              </w:rPr>
              <w:t>评价年度</w:t>
            </w:r>
          </w:p>
        </w:tc>
        <w:tc>
          <w:tcPr>
            <w:tcW w:w="2004" w:type="dxa"/>
            <w:gridSpan w:val="2"/>
            <w:vAlign w:val="center"/>
          </w:tcPr>
          <w:p>
            <w:pPr>
              <w:jc w:val="center"/>
              <w:rPr>
                <w:color w:val="auto"/>
                <w:szCs w:val="21"/>
              </w:rPr>
            </w:pPr>
            <w:r>
              <w:rPr>
                <w:rFonts w:hAnsi="宋体"/>
                <w:color w:val="auto"/>
                <w:szCs w:val="21"/>
              </w:rPr>
              <w:t>初期</w:t>
            </w:r>
            <w:r>
              <w:rPr>
                <w:color w:val="auto"/>
                <w:szCs w:val="21"/>
              </w:rPr>
              <w:t>□</w:t>
            </w:r>
          </w:p>
        </w:tc>
        <w:tc>
          <w:tcPr>
            <w:tcW w:w="973" w:type="dxa"/>
            <w:gridSpan w:val="2"/>
            <w:vAlign w:val="center"/>
          </w:tcPr>
          <w:p>
            <w:pPr>
              <w:jc w:val="center"/>
              <w:rPr>
                <w:color w:val="auto"/>
                <w:szCs w:val="21"/>
              </w:rPr>
            </w:pPr>
            <w:r>
              <w:rPr>
                <w:rFonts w:hAnsi="宋体"/>
                <w:color w:val="auto"/>
                <w:szCs w:val="21"/>
              </w:rPr>
              <w:t>近期</w:t>
            </w:r>
            <w:r>
              <w:rPr>
                <w:color w:val="auto"/>
                <w:szCs w:val="21"/>
              </w:rPr>
              <w:t>√</w:t>
            </w:r>
          </w:p>
        </w:tc>
        <w:tc>
          <w:tcPr>
            <w:tcW w:w="992" w:type="dxa"/>
            <w:vAlign w:val="center"/>
          </w:tcPr>
          <w:p>
            <w:pPr>
              <w:jc w:val="center"/>
              <w:rPr>
                <w:color w:val="auto"/>
                <w:szCs w:val="21"/>
              </w:rPr>
            </w:pPr>
            <w:r>
              <w:rPr>
                <w:rFonts w:hAnsi="宋体"/>
                <w:color w:val="auto"/>
                <w:szCs w:val="21"/>
              </w:rPr>
              <w:t>中期</w:t>
            </w:r>
            <w:r>
              <w:rPr>
                <w:color w:val="auto"/>
                <w:szCs w:val="21"/>
              </w:rPr>
              <w:t>□</w:t>
            </w:r>
          </w:p>
        </w:tc>
        <w:tc>
          <w:tcPr>
            <w:tcW w:w="2268" w:type="dxa"/>
            <w:gridSpan w:val="2"/>
            <w:vAlign w:val="center"/>
          </w:tcPr>
          <w:p>
            <w:pPr>
              <w:jc w:val="center"/>
              <w:rPr>
                <w:color w:val="auto"/>
                <w:szCs w:val="21"/>
              </w:rPr>
            </w:pPr>
            <w:r>
              <w:rPr>
                <w:rFonts w:hAnsi="宋体"/>
                <w:color w:val="auto"/>
                <w:szCs w:val="21"/>
              </w:rPr>
              <w:t>远期</w:t>
            </w:r>
            <w:r>
              <w:rPr>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pPr>
              <w:jc w:val="center"/>
              <w:rPr>
                <w:color w:val="auto"/>
                <w:szCs w:val="21"/>
              </w:rPr>
            </w:pPr>
          </w:p>
        </w:tc>
        <w:tc>
          <w:tcPr>
            <w:tcW w:w="1275" w:type="dxa"/>
            <w:vAlign w:val="center"/>
          </w:tcPr>
          <w:p>
            <w:pPr>
              <w:jc w:val="center"/>
              <w:rPr>
                <w:color w:val="auto"/>
                <w:szCs w:val="21"/>
              </w:rPr>
            </w:pPr>
            <w:r>
              <w:rPr>
                <w:rFonts w:hAnsi="宋体"/>
                <w:color w:val="auto"/>
                <w:szCs w:val="21"/>
              </w:rPr>
              <w:t>现状调查</w:t>
            </w:r>
          </w:p>
          <w:p>
            <w:pPr>
              <w:jc w:val="center"/>
              <w:rPr>
                <w:color w:val="auto"/>
                <w:szCs w:val="21"/>
              </w:rPr>
            </w:pPr>
            <w:r>
              <w:rPr>
                <w:rFonts w:hAnsi="宋体"/>
                <w:color w:val="auto"/>
                <w:szCs w:val="21"/>
              </w:rPr>
              <w:t>方法</w:t>
            </w:r>
          </w:p>
        </w:tc>
        <w:tc>
          <w:tcPr>
            <w:tcW w:w="6237" w:type="dxa"/>
            <w:gridSpan w:val="7"/>
            <w:vAlign w:val="center"/>
          </w:tcPr>
          <w:p>
            <w:pPr>
              <w:jc w:val="center"/>
              <w:rPr>
                <w:color w:val="auto"/>
                <w:szCs w:val="21"/>
              </w:rPr>
            </w:pPr>
            <w:r>
              <w:rPr>
                <w:rFonts w:hAnsi="宋体"/>
                <w:color w:val="auto"/>
                <w:szCs w:val="21"/>
              </w:rPr>
              <w:t>现场实测法</w:t>
            </w:r>
            <w:r>
              <w:rPr>
                <w:color w:val="auto"/>
                <w:szCs w:val="21"/>
              </w:rPr>
              <w:t>√</w:t>
            </w:r>
            <w:r>
              <w:rPr>
                <w:rFonts w:hAnsi="宋体"/>
                <w:color w:val="auto"/>
                <w:szCs w:val="21"/>
              </w:rPr>
              <w:t>现场实测加模型计算法</w:t>
            </w:r>
            <w:r>
              <w:rPr>
                <w:color w:val="auto"/>
                <w:szCs w:val="21"/>
              </w:rPr>
              <w:t xml:space="preserve">□  </w:t>
            </w:r>
            <w:r>
              <w:rPr>
                <w:rFonts w:hAnsi="宋体"/>
                <w:color w:val="auto"/>
                <w:szCs w:val="21"/>
              </w:rPr>
              <w:t>收集资料</w:t>
            </w:r>
            <w:r>
              <w:rPr>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pPr>
              <w:jc w:val="center"/>
              <w:rPr>
                <w:color w:val="auto"/>
                <w:szCs w:val="21"/>
              </w:rPr>
            </w:pPr>
          </w:p>
        </w:tc>
        <w:tc>
          <w:tcPr>
            <w:tcW w:w="1275" w:type="dxa"/>
            <w:vAlign w:val="center"/>
          </w:tcPr>
          <w:p>
            <w:pPr>
              <w:jc w:val="center"/>
              <w:rPr>
                <w:color w:val="auto"/>
                <w:szCs w:val="21"/>
              </w:rPr>
            </w:pPr>
            <w:r>
              <w:rPr>
                <w:rFonts w:hAnsi="宋体"/>
                <w:color w:val="auto"/>
                <w:szCs w:val="21"/>
              </w:rPr>
              <w:t>现状评价</w:t>
            </w:r>
          </w:p>
        </w:tc>
        <w:tc>
          <w:tcPr>
            <w:tcW w:w="2004" w:type="dxa"/>
            <w:gridSpan w:val="2"/>
            <w:vAlign w:val="center"/>
          </w:tcPr>
          <w:p>
            <w:pPr>
              <w:jc w:val="center"/>
              <w:rPr>
                <w:color w:val="auto"/>
                <w:szCs w:val="21"/>
              </w:rPr>
            </w:pPr>
            <w:r>
              <w:rPr>
                <w:rFonts w:hAnsi="宋体"/>
                <w:color w:val="auto"/>
                <w:szCs w:val="21"/>
              </w:rPr>
              <w:t>达标百分比</w:t>
            </w:r>
          </w:p>
        </w:tc>
        <w:tc>
          <w:tcPr>
            <w:tcW w:w="4233" w:type="dxa"/>
            <w:gridSpan w:val="5"/>
            <w:vAlign w:val="center"/>
          </w:tcPr>
          <w:p>
            <w:pPr>
              <w:jc w:val="center"/>
              <w:rPr>
                <w:color w:val="auto"/>
                <w:szCs w:val="21"/>
              </w:rPr>
            </w:pPr>
            <w:r>
              <w:rPr>
                <w:color w:val="auto"/>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Align w:val="center"/>
          </w:tcPr>
          <w:p>
            <w:pPr>
              <w:jc w:val="center"/>
              <w:rPr>
                <w:color w:val="auto"/>
                <w:szCs w:val="21"/>
              </w:rPr>
            </w:pPr>
            <w:r>
              <w:rPr>
                <w:rFonts w:hAnsi="宋体"/>
                <w:color w:val="auto"/>
                <w:szCs w:val="21"/>
              </w:rPr>
              <w:t>噪声源</w:t>
            </w:r>
          </w:p>
          <w:p>
            <w:pPr>
              <w:jc w:val="center"/>
              <w:rPr>
                <w:color w:val="auto"/>
                <w:szCs w:val="21"/>
              </w:rPr>
            </w:pPr>
            <w:r>
              <w:rPr>
                <w:rFonts w:hAnsi="宋体"/>
                <w:color w:val="auto"/>
                <w:szCs w:val="21"/>
              </w:rPr>
              <w:t>调查</w:t>
            </w:r>
          </w:p>
        </w:tc>
        <w:tc>
          <w:tcPr>
            <w:tcW w:w="1275" w:type="dxa"/>
            <w:vAlign w:val="center"/>
          </w:tcPr>
          <w:p>
            <w:pPr>
              <w:jc w:val="center"/>
              <w:rPr>
                <w:color w:val="auto"/>
                <w:szCs w:val="21"/>
              </w:rPr>
            </w:pPr>
            <w:r>
              <w:rPr>
                <w:rFonts w:hAnsi="宋体"/>
                <w:color w:val="auto"/>
                <w:szCs w:val="21"/>
              </w:rPr>
              <w:t>噪声源调查方法</w:t>
            </w:r>
          </w:p>
        </w:tc>
        <w:tc>
          <w:tcPr>
            <w:tcW w:w="6237" w:type="dxa"/>
            <w:gridSpan w:val="7"/>
            <w:vAlign w:val="center"/>
          </w:tcPr>
          <w:p>
            <w:pPr>
              <w:jc w:val="center"/>
              <w:rPr>
                <w:color w:val="auto"/>
                <w:szCs w:val="21"/>
              </w:rPr>
            </w:pPr>
            <w:r>
              <w:rPr>
                <w:rFonts w:hAnsi="宋体"/>
                <w:color w:val="auto"/>
                <w:szCs w:val="21"/>
              </w:rPr>
              <w:t>现场实测</w:t>
            </w:r>
            <w:r>
              <w:rPr>
                <w:color w:val="auto"/>
                <w:szCs w:val="21"/>
              </w:rPr>
              <w:t>√</w:t>
            </w:r>
            <w:r>
              <w:rPr>
                <w:rFonts w:hAnsi="宋体"/>
                <w:color w:val="auto"/>
                <w:szCs w:val="21"/>
              </w:rPr>
              <w:t>已有资料</w:t>
            </w:r>
            <w:r>
              <w:rPr>
                <w:color w:val="auto"/>
                <w:szCs w:val="21"/>
              </w:rPr>
              <w:t xml:space="preserve">√  </w:t>
            </w:r>
            <w:r>
              <w:rPr>
                <w:rFonts w:hAnsi="宋体"/>
                <w:color w:val="auto"/>
                <w:szCs w:val="21"/>
              </w:rPr>
              <w:t>研究成果</w:t>
            </w:r>
            <w:r>
              <w:rPr>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restart"/>
            <w:vAlign w:val="center"/>
          </w:tcPr>
          <w:p>
            <w:pPr>
              <w:jc w:val="center"/>
              <w:rPr>
                <w:color w:val="auto"/>
                <w:szCs w:val="21"/>
              </w:rPr>
            </w:pPr>
            <w:r>
              <w:rPr>
                <w:rFonts w:hAnsi="宋体"/>
                <w:color w:val="auto"/>
                <w:szCs w:val="21"/>
              </w:rPr>
              <w:t>声环境影响预测与评价</w:t>
            </w:r>
          </w:p>
        </w:tc>
        <w:tc>
          <w:tcPr>
            <w:tcW w:w="1275" w:type="dxa"/>
            <w:vAlign w:val="center"/>
          </w:tcPr>
          <w:p>
            <w:pPr>
              <w:jc w:val="center"/>
              <w:rPr>
                <w:color w:val="auto"/>
                <w:szCs w:val="21"/>
              </w:rPr>
            </w:pPr>
            <w:r>
              <w:rPr>
                <w:rFonts w:hAnsi="宋体"/>
                <w:color w:val="auto"/>
                <w:szCs w:val="21"/>
              </w:rPr>
              <w:t>预测模型</w:t>
            </w:r>
          </w:p>
        </w:tc>
        <w:tc>
          <w:tcPr>
            <w:tcW w:w="6237" w:type="dxa"/>
            <w:gridSpan w:val="7"/>
            <w:vAlign w:val="center"/>
          </w:tcPr>
          <w:p>
            <w:pPr>
              <w:jc w:val="center"/>
              <w:rPr>
                <w:color w:val="auto"/>
                <w:szCs w:val="21"/>
              </w:rPr>
            </w:pPr>
            <w:r>
              <w:rPr>
                <w:rFonts w:hAnsi="宋体"/>
                <w:color w:val="auto"/>
                <w:szCs w:val="21"/>
              </w:rPr>
              <w:t>导则推荐模型</w:t>
            </w:r>
            <w:r>
              <w:rPr>
                <w:color w:val="auto"/>
                <w:szCs w:val="21"/>
              </w:rPr>
              <w:t xml:space="preserve">√           </w:t>
            </w:r>
            <w:r>
              <w:rPr>
                <w:rFonts w:hAnsi="宋体"/>
                <w:color w:val="auto"/>
                <w:szCs w:val="21"/>
              </w:rPr>
              <w:t>其他</w:t>
            </w:r>
            <w:r>
              <w:rPr>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pPr>
              <w:jc w:val="center"/>
              <w:rPr>
                <w:color w:val="auto"/>
                <w:szCs w:val="21"/>
              </w:rPr>
            </w:pPr>
          </w:p>
        </w:tc>
        <w:tc>
          <w:tcPr>
            <w:tcW w:w="1275" w:type="dxa"/>
            <w:vAlign w:val="center"/>
          </w:tcPr>
          <w:p>
            <w:pPr>
              <w:jc w:val="center"/>
              <w:rPr>
                <w:color w:val="auto"/>
                <w:szCs w:val="21"/>
              </w:rPr>
            </w:pPr>
            <w:r>
              <w:rPr>
                <w:rFonts w:hAnsi="宋体"/>
                <w:color w:val="auto"/>
                <w:szCs w:val="21"/>
              </w:rPr>
              <w:t>预测范围</w:t>
            </w:r>
          </w:p>
        </w:tc>
        <w:tc>
          <w:tcPr>
            <w:tcW w:w="6237" w:type="dxa"/>
            <w:gridSpan w:val="7"/>
            <w:vAlign w:val="center"/>
          </w:tcPr>
          <w:p>
            <w:pPr>
              <w:jc w:val="center"/>
              <w:rPr>
                <w:color w:val="auto"/>
                <w:szCs w:val="21"/>
              </w:rPr>
            </w:pPr>
            <w:r>
              <w:rPr>
                <w:color w:val="auto"/>
                <w:szCs w:val="21"/>
              </w:rPr>
              <w:t xml:space="preserve">200m√  </w:t>
            </w:r>
            <w:r>
              <w:rPr>
                <w:rFonts w:hAnsi="宋体"/>
                <w:color w:val="auto"/>
                <w:szCs w:val="21"/>
              </w:rPr>
              <w:t>大于</w:t>
            </w:r>
            <w:r>
              <w:rPr>
                <w:color w:val="auto"/>
                <w:szCs w:val="21"/>
              </w:rPr>
              <w:t xml:space="preserve">200m□  </w:t>
            </w:r>
            <w:r>
              <w:rPr>
                <w:rFonts w:hAnsi="宋体"/>
                <w:color w:val="auto"/>
                <w:szCs w:val="21"/>
              </w:rPr>
              <w:t>小于</w:t>
            </w:r>
            <w:r>
              <w:rPr>
                <w:color w:val="auto"/>
                <w:szCs w:val="21"/>
              </w:rPr>
              <w:t>200m□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pPr>
              <w:pStyle w:val="38"/>
              <w:spacing w:before="0" w:line="240" w:lineRule="auto"/>
              <w:ind w:left="0" w:firstLine="0" w:firstLineChars="0"/>
              <w:jc w:val="center"/>
              <w:rPr>
                <w:b w:val="0"/>
                <w:color w:val="auto"/>
                <w:sz w:val="21"/>
                <w:szCs w:val="21"/>
              </w:rPr>
            </w:pPr>
          </w:p>
        </w:tc>
        <w:tc>
          <w:tcPr>
            <w:tcW w:w="1275" w:type="dxa"/>
            <w:vAlign w:val="center"/>
          </w:tcPr>
          <w:p>
            <w:pPr>
              <w:pStyle w:val="38"/>
              <w:spacing w:before="0" w:line="240" w:lineRule="auto"/>
              <w:ind w:left="0" w:firstLine="0" w:firstLineChars="0"/>
              <w:jc w:val="center"/>
              <w:rPr>
                <w:b w:val="0"/>
                <w:color w:val="auto"/>
                <w:sz w:val="21"/>
                <w:szCs w:val="21"/>
              </w:rPr>
            </w:pPr>
            <w:r>
              <w:rPr>
                <w:rFonts w:hAnsi="宋体"/>
                <w:b w:val="0"/>
                <w:color w:val="auto"/>
                <w:sz w:val="21"/>
                <w:szCs w:val="21"/>
              </w:rPr>
              <w:t>预测因子</w:t>
            </w:r>
          </w:p>
        </w:tc>
        <w:tc>
          <w:tcPr>
            <w:tcW w:w="6237" w:type="dxa"/>
            <w:gridSpan w:val="7"/>
            <w:vAlign w:val="center"/>
          </w:tcPr>
          <w:p>
            <w:pPr>
              <w:pStyle w:val="38"/>
              <w:spacing w:before="0" w:line="240" w:lineRule="auto"/>
              <w:ind w:left="0" w:firstLine="0" w:firstLineChars="0"/>
              <w:jc w:val="center"/>
              <w:rPr>
                <w:b w:val="0"/>
                <w:color w:val="auto"/>
                <w:sz w:val="21"/>
                <w:szCs w:val="21"/>
              </w:rPr>
            </w:pPr>
            <w:r>
              <w:rPr>
                <w:rFonts w:hAnsi="宋体"/>
                <w:b w:val="0"/>
                <w:color w:val="auto"/>
                <w:sz w:val="21"/>
                <w:szCs w:val="21"/>
              </w:rPr>
              <w:t>等效连续</w:t>
            </w:r>
            <w:r>
              <w:rPr>
                <w:b w:val="0"/>
                <w:color w:val="auto"/>
                <w:sz w:val="21"/>
                <w:szCs w:val="21"/>
              </w:rPr>
              <w:t>A</w:t>
            </w:r>
            <w:r>
              <w:rPr>
                <w:rFonts w:hAnsi="宋体"/>
                <w:b w:val="0"/>
                <w:color w:val="auto"/>
                <w:sz w:val="21"/>
                <w:szCs w:val="21"/>
              </w:rPr>
              <w:t>声级</w:t>
            </w:r>
            <w:r>
              <w:rPr>
                <w:b w:val="0"/>
                <w:color w:val="auto"/>
                <w:sz w:val="21"/>
                <w:szCs w:val="21"/>
              </w:rPr>
              <w:t xml:space="preserve">√  </w:t>
            </w:r>
            <w:r>
              <w:rPr>
                <w:rFonts w:hAnsi="宋体"/>
                <w:b w:val="0"/>
                <w:color w:val="auto"/>
                <w:sz w:val="21"/>
                <w:szCs w:val="21"/>
              </w:rPr>
              <w:t>最大</w:t>
            </w:r>
            <w:r>
              <w:rPr>
                <w:b w:val="0"/>
                <w:color w:val="auto"/>
                <w:sz w:val="21"/>
                <w:szCs w:val="21"/>
              </w:rPr>
              <w:t>A</w:t>
            </w:r>
            <w:r>
              <w:rPr>
                <w:rFonts w:hAnsi="宋体"/>
                <w:b w:val="0"/>
                <w:color w:val="auto"/>
                <w:sz w:val="21"/>
                <w:szCs w:val="21"/>
              </w:rPr>
              <w:t>声级</w:t>
            </w:r>
            <w:r>
              <w:rPr>
                <w:b w:val="0"/>
                <w:color w:val="auto"/>
                <w:sz w:val="21"/>
                <w:szCs w:val="21"/>
              </w:rPr>
              <w:t xml:space="preserve">□  </w:t>
            </w:r>
            <w:r>
              <w:rPr>
                <w:rFonts w:hAnsi="宋体"/>
                <w:b w:val="0"/>
                <w:color w:val="auto"/>
                <w:sz w:val="21"/>
                <w:szCs w:val="21"/>
              </w:rPr>
              <w:t>计权等效连续感觉噪声级</w:t>
            </w:r>
            <w:r>
              <w:rPr>
                <w:b w:val="0"/>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pPr>
              <w:pStyle w:val="38"/>
              <w:spacing w:before="0" w:line="240" w:lineRule="auto"/>
              <w:ind w:left="0" w:firstLine="0" w:firstLineChars="0"/>
              <w:jc w:val="center"/>
              <w:rPr>
                <w:b w:val="0"/>
                <w:color w:val="auto"/>
                <w:sz w:val="21"/>
                <w:szCs w:val="21"/>
              </w:rPr>
            </w:pPr>
          </w:p>
        </w:tc>
        <w:tc>
          <w:tcPr>
            <w:tcW w:w="1275" w:type="dxa"/>
            <w:vAlign w:val="center"/>
          </w:tcPr>
          <w:p>
            <w:pPr>
              <w:pStyle w:val="38"/>
              <w:spacing w:before="0" w:line="240" w:lineRule="auto"/>
              <w:ind w:left="0" w:firstLine="0" w:firstLineChars="0"/>
              <w:jc w:val="center"/>
              <w:rPr>
                <w:b w:val="0"/>
                <w:color w:val="auto"/>
                <w:sz w:val="21"/>
                <w:szCs w:val="21"/>
              </w:rPr>
            </w:pPr>
            <w:r>
              <w:rPr>
                <w:rFonts w:hAnsi="宋体"/>
                <w:b w:val="0"/>
                <w:color w:val="auto"/>
                <w:sz w:val="21"/>
                <w:szCs w:val="21"/>
              </w:rPr>
              <w:t>厂界噪声贡献值</w:t>
            </w:r>
          </w:p>
        </w:tc>
        <w:tc>
          <w:tcPr>
            <w:tcW w:w="6237" w:type="dxa"/>
            <w:gridSpan w:val="7"/>
            <w:vAlign w:val="center"/>
          </w:tcPr>
          <w:p>
            <w:pPr>
              <w:pStyle w:val="38"/>
              <w:spacing w:before="0" w:line="240" w:lineRule="auto"/>
              <w:ind w:left="0" w:firstLine="0" w:firstLineChars="0"/>
              <w:jc w:val="center"/>
              <w:rPr>
                <w:b w:val="0"/>
                <w:color w:val="auto"/>
                <w:sz w:val="21"/>
                <w:szCs w:val="21"/>
              </w:rPr>
            </w:pPr>
            <w:r>
              <w:rPr>
                <w:rFonts w:hAnsi="宋体"/>
                <w:b w:val="0"/>
                <w:color w:val="auto"/>
                <w:sz w:val="21"/>
                <w:szCs w:val="21"/>
              </w:rPr>
              <w:t>达标</w:t>
            </w:r>
            <w:r>
              <w:rPr>
                <w:b w:val="0"/>
                <w:color w:val="auto"/>
                <w:sz w:val="21"/>
                <w:szCs w:val="21"/>
              </w:rPr>
              <w:t xml:space="preserve">√  </w:t>
            </w:r>
            <w:r>
              <w:rPr>
                <w:rFonts w:hAnsi="宋体"/>
                <w:b w:val="0"/>
                <w:color w:val="auto"/>
                <w:sz w:val="21"/>
                <w:szCs w:val="21"/>
              </w:rPr>
              <w:t>不达标</w:t>
            </w:r>
            <w:r>
              <w:rPr>
                <w:b w:val="0"/>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pPr>
              <w:pStyle w:val="38"/>
              <w:spacing w:before="0" w:line="240" w:lineRule="auto"/>
              <w:ind w:left="0" w:firstLine="0" w:firstLineChars="0"/>
              <w:jc w:val="center"/>
              <w:rPr>
                <w:b w:val="0"/>
                <w:color w:val="auto"/>
                <w:sz w:val="21"/>
                <w:szCs w:val="21"/>
              </w:rPr>
            </w:pPr>
          </w:p>
        </w:tc>
        <w:tc>
          <w:tcPr>
            <w:tcW w:w="1275" w:type="dxa"/>
            <w:vAlign w:val="center"/>
          </w:tcPr>
          <w:p>
            <w:pPr>
              <w:pStyle w:val="38"/>
              <w:spacing w:before="0" w:line="240" w:lineRule="auto"/>
              <w:ind w:left="0" w:firstLine="0" w:firstLineChars="0"/>
              <w:jc w:val="center"/>
              <w:rPr>
                <w:b w:val="0"/>
                <w:color w:val="auto"/>
                <w:sz w:val="21"/>
                <w:szCs w:val="21"/>
              </w:rPr>
            </w:pPr>
            <w:r>
              <w:rPr>
                <w:rFonts w:hAnsi="宋体"/>
                <w:b w:val="0"/>
                <w:color w:val="auto"/>
                <w:sz w:val="21"/>
                <w:szCs w:val="21"/>
              </w:rPr>
              <w:t>声环境保护目标出噪声值</w:t>
            </w:r>
          </w:p>
        </w:tc>
        <w:tc>
          <w:tcPr>
            <w:tcW w:w="6237" w:type="dxa"/>
            <w:gridSpan w:val="7"/>
            <w:vAlign w:val="center"/>
          </w:tcPr>
          <w:p>
            <w:pPr>
              <w:pStyle w:val="38"/>
              <w:spacing w:before="0" w:line="240" w:lineRule="auto"/>
              <w:ind w:left="0" w:firstLine="0" w:firstLineChars="0"/>
              <w:jc w:val="center"/>
              <w:rPr>
                <w:b w:val="0"/>
                <w:color w:val="auto"/>
                <w:sz w:val="21"/>
                <w:szCs w:val="21"/>
              </w:rPr>
            </w:pPr>
            <w:r>
              <w:rPr>
                <w:rFonts w:hAnsi="宋体"/>
                <w:b w:val="0"/>
                <w:color w:val="auto"/>
                <w:sz w:val="21"/>
                <w:szCs w:val="21"/>
              </w:rPr>
              <w:t>达标</w:t>
            </w:r>
            <w:r>
              <w:rPr>
                <w:b w:val="0"/>
                <w:color w:val="auto"/>
                <w:sz w:val="21"/>
                <w:szCs w:val="21"/>
              </w:rPr>
              <w:t xml:space="preserve">□  </w:t>
            </w:r>
            <w:r>
              <w:rPr>
                <w:rFonts w:hAnsi="宋体"/>
                <w:b w:val="0"/>
                <w:color w:val="auto"/>
                <w:sz w:val="21"/>
                <w:szCs w:val="21"/>
              </w:rPr>
              <w:t>不达标</w:t>
            </w:r>
            <w:r>
              <w:rPr>
                <w:b w:val="0"/>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restart"/>
            <w:vAlign w:val="center"/>
          </w:tcPr>
          <w:p>
            <w:pPr>
              <w:pStyle w:val="38"/>
              <w:spacing w:before="0" w:line="240" w:lineRule="auto"/>
              <w:ind w:left="0" w:firstLine="0" w:firstLineChars="0"/>
              <w:jc w:val="center"/>
              <w:rPr>
                <w:b w:val="0"/>
                <w:color w:val="auto"/>
                <w:sz w:val="21"/>
                <w:szCs w:val="21"/>
              </w:rPr>
            </w:pPr>
            <w:r>
              <w:rPr>
                <w:rFonts w:hAnsi="宋体"/>
                <w:b w:val="0"/>
                <w:color w:val="auto"/>
                <w:sz w:val="21"/>
                <w:szCs w:val="21"/>
              </w:rPr>
              <w:t>环境监测计划</w:t>
            </w:r>
          </w:p>
        </w:tc>
        <w:tc>
          <w:tcPr>
            <w:tcW w:w="1275" w:type="dxa"/>
            <w:vAlign w:val="center"/>
          </w:tcPr>
          <w:p>
            <w:pPr>
              <w:pStyle w:val="38"/>
              <w:spacing w:before="0" w:line="240" w:lineRule="auto"/>
              <w:ind w:left="0" w:firstLine="0" w:firstLineChars="0"/>
              <w:jc w:val="center"/>
              <w:rPr>
                <w:b w:val="0"/>
                <w:color w:val="auto"/>
                <w:sz w:val="21"/>
                <w:szCs w:val="21"/>
              </w:rPr>
            </w:pPr>
            <w:r>
              <w:rPr>
                <w:rFonts w:hAnsi="宋体"/>
                <w:b w:val="0"/>
                <w:color w:val="auto"/>
                <w:sz w:val="21"/>
                <w:szCs w:val="21"/>
              </w:rPr>
              <w:t>排放监测</w:t>
            </w:r>
          </w:p>
        </w:tc>
        <w:tc>
          <w:tcPr>
            <w:tcW w:w="6237" w:type="dxa"/>
            <w:gridSpan w:val="7"/>
            <w:vAlign w:val="center"/>
          </w:tcPr>
          <w:p>
            <w:pPr>
              <w:pStyle w:val="38"/>
              <w:spacing w:before="0" w:line="240" w:lineRule="auto"/>
              <w:ind w:left="0" w:firstLine="0" w:firstLineChars="0"/>
              <w:jc w:val="center"/>
              <w:rPr>
                <w:b w:val="0"/>
                <w:color w:val="auto"/>
                <w:sz w:val="21"/>
                <w:szCs w:val="21"/>
              </w:rPr>
            </w:pPr>
            <w:r>
              <w:rPr>
                <w:rFonts w:hAnsi="宋体"/>
                <w:b w:val="0"/>
                <w:color w:val="auto"/>
                <w:sz w:val="21"/>
                <w:szCs w:val="21"/>
              </w:rPr>
              <w:t>厂界监测</w:t>
            </w:r>
            <w:r>
              <w:rPr>
                <w:b w:val="0"/>
                <w:color w:val="auto"/>
                <w:sz w:val="21"/>
                <w:szCs w:val="21"/>
              </w:rPr>
              <w:t xml:space="preserve">□ </w:t>
            </w:r>
            <w:r>
              <w:rPr>
                <w:rFonts w:hAnsi="宋体"/>
                <w:b w:val="0"/>
                <w:color w:val="auto"/>
                <w:sz w:val="21"/>
                <w:szCs w:val="21"/>
              </w:rPr>
              <w:t>固定位置监测</w:t>
            </w:r>
            <w:r>
              <w:rPr>
                <w:b w:val="0"/>
                <w:color w:val="auto"/>
                <w:sz w:val="21"/>
                <w:szCs w:val="21"/>
              </w:rPr>
              <w:t xml:space="preserve">□  </w:t>
            </w:r>
            <w:r>
              <w:rPr>
                <w:rFonts w:hAnsi="宋体"/>
                <w:b w:val="0"/>
                <w:color w:val="auto"/>
                <w:sz w:val="21"/>
                <w:szCs w:val="21"/>
              </w:rPr>
              <w:t>自动监测</w:t>
            </w:r>
            <w:r>
              <w:rPr>
                <w:b w:val="0"/>
                <w:color w:val="auto"/>
                <w:sz w:val="21"/>
                <w:szCs w:val="21"/>
              </w:rPr>
              <w:t xml:space="preserve">□ </w:t>
            </w:r>
            <w:r>
              <w:rPr>
                <w:rFonts w:hAnsi="宋体"/>
                <w:b w:val="0"/>
                <w:color w:val="auto"/>
                <w:sz w:val="21"/>
                <w:szCs w:val="21"/>
              </w:rPr>
              <w:t>手动监测</w:t>
            </w:r>
            <w:r>
              <w:rPr>
                <w:b w:val="0"/>
                <w:color w:val="auto"/>
                <w:sz w:val="21"/>
                <w:szCs w:val="21"/>
              </w:rPr>
              <w:t xml:space="preserve">√  </w:t>
            </w:r>
            <w:r>
              <w:rPr>
                <w:rFonts w:hAnsi="宋体"/>
                <w:b w:val="0"/>
                <w:color w:val="auto"/>
                <w:sz w:val="21"/>
                <w:szCs w:val="21"/>
              </w:rPr>
              <w:t>无监测</w:t>
            </w:r>
            <w:r>
              <w:rPr>
                <w:b w:val="0"/>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pPr>
              <w:pStyle w:val="38"/>
              <w:spacing w:before="0" w:line="240" w:lineRule="auto"/>
              <w:ind w:left="0" w:firstLine="0" w:firstLineChars="0"/>
              <w:jc w:val="center"/>
              <w:rPr>
                <w:b w:val="0"/>
                <w:color w:val="auto"/>
                <w:sz w:val="21"/>
                <w:szCs w:val="21"/>
              </w:rPr>
            </w:pPr>
          </w:p>
        </w:tc>
        <w:tc>
          <w:tcPr>
            <w:tcW w:w="1275" w:type="dxa"/>
            <w:vAlign w:val="center"/>
          </w:tcPr>
          <w:p>
            <w:pPr>
              <w:pStyle w:val="38"/>
              <w:spacing w:before="0" w:line="240" w:lineRule="auto"/>
              <w:ind w:left="0" w:firstLine="0" w:firstLineChars="0"/>
              <w:jc w:val="center"/>
              <w:rPr>
                <w:b w:val="0"/>
                <w:color w:val="auto"/>
                <w:sz w:val="21"/>
                <w:szCs w:val="21"/>
              </w:rPr>
            </w:pPr>
            <w:r>
              <w:rPr>
                <w:rFonts w:hAnsi="宋体"/>
                <w:b w:val="0"/>
                <w:color w:val="auto"/>
                <w:sz w:val="21"/>
                <w:szCs w:val="21"/>
              </w:rPr>
              <w:t>声环境保护目标处噪声监测</w:t>
            </w:r>
          </w:p>
        </w:tc>
        <w:tc>
          <w:tcPr>
            <w:tcW w:w="2835" w:type="dxa"/>
            <w:gridSpan w:val="3"/>
            <w:vAlign w:val="center"/>
          </w:tcPr>
          <w:p>
            <w:pPr>
              <w:pStyle w:val="38"/>
              <w:spacing w:before="0" w:line="240" w:lineRule="auto"/>
              <w:ind w:left="0" w:firstLine="0" w:firstLineChars="0"/>
              <w:jc w:val="center"/>
              <w:rPr>
                <w:b w:val="0"/>
                <w:color w:val="auto"/>
                <w:sz w:val="21"/>
                <w:szCs w:val="21"/>
              </w:rPr>
            </w:pPr>
            <w:r>
              <w:rPr>
                <w:rFonts w:hAnsi="宋体"/>
                <w:b w:val="0"/>
                <w:color w:val="auto"/>
                <w:sz w:val="21"/>
                <w:szCs w:val="21"/>
              </w:rPr>
              <w:t>监测因子：（等效</w:t>
            </w:r>
            <w:r>
              <w:rPr>
                <w:b w:val="0"/>
                <w:color w:val="auto"/>
                <w:sz w:val="21"/>
                <w:szCs w:val="21"/>
              </w:rPr>
              <w:t>A</w:t>
            </w:r>
            <w:r>
              <w:rPr>
                <w:rFonts w:hAnsi="宋体"/>
                <w:b w:val="0"/>
                <w:color w:val="auto"/>
                <w:sz w:val="21"/>
                <w:szCs w:val="21"/>
              </w:rPr>
              <w:t>声级）</w:t>
            </w:r>
          </w:p>
        </w:tc>
        <w:tc>
          <w:tcPr>
            <w:tcW w:w="2127" w:type="dxa"/>
            <w:gridSpan w:val="3"/>
            <w:vAlign w:val="center"/>
          </w:tcPr>
          <w:p>
            <w:pPr>
              <w:pStyle w:val="38"/>
              <w:spacing w:before="0" w:line="240" w:lineRule="auto"/>
              <w:ind w:left="0" w:firstLine="0" w:firstLineChars="0"/>
              <w:jc w:val="center"/>
              <w:rPr>
                <w:b w:val="0"/>
                <w:color w:val="auto"/>
                <w:sz w:val="21"/>
                <w:szCs w:val="21"/>
              </w:rPr>
            </w:pPr>
            <w:r>
              <w:rPr>
                <w:rFonts w:hAnsi="宋体"/>
                <w:b w:val="0"/>
                <w:color w:val="auto"/>
                <w:sz w:val="21"/>
                <w:szCs w:val="21"/>
              </w:rPr>
              <w:t>监测点位数（</w:t>
            </w:r>
            <w:r>
              <w:rPr>
                <w:b w:val="0"/>
                <w:color w:val="auto"/>
                <w:sz w:val="21"/>
                <w:szCs w:val="21"/>
              </w:rPr>
              <w:t>4</w:t>
            </w:r>
            <w:r>
              <w:rPr>
                <w:rFonts w:hAnsi="宋体"/>
                <w:b w:val="0"/>
                <w:color w:val="auto"/>
                <w:sz w:val="21"/>
                <w:szCs w:val="21"/>
              </w:rPr>
              <w:t>）</w:t>
            </w:r>
          </w:p>
        </w:tc>
        <w:tc>
          <w:tcPr>
            <w:tcW w:w="1275" w:type="dxa"/>
            <w:vAlign w:val="center"/>
          </w:tcPr>
          <w:p>
            <w:pPr>
              <w:pStyle w:val="38"/>
              <w:spacing w:before="0" w:line="240" w:lineRule="auto"/>
              <w:ind w:left="0" w:firstLine="0" w:firstLineChars="0"/>
              <w:jc w:val="center"/>
              <w:rPr>
                <w:b w:val="0"/>
                <w:color w:val="auto"/>
                <w:sz w:val="21"/>
                <w:szCs w:val="21"/>
              </w:rPr>
            </w:pPr>
            <w:r>
              <w:rPr>
                <w:rFonts w:hAnsi="宋体"/>
                <w:b w:val="0"/>
                <w:color w:val="auto"/>
                <w:sz w:val="21"/>
                <w:szCs w:val="21"/>
              </w:rPr>
              <w:t>无监测</w:t>
            </w:r>
            <w:r>
              <w:rPr>
                <w:b w:val="0"/>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Align w:val="center"/>
          </w:tcPr>
          <w:p>
            <w:pPr>
              <w:pStyle w:val="38"/>
              <w:spacing w:before="0" w:line="240" w:lineRule="auto"/>
              <w:ind w:left="0" w:firstLine="0" w:firstLineChars="0"/>
              <w:jc w:val="center"/>
              <w:rPr>
                <w:b w:val="0"/>
                <w:color w:val="auto"/>
                <w:sz w:val="21"/>
                <w:szCs w:val="21"/>
              </w:rPr>
            </w:pPr>
            <w:r>
              <w:rPr>
                <w:rFonts w:hAnsi="宋体"/>
                <w:b w:val="0"/>
                <w:color w:val="auto"/>
                <w:sz w:val="21"/>
                <w:szCs w:val="21"/>
              </w:rPr>
              <w:t>评价</w:t>
            </w:r>
          </w:p>
          <w:p>
            <w:pPr>
              <w:pStyle w:val="38"/>
              <w:spacing w:before="0" w:line="240" w:lineRule="auto"/>
              <w:ind w:left="0" w:firstLine="0" w:firstLineChars="0"/>
              <w:jc w:val="center"/>
              <w:rPr>
                <w:b w:val="0"/>
                <w:color w:val="auto"/>
                <w:sz w:val="21"/>
                <w:szCs w:val="21"/>
              </w:rPr>
            </w:pPr>
            <w:r>
              <w:rPr>
                <w:rFonts w:hAnsi="宋体"/>
                <w:b w:val="0"/>
                <w:color w:val="auto"/>
                <w:sz w:val="21"/>
                <w:szCs w:val="21"/>
              </w:rPr>
              <w:t>结论</w:t>
            </w:r>
          </w:p>
        </w:tc>
        <w:tc>
          <w:tcPr>
            <w:tcW w:w="1275" w:type="dxa"/>
            <w:vAlign w:val="center"/>
          </w:tcPr>
          <w:p>
            <w:pPr>
              <w:pStyle w:val="38"/>
              <w:spacing w:before="0" w:line="240" w:lineRule="auto"/>
              <w:ind w:left="0" w:firstLine="0" w:firstLineChars="0"/>
              <w:jc w:val="center"/>
              <w:rPr>
                <w:b w:val="0"/>
                <w:color w:val="auto"/>
                <w:sz w:val="21"/>
                <w:szCs w:val="21"/>
              </w:rPr>
            </w:pPr>
            <w:r>
              <w:rPr>
                <w:rFonts w:hAnsi="宋体"/>
                <w:b w:val="0"/>
                <w:color w:val="auto"/>
                <w:sz w:val="21"/>
                <w:szCs w:val="21"/>
              </w:rPr>
              <w:t>环境影响</w:t>
            </w:r>
          </w:p>
        </w:tc>
        <w:tc>
          <w:tcPr>
            <w:tcW w:w="6237" w:type="dxa"/>
            <w:gridSpan w:val="7"/>
            <w:vAlign w:val="center"/>
          </w:tcPr>
          <w:p>
            <w:pPr>
              <w:pStyle w:val="38"/>
              <w:spacing w:before="0" w:line="240" w:lineRule="auto"/>
              <w:ind w:left="0" w:firstLine="0" w:firstLineChars="0"/>
              <w:jc w:val="center"/>
              <w:rPr>
                <w:b w:val="0"/>
                <w:color w:val="auto"/>
                <w:sz w:val="21"/>
                <w:szCs w:val="21"/>
              </w:rPr>
            </w:pPr>
            <w:r>
              <w:rPr>
                <w:rFonts w:hAnsi="宋体"/>
                <w:b w:val="0"/>
                <w:color w:val="auto"/>
                <w:sz w:val="21"/>
                <w:szCs w:val="21"/>
              </w:rPr>
              <w:t>可行</w:t>
            </w:r>
            <w:r>
              <w:rPr>
                <w:b w:val="0"/>
                <w:color w:val="auto"/>
                <w:sz w:val="21"/>
                <w:szCs w:val="21"/>
              </w:rPr>
              <w:t xml:space="preserve">√ </w:t>
            </w:r>
            <w:r>
              <w:rPr>
                <w:rFonts w:hAnsi="宋体"/>
                <w:b w:val="0"/>
                <w:color w:val="auto"/>
                <w:sz w:val="21"/>
                <w:szCs w:val="21"/>
              </w:rPr>
              <w:t>不可行</w:t>
            </w:r>
            <w:r>
              <w:rPr>
                <w:b w:val="0"/>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403" w:type="dxa"/>
            <w:gridSpan w:val="9"/>
            <w:vAlign w:val="center"/>
          </w:tcPr>
          <w:p>
            <w:pPr>
              <w:pStyle w:val="38"/>
              <w:spacing w:before="0" w:line="240" w:lineRule="auto"/>
              <w:ind w:left="0" w:firstLine="0" w:firstLineChars="0"/>
              <w:jc w:val="center"/>
              <w:rPr>
                <w:b w:val="0"/>
                <w:color w:val="auto"/>
                <w:sz w:val="21"/>
                <w:szCs w:val="21"/>
              </w:rPr>
            </w:pPr>
            <w:r>
              <w:rPr>
                <w:rFonts w:hAnsi="宋体"/>
                <w:b w:val="0"/>
                <w:color w:val="auto"/>
                <w:sz w:val="21"/>
                <w:szCs w:val="21"/>
              </w:rPr>
              <w:t>注：</w:t>
            </w:r>
            <w:r>
              <w:rPr>
                <w:b w:val="0"/>
                <w:color w:val="auto"/>
                <w:sz w:val="21"/>
                <w:szCs w:val="21"/>
              </w:rPr>
              <w:t xml:space="preserve">“□” </w:t>
            </w:r>
            <w:r>
              <w:rPr>
                <w:rFonts w:hAnsi="宋体"/>
                <w:b w:val="0"/>
                <w:color w:val="auto"/>
                <w:sz w:val="21"/>
                <w:szCs w:val="21"/>
              </w:rPr>
              <w:t>为勾选项，可</w:t>
            </w:r>
            <w:r>
              <w:rPr>
                <w:b w:val="0"/>
                <w:color w:val="auto"/>
                <w:sz w:val="21"/>
                <w:szCs w:val="21"/>
              </w:rPr>
              <w:t xml:space="preserve">√ </w:t>
            </w:r>
            <w:r>
              <w:rPr>
                <w:rFonts w:hAnsi="宋体"/>
                <w:b w:val="0"/>
                <w:color w:val="auto"/>
                <w:sz w:val="21"/>
                <w:szCs w:val="21"/>
              </w:rPr>
              <w:t>；</w:t>
            </w:r>
            <w:r>
              <w:rPr>
                <w:b w:val="0"/>
                <w:color w:val="auto"/>
                <w:sz w:val="21"/>
                <w:szCs w:val="21"/>
              </w:rPr>
              <w:t>“</w:t>
            </w:r>
            <w:r>
              <w:rPr>
                <w:rFonts w:hAnsi="宋体"/>
                <w:b w:val="0"/>
                <w:color w:val="auto"/>
                <w:sz w:val="21"/>
                <w:szCs w:val="21"/>
              </w:rPr>
              <w:t>（）</w:t>
            </w:r>
            <w:r>
              <w:rPr>
                <w:b w:val="0"/>
                <w:color w:val="auto"/>
                <w:sz w:val="21"/>
                <w:szCs w:val="21"/>
              </w:rPr>
              <w:t xml:space="preserve">” </w:t>
            </w:r>
            <w:r>
              <w:rPr>
                <w:rFonts w:hAnsi="宋体"/>
                <w:b w:val="0"/>
                <w:color w:val="auto"/>
                <w:sz w:val="21"/>
                <w:szCs w:val="21"/>
              </w:rPr>
              <w:t>为内容填写项。</w:t>
            </w:r>
          </w:p>
        </w:tc>
      </w:tr>
    </w:tbl>
    <w:p>
      <w:pPr>
        <w:pStyle w:val="38"/>
        <w:ind w:firstLine="426"/>
        <w:rPr>
          <w:color w:val="FF0000"/>
        </w:rPr>
      </w:pPr>
    </w:p>
    <w:p>
      <w:pPr>
        <w:spacing w:after="316" w:line="1" w:lineRule="exact"/>
        <w:rPr>
          <w:color w:val="FF0000"/>
        </w:rPr>
      </w:pPr>
    </w:p>
    <w:p>
      <w:pPr>
        <w:spacing w:after="316" w:line="1" w:lineRule="exact"/>
        <w:rPr>
          <w:color w:val="FF0000"/>
        </w:rPr>
      </w:pPr>
    </w:p>
    <w:p>
      <w:pPr>
        <w:spacing w:after="316" w:line="1" w:lineRule="exact"/>
        <w:rPr>
          <w:color w:val="FF0000"/>
        </w:rPr>
      </w:pPr>
    </w:p>
    <w:p>
      <w:pPr>
        <w:spacing w:line="360" w:lineRule="auto"/>
        <w:ind w:firstLine="480" w:firstLineChars="200"/>
        <w:rPr>
          <w:color w:val="FF0000"/>
          <w:kern w:val="18"/>
          <w:sz w:val="24"/>
          <w:szCs w:val="21"/>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pacing w:line="360" w:lineRule="auto"/>
        <w:jc w:val="center"/>
        <w:rPr>
          <w:rFonts w:eastAsiaTheme="minorEastAsia"/>
          <w:b/>
          <w:color w:val="auto"/>
          <w:sz w:val="28"/>
          <w:szCs w:val="28"/>
        </w:rPr>
      </w:pPr>
      <w:r>
        <w:rPr>
          <w:rFonts w:eastAsiaTheme="minorEastAsia"/>
          <w:b/>
          <w:color w:val="auto"/>
          <w:sz w:val="28"/>
          <w:szCs w:val="28"/>
        </w:rPr>
        <w:t>生态影响评价自查表</w:t>
      </w:r>
    </w:p>
    <w:tbl>
      <w:tblPr>
        <w:tblStyle w:val="46"/>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38"/>
        <w:gridCol w:w="1302"/>
        <w:gridCol w:w="63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43" w:type="dxa"/>
            <w:gridSpan w:val="2"/>
            <w:vAlign w:val="center"/>
          </w:tcPr>
          <w:p>
            <w:pPr>
              <w:jc w:val="center"/>
              <w:rPr>
                <w:rFonts w:eastAsiaTheme="minorEastAsia"/>
                <w:color w:val="auto"/>
                <w:szCs w:val="21"/>
              </w:rPr>
            </w:pPr>
            <w:r>
              <w:rPr>
                <w:rFonts w:eastAsiaTheme="minorEastAsia"/>
                <w:color w:val="auto"/>
                <w:szCs w:val="21"/>
              </w:rPr>
              <w:t>工作内容</w:t>
            </w:r>
          </w:p>
        </w:tc>
        <w:tc>
          <w:tcPr>
            <w:tcW w:w="6385" w:type="dxa"/>
            <w:vAlign w:val="center"/>
          </w:tcPr>
          <w:p>
            <w:pPr>
              <w:jc w:val="center"/>
              <w:rPr>
                <w:rFonts w:eastAsiaTheme="minorEastAsia"/>
                <w:color w:val="auto"/>
                <w:szCs w:val="21"/>
              </w:rPr>
            </w:pPr>
            <w:r>
              <w:rPr>
                <w:rFonts w:eastAsiaTheme="minorEastAsia"/>
                <w:color w:val="auto"/>
                <w:szCs w:val="21"/>
              </w:rPr>
              <w:t>自查项目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restart"/>
            <w:vAlign w:val="center"/>
          </w:tcPr>
          <w:p>
            <w:pPr>
              <w:jc w:val="center"/>
              <w:rPr>
                <w:rFonts w:eastAsiaTheme="minorEastAsia"/>
                <w:color w:val="auto"/>
                <w:szCs w:val="21"/>
              </w:rPr>
            </w:pPr>
            <w:r>
              <w:rPr>
                <w:rFonts w:eastAsiaTheme="minorEastAsia"/>
                <w:color w:val="auto"/>
                <w:szCs w:val="21"/>
              </w:rPr>
              <w:t>生态影响识别</w:t>
            </w:r>
          </w:p>
        </w:tc>
        <w:tc>
          <w:tcPr>
            <w:tcW w:w="1304" w:type="dxa"/>
            <w:vAlign w:val="center"/>
          </w:tcPr>
          <w:p>
            <w:pPr>
              <w:jc w:val="center"/>
              <w:rPr>
                <w:rFonts w:eastAsiaTheme="minorEastAsia"/>
                <w:color w:val="auto"/>
                <w:szCs w:val="21"/>
              </w:rPr>
            </w:pPr>
            <w:r>
              <w:rPr>
                <w:rFonts w:eastAsiaTheme="minorEastAsia"/>
                <w:color w:val="auto"/>
                <w:szCs w:val="21"/>
              </w:rPr>
              <w:t>生态保护目标</w:t>
            </w:r>
          </w:p>
        </w:tc>
        <w:tc>
          <w:tcPr>
            <w:tcW w:w="6385" w:type="dxa"/>
            <w:vAlign w:val="center"/>
          </w:tcPr>
          <w:p>
            <w:pPr>
              <w:rPr>
                <w:rFonts w:eastAsiaTheme="minorEastAsia"/>
                <w:color w:val="auto"/>
                <w:szCs w:val="21"/>
              </w:rPr>
            </w:pPr>
            <w:r>
              <w:rPr>
                <w:rFonts w:eastAsiaTheme="minorEastAsia"/>
                <w:color w:val="auto"/>
                <w:szCs w:val="21"/>
              </w:rPr>
              <w:t>重要物种□；国家公园□；自然保护区□；自然公园□；世界自然遗产□；生态保护红线□；重要生境□；其他具有重要生态功能、对保护生物多样性具有重要意义的区域□；其他</w:t>
            </w:r>
            <w:r>
              <w:rPr>
                <w:rFonts w:hint="eastAsia" w:ascii="MS Mincho" w:hAnsi="MS Mincho" w:eastAsia="MS Mincho" w:cs="MS Mincho"/>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continue"/>
            <w:vAlign w:val="center"/>
          </w:tcPr>
          <w:p>
            <w:pPr>
              <w:jc w:val="center"/>
              <w:rPr>
                <w:rFonts w:eastAsiaTheme="minorEastAsia"/>
                <w:color w:val="auto"/>
                <w:szCs w:val="21"/>
              </w:rPr>
            </w:pPr>
          </w:p>
        </w:tc>
        <w:tc>
          <w:tcPr>
            <w:tcW w:w="1304" w:type="dxa"/>
            <w:vAlign w:val="center"/>
          </w:tcPr>
          <w:p>
            <w:pPr>
              <w:jc w:val="center"/>
              <w:rPr>
                <w:rFonts w:eastAsiaTheme="minorEastAsia"/>
                <w:color w:val="auto"/>
                <w:szCs w:val="21"/>
              </w:rPr>
            </w:pPr>
            <w:r>
              <w:rPr>
                <w:rFonts w:eastAsiaTheme="minorEastAsia"/>
                <w:color w:val="auto"/>
                <w:szCs w:val="21"/>
              </w:rPr>
              <w:t>影响方式</w:t>
            </w:r>
          </w:p>
        </w:tc>
        <w:tc>
          <w:tcPr>
            <w:tcW w:w="6385" w:type="dxa"/>
            <w:vAlign w:val="center"/>
          </w:tcPr>
          <w:p>
            <w:pPr>
              <w:rPr>
                <w:rFonts w:eastAsiaTheme="minorEastAsia"/>
                <w:color w:val="auto"/>
                <w:szCs w:val="21"/>
              </w:rPr>
            </w:pPr>
            <w:r>
              <w:rPr>
                <w:rFonts w:eastAsiaTheme="minorEastAsia"/>
                <w:color w:val="auto"/>
                <w:szCs w:val="21"/>
              </w:rPr>
              <w:t>工程占用</w:t>
            </w:r>
            <w:r>
              <w:rPr>
                <w:rFonts w:hint="eastAsia" w:ascii="MS Mincho" w:hAnsi="MS Mincho" w:eastAsia="MS Mincho" w:cs="MS Mincho"/>
                <w:color w:val="auto"/>
                <w:szCs w:val="21"/>
              </w:rPr>
              <w:t>☑</w:t>
            </w:r>
            <w:r>
              <w:rPr>
                <w:rFonts w:eastAsiaTheme="minorEastAsia"/>
                <w:color w:val="auto"/>
                <w:szCs w:val="21"/>
              </w:rPr>
              <w:t>；施工活动干扰</w:t>
            </w:r>
            <w:r>
              <w:rPr>
                <w:rFonts w:hint="eastAsia" w:ascii="MS Mincho" w:hAnsi="MS Mincho" w:eastAsia="MS Mincho" w:cs="MS Mincho"/>
                <w:color w:val="auto"/>
                <w:szCs w:val="21"/>
              </w:rPr>
              <w:t>☑</w:t>
            </w:r>
            <w:r>
              <w:rPr>
                <w:rFonts w:eastAsiaTheme="minorEastAsia"/>
                <w:color w:val="auto"/>
                <w:szCs w:val="21"/>
              </w:rPr>
              <w:t>；改变环境条件□；其他□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continue"/>
            <w:vAlign w:val="center"/>
          </w:tcPr>
          <w:p>
            <w:pPr>
              <w:jc w:val="center"/>
              <w:rPr>
                <w:rFonts w:eastAsiaTheme="minorEastAsia"/>
                <w:color w:val="auto"/>
                <w:szCs w:val="21"/>
              </w:rPr>
            </w:pPr>
          </w:p>
        </w:tc>
        <w:tc>
          <w:tcPr>
            <w:tcW w:w="1304" w:type="dxa"/>
            <w:vAlign w:val="center"/>
          </w:tcPr>
          <w:p>
            <w:pPr>
              <w:jc w:val="center"/>
              <w:rPr>
                <w:rFonts w:eastAsiaTheme="minorEastAsia"/>
                <w:color w:val="auto"/>
                <w:szCs w:val="21"/>
              </w:rPr>
            </w:pPr>
            <w:r>
              <w:rPr>
                <w:rFonts w:eastAsiaTheme="minorEastAsia"/>
                <w:color w:val="auto"/>
                <w:szCs w:val="21"/>
              </w:rPr>
              <w:t>评价因子</w:t>
            </w:r>
          </w:p>
        </w:tc>
        <w:tc>
          <w:tcPr>
            <w:tcW w:w="6385" w:type="dxa"/>
            <w:vAlign w:val="center"/>
          </w:tcPr>
          <w:p>
            <w:pPr>
              <w:rPr>
                <w:rFonts w:eastAsiaTheme="minorEastAsia"/>
                <w:color w:val="auto"/>
                <w:szCs w:val="21"/>
              </w:rPr>
            </w:pPr>
            <w:r>
              <w:rPr>
                <w:rFonts w:eastAsiaTheme="minorEastAsia"/>
                <w:color w:val="auto"/>
                <w:szCs w:val="21"/>
              </w:rPr>
              <w:t>物种</w:t>
            </w:r>
            <w:r>
              <w:rPr>
                <w:rFonts w:hint="eastAsia" w:ascii="MS Mincho" w:hAnsi="MS Mincho" w:eastAsia="MS Mincho" w:cs="MS Mincho"/>
                <w:color w:val="auto"/>
                <w:szCs w:val="21"/>
              </w:rPr>
              <w:t>☑</w:t>
            </w:r>
            <w:r>
              <w:rPr>
                <w:rFonts w:eastAsiaTheme="minorEastAsia"/>
                <w:color w:val="auto"/>
                <w:szCs w:val="21"/>
              </w:rPr>
              <w:t>（分布范围）</w:t>
            </w:r>
          </w:p>
          <w:p>
            <w:pPr>
              <w:rPr>
                <w:rFonts w:eastAsiaTheme="minorEastAsia"/>
                <w:color w:val="auto"/>
                <w:szCs w:val="21"/>
              </w:rPr>
            </w:pPr>
            <w:r>
              <w:rPr>
                <w:rFonts w:eastAsiaTheme="minorEastAsia"/>
                <w:color w:val="auto"/>
                <w:szCs w:val="21"/>
              </w:rPr>
              <w:t xml:space="preserve">生境□（                               </w:t>
            </w:r>
            <w:r>
              <w:rPr>
                <w:rFonts w:hint="eastAsia" w:eastAsiaTheme="minorEastAsia"/>
                <w:color w:val="auto"/>
                <w:szCs w:val="21"/>
              </w:rPr>
              <w:t xml:space="preserve">   </w:t>
            </w:r>
            <w:r>
              <w:rPr>
                <w:rFonts w:eastAsiaTheme="minorEastAsia"/>
                <w:color w:val="auto"/>
                <w:szCs w:val="21"/>
              </w:rPr>
              <w:t xml:space="preserve">  ）</w:t>
            </w:r>
          </w:p>
          <w:p>
            <w:pPr>
              <w:rPr>
                <w:rFonts w:eastAsiaTheme="minorEastAsia"/>
                <w:color w:val="auto"/>
                <w:szCs w:val="21"/>
              </w:rPr>
            </w:pPr>
            <w:r>
              <w:rPr>
                <w:rFonts w:eastAsiaTheme="minorEastAsia"/>
                <w:color w:val="auto"/>
                <w:szCs w:val="21"/>
              </w:rPr>
              <w:t>生物群落</w:t>
            </w:r>
            <w:r>
              <w:rPr>
                <w:rFonts w:hint="eastAsia" w:ascii="MS Mincho" w:hAnsi="MS Mincho" w:eastAsia="MS Mincho" w:cs="MS Mincho"/>
                <w:color w:val="auto"/>
                <w:szCs w:val="21"/>
              </w:rPr>
              <w:t>☑</w:t>
            </w:r>
            <w:r>
              <w:rPr>
                <w:rFonts w:eastAsiaTheme="minorEastAsia"/>
                <w:color w:val="auto"/>
                <w:szCs w:val="21"/>
              </w:rPr>
              <w:t>（物种组成、群落结构）</w:t>
            </w:r>
          </w:p>
          <w:p>
            <w:pPr>
              <w:rPr>
                <w:rFonts w:eastAsiaTheme="minorEastAsia"/>
                <w:color w:val="auto"/>
                <w:szCs w:val="21"/>
              </w:rPr>
            </w:pPr>
            <w:r>
              <w:rPr>
                <w:rFonts w:eastAsiaTheme="minorEastAsia"/>
                <w:color w:val="auto"/>
                <w:szCs w:val="21"/>
              </w:rPr>
              <w:t>生态系统□（</w:t>
            </w:r>
            <w:r>
              <w:rPr>
                <w:rFonts w:hint="eastAsia"/>
                <w:color w:val="auto"/>
                <w:szCs w:val="21"/>
              </w:rPr>
              <w:t xml:space="preserve">                                </w:t>
            </w:r>
            <w:r>
              <w:rPr>
                <w:rFonts w:eastAsiaTheme="minorEastAsia"/>
                <w:color w:val="auto"/>
                <w:szCs w:val="21"/>
              </w:rPr>
              <w:t>）</w:t>
            </w:r>
          </w:p>
          <w:p>
            <w:pPr>
              <w:rPr>
                <w:rFonts w:eastAsiaTheme="minorEastAsia"/>
                <w:color w:val="auto"/>
                <w:szCs w:val="21"/>
              </w:rPr>
            </w:pPr>
            <w:r>
              <w:rPr>
                <w:rFonts w:eastAsiaTheme="minorEastAsia"/>
                <w:color w:val="auto"/>
                <w:szCs w:val="21"/>
              </w:rPr>
              <w:t>生物多样性□（                               ）</w:t>
            </w:r>
          </w:p>
          <w:p>
            <w:pPr>
              <w:rPr>
                <w:rFonts w:eastAsiaTheme="minorEastAsia"/>
                <w:color w:val="auto"/>
                <w:szCs w:val="21"/>
              </w:rPr>
            </w:pPr>
            <w:r>
              <w:rPr>
                <w:rFonts w:eastAsiaTheme="minorEastAsia"/>
                <w:color w:val="auto"/>
                <w:szCs w:val="21"/>
              </w:rPr>
              <w:t>生态敏感区□（                               ）</w:t>
            </w:r>
          </w:p>
          <w:p>
            <w:pPr>
              <w:rPr>
                <w:rFonts w:eastAsiaTheme="minorEastAsia"/>
                <w:color w:val="auto"/>
                <w:szCs w:val="21"/>
              </w:rPr>
            </w:pPr>
            <w:r>
              <w:rPr>
                <w:rFonts w:eastAsiaTheme="minorEastAsia"/>
                <w:color w:val="auto"/>
                <w:szCs w:val="21"/>
              </w:rPr>
              <w:t>自然景观□（</w:t>
            </w:r>
            <w:r>
              <w:rPr>
                <w:rFonts w:hint="eastAsia"/>
                <w:color w:val="auto"/>
                <w:szCs w:val="21"/>
              </w:rPr>
              <w:t xml:space="preserve">                                 </w:t>
            </w:r>
            <w:r>
              <w:rPr>
                <w:rFonts w:eastAsiaTheme="minorEastAsia"/>
                <w:color w:val="auto"/>
                <w:szCs w:val="21"/>
              </w:rPr>
              <w:t>）</w:t>
            </w:r>
          </w:p>
          <w:p>
            <w:pPr>
              <w:rPr>
                <w:rFonts w:eastAsiaTheme="minorEastAsia"/>
                <w:color w:val="auto"/>
                <w:szCs w:val="21"/>
              </w:rPr>
            </w:pPr>
            <w:r>
              <w:rPr>
                <w:rFonts w:eastAsiaTheme="minorEastAsia"/>
                <w:color w:val="auto"/>
                <w:szCs w:val="21"/>
              </w:rPr>
              <w:t>自然遗迹□（                                 ）</w:t>
            </w:r>
          </w:p>
          <w:p>
            <w:pPr>
              <w:rPr>
                <w:rFonts w:eastAsiaTheme="minorEastAsia"/>
                <w:color w:val="auto"/>
                <w:szCs w:val="21"/>
              </w:rPr>
            </w:pPr>
            <w:r>
              <w:rPr>
                <w:rFonts w:eastAsiaTheme="minorEastAsia"/>
                <w:color w:val="auto"/>
                <w:szCs w:val="21"/>
              </w:rPr>
              <w:t>其他□（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43" w:type="dxa"/>
            <w:gridSpan w:val="2"/>
            <w:vAlign w:val="center"/>
          </w:tcPr>
          <w:p>
            <w:pPr>
              <w:jc w:val="center"/>
              <w:rPr>
                <w:rFonts w:eastAsiaTheme="minorEastAsia"/>
                <w:color w:val="auto"/>
                <w:szCs w:val="21"/>
              </w:rPr>
            </w:pPr>
            <w:r>
              <w:rPr>
                <w:rFonts w:eastAsiaTheme="minorEastAsia"/>
                <w:color w:val="auto"/>
                <w:szCs w:val="21"/>
              </w:rPr>
              <w:t>评价等级</w:t>
            </w:r>
          </w:p>
        </w:tc>
        <w:tc>
          <w:tcPr>
            <w:tcW w:w="6385" w:type="dxa"/>
            <w:vAlign w:val="center"/>
          </w:tcPr>
          <w:p>
            <w:pPr>
              <w:rPr>
                <w:rFonts w:eastAsiaTheme="minorEastAsia"/>
                <w:color w:val="auto"/>
                <w:szCs w:val="21"/>
              </w:rPr>
            </w:pPr>
            <w:r>
              <w:rPr>
                <w:rFonts w:eastAsiaTheme="minorEastAsia"/>
                <w:color w:val="auto"/>
                <w:szCs w:val="21"/>
              </w:rPr>
              <w:t>一级□        二级□        三级</w:t>
            </w:r>
            <w:r>
              <w:rPr>
                <w:rFonts w:hint="eastAsia" w:ascii="MS Mincho" w:hAnsi="MS Mincho" w:eastAsia="MS Mincho" w:cs="MS Mincho"/>
                <w:color w:val="auto"/>
                <w:szCs w:val="21"/>
              </w:rPr>
              <w:t>☑</w:t>
            </w:r>
            <w:r>
              <w:rPr>
                <w:rFonts w:eastAsiaTheme="minorEastAsia"/>
                <w:color w:val="auto"/>
                <w:szCs w:val="21"/>
              </w:rPr>
              <w:t xml:space="preserve">     生态影响简单分析□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43" w:type="dxa"/>
            <w:gridSpan w:val="2"/>
            <w:vAlign w:val="center"/>
          </w:tcPr>
          <w:p>
            <w:pPr>
              <w:jc w:val="center"/>
              <w:rPr>
                <w:rFonts w:eastAsiaTheme="minorEastAsia"/>
                <w:color w:val="auto"/>
                <w:szCs w:val="21"/>
              </w:rPr>
            </w:pPr>
            <w:r>
              <w:rPr>
                <w:rFonts w:eastAsiaTheme="minorEastAsia"/>
                <w:color w:val="auto"/>
                <w:szCs w:val="21"/>
              </w:rPr>
              <w:t>评价范围</w:t>
            </w:r>
          </w:p>
        </w:tc>
        <w:tc>
          <w:tcPr>
            <w:tcW w:w="6385" w:type="dxa"/>
            <w:vAlign w:val="center"/>
          </w:tcPr>
          <w:p>
            <w:pPr>
              <w:rPr>
                <w:rFonts w:eastAsiaTheme="minorEastAsia"/>
                <w:color w:val="auto"/>
                <w:szCs w:val="21"/>
              </w:rPr>
            </w:pPr>
            <w:r>
              <w:rPr>
                <w:rFonts w:eastAsiaTheme="minorEastAsia"/>
                <w:color w:val="auto"/>
                <w:szCs w:val="21"/>
              </w:rPr>
              <w:t>陆域面积：（</w:t>
            </w:r>
            <w:r>
              <w:rPr>
                <w:rFonts w:hint="eastAsia" w:eastAsiaTheme="minorEastAsia"/>
                <w:color w:val="auto"/>
                <w:szCs w:val="21"/>
                <w:lang w:eastAsia="zh-CN"/>
              </w:rPr>
              <w:t>0.029672</w:t>
            </w:r>
            <w:r>
              <w:rPr>
                <w:rFonts w:eastAsiaTheme="minorEastAsia"/>
                <w:color w:val="auto"/>
                <w:szCs w:val="21"/>
              </w:rPr>
              <w:t>）km</w:t>
            </w:r>
            <w:r>
              <w:rPr>
                <w:rFonts w:eastAsiaTheme="minorEastAsia"/>
                <w:color w:val="auto"/>
                <w:szCs w:val="21"/>
                <w:vertAlign w:val="superscript"/>
              </w:rPr>
              <w:t>2</w:t>
            </w:r>
            <w:r>
              <w:rPr>
                <w:rFonts w:eastAsiaTheme="minorEastAsia"/>
                <w:color w:val="auto"/>
                <w:szCs w:val="21"/>
              </w:rPr>
              <w:t>；水域面积：（0）km</w:t>
            </w:r>
            <w:r>
              <w:rPr>
                <w:rFonts w:eastAsiaTheme="minorEastAsia"/>
                <w:color w:val="auto"/>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restart"/>
            <w:vAlign w:val="center"/>
          </w:tcPr>
          <w:p>
            <w:pPr>
              <w:jc w:val="center"/>
              <w:rPr>
                <w:rFonts w:eastAsiaTheme="minorEastAsia"/>
                <w:color w:val="auto"/>
                <w:szCs w:val="21"/>
              </w:rPr>
            </w:pPr>
            <w:r>
              <w:rPr>
                <w:rFonts w:eastAsiaTheme="minorEastAsia"/>
                <w:color w:val="auto"/>
                <w:szCs w:val="21"/>
              </w:rPr>
              <w:t>生态现状调查与评价</w:t>
            </w:r>
          </w:p>
        </w:tc>
        <w:tc>
          <w:tcPr>
            <w:tcW w:w="1304" w:type="dxa"/>
            <w:vAlign w:val="center"/>
          </w:tcPr>
          <w:p>
            <w:pPr>
              <w:jc w:val="center"/>
              <w:rPr>
                <w:rFonts w:eastAsiaTheme="minorEastAsia"/>
                <w:color w:val="auto"/>
                <w:szCs w:val="21"/>
              </w:rPr>
            </w:pPr>
            <w:r>
              <w:rPr>
                <w:rFonts w:eastAsiaTheme="minorEastAsia"/>
                <w:color w:val="auto"/>
                <w:szCs w:val="21"/>
              </w:rPr>
              <w:t>调查方法</w:t>
            </w:r>
          </w:p>
        </w:tc>
        <w:tc>
          <w:tcPr>
            <w:tcW w:w="6385" w:type="dxa"/>
            <w:vAlign w:val="center"/>
          </w:tcPr>
          <w:p>
            <w:pPr>
              <w:rPr>
                <w:rFonts w:eastAsiaTheme="minorEastAsia"/>
                <w:color w:val="auto"/>
                <w:szCs w:val="21"/>
              </w:rPr>
            </w:pPr>
            <w:r>
              <w:rPr>
                <w:rFonts w:eastAsiaTheme="minorEastAsia"/>
                <w:color w:val="auto"/>
                <w:szCs w:val="21"/>
              </w:rPr>
              <w:t>资料收集</w:t>
            </w:r>
            <w:r>
              <w:rPr>
                <w:rFonts w:hint="eastAsia" w:ascii="MS Mincho" w:hAnsi="MS Mincho" w:eastAsia="MS Mincho" w:cs="MS Mincho"/>
                <w:color w:val="auto"/>
                <w:szCs w:val="21"/>
              </w:rPr>
              <w:t>☑</w:t>
            </w:r>
            <w:r>
              <w:rPr>
                <w:rFonts w:eastAsiaTheme="minorEastAsia"/>
                <w:color w:val="auto"/>
                <w:szCs w:val="21"/>
              </w:rPr>
              <w:t>；遥感调查□；调查样方、样线□；调查点位、断面□；专家和公众咨询法□；其他□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continue"/>
            <w:vAlign w:val="center"/>
          </w:tcPr>
          <w:p>
            <w:pPr>
              <w:jc w:val="center"/>
              <w:rPr>
                <w:rFonts w:eastAsiaTheme="minorEastAsia"/>
                <w:color w:val="auto"/>
                <w:szCs w:val="21"/>
              </w:rPr>
            </w:pPr>
          </w:p>
        </w:tc>
        <w:tc>
          <w:tcPr>
            <w:tcW w:w="1304" w:type="dxa"/>
            <w:vAlign w:val="center"/>
          </w:tcPr>
          <w:p>
            <w:pPr>
              <w:jc w:val="center"/>
              <w:rPr>
                <w:rFonts w:eastAsiaTheme="minorEastAsia"/>
                <w:color w:val="auto"/>
                <w:szCs w:val="21"/>
              </w:rPr>
            </w:pPr>
            <w:r>
              <w:rPr>
                <w:rFonts w:eastAsiaTheme="minorEastAsia"/>
                <w:color w:val="auto"/>
                <w:szCs w:val="21"/>
              </w:rPr>
              <w:t>调查时间</w:t>
            </w:r>
          </w:p>
        </w:tc>
        <w:tc>
          <w:tcPr>
            <w:tcW w:w="6385" w:type="dxa"/>
            <w:vAlign w:val="center"/>
          </w:tcPr>
          <w:p>
            <w:pPr>
              <w:rPr>
                <w:rFonts w:eastAsiaTheme="minorEastAsia"/>
                <w:color w:val="auto"/>
                <w:szCs w:val="21"/>
              </w:rPr>
            </w:pPr>
            <w:r>
              <w:rPr>
                <w:rFonts w:eastAsiaTheme="minorEastAsia"/>
                <w:color w:val="auto"/>
                <w:szCs w:val="21"/>
              </w:rPr>
              <w:t>春季</w:t>
            </w:r>
            <w:r>
              <w:rPr>
                <w:rFonts w:hint="eastAsia" w:ascii="MS Mincho" w:hAnsi="MS Mincho" w:eastAsia="MS Mincho" w:cs="MS Mincho"/>
                <w:color w:val="auto"/>
                <w:szCs w:val="21"/>
              </w:rPr>
              <w:t>☑</w:t>
            </w:r>
            <w:r>
              <w:rPr>
                <w:rFonts w:eastAsiaTheme="minorEastAsia"/>
                <w:color w:val="auto"/>
                <w:szCs w:val="21"/>
              </w:rPr>
              <w:t>；夏季□；秋季□；冬季□</w:t>
            </w:r>
          </w:p>
          <w:p>
            <w:pPr>
              <w:rPr>
                <w:rFonts w:eastAsiaTheme="minorEastAsia"/>
                <w:color w:val="auto"/>
                <w:szCs w:val="21"/>
              </w:rPr>
            </w:pPr>
            <w:r>
              <w:rPr>
                <w:rFonts w:eastAsiaTheme="minorEastAsia"/>
                <w:color w:val="auto"/>
                <w:szCs w:val="21"/>
              </w:rPr>
              <w:t>丰水期□；枯水期□；平水期□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continue"/>
            <w:vAlign w:val="center"/>
          </w:tcPr>
          <w:p>
            <w:pPr>
              <w:jc w:val="center"/>
              <w:rPr>
                <w:rFonts w:eastAsiaTheme="minorEastAsia"/>
                <w:color w:val="auto"/>
                <w:szCs w:val="21"/>
              </w:rPr>
            </w:pPr>
          </w:p>
        </w:tc>
        <w:tc>
          <w:tcPr>
            <w:tcW w:w="1304" w:type="dxa"/>
            <w:vAlign w:val="center"/>
          </w:tcPr>
          <w:p>
            <w:pPr>
              <w:jc w:val="center"/>
              <w:rPr>
                <w:rFonts w:eastAsiaTheme="minorEastAsia"/>
                <w:color w:val="auto"/>
                <w:szCs w:val="21"/>
              </w:rPr>
            </w:pPr>
            <w:r>
              <w:rPr>
                <w:rFonts w:eastAsiaTheme="minorEastAsia"/>
                <w:color w:val="auto"/>
                <w:szCs w:val="21"/>
              </w:rPr>
              <w:t>所在区域的生态问题</w:t>
            </w:r>
          </w:p>
        </w:tc>
        <w:tc>
          <w:tcPr>
            <w:tcW w:w="6385" w:type="dxa"/>
            <w:vAlign w:val="center"/>
          </w:tcPr>
          <w:p>
            <w:pPr>
              <w:rPr>
                <w:rFonts w:eastAsiaTheme="minorEastAsia"/>
                <w:color w:val="auto"/>
                <w:szCs w:val="21"/>
              </w:rPr>
            </w:pPr>
            <w:r>
              <w:rPr>
                <w:rFonts w:eastAsiaTheme="minorEastAsia"/>
                <w:color w:val="auto"/>
                <w:szCs w:val="21"/>
              </w:rPr>
              <w:t>水土流失</w:t>
            </w:r>
            <w:r>
              <w:rPr>
                <w:rFonts w:hint="eastAsia" w:ascii="MS Mincho" w:hAnsi="MS Mincho" w:eastAsia="MS Mincho" w:cs="MS Mincho"/>
                <w:color w:val="auto"/>
                <w:szCs w:val="21"/>
              </w:rPr>
              <w:t>☑</w:t>
            </w:r>
            <w:r>
              <w:rPr>
                <w:rFonts w:eastAsiaTheme="minorEastAsia"/>
                <w:color w:val="auto"/>
                <w:szCs w:val="21"/>
              </w:rPr>
              <w:t>；沙漠化□；石漠化□；盐渍化□；生物入侵□；污染危害□；其他□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continue"/>
            <w:vAlign w:val="center"/>
          </w:tcPr>
          <w:p>
            <w:pPr>
              <w:jc w:val="center"/>
              <w:rPr>
                <w:rFonts w:eastAsiaTheme="minorEastAsia"/>
                <w:color w:val="auto"/>
                <w:szCs w:val="21"/>
              </w:rPr>
            </w:pPr>
          </w:p>
        </w:tc>
        <w:tc>
          <w:tcPr>
            <w:tcW w:w="1304" w:type="dxa"/>
            <w:vAlign w:val="center"/>
          </w:tcPr>
          <w:p>
            <w:pPr>
              <w:jc w:val="center"/>
              <w:rPr>
                <w:rFonts w:eastAsiaTheme="minorEastAsia"/>
                <w:color w:val="auto"/>
                <w:szCs w:val="21"/>
              </w:rPr>
            </w:pPr>
            <w:r>
              <w:rPr>
                <w:rFonts w:eastAsiaTheme="minorEastAsia"/>
                <w:color w:val="auto"/>
                <w:szCs w:val="21"/>
              </w:rPr>
              <w:t>评价内容</w:t>
            </w:r>
          </w:p>
        </w:tc>
        <w:tc>
          <w:tcPr>
            <w:tcW w:w="6385" w:type="dxa"/>
            <w:vAlign w:val="center"/>
          </w:tcPr>
          <w:p>
            <w:pPr>
              <w:rPr>
                <w:rFonts w:eastAsiaTheme="minorEastAsia"/>
                <w:color w:val="auto"/>
                <w:szCs w:val="21"/>
              </w:rPr>
            </w:pPr>
            <w:r>
              <w:rPr>
                <w:rFonts w:eastAsiaTheme="minorEastAsia"/>
                <w:color w:val="auto"/>
                <w:szCs w:val="21"/>
              </w:rPr>
              <w:t>植被/植物群落</w:t>
            </w:r>
            <w:r>
              <w:rPr>
                <w:rFonts w:hint="eastAsia" w:ascii="MS Mincho" w:hAnsi="MS Mincho" w:eastAsia="MS Mincho" w:cs="MS Mincho"/>
                <w:color w:val="auto"/>
                <w:szCs w:val="21"/>
              </w:rPr>
              <w:t>☑</w:t>
            </w:r>
            <w:r>
              <w:rPr>
                <w:rFonts w:eastAsiaTheme="minorEastAsia"/>
                <w:color w:val="auto"/>
                <w:szCs w:val="21"/>
              </w:rPr>
              <w:t>；土地利用</w:t>
            </w:r>
            <w:r>
              <w:rPr>
                <w:rFonts w:hint="eastAsia" w:ascii="MS Mincho" w:hAnsi="MS Mincho" w:eastAsia="MS Mincho" w:cs="MS Mincho"/>
                <w:color w:val="auto"/>
                <w:szCs w:val="21"/>
              </w:rPr>
              <w:t>☑</w:t>
            </w:r>
            <w:r>
              <w:rPr>
                <w:rFonts w:eastAsiaTheme="minorEastAsia"/>
                <w:color w:val="auto"/>
                <w:szCs w:val="21"/>
              </w:rPr>
              <w:t>；生态系统□；生物多样性□；重要物种□；生态敏感区□；其他</w:t>
            </w:r>
            <w:r>
              <w:rPr>
                <w:rFonts w:hint="eastAsia" w:ascii="MS Mincho" w:hAnsi="MS Mincho" w:eastAsia="MS Mincho" w:cs="MS Mincho"/>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restart"/>
            <w:vAlign w:val="center"/>
          </w:tcPr>
          <w:p>
            <w:pPr>
              <w:jc w:val="center"/>
              <w:rPr>
                <w:rFonts w:eastAsiaTheme="minorEastAsia"/>
                <w:color w:val="auto"/>
                <w:szCs w:val="21"/>
              </w:rPr>
            </w:pPr>
            <w:r>
              <w:rPr>
                <w:rFonts w:eastAsiaTheme="minorEastAsia"/>
                <w:color w:val="auto"/>
                <w:szCs w:val="21"/>
              </w:rPr>
              <w:t>生态影响预测与评价</w:t>
            </w:r>
          </w:p>
        </w:tc>
        <w:tc>
          <w:tcPr>
            <w:tcW w:w="1304" w:type="dxa"/>
            <w:vAlign w:val="center"/>
          </w:tcPr>
          <w:p>
            <w:pPr>
              <w:jc w:val="center"/>
              <w:rPr>
                <w:rFonts w:eastAsiaTheme="minorEastAsia"/>
                <w:color w:val="auto"/>
                <w:szCs w:val="21"/>
              </w:rPr>
            </w:pPr>
            <w:r>
              <w:rPr>
                <w:rFonts w:eastAsiaTheme="minorEastAsia"/>
                <w:color w:val="auto"/>
                <w:szCs w:val="21"/>
              </w:rPr>
              <w:t>评价方法</w:t>
            </w:r>
          </w:p>
        </w:tc>
        <w:tc>
          <w:tcPr>
            <w:tcW w:w="6385" w:type="dxa"/>
            <w:vAlign w:val="center"/>
          </w:tcPr>
          <w:p>
            <w:pPr>
              <w:rPr>
                <w:rFonts w:eastAsiaTheme="minorEastAsia"/>
                <w:color w:val="auto"/>
                <w:szCs w:val="21"/>
              </w:rPr>
            </w:pPr>
            <w:r>
              <w:rPr>
                <w:rFonts w:eastAsiaTheme="minorEastAsia"/>
                <w:color w:val="auto"/>
                <w:szCs w:val="21"/>
              </w:rPr>
              <w:t>定性</w:t>
            </w:r>
            <w:r>
              <w:rPr>
                <w:rFonts w:hint="eastAsia" w:ascii="MS Mincho" w:hAnsi="MS Mincho" w:eastAsia="MS Mincho" w:cs="MS Mincho"/>
                <w:color w:val="auto"/>
                <w:szCs w:val="21"/>
              </w:rPr>
              <w:t>☑</w:t>
            </w:r>
            <w:r>
              <w:rPr>
                <w:rFonts w:eastAsiaTheme="minorEastAsia"/>
                <w:color w:val="auto"/>
                <w:szCs w:val="21"/>
              </w:rPr>
              <w:t>；定性和定量□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continue"/>
            <w:vAlign w:val="center"/>
          </w:tcPr>
          <w:p>
            <w:pPr>
              <w:jc w:val="center"/>
              <w:rPr>
                <w:rFonts w:eastAsiaTheme="minorEastAsia"/>
                <w:color w:val="auto"/>
                <w:szCs w:val="21"/>
              </w:rPr>
            </w:pPr>
          </w:p>
        </w:tc>
        <w:tc>
          <w:tcPr>
            <w:tcW w:w="1304" w:type="dxa"/>
            <w:vAlign w:val="center"/>
          </w:tcPr>
          <w:p>
            <w:pPr>
              <w:jc w:val="center"/>
              <w:rPr>
                <w:rFonts w:eastAsiaTheme="minorEastAsia"/>
                <w:color w:val="auto"/>
                <w:szCs w:val="21"/>
              </w:rPr>
            </w:pPr>
            <w:r>
              <w:rPr>
                <w:rFonts w:eastAsiaTheme="minorEastAsia"/>
                <w:color w:val="auto"/>
                <w:szCs w:val="21"/>
              </w:rPr>
              <w:t>评价内容</w:t>
            </w:r>
          </w:p>
        </w:tc>
        <w:tc>
          <w:tcPr>
            <w:tcW w:w="6385" w:type="dxa"/>
            <w:vAlign w:val="center"/>
          </w:tcPr>
          <w:p>
            <w:pPr>
              <w:rPr>
                <w:rFonts w:eastAsiaTheme="minorEastAsia"/>
                <w:color w:val="auto"/>
                <w:szCs w:val="21"/>
              </w:rPr>
            </w:pPr>
            <w:r>
              <w:rPr>
                <w:rFonts w:eastAsiaTheme="minorEastAsia"/>
                <w:color w:val="auto"/>
                <w:szCs w:val="21"/>
              </w:rPr>
              <w:t>植被/植物群落</w:t>
            </w:r>
            <w:r>
              <w:rPr>
                <w:rFonts w:hint="eastAsia" w:ascii="MS Mincho" w:hAnsi="MS Mincho" w:eastAsia="MS Mincho" w:cs="MS Mincho"/>
                <w:color w:val="auto"/>
                <w:szCs w:val="21"/>
              </w:rPr>
              <w:t>☑</w:t>
            </w:r>
            <w:r>
              <w:rPr>
                <w:rFonts w:eastAsiaTheme="minorEastAsia"/>
                <w:color w:val="auto"/>
                <w:szCs w:val="21"/>
              </w:rPr>
              <w:t>；土地利用</w:t>
            </w:r>
            <w:r>
              <w:rPr>
                <w:rFonts w:hint="eastAsia" w:ascii="MS Mincho" w:hAnsi="MS Mincho" w:eastAsia="MS Mincho" w:cs="MS Mincho"/>
                <w:color w:val="auto"/>
                <w:szCs w:val="21"/>
              </w:rPr>
              <w:t>☑</w:t>
            </w:r>
            <w:r>
              <w:rPr>
                <w:rFonts w:eastAsiaTheme="minorEastAsia"/>
                <w:color w:val="auto"/>
                <w:szCs w:val="21"/>
              </w:rPr>
              <w:t>；生态系统□；生物多样性□；重要物种□；生态敏感区□；生物入侵风险□；其他</w:t>
            </w:r>
            <w:r>
              <w:rPr>
                <w:rFonts w:hint="eastAsia" w:ascii="MS Mincho" w:hAnsi="MS Mincho" w:eastAsia="MS Mincho" w:cs="MS Mincho"/>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restart"/>
            <w:vAlign w:val="center"/>
          </w:tcPr>
          <w:p>
            <w:pPr>
              <w:jc w:val="center"/>
              <w:rPr>
                <w:rFonts w:eastAsiaTheme="minorEastAsia"/>
                <w:color w:val="auto"/>
                <w:szCs w:val="21"/>
              </w:rPr>
            </w:pPr>
            <w:r>
              <w:rPr>
                <w:rFonts w:eastAsiaTheme="minorEastAsia"/>
                <w:color w:val="auto"/>
                <w:szCs w:val="21"/>
              </w:rPr>
              <w:t>生态保护对策措施</w:t>
            </w:r>
          </w:p>
        </w:tc>
        <w:tc>
          <w:tcPr>
            <w:tcW w:w="1304" w:type="dxa"/>
            <w:vAlign w:val="center"/>
          </w:tcPr>
          <w:p>
            <w:pPr>
              <w:jc w:val="center"/>
              <w:rPr>
                <w:rFonts w:eastAsiaTheme="minorEastAsia"/>
                <w:color w:val="auto"/>
                <w:szCs w:val="21"/>
              </w:rPr>
            </w:pPr>
            <w:r>
              <w:rPr>
                <w:rFonts w:eastAsiaTheme="minorEastAsia"/>
                <w:color w:val="auto"/>
                <w:szCs w:val="21"/>
              </w:rPr>
              <w:t>对策措施</w:t>
            </w:r>
          </w:p>
        </w:tc>
        <w:tc>
          <w:tcPr>
            <w:tcW w:w="6385" w:type="dxa"/>
            <w:vAlign w:val="center"/>
          </w:tcPr>
          <w:p>
            <w:pPr>
              <w:rPr>
                <w:rFonts w:eastAsiaTheme="minorEastAsia"/>
                <w:color w:val="auto"/>
                <w:szCs w:val="21"/>
              </w:rPr>
            </w:pPr>
            <w:r>
              <w:rPr>
                <w:rFonts w:eastAsiaTheme="minorEastAsia"/>
                <w:color w:val="auto"/>
                <w:szCs w:val="21"/>
              </w:rPr>
              <w:t>避让□；减缓</w:t>
            </w:r>
            <w:r>
              <w:rPr>
                <w:rFonts w:hint="eastAsia" w:ascii="MS Mincho" w:hAnsi="MS Mincho" w:eastAsia="MS Mincho" w:cs="MS Mincho"/>
                <w:color w:val="auto"/>
                <w:szCs w:val="21"/>
              </w:rPr>
              <w:t>☑</w:t>
            </w:r>
            <w:r>
              <w:rPr>
                <w:rFonts w:eastAsiaTheme="minorEastAsia"/>
                <w:color w:val="auto"/>
                <w:szCs w:val="21"/>
              </w:rPr>
              <w:t>；生态修复□；生态补偿□；科研□；其他□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continue"/>
            <w:vAlign w:val="center"/>
          </w:tcPr>
          <w:p>
            <w:pPr>
              <w:jc w:val="center"/>
              <w:rPr>
                <w:rFonts w:eastAsiaTheme="minorEastAsia"/>
                <w:color w:val="auto"/>
                <w:szCs w:val="21"/>
              </w:rPr>
            </w:pPr>
          </w:p>
        </w:tc>
        <w:tc>
          <w:tcPr>
            <w:tcW w:w="1304" w:type="dxa"/>
            <w:vAlign w:val="center"/>
          </w:tcPr>
          <w:p>
            <w:pPr>
              <w:jc w:val="center"/>
              <w:rPr>
                <w:rFonts w:eastAsiaTheme="minorEastAsia"/>
                <w:color w:val="auto"/>
                <w:szCs w:val="21"/>
              </w:rPr>
            </w:pPr>
            <w:r>
              <w:rPr>
                <w:rFonts w:eastAsiaTheme="minorEastAsia"/>
                <w:color w:val="auto"/>
                <w:szCs w:val="21"/>
              </w:rPr>
              <w:t>生态监测</w:t>
            </w:r>
          </w:p>
          <w:p>
            <w:pPr>
              <w:jc w:val="center"/>
              <w:rPr>
                <w:rFonts w:eastAsiaTheme="minorEastAsia"/>
                <w:color w:val="auto"/>
                <w:szCs w:val="21"/>
              </w:rPr>
            </w:pPr>
            <w:r>
              <w:rPr>
                <w:rFonts w:eastAsiaTheme="minorEastAsia"/>
                <w:color w:val="auto"/>
                <w:szCs w:val="21"/>
              </w:rPr>
              <w:t>计划</w:t>
            </w:r>
          </w:p>
        </w:tc>
        <w:tc>
          <w:tcPr>
            <w:tcW w:w="6385" w:type="dxa"/>
            <w:vAlign w:val="center"/>
          </w:tcPr>
          <w:p>
            <w:pPr>
              <w:rPr>
                <w:rFonts w:eastAsiaTheme="minorEastAsia"/>
                <w:color w:val="auto"/>
                <w:szCs w:val="21"/>
              </w:rPr>
            </w:pPr>
            <w:r>
              <w:rPr>
                <w:rFonts w:eastAsiaTheme="minorEastAsia"/>
                <w:color w:val="auto"/>
                <w:szCs w:val="21"/>
              </w:rPr>
              <w:t>全生命周期□；长期跟踪□；常规</w:t>
            </w:r>
            <w:r>
              <w:rPr>
                <w:rFonts w:hint="eastAsia" w:ascii="MS Mincho" w:hAnsi="MS Mincho" w:eastAsia="MS Mincho" w:cs="MS Mincho"/>
                <w:color w:val="auto"/>
                <w:szCs w:val="21"/>
              </w:rPr>
              <w:t>☑</w:t>
            </w:r>
            <w:r>
              <w:rPr>
                <w:rFonts w:eastAsiaTheme="minorEastAsia"/>
                <w:color w:val="auto"/>
                <w:szCs w:val="21"/>
              </w:rPr>
              <w:t>；无</w:t>
            </w:r>
            <w:r>
              <w:rPr>
                <w:rFonts w:ascii="MS Mincho" w:hAnsi="MS Mincho" w:eastAsia="MS Mincho" w:cs="MS Mincho"/>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continue"/>
            <w:vAlign w:val="center"/>
          </w:tcPr>
          <w:p>
            <w:pPr>
              <w:jc w:val="center"/>
              <w:rPr>
                <w:rFonts w:eastAsiaTheme="minorEastAsia"/>
                <w:color w:val="auto"/>
                <w:szCs w:val="21"/>
              </w:rPr>
            </w:pPr>
          </w:p>
        </w:tc>
        <w:tc>
          <w:tcPr>
            <w:tcW w:w="1304" w:type="dxa"/>
            <w:vAlign w:val="center"/>
          </w:tcPr>
          <w:p>
            <w:pPr>
              <w:jc w:val="center"/>
              <w:rPr>
                <w:rFonts w:eastAsiaTheme="minorEastAsia"/>
                <w:color w:val="auto"/>
                <w:szCs w:val="21"/>
              </w:rPr>
            </w:pPr>
            <w:r>
              <w:rPr>
                <w:rFonts w:eastAsiaTheme="minorEastAsia"/>
                <w:color w:val="auto"/>
                <w:szCs w:val="21"/>
              </w:rPr>
              <w:t>环境管理</w:t>
            </w:r>
          </w:p>
        </w:tc>
        <w:tc>
          <w:tcPr>
            <w:tcW w:w="6385" w:type="dxa"/>
            <w:vAlign w:val="center"/>
          </w:tcPr>
          <w:p>
            <w:pPr>
              <w:rPr>
                <w:rFonts w:eastAsiaTheme="minorEastAsia"/>
                <w:color w:val="auto"/>
                <w:szCs w:val="21"/>
              </w:rPr>
            </w:pPr>
            <w:r>
              <w:rPr>
                <w:rFonts w:eastAsiaTheme="minorEastAsia"/>
                <w:color w:val="auto"/>
                <w:szCs w:val="21"/>
              </w:rPr>
              <w:t>环境监理</w:t>
            </w:r>
            <w:r>
              <w:rPr>
                <w:rFonts w:hint="eastAsia" w:ascii="MS Mincho" w:hAnsi="MS Mincho" w:eastAsia="MS Mincho" w:cs="MS Mincho"/>
                <w:color w:val="auto"/>
                <w:szCs w:val="21"/>
              </w:rPr>
              <w:t>☑</w:t>
            </w:r>
            <w:r>
              <w:rPr>
                <w:rFonts w:eastAsiaTheme="minorEastAsia"/>
                <w:color w:val="auto"/>
                <w:szCs w:val="21"/>
              </w:rPr>
              <w:t>；环境影响后评价□；其他□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Align w:val="center"/>
          </w:tcPr>
          <w:p>
            <w:pPr>
              <w:jc w:val="center"/>
              <w:rPr>
                <w:rFonts w:eastAsiaTheme="minorEastAsia"/>
                <w:color w:val="auto"/>
                <w:szCs w:val="21"/>
              </w:rPr>
            </w:pPr>
            <w:r>
              <w:rPr>
                <w:rFonts w:eastAsiaTheme="minorEastAsia"/>
                <w:color w:val="auto"/>
                <w:szCs w:val="21"/>
              </w:rPr>
              <w:t>评价</w:t>
            </w:r>
          </w:p>
          <w:p>
            <w:pPr>
              <w:jc w:val="center"/>
              <w:rPr>
                <w:rFonts w:eastAsiaTheme="minorEastAsia"/>
                <w:color w:val="auto"/>
                <w:szCs w:val="21"/>
              </w:rPr>
            </w:pPr>
            <w:r>
              <w:rPr>
                <w:rFonts w:eastAsiaTheme="minorEastAsia"/>
                <w:color w:val="auto"/>
                <w:szCs w:val="21"/>
              </w:rPr>
              <w:t>结论</w:t>
            </w:r>
          </w:p>
        </w:tc>
        <w:tc>
          <w:tcPr>
            <w:tcW w:w="1304" w:type="dxa"/>
            <w:vAlign w:val="center"/>
          </w:tcPr>
          <w:p>
            <w:pPr>
              <w:jc w:val="center"/>
              <w:rPr>
                <w:rFonts w:eastAsiaTheme="minorEastAsia"/>
                <w:color w:val="auto"/>
                <w:szCs w:val="21"/>
              </w:rPr>
            </w:pPr>
            <w:r>
              <w:rPr>
                <w:rFonts w:eastAsiaTheme="minorEastAsia"/>
                <w:color w:val="auto"/>
                <w:szCs w:val="21"/>
              </w:rPr>
              <w:t>生态影响</w:t>
            </w:r>
          </w:p>
        </w:tc>
        <w:tc>
          <w:tcPr>
            <w:tcW w:w="6385" w:type="dxa"/>
            <w:vAlign w:val="center"/>
          </w:tcPr>
          <w:p>
            <w:pPr>
              <w:rPr>
                <w:rFonts w:eastAsiaTheme="minorEastAsia"/>
                <w:color w:val="auto"/>
                <w:szCs w:val="21"/>
              </w:rPr>
            </w:pPr>
            <w:r>
              <w:rPr>
                <w:rFonts w:eastAsiaTheme="minorEastAsia"/>
                <w:color w:val="auto"/>
                <w:szCs w:val="21"/>
              </w:rPr>
              <w:t>可行</w:t>
            </w:r>
            <w:r>
              <w:rPr>
                <w:rFonts w:hint="eastAsia" w:ascii="MS Mincho" w:hAnsi="MS Mincho" w:eastAsia="MS Mincho" w:cs="MS Mincho"/>
                <w:color w:val="auto"/>
                <w:szCs w:val="21"/>
              </w:rPr>
              <w:t>☑</w:t>
            </w:r>
            <w:r>
              <w:rPr>
                <w:rFonts w:eastAsiaTheme="minorEastAsia"/>
                <w:color w:val="auto"/>
                <w:szCs w:val="21"/>
              </w:rPr>
              <w:t>；不可行□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528" w:type="dxa"/>
            <w:gridSpan w:val="3"/>
            <w:vAlign w:val="center"/>
          </w:tcPr>
          <w:p>
            <w:pPr>
              <w:rPr>
                <w:rFonts w:eastAsiaTheme="minorEastAsia"/>
                <w:color w:val="auto"/>
                <w:szCs w:val="21"/>
              </w:rPr>
            </w:pPr>
            <w:r>
              <w:rPr>
                <w:rFonts w:eastAsiaTheme="minorEastAsia"/>
                <w:color w:val="auto"/>
                <w:szCs w:val="21"/>
              </w:rPr>
              <w:t>注：“□”为勾选项，可√；“（  ）”为内容填写项</w:t>
            </w:r>
          </w:p>
        </w:tc>
      </w:tr>
    </w:tbl>
    <w:p>
      <w:pPr>
        <w:spacing w:line="360" w:lineRule="auto"/>
        <w:ind w:firstLine="480" w:firstLineChars="200"/>
        <w:rPr>
          <w:color w:val="FF0000"/>
          <w:kern w:val="18"/>
          <w:sz w:val="24"/>
          <w:szCs w:val="21"/>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4"/>
        <w:bidi w:val="0"/>
        <w:rPr>
          <w:rFonts w:hint="default"/>
          <w:lang w:val="en-US" w:eastAsia="zh-CN"/>
        </w:rPr>
      </w:pPr>
      <w:bookmarkStart w:id="287" w:name="_Toc30745"/>
      <w:r>
        <w:rPr>
          <w:rFonts w:hint="eastAsia"/>
          <w:lang w:val="en-US" w:eastAsia="zh-CN"/>
        </w:rPr>
        <w:t>附图1项目地理位置图</w:t>
      </w:r>
      <w:bookmarkEnd w:id="287"/>
    </w:p>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eastAsia="宋体"/>
          <w:color w:val="auto"/>
          <w:spacing w:val="16"/>
          <w:sz w:val="28"/>
          <w:szCs w:val="28"/>
        </w:rPr>
        <w:pict>
          <v:shape id="Object 62" o:spid="_x0000_s71690" o:spt="75" type="#_x0000_t75" style="position:absolute;left:0pt;margin-left:563.5pt;margin-top:1.85pt;height:50.95pt;width:49.55pt;z-index:251677696;mso-width-relative:page;mso-height-relative:page;" o:ole="t" filled="f" o:preferrelative="t" stroked="f" coordsize="21600,21600">
            <v:path/>
            <v:fill on="f" focussize="0,0"/>
            <v:stroke on="f"/>
            <v:imagedata r:id="rId93" o:title=""/>
            <o:lock v:ext="edit" aspectratio="f"/>
          </v:shape>
          <o:OLEObject Type="Embed" ProgID="Visio.Drawing.11" ShapeID="Object 62" DrawAspect="Content" ObjectID="_1468075739" r:id="rId92">
            <o:LockedField>false</o:LockedField>
          </o:OLEObject>
        </w:pict>
      </w:r>
      <w:r>
        <w:rPr>
          <w:sz w:val="28"/>
        </w:rPr>
        <w:pict>
          <v:shape id="_x0000_s71691" o:spid="_x0000_s71691" o:spt="62" type="#_x0000_t62" style="position:absolute;left:0pt;margin-left:118.35pt;margin-top:84.2pt;height:32.3pt;width:74.25pt;z-index:251675648;mso-width-relative:page;mso-height-relative:page;" fillcolor="#FFFFFF" filled="t" stroked="t" coordsize="21600,21600" adj="36303,18018">
            <v:path/>
            <v:fill on="t" color2="#FFFFFF" focussize="0,0"/>
            <v:stroke weight="1pt" color="#FFFFFF"/>
            <v:imagedata o:title=""/>
            <o:lock v:ext="edit" aspectratio="f"/>
            <v:textbox>
              <w:txbxContent>
                <w:p>
                  <w:pPr>
                    <w:rPr>
                      <w:rFonts w:hint="default" w:eastAsia="宋体"/>
                      <w:lang w:val="en-US" w:eastAsia="zh-CN"/>
                    </w:rPr>
                  </w:pPr>
                  <w:r>
                    <w:rPr>
                      <w:rFonts w:hint="eastAsia"/>
                      <w:lang w:val="en-US" w:eastAsia="zh-CN"/>
                    </w:rPr>
                    <w:t>本项目位置</w:t>
                  </w:r>
                </w:p>
              </w:txbxContent>
            </v:textbox>
          </v:shape>
        </w:pict>
      </w:r>
      <w:r>
        <w:drawing>
          <wp:inline distT="0" distB="0" distL="114300" distR="114300">
            <wp:extent cx="6738620" cy="4497705"/>
            <wp:effectExtent l="0" t="0" r="5080" b="17145"/>
            <wp:docPr id="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pic:cNvPicPr>
                      <a:picLocks noChangeAspect="1"/>
                    </pic:cNvPicPr>
                  </pic:nvPicPr>
                  <pic:blipFill>
                    <a:blip r:embed="rId94"/>
                    <a:stretch>
                      <a:fillRect/>
                    </a:stretch>
                  </pic:blipFill>
                  <pic:spPr>
                    <a:xfrm>
                      <a:off x="0" y="0"/>
                      <a:ext cx="6738620" cy="4497705"/>
                    </a:xfrm>
                    <a:prstGeom prst="rect">
                      <a:avLst/>
                    </a:prstGeom>
                    <a:noFill/>
                    <a:ln>
                      <a:noFill/>
                    </a:ln>
                  </pic:spPr>
                </pic:pic>
              </a:graphicData>
            </a:graphic>
          </wp:inline>
        </w:drawing>
      </w:r>
    </w:p>
    <w:p>
      <w:pPr>
        <w:pStyle w:val="4"/>
        <w:bidi w:val="0"/>
        <w:rPr>
          <w:rFonts w:hint="eastAsia"/>
          <w:lang w:val="en-US" w:eastAsia="zh-CN"/>
        </w:rPr>
      </w:pPr>
      <w:bookmarkStart w:id="288" w:name="_Toc12981"/>
      <w:r>
        <w:rPr>
          <w:rFonts w:hint="eastAsia"/>
          <w:lang w:val="en-US" w:eastAsia="zh-CN"/>
        </w:rPr>
        <w:t>附图2 项目平面布置图</w:t>
      </w:r>
      <w:bookmarkEnd w:id="288"/>
    </w:p>
    <w:p>
      <w:pPr>
        <w:rPr>
          <w:rFonts w:hint="default"/>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lang w:val="en-US" w:eastAsia="zh-CN"/>
        </w:rPr>
        <w:object>
          <v:shape id="_x0000_i1039" o:spt="75" type="#_x0000_t75" style="height:355.8pt;width:656.05pt;" o:ole="t" filled="f" o:preferrelative="t" stroked="f" coordsize="21600,21600">
            <v:path/>
            <v:fill on="f" focussize="0,0"/>
            <v:stroke on="f"/>
            <v:imagedata r:id="rId96" o:title=""/>
            <o:lock v:ext="edit" aspectratio="f"/>
            <w10:wrap type="none"/>
            <w10:anchorlock/>
          </v:shape>
          <o:OLEObject Type="Embed" ProgID="Visio.Drawing.15" ShapeID="_x0000_i1039" DrawAspect="Content" ObjectID="_1468075740" r:id="rId95">
            <o:LockedField>false</o:LockedField>
          </o:OLEObject>
        </w:object>
      </w:r>
    </w:p>
    <w:p>
      <w:pPr>
        <w:pStyle w:val="4"/>
        <w:bidi w:val="0"/>
        <w:rPr>
          <w:rFonts w:hint="eastAsia"/>
          <w:lang w:val="en-US" w:eastAsia="zh-CN"/>
        </w:rPr>
      </w:pPr>
      <w:bookmarkStart w:id="289" w:name="_Toc3646"/>
      <w:r>
        <w:rPr>
          <w:rFonts w:hint="eastAsia"/>
          <w:lang w:val="en-US" w:eastAsia="zh-CN"/>
        </w:rPr>
        <w:t>附图3评价范围图</w:t>
      </w:r>
      <w:bookmarkEnd w:id="289"/>
    </w:p>
    <w:p>
      <w:pPr>
        <w:keepNext w:val="0"/>
        <w:keepLines w:val="0"/>
        <w:pageBreakBefore w:val="0"/>
        <w:widowControl w:val="0"/>
        <w:kinsoku/>
        <w:wordWrap/>
        <w:overflowPunct/>
        <w:topLinePunct w:val="0"/>
        <w:autoSpaceDE/>
        <w:autoSpaceDN/>
        <w:bidi w:val="0"/>
        <w:adjustRightInd/>
        <w:snapToGrid/>
        <w:jc w:val="center"/>
        <w:textAlignment w:val="auto"/>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8"/>
        </w:rPr>
        <w:pict>
          <v:rect id="_x0000_s71702" o:spid="_x0000_s71702" o:spt="1" style="position:absolute;left:0pt;margin-left:560.15pt;margin-top:331pt;height:12.75pt;width:28.5pt;z-index:251682816;mso-width-relative:page;mso-height-relative:page;" fillcolor="#FFFFFF" filled="t" stroked="t" coordsize="21600,21600">
            <v:path/>
            <v:fill on="t" color2="#FFFFFF" focussize="0,0"/>
            <v:stroke weight="2pt" color="#FFFF00" joinstyle="miter"/>
            <v:imagedata o:title=""/>
            <o:lock v:ext="edit" aspectratio="f"/>
          </v:rect>
        </w:pict>
      </w:r>
      <w:r>
        <w:rPr>
          <w:sz w:val="28"/>
        </w:rPr>
        <w:pict>
          <v:rect id="_x0000_s71701" o:spid="_x0000_s71701" o:spt="1" style="position:absolute;left:0pt;margin-left:563.15pt;margin-top:306.25pt;height:12.75pt;width:28.5pt;z-index:251681792;mso-width-relative:page;mso-height-relative:page;" fillcolor="#FFFFFF" filled="t" stroked="t" coordsize="21600,21600">
            <v:path/>
            <v:fill on="t" color2="#FFFFFF" focussize="0,0"/>
            <v:stroke weight="1pt" color="#CB3CE4" joinstyle="miter"/>
            <v:imagedata o:title=""/>
            <o:lock v:ext="edit" aspectratio="f"/>
          </v:rect>
        </w:pict>
      </w:r>
      <w:r>
        <w:rPr>
          <w:sz w:val="28"/>
        </w:rPr>
        <w:pict>
          <v:rect id="_x0000_s71700" o:spid="_x0000_s71700" o:spt="1" style="position:absolute;left:0pt;margin-left:554.9pt;margin-top:283.75pt;height:12.75pt;width:28.5pt;z-index:251676672;mso-width-relative:page;mso-height-relative:page;" fillcolor="#FFFFFF" filled="t" stroked="t" coordsize="21600,21600">
            <v:path/>
            <v:fill on="t" color2="#FFFFFF" focussize="0,0"/>
            <v:stroke weight="1pt" color="#92D050"/>
            <v:imagedata o:title=""/>
            <o:lock v:ext="edit" aspectratio="f"/>
          </v:rect>
        </w:pict>
      </w:r>
      <w:r>
        <w:rPr>
          <w:sz w:val="28"/>
        </w:rPr>
        <w:pict>
          <v:shape id="_x0000_s71699" o:spid="_x0000_s71699" o:spt="202" type="#_x0000_t202" style="position:absolute;left:0pt;margin-left:465.7pt;margin-top:258.2pt;height:94.55pt;width:133.45pt;z-index:251675648;mso-width-relative:page;mso-height-relative:page;" fillcolor="#FFFFFF" filled="t" stroked="t" coordsize="21600,21600">
            <v:path/>
            <v:fill on="t" color2="#FFFFFF" focussize="0,0"/>
            <v:stroke weight="1pt" color="#FFFFFF"/>
            <v:imagedata o:title=""/>
            <o:lock v:ext="edit" aspectratio="f"/>
            <v:textbox>
              <w:txbxContent>
                <w:p>
                  <w:pPr>
                    <w:jc w:val="center"/>
                    <w:rPr>
                      <w:rFonts w:hint="eastAsia"/>
                      <w:lang w:val="en-US" w:eastAsia="zh-CN"/>
                    </w:rPr>
                  </w:pPr>
                  <w:r>
                    <w:rPr>
                      <w:rFonts w:hint="eastAsia"/>
                      <w:lang w:val="en-US" w:eastAsia="zh-CN"/>
                    </w:rPr>
                    <w:t>图例</w:t>
                  </w:r>
                </w:p>
                <w:p>
                  <w:pPr>
                    <w:pStyle w:val="2"/>
                    <w:keepNext w:val="0"/>
                    <w:keepLines w:val="0"/>
                    <w:pageBreakBefore w:val="0"/>
                    <w:widowControl w:val="0"/>
                    <w:kinsoku/>
                    <w:wordWrap/>
                    <w:overflowPunct/>
                    <w:topLinePunct w:val="0"/>
                    <w:bidi w:val="0"/>
                    <w:adjustRightInd/>
                    <w:snapToGrid/>
                    <w:spacing w:line="360" w:lineRule="auto"/>
                    <w:ind w:firstLine="0" w:firstLineChars="0"/>
                    <w:jc w:val="both"/>
                    <w:textAlignment w:val="auto"/>
                    <w:rPr>
                      <w:rFonts w:hint="eastAsia"/>
                      <w:sz w:val="24"/>
                      <w:szCs w:val="24"/>
                      <w:lang w:val="en-US" w:eastAsia="zh-CN"/>
                    </w:rPr>
                  </w:pPr>
                  <w:r>
                    <w:rPr>
                      <w:rFonts w:hint="eastAsia"/>
                      <w:sz w:val="24"/>
                      <w:szCs w:val="24"/>
                      <w:lang w:val="en-US" w:eastAsia="zh-CN"/>
                    </w:rPr>
                    <w:t>噪声评价范围</w:t>
                  </w:r>
                </w:p>
                <w:p>
                  <w:pPr>
                    <w:keepNext w:val="0"/>
                    <w:keepLines w:val="0"/>
                    <w:pageBreakBefore w:val="0"/>
                    <w:widowControl w:val="0"/>
                    <w:kinsoku/>
                    <w:wordWrap/>
                    <w:overflowPunct/>
                    <w:topLinePunct w:val="0"/>
                    <w:bidi w:val="0"/>
                    <w:adjustRightInd/>
                    <w:snapToGrid/>
                    <w:spacing w:line="360" w:lineRule="auto"/>
                    <w:ind w:firstLine="0" w:firstLineChars="0"/>
                    <w:jc w:val="both"/>
                    <w:textAlignment w:val="auto"/>
                    <w:rPr>
                      <w:rFonts w:hint="eastAsia"/>
                      <w:sz w:val="24"/>
                      <w:szCs w:val="24"/>
                      <w:lang w:val="en-US" w:eastAsia="zh-CN"/>
                    </w:rPr>
                  </w:pPr>
                  <w:r>
                    <w:rPr>
                      <w:rFonts w:hint="eastAsia"/>
                      <w:sz w:val="24"/>
                      <w:szCs w:val="24"/>
                      <w:lang w:val="en-US" w:eastAsia="zh-CN"/>
                    </w:rPr>
                    <w:t>地下水评价范围</w:t>
                  </w:r>
                </w:p>
                <w:p>
                  <w:pPr>
                    <w:pStyle w:val="2"/>
                    <w:keepNext w:val="0"/>
                    <w:keepLines w:val="0"/>
                    <w:pageBreakBefore w:val="0"/>
                    <w:widowControl w:val="0"/>
                    <w:kinsoku/>
                    <w:wordWrap/>
                    <w:overflowPunct/>
                    <w:topLinePunct w:val="0"/>
                    <w:bidi w:val="0"/>
                    <w:adjustRightInd/>
                    <w:snapToGrid/>
                    <w:spacing w:line="360" w:lineRule="auto"/>
                    <w:ind w:firstLine="0" w:firstLineChars="0"/>
                    <w:jc w:val="both"/>
                    <w:textAlignment w:val="auto"/>
                    <w:rPr>
                      <w:rFonts w:hint="default"/>
                      <w:sz w:val="24"/>
                      <w:szCs w:val="24"/>
                      <w:lang w:val="en-US" w:eastAsia="zh-CN"/>
                    </w:rPr>
                  </w:pPr>
                  <w:r>
                    <w:rPr>
                      <w:rFonts w:hint="eastAsia"/>
                      <w:sz w:val="24"/>
                      <w:szCs w:val="24"/>
                      <w:lang w:val="en-US" w:eastAsia="zh-CN"/>
                    </w:rPr>
                    <w:t>大气评价范围</w:t>
                  </w:r>
                </w:p>
              </w:txbxContent>
            </v:textbox>
          </v:shape>
        </w:pict>
      </w:r>
      <w:r>
        <w:rPr>
          <w:rFonts w:eastAsia="宋体"/>
          <w:color w:val="auto"/>
          <w:spacing w:val="16"/>
          <w:sz w:val="28"/>
          <w:szCs w:val="28"/>
        </w:rPr>
        <w:pict>
          <v:shape id="_x0000_s71698" o:spid="_x0000_s71698" o:spt="75" type="#_x0000_t75" style="position:absolute;left:0pt;margin-left:549.25pt;margin-top:4.85pt;height:54.75pt;width:51.8pt;z-index:251680768;mso-width-relative:page;mso-height-relative:page;" o:ole="t" filled="f" o:preferrelative="t" stroked="f" coordsize="21600,21600">
            <v:path/>
            <v:fill on="f" focussize="0,0"/>
            <v:stroke on="f"/>
            <v:imagedata r:id="rId93" o:title=""/>
            <o:lock v:ext="edit" aspectratio="f"/>
          </v:shape>
          <o:OLEObject Type="Embed" ProgID="Visio.Drawing.11" ShapeID="_x0000_s71698" DrawAspect="Content" ObjectID="_1468075741" r:id="rId97">
            <o:LockedField>false</o:LockedField>
          </o:OLEObject>
        </w:pict>
      </w:r>
      <w:r>
        <w:drawing>
          <wp:inline distT="0" distB="0" distL="114300" distR="114300">
            <wp:extent cx="6396355" cy="4431030"/>
            <wp:effectExtent l="0" t="0" r="4445" b="7620"/>
            <wp:docPr id="4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4"/>
                    <pic:cNvPicPr>
                      <a:picLocks noChangeAspect="1"/>
                    </pic:cNvPicPr>
                  </pic:nvPicPr>
                  <pic:blipFill>
                    <a:blip r:embed="rId98"/>
                    <a:stretch>
                      <a:fillRect/>
                    </a:stretch>
                  </pic:blipFill>
                  <pic:spPr>
                    <a:xfrm>
                      <a:off x="0" y="0"/>
                      <a:ext cx="6396355" cy="4431030"/>
                    </a:xfrm>
                    <a:prstGeom prst="rect">
                      <a:avLst/>
                    </a:prstGeom>
                    <a:noFill/>
                    <a:ln>
                      <a:noFill/>
                    </a:ln>
                  </pic:spPr>
                </pic:pic>
              </a:graphicData>
            </a:graphic>
          </wp:inline>
        </w:drawing>
      </w:r>
    </w:p>
    <w:p>
      <w:pPr>
        <w:pStyle w:val="4"/>
        <w:bidi w:val="0"/>
        <w:rPr>
          <w:rFonts w:hint="eastAsia"/>
          <w:lang w:val="en-US" w:eastAsia="zh-CN"/>
        </w:rPr>
      </w:pPr>
      <w:bookmarkStart w:id="290" w:name="_Toc8824"/>
      <w:r>
        <w:rPr>
          <w:rFonts w:hint="eastAsia"/>
          <w:lang w:val="en-US" w:eastAsia="zh-CN"/>
        </w:rPr>
        <w:t>附图4哈尔滨市环境管控单元图</w:t>
      </w:r>
      <w:bookmarkEnd w:id="290"/>
    </w:p>
    <w:p>
      <w:pPr>
        <w:pStyle w:val="19"/>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1"/>
        </w:rPr>
        <w:pict>
          <v:shape id="_x0000_s71703" o:spid="_x0000_s71703" o:spt="62" type="#_x0000_t62" style="position:absolute;left:0pt;margin-left:294.85pt;margin-top:152.05pt;height:22.15pt;width:73.35pt;z-index:251675648;mso-width-relative:page;mso-height-relative:page;" fillcolor="#FFFFFF" filled="t" stroked="t" coordsize="21600,21600" adj="3195,45833">
            <v:path/>
            <v:fill on="t" color2="#FFFFFF" focussize="0,0"/>
            <v:stroke weight="1pt" color="#FFFFFF"/>
            <v:imagedata o:title=""/>
            <o:lock v:ext="edit" aspectratio="f"/>
            <v:textbox>
              <w:txbxContent>
                <w:p>
                  <w:pPr>
                    <w:rPr>
                      <w:rFonts w:hint="default" w:eastAsia="宋体"/>
                      <w:lang w:val="en-US" w:eastAsia="zh-CN"/>
                    </w:rPr>
                  </w:pPr>
                  <w:r>
                    <w:rPr>
                      <w:rFonts w:hint="eastAsia"/>
                      <w:lang w:val="en-US" w:eastAsia="zh-CN"/>
                    </w:rPr>
                    <w:t>本项目位置</w:t>
                  </w:r>
                </w:p>
              </w:txbxContent>
            </v:textbox>
          </v:shape>
        </w:pict>
      </w:r>
      <w:r>
        <w:rPr>
          <w:rFonts w:hint="default" w:ascii="Times New Roman" w:hAnsi="Times New Roman" w:cs="Times New Roman"/>
          <w:color w:val="auto"/>
          <w:highlight w:val="none"/>
        </w:rPr>
        <w:drawing>
          <wp:inline distT="0" distB="0" distL="114300" distR="114300">
            <wp:extent cx="6431280" cy="4471670"/>
            <wp:effectExtent l="0" t="0" r="7620" b="5080"/>
            <wp:docPr id="5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0"/>
                    <pic:cNvPicPr>
                      <a:picLocks noChangeAspect="1"/>
                    </pic:cNvPicPr>
                  </pic:nvPicPr>
                  <pic:blipFill>
                    <a:blip r:embed="rId99"/>
                    <a:stretch>
                      <a:fillRect/>
                    </a:stretch>
                  </pic:blipFill>
                  <pic:spPr>
                    <a:xfrm>
                      <a:off x="0" y="0"/>
                      <a:ext cx="6431280" cy="4471670"/>
                    </a:xfrm>
                    <a:prstGeom prst="rect">
                      <a:avLst/>
                    </a:prstGeom>
                    <a:noFill/>
                    <a:ln>
                      <a:noFill/>
                    </a:ln>
                  </pic:spPr>
                </pic:pic>
              </a:graphicData>
            </a:graphic>
          </wp:inline>
        </w:drawing>
      </w:r>
    </w:p>
    <w:p>
      <w:pPr>
        <w:pStyle w:val="4"/>
        <w:bidi w:val="0"/>
        <w:rPr>
          <w:rFonts w:hint="default" w:ascii="Times New Roman" w:hAnsi="Times New Roman" w:cs="Times New Roman"/>
          <w:color w:val="auto"/>
          <w:highlight w:val="none"/>
          <w:vertAlign w:val="baseline"/>
          <w:lang w:val="en-US" w:eastAsia="zh-CN"/>
        </w:rPr>
      </w:pPr>
      <w:bookmarkStart w:id="291" w:name="_Toc21414"/>
      <w:bookmarkStart w:id="292" w:name="_Toc22132"/>
      <w:r>
        <w:rPr>
          <w:rFonts w:hint="default" w:ascii="Times New Roman" w:hAnsi="Times New Roman" w:cs="Times New Roman"/>
          <w:color w:val="auto"/>
          <w:highlight w:val="none"/>
          <w:lang w:val="en-US" w:eastAsia="zh-CN"/>
        </w:rPr>
        <w:t>附图</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en-US" w:eastAsia="zh-CN"/>
        </w:rPr>
        <w:t>周围环境关系图</w:t>
      </w:r>
      <w:bookmarkEnd w:id="291"/>
      <w:bookmarkEnd w:id="292"/>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28"/>
        <w:gridCol w:w="44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28" w:type="dxa"/>
            <w:noWrap w:val="0"/>
            <w:vAlign w:val="center"/>
          </w:tcPr>
          <w:p>
            <w:pPr>
              <w:bidi w:val="0"/>
              <w:jc w:val="center"/>
              <w:rPr>
                <w:rFonts w:hint="default"/>
                <w:lang w:val="en-US" w:eastAsia="zh-CN"/>
              </w:rPr>
            </w:pPr>
            <w:r>
              <w:rPr>
                <w:rFonts w:hint="default"/>
                <w:lang w:val="en-US" w:eastAsia="zh-CN"/>
              </w:rPr>
              <w:drawing>
                <wp:inline distT="0" distB="0" distL="114300" distR="114300">
                  <wp:extent cx="2407285" cy="3209290"/>
                  <wp:effectExtent l="0" t="0" r="12065" b="10160"/>
                  <wp:docPr id="48" name="图片 48" descr="微信图片_2023101812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微信图片_20231018122048"/>
                          <pic:cNvPicPr>
                            <a:picLocks noChangeAspect="1"/>
                          </pic:cNvPicPr>
                        </pic:nvPicPr>
                        <pic:blipFill>
                          <a:blip r:embed="rId100"/>
                          <a:stretch>
                            <a:fillRect/>
                          </a:stretch>
                        </pic:blipFill>
                        <pic:spPr>
                          <a:xfrm>
                            <a:off x="0" y="0"/>
                            <a:ext cx="2407285" cy="3209290"/>
                          </a:xfrm>
                          <a:prstGeom prst="rect">
                            <a:avLst/>
                          </a:prstGeom>
                        </pic:spPr>
                      </pic:pic>
                    </a:graphicData>
                  </a:graphic>
                </wp:inline>
              </w:drawing>
            </w:r>
          </w:p>
        </w:tc>
        <w:tc>
          <w:tcPr>
            <w:tcW w:w="4494" w:type="dxa"/>
            <w:noWrap w:val="0"/>
            <w:vAlign w:val="center"/>
          </w:tcPr>
          <w:p>
            <w:pPr>
              <w:bidi w:val="0"/>
              <w:jc w:val="center"/>
              <w:rPr>
                <w:rFonts w:hint="default"/>
                <w:lang w:val="en-US" w:eastAsia="zh-CN"/>
              </w:rPr>
            </w:pPr>
            <w:r>
              <w:rPr>
                <w:rFonts w:hint="default"/>
                <w:lang w:val="en-US" w:eastAsia="zh-CN"/>
              </w:rPr>
              <w:drawing>
                <wp:inline distT="0" distB="0" distL="114300" distR="114300">
                  <wp:extent cx="2713990" cy="2035810"/>
                  <wp:effectExtent l="0" t="0" r="10160" b="2540"/>
                  <wp:docPr id="46" name="图片 46" descr="北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北侧"/>
                          <pic:cNvPicPr>
                            <a:picLocks noChangeAspect="1"/>
                          </pic:cNvPicPr>
                        </pic:nvPicPr>
                        <pic:blipFill>
                          <a:blip r:embed="rId101"/>
                          <a:stretch>
                            <a:fillRect/>
                          </a:stretch>
                        </pic:blipFill>
                        <pic:spPr>
                          <a:xfrm>
                            <a:off x="0" y="0"/>
                            <a:ext cx="2713990" cy="20358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28" w:type="dxa"/>
            <w:noWrap w:val="0"/>
            <w:vAlign w:val="center"/>
          </w:tcPr>
          <w:p>
            <w:pPr>
              <w:bidi w:val="0"/>
              <w:jc w:val="center"/>
              <w:rPr>
                <w:rFonts w:hint="default"/>
                <w:lang w:val="en-US" w:eastAsia="zh-CN"/>
              </w:rPr>
            </w:pPr>
            <w:bookmarkStart w:id="293" w:name="_Toc13975"/>
            <w:bookmarkStart w:id="294" w:name="_Toc4756"/>
            <w:r>
              <w:rPr>
                <w:rFonts w:hint="default"/>
                <w:lang w:val="en-US" w:eastAsia="zh-CN"/>
              </w:rPr>
              <w:t>项目</w:t>
            </w:r>
            <w:bookmarkEnd w:id="293"/>
            <w:bookmarkEnd w:id="294"/>
            <w:r>
              <w:rPr>
                <w:rFonts w:hint="default"/>
                <w:lang w:val="en-US" w:eastAsia="zh-CN"/>
              </w:rPr>
              <w:t>东北侧农田</w:t>
            </w:r>
          </w:p>
        </w:tc>
        <w:tc>
          <w:tcPr>
            <w:tcW w:w="4494" w:type="dxa"/>
            <w:noWrap w:val="0"/>
            <w:vAlign w:val="center"/>
          </w:tcPr>
          <w:p>
            <w:pPr>
              <w:bidi w:val="0"/>
              <w:jc w:val="center"/>
              <w:rPr>
                <w:rFonts w:hint="default"/>
                <w:lang w:val="en-US" w:eastAsia="zh-CN"/>
              </w:rPr>
            </w:pPr>
            <w:bookmarkStart w:id="295" w:name="_Toc992"/>
            <w:bookmarkStart w:id="296" w:name="_Toc22534"/>
            <w:r>
              <w:rPr>
                <w:rFonts w:hint="default"/>
                <w:lang w:val="en-US" w:eastAsia="zh-CN"/>
              </w:rPr>
              <w:t>项目</w:t>
            </w:r>
            <w:bookmarkEnd w:id="295"/>
            <w:bookmarkEnd w:id="296"/>
            <w:r>
              <w:rPr>
                <w:rFonts w:hint="default"/>
                <w:lang w:val="en-US" w:eastAsia="zh-CN"/>
              </w:rPr>
              <w:t>西北侧农田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28" w:type="dxa"/>
            <w:noWrap w:val="0"/>
            <w:vAlign w:val="center"/>
          </w:tcPr>
          <w:p>
            <w:pPr>
              <w:bidi w:val="0"/>
              <w:jc w:val="center"/>
              <w:rPr>
                <w:rFonts w:hint="default"/>
                <w:lang w:val="en-US" w:eastAsia="zh-CN"/>
              </w:rPr>
            </w:pPr>
            <w:r>
              <w:rPr>
                <w:rFonts w:hint="default"/>
                <w:lang w:val="en-US" w:eastAsia="zh-CN"/>
              </w:rPr>
              <w:drawing>
                <wp:inline distT="0" distB="0" distL="114300" distR="114300">
                  <wp:extent cx="2404745" cy="1804670"/>
                  <wp:effectExtent l="0" t="0" r="14605" b="5080"/>
                  <wp:docPr id="45" name="图片 45" descr="南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南侧"/>
                          <pic:cNvPicPr>
                            <a:picLocks noChangeAspect="1"/>
                          </pic:cNvPicPr>
                        </pic:nvPicPr>
                        <pic:blipFill>
                          <a:blip r:embed="rId102"/>
                          <a:stretch>
                            <a:fillRect/>
                          </a:stretch>
                        </pic:blipFill>
                        <pic:spPr>
                          <a:xfrm>
                            <a:off x="0" y="0"/>
                            <a:ext cx="2404745" cy="1804670"/>
                          </a:xfrm>
                          <a:prstGeom prst="rect">
                            <a:avLst/>
                          </a:prstGeom>
                        </pic:spPr>
                      </pic:pic>
                    </a:graphicData>
                  </a:graphic>
                </wp:inline>
              </w:drawing>
            </w:r>
          </w:p>
        </w:tc>
        <w:tc>
          <w:tcPr>
            <w:tcW w:w="4494" w:type="dxa"/>
            <w:noWrap w:val="0"/>
            <w:vAlign w:val="center"/>
          </w:tcPr>
          <w:p>
            <w:pPr>
              <w:bidi w:val="0"/>
              <w:jc w:val="center"/>
              <w:rPr>
                <w:rFonts w:hint="default"/>
                <w:lang w:val="en-US" w:eastAsia="zh-CN"/>
              </w:rPr>
            </w:pPr>
            <w:r>
              <w:rPr>
                <w:rFonts w:hint="default"/>
                <w:lang w:val="en-US" w:eastAsia="zh-CN"/>
              </w:rPr>
              <w:drawing>
                <wp:inline distT="0" distB="0" distL="114300" distR="114300">
                  <wp:extent cx="2713990" cy="2035810"/>
                  <wp:effectExtent l="0" t="0" r="10160" b="2540"/>
                  <wp:docPr id="47" name="图片 47" descr="西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西侧"/>
                          <pic:cNvPicPr>
                            <a:picLocks noChangeAspect="1"/>
                          </pic:cNvPicPr>
                        </pic:nvPicPr>
                        <pic:blipFill>
                          <a:blip r:embed="rId103"/>
                          <a:stretch>
                            <a:fillRect/>
                          </a:stretch>
                        </pic:blipFill>
                        <pic:spPr>
                          <a:xfrm>
                            <a:off x="0" y="0"/>
                            <a:ext cx="2713990" cy="20358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28" w:type="dxa"/>
            <w:noWrap w:val="0"/>
            <w:vAlign w:val="center"/>
          </w:tcPr>
          <w:p>
            <w:pPr>
              <w:bidi w:val="0"/>
              <w:jc w:val="center"/>
              <w:rPr>
                <w:rFonts w:hint="default"/>
                <w:lang w:val="en-US" w:eastAsia="zh-CN"/>
              </w:rPr>
            </w:pPr>
            <w:bookmarkStart w:id="297" w:name="_Toc17732"/>
            <w:bookmarkStart w:id="298" w:name="_Toc14463"/>
            <w:r>
              <w:rPr>
                <w:rFonts w:hint="default"/>
                <w:lang w:val="en-US" w:eastAsia="zh-CN"/>
              </w:rPr>
              <w:t>项目</w:t>
            </w:r>
            <w:bookmarkEnd w:id="297"/>
            <w:bookmarkEnd w:id="298"/>
            <w:r>
              <w:rPr>
                <w:rFonts w:hint="default"/>
                <w:lang w:val="en-US" w:eastAsia="zh-CN"/>
              </w:rPr>
              <w:t>东南侧乡道及农田</w:t>
            </w:r>
          </w:p>
        </w:tc>
        <w:tc>
          <w:tcPr>
            <w:tcW w:w="4494" w:type="dxa"/>
            <w:noWrap w:val="0"/>
            <w:vAlign w:val="center"/>
          </w:tcPr>
          <w:p>
            <w:pPr>
              <w:bidi w:val="0"/>
              <w:jc w:val="center"/>
              <w:rPr>
                <w:rFonts w:hint="default"/>
                <w:lang w:val="en-US" w:eastAsia="zh-CN"/>
              </w:rPr>
            </w:pPr>
            <w:bookmarkStart w:id="299" w:name="_Toc23933"/>
            <w:bookmarkStart w:id="300" w:name="_Toc3754"/>
            <w:r>
              <w:rPr>
                <w:rFonts w:hint="default"/>
                <w:lang w:val="en-US" w:eastAsia="zh-CN"/>
              </w:rPr>
              <w:t>项目</w:t>
            </w:r>
            <w:bookmarkEnd w:id="299"/>
            <w:bookmarkEnd w:id="300"/>
            <w:r>
              <w:rPr>
                <w:rFonts w:hint="default"/>
                <w:lang w:val="en-US" w:eastAsia="zh-CN"/>
              </w:rPr>
              <w:t>西南侧乡道及农田</w:t>
            </w:r>
          </w:p>
        </w:tc>
      </w:tr>
    </w:tbl>
    <w:p>
      <w:pPr>
        <w:pStyle w:val="2"/>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4"/>
        <w:bidi w:val="0"/>
        <w:rPr>
          <w:rFonts w:hint="eastAsia"/>
          <w:lang w:val="en-US" w:eastAsia="zh-CN"/>
        </w:rPr>
      </w:pPr>
      <w:bookmarkStart w:id="301" w:name="_Toc30966"/>
      <w:r>
        <w:rPr>
          <w:rFonts w:hint="eastAsia"/>
          <w:lang w:val="en-US" w:eastAsia="zh-CN"/>
        </w:rPr>
        <w:t>附件1营业执照</w:t>
      </w:r>
      <w:bookmarkEnd w:id="301"/>
    </w:p>
    <w:p>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lang w:val="en-US" w:eastAsia="zh-CN"/>
        </w:rPr>
        <w:drawing>
          <wp:inline distT="0" distB="0" distL="114300" distR="114300">
            <wp:extent cx="4217035" cy="6390640"/>
            <wp:effectExtent l="0" t="0" r="10160" b="12065"/>
            <wp:docPr id="49" name="图片 49"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营业执照"/>
                    <pic:cNvPicPr>
                      <a:picLocks noChangeAspect="1"/>
                    </pic:cNvPicPr>
                  </pic:nvPicPr>
                  <pic:blipFill>
                    <a:blip r:embed="rId104"/>
                    <a:srcRect t="14757"/>
                    <a:stretch>
                      <a:fillRect/>
                    </a:stretch>
                  </pic:blipFill>
                  <pic:spPr>
                    <a:xfrm rot="16200000">
                      <a:off x="0" y="0"/>
                      <a:ext cx="4217035" cy="6390640"/>
                    </a:xfrm>
                    <a:prstGeom prst="rect">
                      <a:avLst/>
                    </a:prstGeom>
                  </pic:spPr>
                </pic:pic>
              </a:graphicData>
            </a:graphic>
          </wp:inline>
        </w:drawing>
      </w:r>
    </w:p>
    <w:p>
      <w:pPr>
        <w:pStyle w:val="4"/>
        <w:bidi w:val="0"/>
        <w:rPr>
          <w:rFonts w:hint="eastAsia"/>
          <w:lang w:val="en-US" w:eastAsia="zh-CN"/>
        </w:rPr>
      </w:pPr>
      <w:bookmarkStart w:id="302" w:name="_Toc25796"/>
      <w:r>
        <w:rPr>
          <w:rFonts w:hint="eastAsia"/>
          <w:lang w:val="en-US" w:eastAsia="zh-CN"/>
        </w:rPr>
        <w:t>附件2土地证</w:t>
      </w:r>
      <w:bookmarkEnd w:id="302"/>
    </w:p>
    <w:p>
      <w:pPr>
        <w:pStyle w:val="20"/>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5266690" cy="4750435"/>
            <wp:effectExtent l="0" t="0" r="10160" b="12065"/>
            <wp:docPr id="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
                    <pic:cNvPicPr>
                      <a:picLocks noChangeAspect="1"/>
                    </pic:cNvPicPr>
                  </pic:nvPicPr>
                  <pic:blipFill>
                    <a:blip r:embed="rId105"/>
                    <a:stretch>
                      <a:fillRect/>
                    </a:stretch>
                  </pic:blipFill>
                  <pic:spPr>
                    <a:xfrm>
                      <a:off x="0" y="0"/>
                      <a:ext cx="5266690" cy="4750435"/>
                    </a:xfrm>
                    <a:prstGeom prst="rect">
                      <a:avLst/>
                    </a:prstGeom>
                    <a:noFill/>
                    <a:ln>
                      <a:noFill/>
                    </a:ln>
                  </pic:spPr>
                </pic:pic>
              </a:graphicData>
            </a:graphic>
          </wp:inline>
        </w:drawing>
      </w:r>
    </w:p>
    <w:p>
      <w:pPr>
        <w:pStyle w:val="4"/>
        <w:bidi w:val="0"/>
        <w:rPr>
          <w:rFonts w:hint="eastAsia"/>
          <w:lang w:val="en-US" w:eastAsia="zh-CN"/>
        </w:rPr>
      </w:pPr>
      <w:bookmarkStart w:id="303" w:name="_Toc15180"/>
      <w:r>
        <w:rPr>
          <w:rFonts w:hint="eastAsia"/>
          <w:lang w:val="en-US" w:eastAsia="zh-CN"/>
        </w:rPr>
        <w:t>附件3合作协议书</w:t>
      </w:r>
      <w:bookmarkEnd w:id="303"/>
    </w:p>
    <w:p>
      <w:pPr>
        <w:bidi w:val="0"/>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979035" cy="7958455"/>
            <wp:effectExtent l="0" t="0" r="0" b="0"/>
            <wp:docPr id="53" name="图片 53" descr="微信图片_2023101213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微信图片_20231012133637"/>
                    <pic:cNvPicPr>
                      <a:picLocks noChangeAspect="1"/>
                    </pic:cNvPicPr>
                  </pic:nvPicPr>
                  <pic:blipFill>
                    <a:blip r:embed="rId106"/>
                    <a:srcRect t="10087"/>
                    <a:stretch>
                      <a:fillRect/>
                    </a:stretch>
                  </pic:blipFill>
                  <pic:spPr>
                    <a:xfrm>
                      <a:off x="0" y="0"/>
                      <a:ext cx="4979035" cy="7958455"/>
                    </a:xfrm>
                    <a:prstGeom prst="rect">
                      <a:avLst/>
                    </a:prstGeom>
                  </pic:spPr>
                </pic:pic>
              </a:graphicData>
            </a:graphic>
          </wp:inline>
        </w:drawing>
      </w:r>
      <w:r>
        <w:rPr>
          <w:rFonts w:hint="eastAsia"/>
          <w:lang w:val="en-US" w:eastAsia="zh-CN"/>
        </w:rPr>
        <w:drawing>
          <wp:inline distT="0" distB="0" distL="114300" distR="114300">
            <wp:extent cx="4979035" cy="6291580"/>
            <wp:effectExtent l="0" t="0" r="0" b="0"/>
            <wp:docPr id="54" name="图片 54" descr="微信图片_2023101213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微信图片_20231012133722"/>
                    <pic:cNvPicPr>
                      <a:picLocks noChangeAspect="1"/>
                    </pic:cNvPicPr>
                  </pic:nvPicPr>
                  <pic:blipFill>
                    <a:blip r:embed="rId107"/>
                    <a:srcRect t="28919"/>
                    <a:stretch>
                      <a:fillRect/>
                    </a:stretch>
                  </pic:blipFill>
                  <pic:spPr>
                    <a:xfrm>
                      <a:off x="0" y="0"/>
                      <a:ext cx="4979035" cy="6291580"/>
                    </a:xfrm>
                    <a:prstGeom prst="rect">
                      <a:avLst/>
                    </a:prstGeom>
                  </pic:spPr>
                </pic:pic>
              </a:graphicData>
            </a:graphic>
          </wp:inline>
        </w:drawing>
      </w:r>
      <w:r>
        <w:drawing>
          <wp:inline distT="0" distB="0" distL="114300" distR="114300">
            <wp:extent cx="4695825" cy="7591425"/>
            <wp:effectExtent l="0" t="0" r="9525" b="9525"/>
            <wp:docPr id="5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6"/>
                    <pic:cNvPicPr>
                      <a:picLocks noChangeAspect="1"/>
                    </pic:cNvPicPr>
                  </pic:nvPicPr>
                  <pic:blipFill>
                    <a:blip r:embed="rId108"/>
                    <a:stretch>
                      <a:fillRect/>
                    </a:stretch>
                  </pic:blipFill>
                  <pic:spPr>
                    <a:xfrm>
                      <a:off x="0" y="0"/>
                      <a:ext cx="4695825" cy="7591425"/>
                    </a:xfrm>
                    <a:prstGeom prst="rect">
                      <a:avLst/>
                    </a:prstGeom>
                    <a:noFill/>
                    <a:ln>
                      <a:noFill/>
                    </a:ln>
                  </pic:spPr>
                </pic:pic>
              </a:graphicData>
            </a:graphic>
          </wp:inline>
        </w:drawing>
      </w:r>
    </w:p>
    <w:p>
      <w:pPr>
        <w:pStyle w:val="4"/>
        <w:bidi w:val="0"/>
        <w:rPr>
          <w:rFonts w:hint="default"/>
          <w:lang w:val="en-US" w:eastAsia="zh-CN"/>
        </w:rPr>
      </w:pPr>
      <w:bookmarkStart w:id="304" w:name="_Toc28170"/>
      <w:r>
        <w:rPr>
          <w:rFonts w:hint="eastAsia"/>
          <w:lang w:val="en-US" w:eastAsia="zh-CN"/>
        </w:rPr>
        <w:t>附件4投资备案承诺书</w:t>
      </w:r>
      <w:bookmarkEnd w:id="304"/>
    </w:p>
    <w:p>
      <w:pPr>
        <w:pStyle w:val="20"/>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lang w:val="en-US" w:eastAsia="zh-CN"/>
        </w:rPr>
        <w:drawing>
          <wp:inline distT="0" distB="0" distL="114300" distR="114300">
            <wp:extent cx="4979035" cy="7145020"/>
            <wp:effectExtent l="0" t="0" r="0" b="0"/>
            <wp:docPr id="52" name="图片 52" descr="投资项目备案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投资项目备案承诺书"/>
                    <pic:cNvPicPr>
                      <a:picLocks noChangeAspect="1"/>
                    </pic:cNvPicPr>
                  </pic:nvPicPr>
                  <pic:blipFill>
                    <a:blip r:embed="rId109"/>
                    <a:srcRect t="19277"/>
                    <a:stretch>
                      <a:fillRect/>
                    </a:stretch>
                  </pic:blipFill>
                  <pic:spPr>
                    <a:xfrm>
                      <a:off x="0" y="0"/>
                      <a:ext cx="4979035" cy="7145020"/>
                    </a:xfrm>
                    <a:prstGeom prst="rect">
                      <a:avLst/>
                    </a:prstGeom>
                  </pic:spPr>
                </pic:pic>
              </a:graphicData>
            </a:graphic>
          </wp:inline>
        </w:drawing>
      </w:r>
    </w:p>
    <w:p>
      <w:pPr>
        <w:pStyle w:val="4"/>
        <w:bidi w:val="0"/>
        <w:rPr>
          <w:rFonts w:hint="eastAsia"/>
          <w:lang w:val="en-US" w:eastAsia="zh-CN"/>
        </w:rPr>
      </w:pPr>
      <w:bookmarkStart w:id="305" w:name="_Toc26174"/>
      <w:r>
        <w:rPr>
          <w:rFonts w:hint="eastAsia"/>
          <w:lang w:val="en-US" w:eastAsia="zh-CN"/>
        </w:rPr>
        <w:t>附件5燃料分析报告</w:t>
      </w:r>
      <w:bookmarkEnd w:id="305"/>
    </w:p>
    <w:p>
      <w:pPr>
        <w:pStyle w:val="19"/>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eastAsia="黑体"/>
          <w:sz w:val="32"/>
          <w:szCs w:val="32"/>
          <w:highlight w:val="none"/>
        </w:rPr>
        <w:drawing>
          <wp:inline distT="0" distB="0" distL="114300" distR="114300">
            <wp:extent cx="4106545" cy="6916420"/>
            <wp:effectExtent l="0" t="0" r="8255" b="17780"/>
            <wp:docPr id="56" name="图片 29" descr="C:\Users\ADMINI~1.PC-\AppData\Local\Temp\ksohtml1588\wp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9" descr="C:\Users\ADMINI~1.PC-\AppData\Local\Temp\ksohtml1588\wps7.jpg"/>
                    <pic:cNvPicPr>
                      <a:picLocks noChangeAspect="1"/>
                    </pic:cNvPicPr>
                  </pic:nvPicPr>
                  <pic:blipFill>
                    <a:blip r:embed="rId110"/>
                    <a:stretch>
                      <a:fillRect/>
                    </a:stretch>
                  </pic:blipFill>
                  <pic:spPr>
                    <a:xfrm>
                      <a:off x="0" y="0"/>
                      <a:ext cx="4106545" cy="6916420"/>
                    </a:xfrm>
                    <a:prstGeom prst="rect">
                      <a:avLst/>
                    </a:prstGeom>
                    <a:noFill/>
                    <a:ln>
                      <a:noFill/>
                    </a:ln>
                  </pic:spPr>
                </pic:pic>
              </a:graphicData>
            </a:graphic>
          </wp:inline>
        </w:drawing>
      </w:r>
    </w:p>
    <w:p>
      <w:pPr>
        <w:pStyle w:val="4"/>
        <w:bidi w:val="0"/>
        <w:rPr>
          <w:rFonts w:hint="eastAsia"/>
          <w:highlight w:val="none"/>
          <w:lang w:val="en-US" w:eastAsia="zh-CN"/>
        </w:rPr>
      </w:pPr>
      <w:bookmarkStart w:id="306" w:name="_Toc29194"/>
      <w:r>
        <w:rPr>
          <w:rFonts w:hint="eastAsia"/>
          <w:highlight w:val="none"/>
          <w:lang w:val="en-US" w:eastAsia="zh-CN"/>
        </w:rPr>
        <w:t>附件6检测报告</w:t>
      </w:r>
      <w:bookmarkEnd w:id="306"/>
    </w:p>
    <w:p>
      <w:pPr>
        <w:rPr>
          <w:rFonts w:hint="default"/>
          <w:lang w:val="en-US" w:eastAsia="zh-CN"/>
        </w:rPr>
      </w:pPr>
      <w:r>
        <w:rPr>
          <w:rFonts w:hint="default"/>
          <w:lang w:val="en-US" w:eastAsia="zh-CN"/>
        </w:rPr>
        <w:drawing>
          <wp:inline distT="0" distB="0" distL="114300" distR="114300">
            <wp:extent cx="5267960" cy="7453630"/>
            <wp:effectExtent l="0" t="0" r="8890" b="13970"/>
            <wp:docPr id="50" name="图片 50" descr="HKX0123085404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HKX01230854041_00"/>
                    <pic:cNvPicPr>
                      <a:picLocks noChangeAspect="1"/>
                    </pic:cNvPicPr>
                  </pic:nvPicPr>
                  <pic:blipFill>
                    <a:blip r:embed="rId111"/>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58" name="图片 58" descr="HKX0123085404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HKX01230854041_01"/>
                    <pic:cNvPicPr>
                      <a:picLocks noChangeAspect="1"/>
                    </pic:cNvPicPr>
                  </pic:nvPicPr>
                  <pic:blipFill>
                    <a:blip r:embed="rId112"/>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59" name="图片 59" descr="HKX0123085404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HKX01230854041_02"/>
                    <pic:cNvPicPr>
                      <a:picLocks noChangeAspect="1"/>
                    </pic:cNvPicPr>
                  </pic:nvPicPr>
                  <pic:blipFill>
                    <a:blip r:embed="rId113"/>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60" name="图片 60" descr="HKX0123085404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HKX01230854041_03"/>
                    <pic:cNvPicPr>
                      <a:picLocks noChangeAspect="1"/>
                    </pic:cNvPicPr>
                  </pic:nvPicPr>
                  <pic:blipFill>
                    <a:blip r:embed="rId114"/>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61" name="图片 61" descr="HKX0123085404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HKX01230854041_04"/>
                    <pic:cNvPicPr>
                      <a:picLocks noChangeAspect="1"/>
                    </pic:cNvPicPr>
                  </pic:nvPicPr>
                  <pic:blipFill>
                    <a:blip r:embed="rId115"/>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62" name="图片 62" descr="HKX0123085404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HKX01230854041_05"/>
                    <pic:cNvPicPr>
                      <a:picLocks noChangeAspect="1"/>
                    </pic:cNvPicPr>
                  </pic:nvPicPr>
                  <pic:blipFill>
                    <a:blip r:embed="rId116"/>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63" name="图片 63" descr="HKX0123085404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HKX01230854041_06"/>
                    <pic:cNvPicPr>
                      <a:picLocks noChangeAspect="1"/>
                    </pic:cNvPicPr>
                  </pic:nvPicPr>
                  <pic:blipFill>
                    <a:blip r:embed="rId117"/>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64" name="图片 64" descr="HKX0123085404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HKX01230854041_07"/>
                    <pic:cNvPicPr>
                      <a:picLocks noChangeAspect="1"/>
                    </pic:cNvPicPr>
                  </pic:nvPicPr>
                  <pic:blipFill>
                    <a:blip r:embed="rId118"/>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65" name="图片 65" descr="HKX0123085404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HKX01230854041_08"/>
                    <pic:cNvPicPr>
                      <a:picLocks noChangeAspect="1"/>
                    </pic:cNvPicPr>
                  </pic:nvPicPr>
                  <pic:blipFill>
                    <a:blip r:embed="rId119"/>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66" name="图片 66" descr="HKX0123085404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HKX01230854041_09"/>
                    <pic:cNvPicPr>
                      <a:picLocks noChangeAspect="1"/>
                    </pic:cNvPicPr>
                  </pic:nvPicPr>
                  <pic:blipFill>
                    <a:blip r:embed="rId120"/>
                    <a:stretch>
                      <a:fillRect/>
                    </a:stretch>
                  </pic:blipFill>
                  <pic:spPr>
                    <a:xfrm>
                      <a:off x="0" y="0"/>
                      <a:ext cx="5267960" cy="7453630"/>
                    </a:xfrm>
                    <a:prstGeom prst="rect">
                      <a:avLst/>
                    </a:prstGeom>
                  </pic:spPr>
                </pic:pic>
              </a:graphicData>
            </a:graphic>
          </wp:inline>
        </w:drawing>
      </w: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modern"/>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FangSong_GB2312">
    <w:altName w:val="仿宋"/>
    <w:panose1 w:val="02010609060101010101"/>
    <w:charset w:val="00"/>
    <w:family w:val="roman"/>
    <w:pitch w:val="default"/>
    <w:sig w:usb0="00000000" w:usb1="00000000" w:usb2="00000000" w:usb3="00000000" w:csb0="00000000" w:csb1="00000000"/>
  </w:font>
  <w:font w:name="楷体_GB2312">
    <w:altName w:val="楷体"/>
    <w:panose1 w:val="02010609030101010101"/>
    <w:charset w:val="86"/>
    <w:family w:val="modern"/>
    <w:pitch w:val="default"/>
    <w:sig w:usb0="00000000" w:usb1="00000000" w:usb2="00000000" w:usb3="00000000" w:csb0="00040000" w:csb1="00000000"/>
  </w:font>
  <w:font w:name="TimesNewRomanPSMT">
    <w:altName w:val="Times New Roman"/>
    <w:panose1 w:val="00000000000000000000"/>
    <w:charset w:val="00"/>
    <w:family w:val="roman"/>
    <w:pitch w:val="default"/>
    <w:sig w:usb0="00000000" w:usb1="00000000" w:usb2="00000000" w:usb3="00000000" w:csb0="00000000" w:csb1="00000000"/>
  </w:font>
  <w:font w:name="昆仑仿宋">
    <w:altName w:val="宋体"/>
    <w:panose1 w:val="00000000000000000000"/>
    <w:charset w:val="86"/>
    <w:family w:val="modern"/>
    <w:pitch w:val="default"/>
    <w:sig w:usb0="00000000" w:usb1="00000000" w:usb2="00000010" w:usb3="00000000" w:csb0="00040000" w:csb1="00000000"/>
  </w:font>
  <w:font w:name="幼圆">
    <w:panose1 w:val="02010509060101010101"/>
    <w:charset w:val="86"/>
    <w:family w:val="modern"/>
    <w:pitch w:val="default"/>
    <w:sig w:usb0="00000001" w:usb1="080E0000" w:usb2="00000000" w:usb3="00000000" w:csb0="00040000" w:csb1="00000000"/>
  </w:font>
  <w:font w:name="MingLiU">
    <w:altName w:val="PMingLiU-ExtB"/>
    <w:panose1 w:val="02020509000000000000"/>
    <w:charset w:val="88"/>
    <w:family w:val="modern"/>
    <w:pitch w:val="default"/>
    <w:sig w:usb0="00000000" w:usb1="00000000" w:usb2="00000016" w:usb3="00000000" w:csb0="00100001" w:csb1="00000000"/>
  </w:font>
  <w:font w:name="Arial Black">
    <w:panose1 w:val="020B0A04020102020204"/>
    <w:charset w:val="00"/>
    <w:family w:val="swiss"/>
    <w:pitch w:val="default"/>
    <w:sig w:usb0="A00002AF" w:usb1="400078FB" w:usb2="00000000" w:usb3="00000000" w:csb0="6000009F" w:csb1="DFD70000"/>
  </w:font>
  <w:font w:name="Financial  (MF)">
    <w:altName w:val="Times New Roman"/>
    <w:panose1 w:val="00000000000000000000"/>
    <w:charset w:val="00"/>
    <w:family w:val="roman"/>
    <w:pitch w:val="default"/>
    <w:sig w:usb0="00000000" w:usb1="00000000" w:usb2="00000000" w:usb3="00000000" w:csb0="00000001" w:csb1="00000000"/>
  </w:font>
  <w:font w:name="Tahoma">
    <w:panose1 w:val="020B0604030504040204"/>
    <w:charset w:val="00"/>
    <w:family w:val="swiss"/>
    <w:pitch w:val="default"/>
    <w:sig w:usb0="E1002EFF" w:usb1="C000605B" w:usb2="00000029" w:usb3="00000000" w:csb0="200101FF" w:csb1="20280000"/>
  </w:font>
  <w:font w:name="TimesNewRoman">
    <w:altName w:val="Times New Roman"/>
    <w:panose1 w:val="00000000000000000000"/>
    <w:charset w:val="00"/>
    <w:family w:val="auto"/>
    <w:pitch w:val="default"/>
    <w:sig w:usb0="00000000" w:usb1="00000000" w:usb2="00000000" w:usb3="00000000" w:csb0="00000001" w:csb1="00000000"/>
  </w:font>
  <w:font w:name="Arial Unicode MS">
    <w:panose1 w:val="020B0604020202020204"/>
    <w:charset w:val="86"/>
    <w:family w:val="swiss"/>
    <w:pitch w:val="default"/>
    <w:sig w:usb0="FFFFFFFF" w:usb1="E9FFFFFF" w:usb2="0000003F" w:usb3="00000000" w:csb0="603F01FF" w:csb1="FFFF0000"/>
  </w:font>
  <w:font w:name="Tms Rmn">
    <w:altName w:val="Segoe Print"/>
    <w:panose1 w:val="02020603040505020304"/>
    <w:charset w:val="00"/>
    <w:family w:val="roman"/>
    <w:pitch w:val="default"/>
    <w:sig w:usb0="00000000" w:usb1="00000000" w:usb2="00000000" w:usb3="00000000" w:csb0="00000001" w:csb1="00000000"/>
  </w:font>
  <w:font w:name="仿宋体">
    <w:altName w:val="宋体"/>
    <w:panose1 w:val="00000000000000000000"/>
    <w:charset w:val="86"/>
    <w:family w:val="roman"/>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Verdana">
    <w:panose1 w:val="020B0604030504040204"/>
    <w:charset w:val="00"/>
    <w:family w:val="swiss"/>
    <w:pitch w:val="default"/>
    <w:sig w:usb0="A00006FF" w:usb1="4000205B" w:usb2="00000010" w:usb3="00000000" w:csb0="2000019F" w:csb1="00000000"/>
  </w:font>
  <w:font w:name="MS Shell Dlg">
    <w:altName w:val="Microsoft Sans Serif"/>
    <w:panose1 w:val="020B0604020202020204"/>
    <w:charset w:val="00"/>
    <w:family w:val="swiss"/>
    <w:pitch w:val="default"/>
    <w:sig w:usb0="00000000" w:usb1="00000000" w:usb2="00000029" w:usb3="00000000" w:csb0="000101FF" w:csb1="00000000"/>
  </w:font>
  <w:font w:name="汉鼎简书宋">
    <w:altName w:val="宋体"/>
    <w:panose1 w:val="00000000000000000000"/>
    <w:charset w:val="86"/>
    <w:family w:val="modern"/>
    <w:pitch w:val="default"/>
    <w:sig w:usb0="00000000" w:usb1="00000000" w:usb2="00000010" w:usb3="00000000" w:csb0="00040000" w:csb1="00000000"/>
  </w:font>
  <w:font w:name="TimesNewRomanPS-ItalicMT">
    <w:altName w:val="Times New Roman"/>
    <w:panose1 w:val="00000000000000000000"/>
    <w:charset w:val="00"/>
    <w:family w:val="roman"/>
    <w:pitch w:val="default"/>
    <w:sig w:usb0="00000000" w:usb1="00000000" w:usb2="00000000" w:usb3="00000000" w:csb0="00000000" w:csb1="00000000"/>
  </w:font>
  <w:font w:name="Helvetica">
    <w:altName w:val="Arial"/>
    <w:panose1 w:val="020B0604020202020204"/>
    <w:charset w:val="00"/>
    <w:family w:val="swiss"/>
    <w:pitch w:val="default"/>
    <w:sig w:usb0="00000000" w:usb1="00000000" w:usb2="00000000" w:usb3="00000000" w:csb0="00000001" w:csb1="00000000"/>
  </w:font>
  <w:font w:name="SymbolMT">
    <w:altName w:val="MS Gothic"/>
    <w:panose1 w:val="00000000000000000000"/>
    <w:charset w:val="80"/>
    <w:family w:val="auto"/>
    <w:pitch w:val="default"/>
    <w:sig w:usb0="00000000" w:usb1="00000000" w:usb2="00000010" w:usb3="00000000" w:csb0="00020000" w:csb1="00000000"/>
  </w:font>
  <w:font w:name="仿宋">
    <w:panose1 w:val="02010609060101010101"/>
    <w:charset w:val="86"/>
    <w:family w:val="modern"/>
    <w:pitch w:val="default"/>
    <w:sig w:usb0="800002BF" w:usb1="38CF7CFA" w:usb2="00000016" w:usb3="00000000" w:csb0="00040001" w:csb1="00000000"/>
  </w:font>
  <w:font w:name="Cambria Math">
    <w:panose1 w:val="02040503050406030204"/>
    <w:charset w:val="00"/>
    <w:family w:val="roman"/>
    <w:pitch w:val="default"/>
    <w:sig w:usb0="E00006FF" w:usb1="420024FF" w:usb2="02000000" w:usb3="00000000" w:csb0="2000019F" w:csb1="00000000"/>
  </w:font>
  <w:font w:name="MS Mincho">
    <w:altName w:val="Yu Gothic UI"/>
    <w:panose1 w:val="02020609040205080304"/>
    <w:charset w:val="80"/>
    <w:family w:val="modern"/>
    <w:pitch w:val="default"/>
    <w:sig w:usb0="00000000" w:usb1="00000000" w:usb2="00000012" w:usb3="00000000" w:csb0="4002009F" w:csb1="DFD70000"/>
  </w:font>
  <w:font w:name="微软雅黑">
    <w:panose1 w:val="020B0503020204020204"/>
    <w:charset w:val="86"/>
    <w:family w:val="auto"/>
    <w:pitch w:val="default"/>
    <w:sig w:usb0="80000287" w:usb1="2ACF3C50" w:usb2="00000016" w:usb3="00000000" w:csb0="0004001F" w:csb1="00000000"/>
  </w:font>
  <w:font w:name="Yu Gothic UI">
    <w:panose1 w:val="020B0500000000000000"/>
    <w:charset w:val="80"/>
    <w:family w:val="auto"/>
    <w:pitch w:val="default"/>
    <w:sig w:usb0="E00002FF" w:usb1="2AC7FDFF" w:usb2="00000016" w:usb3="00000000" w:csb0="2002009F" w:csb1="00000000"/>
  </w:font>
  <w:font w:name="PMingLiU-ExtB">
    <w:panose1 w:val="02020500000000000000"/>
    <w:charset w:val="88"/>
    <w:family w:val="auto"/>
    <w:pitch w:val="default"/>
    <w:sig w:usb0="8000002F" w:usb1="02000008" w:usb2="00000000" w:usb3="00000000" w:csb0="00100001" w:csb1="00000000"/>
  </w:font>
  <w:font w:name="Segoe Print">
    <w:panose1 w:val="02000600000000000000"/>
    <w:charset w:val="00"/>
    <w:family w:val="auto"/>
    <w:pitch w:val="default"/>
    <w:sig w:usb0="0000028F" w:usb1="00000000" w:usb2="00000000" w:usb3="00000000" w:csb0="2000009F" w:csb1="47010000"/>
  </w:font>
  <w:font w:name="Microsoft Sans Serif">
    <w:panose1 w:val="020B0604020202020204"/>
    <w:charset w:val="00"/>
    <w:family w:val="auto"/>
    <w:pitch w:val="default"/>
    <w:sig w:usb0="E5002EFF" w:usb1="C000605B" w:usb2="00000029" w:usb3="00000000" w:csb0="200101FF" w:csb1="20280000"/>
  </w:font>
  <w:font w:name="MS Gothic">
    <w:panose1 w:val="020B0609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jc w:val="center"/>
    </w:pPr>
  </w:p>
  <w:p>
    <w:pPr>
      <w:pStyle w:val="3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Pr>
    <w:r>
      <w:rPr>
        <w:sz w:val="18"/>
      </w:rPr>
      <w:pict>
        <v:shape id="_x0000_s72705" o:spid="_x0000_s72705"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weight="1pt"/>
          <v:imagedata o:title=""/>
          <o:lock v:ext="edit" aspectratio="f"/>
          <v:textbox inset="0mm,0mm,0mm,0mm" style="mso-fit-shape-to-text:t;">
            <w:txbxContent>
              <w:p>
                <w:pPr>
                  <w:pStyle w:val="32"/>
                </w:pPr>
                <w:r>
                  <w:fldChar w:fldCharType="begin"/>
                </w:r>
                <w:r>
                  <w:instrText xml:space="preserve"> PAGE  \* MERGEFORMAT </w:instrText>
                </w:r>
                <w:r>
                  <w:fldChar w:fldCharType="separate"/>
                </w:r>
                <w:r>
                  <w:t>IV</w:t>
                </w:r>
                <w:r>
                  <w:fldChar w:fldCharType="end"/>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ind w:firstLine="360"/>
    </w:pPr>
    <w:r>
      <w:rPr>
        <w:sz w:val="18"/>
      </w:rPr>
      <w:pict>
        <v:shape id="_x0000_s72706" o:spid="_x0000_s72706" o:spt="202" type="#_x0000_t202" style="position:absolute;left:0pt;margin-top:0pt;height:144pt;width:144pt;mso-position-horizontal:center;mso-position-horizontal-relative:margin;mso-wrap-style:none;z-index:251661312;mso-width-relative:page;mso-height-relative:page;" filled="f" stroked="f" coordsize="21600,21600">
          <v:path/>
          <v:fill on="f" focussize="0,0"/>
          <v:stroke on="f" weight="1pt"/>
          <v:imagedata o:title=""/>
          <o:lock v:ext="edit" aspectratio="f"/>
          <v:textbox inset="0mm,0mm,0mm,0mm" style="mso-fit-shape-to-text:t;">
            <w:txbxContent>
              <w:p>
                <w:pPr>
                  <w:pStyle w:val="32"/>
                </w:pPr>
                <w:r>
                  <w:fldChar w:fldCharType="begin"/>
                </w:r>
                <w:r>
                  <w:instrText xml:space="preserve"> PAGE  \* MERGEFORMAT </w:instrText>
                </w:r>
                <w:r>
                  <w:fldChar w:fldCharType="separate"/>
                </w:r>
                <w:r>
                  <w:t>CLXXVII</w:t>
                </w:r>
                <w:r>
                  <w:fldChar w:fldCharType="end"/>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outlineLvl w:val="0"/>
      <w:rPr>
        <w:rFonts w:ascii="黑体" w:hAnsi="宋体" w:eastAsia="黑体"/>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jc w:val="center"/>
      <w:outlineLvl w:val="0"/>
      <w:rPr>
        <w:rFonts w:hint="eastAsia" w:ascii="黑体" w:hAnsi="宋体" w:eastAsia="黑体"/>
        <w:sz w:val="18"/>
        <w:szCs w:val="18"/>
        <w:lang w:eastAsia="zh-CN"/>
      </w:rPr>
    </w:pPr>
    <w:r>
      <w:rPr>
        <w:rFonts w:hint="eastAsia" w:ascii="黑体" w:hAnsi="宋体" w:eastAsia="黑体"/>
        <w:sz w:val="18"/>
        <w:szCs w:val="18"/>
        <w:lang w:eastAsia="zh-CN"/>
      </w:rPr>
      <w:t>黑龙江省哈尔滨市尚志市黑龙江省龙源工贸集团有限公司</w:t>
    </w:r>
  </w:p>
  <w:p>
    <w:pPr>
      <w:pBdr>
        <w:bottom w:val="single" w:color="auto" w:sz="4" w:space="0"/>
      </w:pBdr>
      <w:jc w:val="center"/>
      <w:outlineLvl w:val="0"/>
      <w:rPr>
        <w:rFonts w:ascii="黑体" w:hAnsi="宋体" w:eastAsia="黑体"/>
        <w:sz w:val="18"/>
        <w:szCs w:val="18"/>
      </w:rPr>
    </w:pPr>
    <w:r>
      <w:rPr>
        <w:rFonts w:hint="eastAsia" w:ascii="黑体" w:hAnsi="宋体" w:eastAsia="黑体"/>
        <w:sz w:val="18"/>
        <w:szCs w:val="18"/>
        <w:lang w:eastAsia="zh-CN"/>
      </w:rPr>
      <w:t>黑龙江阿穆屠宰有限公司肉牛屠宰厂建设项目</w:t>
    </w:r>
    <w:r>
      <w:rPr>
        <w:rFonts w:hint="eastAsia" w:ascii="黑体" w:hAnsi="宋体" w:eastAsia="黑体"/>
        <w:sz w:val="18"/>
        <w:szCs w:val="18"/>
      </w:rPr>
      <w:t>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jc w:val="center"/>
      <w:outlineLvl w:val="0"/>
      <w:rPr>
        <w:rFonts w:ascii="黑体" w:hAnsi="宋体" w:eastAsia="黑体"/>
        <w:sz w:val="18"/>
        <w:szCs w:val="18"/>
      </w:rPr>
    </w:pPr>
    <w:r>
      <w:rPr>
        <w:rFonts w:hint="eastAsia" w:ascii="黑体" w:hAnsi="宋体" w:eastAsia="黑体"/>
        <w:sz w:val="18"/>
        <w:szCs w:val="18"/>
        <w:lang w:eastAsia="zh-CN"/>
      </w:rPr>
      <w:t>黑龙江省哈尔滨市尚志市黑龙江省龙源工贸集团有限公司黑龙江阿穆屠宰有限公司肉牛屠宰厂建设项目</w:t>
    </w:r>
    <w:r>
      <w:rPr>
        <w:rFonts w:hint="eastAsia" w:ascii="黑体" w:hAnsi="宋体" w:eastAsia="黑体"/>
        <w:sz w:val="18"/>
        <w:szCs w:val="18"/>
      </w:rPr>
      <w:t>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numPicBullet w:numPicBulletId="0">
    <w:pict>
      <v:shape id="0" type="#_x0000_t75" style="width:139px;height:147px" o:bullet="t">
        <v:imagedata r:id="rId1" o:title=""/>
      </v:shape>
    </w:pict>
  </w:numPicBullet>
  <w:abstractNum w:abstractNumId="0">
    <w:nsid w:val="C81D9DCF"/>
    <w:multiLevelType w:val="singleLevel"/>
    <w:tmpl w:val="C81D9DCF"/>
    <w:lvl w:ilvl="0" w:tentative="0">
      <w:start w:val="1"/>
      <w:numFmt w:val="bullet"/>
      <w:pStyle w:val="27"/>
      <w:lvlText w:val=""/>
      <w:lvlJc w:val="left"/>
      <w:pPr>
        <w:tabs>
          <w:tab w:val="left" w:pos="2040"/>
        </w:tabs>
        <w:ind w:left="2040" w:hanging="360"/>
      </w:pPr>
      <w:rPr>
        <w:rFonts w:hint="default" w:ascii="Wingdings" w:hAnsi="Wingdings"/>
      </w:rPr>
    </w:lvl>
  </w:abstractNum>
  <w:abstractNum w:abstractNumId="1">
    <w:nsid w:val="E281371B"/>
    <w:multiLevelType w:val="singleLevel"/>
    <w:tmpl w:val="E281371B"/>
    <w:lvl w:ilvl="0" w:tentative="0">
      <w:start w:val="1"/>
      <w:numFmt w:val="decimal"/>
      <w:suff w:val="nothing"/>
      <w:lvlText w:val="（%1）"/>
      <w:lvlJc w:val="left"/>
    </w:lvl>
  </w:abstractNum>
  <w:abstractNum w:abstractNumId="2">
    <w:nsid w:val="23C4EF29"/>
    <w:multiLevelType w:val="singleLevel"/>
    <w:tmpl w:val="23C4EF29"/>
    <w:lvl w:ilvl="0" w:tentative="0">
      <w:start w:val="1"/>
      <w:numFmt w:val="decimal"/>
      <w:suff w:val="nothing"/>
      <w:lvlText w:val="（%1）"/>
      <w:lvlJc w:val="left"/>
    </w:lvl>
  </w:abstractNum>
  <w:abstractNum w:abstractNumId="3">
    <w:nsid w:val="2A554106"/>
    <w:multiLevelType w:val="singleLevel"/>
    <w:tmpl w:val="2A554106"/>
    <w:lvl w:ilvl="0" w:tentative="0">
      <w:start w:val="1"/>
      <w:numFmt w:val="bullet"/>
      <w:pStyle w:val="439"/>
      <w:lvlText w:val=""/>
      <w:lvlJc w:val="left"/>
      <w:pPr>
        <w:tabs>
          <w:tab w:val="left" w:pos="360"/>
        </w:tabs>
        <w:ind w:left="340" w:hanging="340"/>
      </w:pPr>
      <w:rPr>
        <w:rFonts w:hint="default" w:ascii="Wingdings" w:hAnsi="Wingdings"/>
        <w:sz w:val="21"/>
      </w:rPr>
    </w:lvl>
  </w:abstractNum>
  <w:abstractNum w:abstractNumId="4">
    <w:nsid w:val="2BC15394"/>
    <w:multiLevelType w:val="singleLevel"/>
    <w:tmpl w:val="2BC15394"/>
    <w:lvl w:ilvl="0" w:tentative="0">
      <w:start w:val="0"/>
      <w:numFmt w:val="none"/>
      <w:pStyle w:val="410"/>
      <w:lvlText w:val=""/>
      <w:lvlJc w:val="left"/>
      <w:pPr>
        <w:tabs>
          <w:tab w:val="left" w:pos="0"/>
        </w:tabs>
        <w:ind w:left="0" w:firstLine="0"/>
      </w:pPr>
      <w:rPr>
        <w:rFonts w:hint="default" w:ascii="Wingdings" w:hAnsi="Wingdings"/>
        <w:sz w:val="13"/>
      </w:rPr>
    </w:lvl>
  </w:abstractNum>
  <w:abstractNum w:abstractNumId="5">
    <w:nsid w:val="3991358E"/>
    <w:multiLevelType w:val="multilevel"/>
    <w:tmpl w:val="3991358E"/>
    <w:lvl w:ilvl="0" w:tentative="0">
      <w:start w:val="1"/>
      <w:numFmt w:val="japaneseCounting"/>
      <w:pStyle w:val="540"/>
      <w:lvlText w:val="%1、"/>
      <w:lvlJc w:val="left"/>
      <w:pPr>
        <w:tabs>
          <w:tab w:val="left" w:pos="360"/>
        </w:tabs>
        <w:ind w:left="36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pStyle w:val="227"/>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6">
    <w:nsid w:val="3EED3B08"/>
    <w:multiLevelType w:val="multilevel"/>
    <w:tmpl w:val="3EED3B08"/>
    <w:lvl w:ilvl="0" w:tentative="0">
      <w:start w:val="1"/>
      <w:numFmt w:val="bullet"/>
      <w:lvlText w:val=""/>
      <w:lvlPicBulletId w:val="0"/>
      <w:lvlJc w:val="left"/>
      <w:pPr>
        <w:tabs>
          <w:tab w:val="left" w:pos="0"/>
        </w:tabs>
        <w:ind w:left="0" w:firstLine="0"/>
      </w:pPr>
      <w:rPr>
        <w:rFonts w:hint="default" w:ascii="Symbol" w:hAnsi="Symbol"/>
      </w:rPr>
    </w:lvl>
    <w:lvl w:ilvl="1" w:tentative="0">
      <w:start w:val="1"/>
      <w:numFmt w:val="bullet"/>
      <w:lvlText w:val=""/>
      <w:lvlJc w:val="left"/>
      <w:pPr>
        <w:tabs>
          <w:tab w:val="left" w:pos="420"/>
        </w:tabs>
        <w:ind w:left="420" w:firstLine="0"/>
      </w:pPr>
      <w:rPr>
        <w:rFonts w:hint="default" w:ascii="Symbol" w:hAnsi="Symbol"/>
      </w:rPr>
    </w:lvl>
    <w:lvl w:ilvl="2" w:tentative="0">
      <w:start w:val="1"/>
      <w:numFmt w:val="bullet"/>
      <w:lvlText w:val=""/>
      <w:lvlJc w:val="left"/>
      <w:pPr>
        <w:tabs>
          <w:tab w:val="left" w:pos="840"/>
        </w:tabs>
        <w:ind w:left="840" w:firstLine="0"/>
      </w:pPr>
      <w:rPr>
        <w:rFonts w:hint="default" w:ascii="Symbol" w:hAnsi="Symbol"/>
      </w:rPr>
    </w:lvl>
    <w:lvl w:ilvl="3" w:tentative="0">
      <w:start w:val="1"/>
      <w:numFmt w:val="bullet"/>
      <w:lvlText w:val=""/>
      <w:lvlJc w:val="left"/>
      <w:pPr>
        <w:tabs>
          <w:tab w:val="left" w:pos="1260"/>
        </w:tabs>
        <w:ind w:left="1260" w:firstLine="0"/>
      </w:pPr>
      <w:rPr>
        <w:rFonts w:hint="default" w:ascii="Symbol" w:hAnsi="Symbol"/>
      </w:rPr>
    </w:lvl>
    <w:lvl w:ilvl="4" w:tentative="0">
      <w:start w:val="1"/>
      <w:numFmt w:val="bullet"/>
      <w:lvlText w:val=""/>
      <w:lvlJc w:val="left"/>
      <w:pPr>
        <w:tabs>
          <w:tab w:val="left" w:pos="1680"/>
        </w:tabs>
        <w:ind w:left="1680" w:firstLine="0"/>
      </w:pPr>
      <w:rPr>
        <w:rFonts w:hint="default" w:ascii="Symbol" w:hAnsi="Symbol"/>
      </w:rPr>
    </w:lvl>
    <w:lvl w:ilvl="5" w:tentative="0">
      <w:start w:val="1"/>
      <w:numFmt w:val="bullet"/>
      <w:lvlText w:val=""/>
      <w:lvlJc w:val="left"/>
      <w:pPr>
        <w:tabs>
          <w:tab w:val="left" w:pos="2100"/>
        </w:tabs>
        <w:ind w:left="2100" w:firstLine="0"/>
      </w:pPr>
      <w:rPr>
        <w:rFonts w:hint="default" w:ascii="Symbol" w:hAnsi="Symbol"/>
      </w:rPr>
    </w:lvl>
    <w:lvl w:ilvl="6" w:tentative="0">
      <w:start w:val="1"/>
      <w:numFmt w:val="bullet"/>
      <w:lvlText w:val=""/>
      <w:lvlJc w:val="left"/>
      <w:pPr>
        <w:tabs>
          <w:tab w:val="left" w:pos="2520"/>
        </w:tabs>
        <w:ind w:left="2520" w:firstLine="0"/>
      </w:pPr>
      <w:rPr>
        <w:rFonts w:hint="default" w:ascii="Symbol" w:hAnsi="Symbol"/>
      </w:rPr>
    </w:lvl>
    <w:lvl w:ilvl="7" w:tentative="0">
      <w:start w:val="1"/>
      <w:numFmt w:val="bullet"/>
      <w:lvlText w:val=""/>
      <w:lvlJc w:val="left"/>
      <w:pPr>
        <w:tabs>
          <w:tab w:val="left" w:pos="2940"/>
        </w:tabs>
        <w:ind w:left="2940" w:firstLine="0"/>
      </w:pPr>
      <w:rPr>
        <w:rFonts w:hint="default" w:ascii="Symbol" w:hAnsi="Symbol"/>
      </w:rPr>
    </w:lvl>
    <w:lvl w:ilvl="8" w:tentative="0">
      <w:start w:val="1"/>
      <w:numFmt w:val="bullet"/>
      <w:lvlText w:val=""/>
      <w:lvlJc w:val="left"/>
      <w:pPr>
        <w:tabs>
          <w:tab w:val="left" w:pos="3360"/>
        </w:tabs>
        <w:ind w:left="3360" w:firstLine="0"/>
      </w:pPr>
      <w:rPr>
        <w:rFonts w:hint="default" w:ascii="Symbol" w:hAnsi="Symbol"/>
      </w:rPr>
    </w:lvl>
  </w:abstractNum>
  <w:abstractNum w:abstractNumId="7">
    <w:nsid w:val="48DB4020"/>
    <w:multiLevelType w:val="singleLevel"/>
    <w:tmpl w:val="48DB4020"/>
    <w:lvl w:ilvl="0" w:tentative="0">
      <w:start w:val="1"/>
      <w:numFmt w:val="bullet"/>
      <w:pStyle w:val="352"/>
      <w:lvlText w:val=""/>
      <w:lvlJc w:val="left"/>
      <w:pPr>
        <w:tabs>
          <w:tab w:val="left" w:pos="567"/>
        </w:tabs>
        <w:ind w:left="0" w:firstLine="567"/>
      </w:pPr>
      <w:rPr>
        <w:rFonts w:hint="default" w:ascii="Symbol" w:hAnsi="Symbol"/>
      </w:rPr>
    </w:lvl>
  </w:abstractNum>
  <w:abstractNum w:abstractNumId="8">
    <w:nsid w:val="56094615"/>
    <w:multiLevelType w:val="singleLevel"/>
    <w:tmpl w:val="56094615"/>
    <w:lvl w:ilvl="0" w:tentative="0">
      <w:start w:val="1"/>
      <w:numFmt w:val="bullet"/>
      <w:pStyle w:val="353"/>
      <w:lvlText w:val=""/>
      <w:legacy w:legacy="1" w:legacySpace="0" w:legacyIndent="170"/>
      <w:lvlJc w:val="left"/>
      <w:pPr>
        <w:ind w:left="454" w:hanging="170"/>
      </w:pPr>
      <w:rPr>
        <w:rFonts w:hint="default" w:ascii="Symbol" w:hAnsi="Symbol"/>
      </w:rPr>
    </w:lvl>
  </w:abstractNum>
  <w:num w:numId="1">
    <w:abstractNumId w:val="0"/>
  </w:num>
  <w:num w:numId="2">
    <w:abstractNumId w:val="5"/>
  </w:num>
  <w:num w:numId="3">
    <w:abstractNumId w:val="7"/>
  </w:num>
  <w:num w:numId="4">
    <w:abstractNumId w:val="8"/>
  </w:num>
  <w:num w:numId="5">
    <w:abstractNumId w:val="4"/>
  </w:num>
  <w:num w:numId="6">
    <w:abstractNumId w:val="3"/>
  </w:num>
  <w:num w:numId="7">
    <w:abstractNumId w:val="2"/>
  </w:num>
  <w:num w:numId="8">
    <w:abstractNumId w:val="1"/>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71"/>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NTAwZTIyNGQxZTk0NTRmZWJjNWYyZjQ0MWZiMjkyODAifQ=="/>
  </w:docVars>
  <w:rsids>
    <w:rsidRoot w:val="00CD6827"/>
    <w:rsid w:val="00000058"/>
    <w:rsid w:val="00000138"/>
    <w:rsid w:val="0000023D"/>
    <w:rsid w:val="000003A0"/>
    <w:rsid w:val="0000041D"/>
    <w:rsid w:val="000004A7"/>
    <w:rsid w:val="00000796"/>
    <w:rsid w:val="00001052"/>
    <w:rsid w:val="00001437"/>
    <w:rsid w:val="0000146A"/>
    <w:rsid w:val="000015EC"/>
    <w:rsid w:val="00001804"/>
    <w:rsid w:val="00001CEF"/>
    <w:rsid w:val="00001DD1"/>
    <w:rsid w:val="00001DF9"/>
    <w:rsid w:val="00002043"/>
    <w:rsid w:val="000020FF"/>
    <w:rsid w:val="0000222C"/>
    <w:rsid w:val="0000255E"/>
    <w:rsid w:val="000025FF"/>
    <w:rsid w:val="0000279E"/>
    <w:rsid w:val="00002803"/>
    <w:rsid w:val="000028AC"/>
    <w:rsid w:val="00002951"/>
    <w:rsid w:val="00002ABF"/>
    <w:rsid w:val="00002CAD"/>
    <w:rsid w:val="00002EB6"/>
    <w:rsid w:val="00002FD9"/>
    <w:rsid w:val="000030FA"/>
    <w:rsid w:val="0000315F"/>
    <w:rsid w:val="000034E7"/>
    <w:rsid w:val="00003A27"/>
    <w:rsid w:val="00003DF8"/>
    <w:rsid w:val="00003E27"/>
    <w:rsid w:val="00004618"/>
    <w:rsid w:val="00004AD2"/>
    <w:rsid w:val="00004CF9"/>
    <w:rsid w:val="00004DE3"/>
    <w:rsid w:val="0000501A"/>
    <w:rsid w:val="00005401"/>
    <w:rsid w:val="00005613"/>
    <w:rsid w:val="000057C5"/>
    <w:rsid w:val="00005A28"/>
    <w:rsid w:val="00005BC5"/>
    <w:rsid w:val="00005DAC"/>
    <w:rsid w:val="00005F4D"/>
    <w:rsid w:val="000065EC"/>
    <w:rsid w:val="00006957"/>
    <w:rsid w:val="00006B7A"/>
    <w:rsid w:val="000070CF"/>
    <w:rsid w:val="00007B27"/>
    <w:rsid w:val="00007B34"/>
    <w:rsid w:val="00007D2B"/>
    <w:rsid w:val="00007EC8"/>
    <w:rsid w:val="000102A2"/>
    <w:rsid w:val="00010C02"/>
    <w:rsid w:val="00010FDA"/>
    <w:rsid w:val="000112E4"/>
    <w:rsid w:val="0001174C"/>
    <w:rsid w:val="000119D8"/>
    <w:rsid w:val="00011BCC"/>
    <w:rsid w:val="00011C2B"/>
    <w:rsid w:val="00011DDF"/>
    <w:rsid w:val="00011FAB"/>
    <w:rsid w:val="0001226B"/>
    <w:rsid w:val="000122F6"/>
    <w:rsid w:val="00012347"/>
    <w:rsid w:val="000123CC"/>
    <w:rsid w:val="00012808"/>
    <w:rsid w:val="00012919"/>
    <w:rsid w:val="000129D5"/>
    <w:rsid w:val="00012C1C"/>
    <w:rsid w:val="00012C34"/>
    <w:rsid w:val="00013145"/>
    <w:rsid w:val="000133EE"/>
    <w:rsid w:val="00013575"/>
    <w:rsid w:val="00013639"/>
    <w:rsid w:val="00013845"/>
    <w:rsid w:val="00013C21"/>
    <w:rsid w:val="00013CBB"/>
    <w:rsid w:val="000143D8"/>
    <w:rsid w:val="00014D60"/>
    <w:rsid w:val="00014DD2"/>
    <w:rsid w:val="00014FB9"/>
    <w:rsid w:val="00015172"/>
    <w:rsid w:val="00015263"/>
    <w:rsid w:val="00015F14"/>
    <w:rsid w:val="000160FE"/>
    <w:rsid w:val="0001621E"/>
    <w:rsid w:val="000162E9"/>
    <w:rsid w:val="00016861"/>
    <w:rsid w:val="00016B71"/>
    <w:rsid w:val="00016F39"/>
    <w:rsid w:val="000174E7"/>
    <w:rsid w:val="00017560"/>
    <w:rsid w:val="00017C0F"/>
    <w:rsid w:val="00017D25"/>
    <w:rsid w:val="00017FC3"/>
    <w:rsid w:val="000201FD"/>
    <w:rsid w:val="000202EC"/>
    <w:rsid w:val="0002049B"/>
    <w:rsid w:val="000209DA"/>
    <w:rsid w:val="00020B5D"/>
    <w:rsid w:val="00020DAF"/>
    <w:rsid w:val="00020E53"/>
    <w:rsid w:val="00020FE9"/>
    <w:rsid w:val="00021096"/>
    <w:rsid w:val="000214C0"/>
    <w:rsid w:val="0002160A"/>
    <w:rsid w:val="00021834"/>
    <w:rsid w:val="000218F1"/>
    <w:rsid w:val="00021A6D"/>
    <w:rsid w:val="00021A9D"/>
    <w:rsid w:val="00021DCF"/>
    <w:rsid w:val="00021EFC"/>
    <w:rsid w:val="000222BC"/>
    <w:rsid w:val="000222EA"/>
    <w:rsid w:val="0002245E"/>
    <w:rsid w:val="00022A4B"/>
    <w:rsid w:val="00022B7F"/>
    <w:rsid w:val="00022BFB"/>
    <w:rsid w:val="00022F51"/>
    <w:rsid w:val="00023080"/>
    <w:rsid w:val="000231C9"/>
    <w:rsid w:val="00023446"/>
    <w:rsid w:val="00023756"/>
    <w:rsid w:val="0002389C"/>
    <w:rsid w:val="000238E0"/>
    <w:rsid w:val="00023DFF"/>
    <w:rsid w:val="0002415F"/>
    <w:rsid w:val="000246D1"/>
    <w:rsid w:val="000247BA"/>
    <w:rsid w:val="000249FD"/>
    <w:rsid w:val="00024B5C"/>
    <w:rsid w:val="000250D5"/>
    <w:rsid w:val="000250DC"/>
    <w:rsid w:val="000256DE"/>
    <w:rsid w:val="00025753"/>
    <w:rsid w:val="00025829"/>
    <w:rsid w:val="00025AE4"/>
    <w:rsid w:val="00025C6F"/>
    <w:rsid w:val="00025F63"/>
    <w:rsid w:val="000260D8"/>
    <w:rsid w:val="00026271"/>
    <w:rsid w:val="00026589"/>
    <w:rsid w:val="00026977"/>
    <w:rsid w:val="00026A99"/>
    <w:rsid w:val="00026AE2"/>
    <w:rsid w:val="00026BB8"/>
    <w:rsid w:val="00026CAE"/>
    <w:rsid w:val="00026CE0"/>
    <w:rsid w:val="000273BA"/>
    <w:rsid w:val="00027449"/>
    <w:rsid w:val="000275EF"/>
    <w:rsid w:val="0002782B"/>
    <w:rsid w:val="00027852"/>
    <w:rsid w:val="00027AD9"/>
    <w:rsid w:val="00027C1D"/>
    <w:rsid w:val="00027C50"/>
    <w:rsid w:val="00027C6C"/>
    <w:rsid w:val="00027E1C"/>
    <w:rsid w:val="00027E9E"/>
    <w:rsid w:val="000300B8"/>
    <w:rsid w:val="000303AD"/>
    <w:rsid w:val="000303F0"/>
    <w:rsid w:val="000303F5"/>
    <w:rsid w:val="00030826"/>
    <w:rsid w:val="000308B1"/>
    <w:rsid w:val="00030CDF"/>
    <w:rsid w:val="00030D5B"/>
    <w:rsid w:val="00031053"/>
    <w:rsid w:val="00031061"/>
    <w:rsid w:val="000312EC"/>
    <w:rsid w:val="000318A1"/>
    <w:rsid w:val="00031A14"/>
    <w:rsid w:val="00031A7C"/>
    <w:rsid w:val="00031DC9"/>
    <w:rsid w:val="00031FEB"/>
    <w:rsid w:val="0003272A"/>
    <w:rsid w:val="00032846"/>
    <w:rsid w:val="0003286C"/>
    <w:rsid w:val="00032C06"/>
    <w:rsid w:val="00033011"/>
    <w:rsid w:val="00033380"/>
    <w:rsid w:val="00033858"/>
    <w:rsid w:val="00033945"/>
    <w:rsid w:val="00033B98"/>
    <w:rsid w:val="00033BCD"/>
    <w:rsid w:val="00033CC7"/>
    <w:rsid w:val="0003420D"/>
    <w:rsid w:val="000342C8"/>
    <w:rsid w:val="000344B7"/>
    <w:rsid w:val="00034BA3"/>
    <w:rsid w:val="00034D30"/>
    <w:rsid w:val="00034FD5"/>
    <w:rsid w:val="000352F1"/>
    <w:rsid w:val="000353EE"/>
    <w:rsid w:val="00035446"/>
    <w:rsid w:val="000355FC"/>
    <w:rsid w:val="00035641"/>
    <w:rsid w:val="0003596B"/>
    <w:rsid w:val="00035A10"/>
    <w:rsid w:val="00035AA4"/>
    <w:rsid w:val="00035DEC"/>
    <w:rsid w:val="00036078"/>
    <w:rsid w:val="00036345"/>
    <w:rsid w:val="000363FC"/>
    <w:rsid w:val="00036865"/>
    <w:rsid w:val="00036EE4"/>
    <w:rsid w:val="000372B7"/>
    <w:rsid w:val="000375C1"/>
    <w:rsid w:val="0003773C"/>
    <w:rsid w:val="00037E87"/>
    <w:rsid w:val="000400AF"/>
    <w:rsid w:val="00040516"/>
    <w:rsid w:val="000405B4"/>
    <w:rsid w:val="000406EB"/>
    <w:rsid w:val="0004079E"/>
    <w:rsid w:val="000408D8"/>
    <w:rsid w:val="00040D6A"/>
    <w:rsid w:val="00040DA0"/>
    <w:rsid w:val="00040F6C"/>
    <w:rsid w:val="00041009"/>
    <w:rsid w:val="0004103D"/>
    <w:rsid w:val="0004115C"/>
    <w:rsid w:val="0004148B"/>
    <w:rsid w:val="000416B6"/>
    <w:rsid w:val="000416C4"/>
    <w:rsid w:val="000416FD"/>
    <w:rsid w:val="00041D39"/>
    <w:rsid w:val="00041F2C"/>
    <w:rsid w:val="00042035"/>
    <w:rsid w:val="00042041"/>
    <w:rsid w:val="00042146"/>
    <w:rsid w:val="000421F4"/>
    <w:rsid w:val="0004224C"/>
    <w:rsid w:val="000425E4"/>
    <w:rsid w:val="000426D2"/>
    <w:rsid w:val="000426E7"/>
    <w:rsid w:val="00042A3C"/>
    <w:rsid w:val="00042B7D"/>
    <w:rsid w:val="00042D21"/>
    <w:rsid w:val="00042EE1"/>
    <w:rsid w:val="0004325E"/>
    <w:rsid w:val="000435E5"/>
    <w:rsid w:val="0004367B"/>
    <w:rsid w:val="00043913"/>
    <w:rsid w:val="00043956"/>
    <w:rsid w:val="00043EB7"/>
    <w:rsid w:val="00043F18"/>
    <w:rsid w:val="0004441C"/>
    <w:rsid w:val="00044625"/>
    <w:rsid w:val="000446F4"/>
    <w:rsid w:val="00044858"/>
    <w:rsid w:val="0004506F"/>
    <w:rsid w:val="00045145"/>
    <w:rsid w:val="000451F4"/>
    <w:rsid w:val="00045254"/>
    <w:rsid w:val="000458F9"/>
    <w:rsid w:val="00045A7C"/>
    <w:rsid w:val="00045B7B"/>
    <w:rsid w:val="00046017"/>
    <w:rsid w:val="00046128"/>
    <w:rsid w:val="00046208"/>
    <w:rsid w:val="0004643E"/>
    <w:rsid w:val="0004651E"/>
    <w:rsid w:val="00046C29"/>
    <w:rsid w:val="00046F32"/>
    <w:rsid w:val="00046F74"/>
    <w:rsid w:val="00047325"/>
    <w:rsid w:val="0004754A"/>
    <w:rsid w:val="000477BF"/>
    <w:rsid w:val="000477F9"/>
    <w:rsid w:val="00047900"/>
    <w:rsid w:val="000479AA"/>
    <w:rsid w:val="00047A42"/>
    <w:rsid w:val="00047A5A"/>
    <w:rsid w:val="00047C04"/>
    <w:rsid w:val="00047CF1"/>
    <w:rsid w:val="00047FEC"/>
    <w:rsid w:val="00050290"/>
    <w:rsid w:val="0005050B"/>
    <w:rsid w:val="000506D1"/>
    <w:rsid w:val="00050923"/>
    <w:rsid w:val="000509C9"/>
    <w:rsid w:val="00050AF2"/>
    <w:rsid w:val="00050B7C"/>
    <w:rsid w:val="0005100E"/>
    <w:rsid w:val="00051029"/>
    <w:rsid w:val="0005131D"/>
    <w:rsid w:val="0005181C"/>
    <w:rsid w:val="00051A7F"/>
    <w:rsid w:val="000520E3"/>
    <w:rsid w:val="00052139"/>
    <w:rsid w:val="00052260"/>
    <w:rsid w:val="00052487"/>
    <w:rsid w:val="000524AC"/>
    <w:rsid w:val="000525AE"/>
    <w:rsid w:val="00052CD8"/>
    <w:rsid w:val="00052F7E"/>
    <w:rsid w:val="000532BF"/>
    <w:rsid w:val="0005335C"/>
    <w:rsid w:val="000535B5"/>
    <w:rsid w:val="0005436B"/>
    <w:rsid w:val="000543B5"/>
    <w:rsid w:val="000543EE"/>
    <w:rsid w:val="000544D1"/>
    <w:rsid w:val="00054807"/>
    <w:rsid w:val="00054889"/>
    <w:rsid w:val="000550A4"/>
    <w:rsid w:val="000550EF"/>
    <w:rsid w:val="00055889"/>
    <w:rsid w:val="00055B6D"/>
    <w:rsid w:val="00055BD0"/>
    <w:rsid w:val="00056056"/>
    <w:rsid w:val="00056250"/>
    <w:rsid w:val="00056286"/>
    <w:rsid w:val="00056538"/>
    <w:rsid w:val="000566DC"/>
    <w:rsid w:val="000567A6"/>
    <w:rsid w:val="000568CC"/>
    <w:rsid w:val="00056A42"/>
    <w:rsid w:val="00056AF2"/>
    <w:rsid w:val="00056CD3"/>
    <w:rsid w:val="0005718F"/>
    <w:rsid w:val="000571D5"/>
    <w:rsid w:val="000572BE"/>
    <w:rsid w:val="00057A10"/>
    <w:rsid w:val="00057B49"/>
    <w:rsid w:val="00057C34"/>
    <w:rsid w:val="00057CF1"/>
    <w:rsid w:val="00057E3F"/>
    <w:rsid w:val="00057E94"/>
    <w:rsid w:val="00060092"/>
    <w:rsid w:val="000601F0"/>
    <w:rsid w:val="00060256"/>
    <w:rsid w:val="00060462"/>
    <w:rsid w:val="000608A5"/>
    <w:rsid w:val="00060F7D"/>
    <w:rsid w:val="00061031"/>
    <w:rsid w:val="000610E9"/>
    <w:rsid w:val="00061256"/>
    <w:rsid w:val="000613A9"/>
    <w:rsid w:val="00061642"/>
    <w:rsid w:val="0006173C"/>
    <w:rsid w:val="00061750"/>
    <w:rsid w:val="000618FC"/>
    <w:rsid w:val="00061A30"/>
    <w:rsid w:val="00061B56"/>
    <w:rsid w:val="00061B8D"/>
    <w:rsid w:val="0006201A"/>
    <w:rsid w:val="000622E0"/>
    <w:rsid w:val="000624E4"/>
    <w:rsid w:val="0006254D"/>
    <w:rsid w:val="000625BB"/>
    <w:rsid w:val="000627ED"/>
    <w:rsid w:val="000628C2"/>
    <w:rsid w:val="0006292B"/>
    <w:rsid w:val="0006292C"/>
    <w:rsid w:val="000630F1"/>
    <w:rsid w:val="0006320E"/>
    <w:rsid w:val="0006340F"/>
    <w:rsid w:val="00063573"/>
    <w:rsid w:val="00063778"/>
    <w:rsid w:val="0006396C"/>
    <w:rsid w:val="00063B6C"/>
    <w:rsid w:val="00063DE0"/>
    <w:rsid w:val="00063E58"/>
    <w:rsid w:val="00063FA1"/>
    <w:rsid w:val="00063FFB"/>
    <w:rsid w:val="0006465C"/>
    <w:rsid w:val="000649EB"/>
    <w:rsid w:val="00064B0E"/>
    <w:rsid w:val="00064B87"/>
    <w:rsid w:val="00064E48"/>
    <w:rsid w:val="00064E8C"/>
    <w:rsid w:val="00064FA9"/>
    <w:rsid w:val="0006550D"/>
    <w:rsid w:val="00065583"/>
    <w:rsid w:val="00066A5C"/>
    <w:rsid w:val="0006724E"/>
    <w:rsid w:val="00067546"/>
    <w:rsid w:val="00067639"/>
    <w:rsid w:val="00067BBE"/>
    <w:rsid w:val="00067CEF"/>
    <w:rsid w:val="00067D3A"/>
    <w:rsid w:val="00067E42"/>
    <w:rsid w:val="000700E6"/>
    <w:rsid w:val="000701EA"/>
    <w:rsid w:val="0007026A"/>
    <w:rsid w:val="0007031D"/>
    <w:rsid w:val="00070348"/>
    <w:rsid w:val="00070496"/>
    <w:rsid w:val="00070771"/>
    <w:rsid w:val="00070A5C"/>
    <w:rsid w:val="00070C13"/>
    <w:rsid w:val="00070F0E"/>
    <w:rsid w:val="00070F53"/>
    <w:rsid w:val="00070F64"/>
    <w:rsid w:val="000712AC"/>
    <w:rsid w:val="00071654"/>
    <w:rsid w:val="0007176B"/>
    <w:rsid w:val="0007178D"/>
    <w:rsid w:val="00071CCE"/>
    <w:rsid w:val="00071F26"/>
    <w:rsid w:val="0007220C"/>
    <w:rsid w:val="0007248F"/>
    <w:rsid w:val="0007266A"/>
    <w:rsid w:val="000726CE"/>
    <w:rsid w:val="000728E6"/>
    <w:rsid w:val="000728F9"/>
    <w:rsid w:val="000729D2"/>
    <w:rsid w:val="00072AA6"/>
    <w:rsid w:val="00072D23"/>
    <w:rsid w:val="00072E7C"/>
    <w:rsid w:val="00072E8B"/>
    <w:rsid w:val="00072EBE"/>
    <w:rsid w:val="00073012"/>
    <w:rsid w:val="00073380"/>
    <w:rsid w:val="00073443"/>
    <w:rsid w:val="000734A1"/>
    <w:rsid w:val="0007375E"/>
    <w:rsid w:val="0007390A"/>
    <w:rsid w:val="0007392C"/>
    <w:rsid w:val="00073A68"/>
    <w:rsid w:val="00073A82"/>
    <w:rsid w:val="00073B2B"/>
    <w:rsid w:val="00073C12"/>
    <w:rsid w:val="0007452E"/>
    <w:rsid w:val="0007454F"/>
    <w:rsid w:val="000749E3"/>
    <w:rsid w:val="00074FA0"/>
    <w:rsid w:val="00075196"/>
    <w:rsid w:val="00075464"/>
    <w:rsid w:val="0007588E"/>
    <w:rsid w:val="000759A8"/>
    <w:rsid w:val="000759D6"/>
    <w:rsid w:val="00075B14"/>
    <w:rsid w:val="00075BFD"/>
    <w:rsid w:val="000761E2"/>
    <w:rsid w:val="000763B9"/>
    <w:rsid w:val="00076532"/>
    <w:rsid w:val="00076706"/>
    <w:rsid w:val="00076A1E"/>
    <w:rsid w:val="00076DD0"/>
    <w:rsid w:val="00077017"/>
    <w:rsid w:val="0007709B"/>
    <w:rsid w:val="0007715B"/>
    <w:rsid w:val="000778CF"/>
    <w:rsid w:val="00077938"/>
    <w:rsid w:val="00077CDA"/>
    <w:rsid w:val="0008037C"/>
    <w:rsid w:val="000808AE"/>
    <w:rsid w:val="00080D6E"/>
    <w:rsid w:val="00080DB3"/>
    <w:rsid w:val="00081021"/>
    <w:rsid w:val="000819BC"/>
    <w:rsid w:val="000819BF"/>
    <w:rsid w:val="00081D6D"/>
    <w:rsid w:val="00081E1A"/>
    <w:rsid w:val="000823F5"/>
    <w:rsid w:val="00082409"/>
    <w:rsid w:val="000826D2"/>
    <w:rsid w:val="00082730"/>
    <w:rsid w:val="0008290D"/>
    <w:rsid w:val="00082BF2"/>
    <w:rsid w:val="00082E83"/>
    <w:rsid w:val="00083097"/>
    <w:rsid w:val="000830FD"/>
    <w:rsid w:val="00083294"/>
    <w:rsid w:val="000837B7"/>
    <w:rsid w:val="00083DE8"/>
    <w:rsid w:val="00083EA0"/>
    <w:rsid w:val="00083F70"/>
    <w:rsid w:val="000843EE"/>
    <w:rsid w:val="00084497"/>
    <w:rsid w:val="00084841"/>
    <w:rsid w:val="00084B25"/>
    <w:rsid w:val="00084C21"/>
    <w:rsid w:val="00084C2D"/>
    <w:rsid w:val="00084DB6"/>
    <w:rsid w:val="000850C7"/>
    <w:rsid w:val="000851E8"/>
    <w:rsid w:val="00085A52"/>
    <w:rsid w:val="00085CC3"/>
    <w:rsid w:val="00085E4C"/>
    <w:rsid w:val="000864FE"/>
    <w:rsid w:val="000865FD"/>
    <w:rsid w:val="00086985"/>
    <w:rsid w:val="00086BFE"/>
    <w:rsid w:val="00086CAC"/>
    <w:rsid w:val="00086D29"/>
    <w:rsid w:val="00086DE1"/>
    <w:rsid w:val="00086F5A"/>
    <w:rsid w:val="000876C3"/>
    <w:rsid w:val="000879E5"/>
    <w:rsid w:val="00090000"/>
    <w:rsid w:val="0009000F"/>
    <w:rsid w:val="000900B0"/>
    <w:rsid w:val="00090386"/>
    <w:rsid w:val="000903AB"/>
    <w:rsid w:val="000903AC"/>
    <w:rsid w:val="0009067E"/>
    <w:rsid w:val="000907B0"/>
    <w:rsid w:val="00090945"/>
    <w:rsid w:val="0009095F"/>
    <w:rsid w:val="00090C93"/>
    <w:rsid w:val="00090D2E"/>
    <w:rsid w:val="00090F5F"/>
    <w:rsid w:val="0009133D"/>
    <w:rsid w:val="000916B2"/>
    <w:rsid w:val="00091797"/>
    <w:rsid w:val="0009189D"/>
    <w:rsid w:val="000918E4"/>
    <w:rsid w:val="00091B76"/>
    <w:rsid w:val="00091B93"/>
    <w:rsid w:val="00091CF7"/>
    <w:rsid w:val="00091ED6"/>
    <w:rsid w:val="00091F5E"/>
    <w:rsid w:val="0009235B"/>
    <w:rsid w:val="00092387"/>
    <w:rsid w:val="00092636"/>
    <w:rsid w:val="0009271C"/>
    <w:rsid w:val="00092727"/>
    <w:rsid w:val="00092993"/>
    <w:rsid w:val="00092D46"/>
    <w:rsid w:val="00092F65"/>
    <w:rsid w:val="000930EC"/>
    <w:rsid w:val="000934B1"/>
    <w:rsid w:val="0009389A"/>
    <w:rsid w:val="000939B1"/>
    <w:rsid w:val="00093A4E"/>
    <w:rsid w:val="00093B5C"/>
    <w:rsid w:val="00093B67"/>
    <w:rsid w:val="00093FC0"/>
    <w:rsid w:val="0009485F"/>
    <w:rsid w:val="00094C0E"/>
    <w:rsid w:val="00094D73"/>
    <w:rsid w:val="00094EC1"/>
    <w:rsid w:val="00095252"/>
    <w:rsid w:val="00095382"/>
    <w:rsid w:val="000953DB"/>
    <w:rsid w:val="00095490"/>
    <w:rsid w:val="00095576"/>
    <w:rsid w:val="00095ACD"/>
    <w:rsid w:val="00095BCD"/>
    <w:rsid w:val="00095DBE"/>
    <w:rsid w:val="00095EB2"/>
    <w:rsid w:val="00095F97"/>
    <w:rsid w:val="000960BA"/>
    <w:rsid w:val="000960D4"/>
    <w:rsid w:val="00096965"/>
    <w:rsid w:val="000969F7"/>
    <w:rsid w:val="000969F8"/>
    <w:rsid w:val="00096C51"/>
    <w:rsid w:val="0009704C"/>
    <w:rsid w:val="00097075"/>
    <w:rsid w:val="00097101"/>
    <w:rsid w:val="00097176"/>
    <w:rsid w:val="00097654"/>
    <w:rsid w:val="00097927"/>
    <w:rsid w:val="00097AD4"/>
    <w:rsid w:val="00097CF5"/>
    <w:rsid w:val="00097DCA"/>
    <w:rsid w:val="000A008A"/>
    <w:rsid w:val="000A0463"/>
    <w:rsid w:val="000A11C4"/>
    <w:rsid w:val="000A1439"/>
    <w:rsid w:val="000A1456"/>
    <w:rsid w:val="000A14A1"/>
    <w:rsid w:val="000A14F1"/>
    <w:rsid w:val="000A15E0"/>
    <w:rsid w:val="000A19D3"/>
    <w:rsid w:val="000A1C74"/>
    <w:rsid w:val="000A1C7C"/>
    <w:rsid w:val="000A1DAD"/>
    <w:rsid w:val="000A1FAE"/>
    <w:rsid w:val="000A209D"/>
    <w:rsid w:val="000A2124"/>
    <w:rsid w:val="000A2421"/>
    <w:rsid w:val="000A278B"/>
    <w:rsid w:val="000A27F3"/>
    <w:rsid w:val="000A28FA"/>
    <w:rsid w:val="000A295D"/>
    <w:rsid w:val="000A2967"/>
    <w:rsid w:val="000A2AC2"/>
    <w:rsid w:val="000A2C07"/>
    <w:rsid w:val="000A2DA7"/>
    <w:rsid w:val="000A2E9E"/>
    <w:rsid w:val="000A314B"/>
    <w:rsid w:val="000A31CD"/>
    <w:rsid w:val="000A3798"/>
    <w:rsid w:val="000A3A48"/>
    <w:rsid w:val="000A3BAC"/>
    <w:rsid w:val="000A3D6F"/>
    <w:rsid w:val="000A4803"/>
    <w:rsid w:val="000A49F8"/>
    <w:rsid w:val="000A4A67"/>
    <w:rsid w:val="000A4DBD"/>
    <w:rsid w:val="000A4E0D"/>
    <w:rsid w:val="000A4EA2"/>
    <w:rsid w:val="000A4EC6"/>
    <w:rsid w:val="000A4F81"/>
    <w:rsid w:val="000A50C0"/>
    <w:rsid w:val="000A52AA"/>
    <w:rsid w:val="000A56DD"/>
    <w:rsid w:val="000A5A36"/>
    <w:rsid w:val="000A5B2F"/>
    <w:rsid w:val="000A5D39"/>
    <w:rsid w:val="000A604C"/>
    <w:rsid w:val="000A68B1"/>
    <w:rsid w:val="000A6D5A"/>
    <w:rsid w:val="000A6F40"/>
    <w:rsid w:val="000A6FED"/>
    <w:rsid w:val="000A707C"/>
    <w:rsid w:val="000A7291"/>
    <w:rsid w:val="000A72D5"/>
    <w:rsid w:val="000A79E1"/>
    <w:rsid w:val="000B0187"/>
    <w:rsid w:val="000B01AA"/>
    <w:rsid w:val="000B0978"/>
    <w:rsid w:val="000B0A9F"/>
    <w:rsid w:val="000B143D"/>
    <w:rsid w:val="000B1554"/>
    <w:rsid w:val="000B15EA"/>
    <w:rsid w:val="000B196E"/>
    <w:rsid w:val="000B1F6C"/>
    <w:rsid w:val="000B2355"/>
    <w:rsid w:val="000B254E"/>
    <w:rsid w:val="000B26B6"/>
    <w:rsid w:val="000B28A5"/>
    <w:rsid w:val="000B299C"/>
    <w:rsid w:val="000B2DE4"/>
    <w:rsid w:val="000B32BA"/>
    <w:rsid w:val="000B3476"/>
    <w:rsid w:val="000B36F1"/>
    <w:rsid w:val="000B3A76"/>
    <w:rsid w:val="000B3A7B"/>
    <w:rsid w:val="000B3E82"/>
    <w:rsid w:val="000B3FB5"/>
    <w:rsid w:val="000B4172"/>
    <w:rsid w:val="000B4326"/>
    <w:rsid w:val="000B4BC2"/>
    <w:rsid w:val="000B4CA8"/>
    <w:rsid w:val="000B4FBF"/>
    <w:rsid w:val="000B6195"/>
    <w:rsid w:val="000B6584"/>
    <w:rsid w:val="000B669F"/>
    <w:rsid w:val="000B6701"/>
    <w:rsid w:val="000B6772"/>
    <w:rsid w:val="000B6A4C"/>
    <w:rsid w:val="000B6A9F"/>
    <w:rsid w:val="000B6B13"/>
    <w:rsid w:val="000B6B56"/>
    <w:rsid w:val="000B6D9B"/>
    <w:rsid w:val="000B6DCF"/>
    <w:rsid w:val="000B72C3"/>
    <w:rsid w:val="000B7304"/>
    <w:rsid w:val="000B75E5"/>
    <w:rsid w:val="000B77F1"/>
    <w:rsid w:val="000B7F44"/>
    <w:rsid w:val="000C0274"/>
    <w:rsid w:val="000C038C"/>
    <w:rsid w:val="000C0676"/>
    <w:rsid w:val="000C074F"/>
    <w:rsid w:val="000C07EA"/>
    <w:rsid w:val="000C08DD"/>
    <w:rsid w:val="000C099A"/>
    <w:rsid w:val="000C0A2A"/>
    <w:rsid w:val="000C0B60"/>
    <w:rsid w:val="000C0CAD"/>
    <w:rsid w:val="000C0F70"/>
    <w:rsid w:val="000C0FA3"/>
    <w:rsid w:val="000C1360"/>
    <w:rsid w:val="000C138C"/>
    <w:rsid w:val="000C19AA"/>
    <w:rsid w:val="000C1A69"/>
    <w:rsid w:val="000C1C26"/>
    <w:rsid w:val="000C1D2D"/>
    <w:rsid w:val="000C23D0"/>
    <w:rsid w:val="000C2B21"/>
    <w:rsid w:val="000C2BA9"/>
    <w:rsid w:val="000C2C47"/>
    <w:rsid w:val="000C2DC3"/>
    <w:rsid w:val="000C2FC4"/>
    <w:rsid w:val="000C30D2"/>
    <w:rsid w:val="000C3266"/>
    <w:rsid w:val="000C32A1"/>
    <w:rsid w:val="000C3595"/>
    <w:rsid w:val="000C3D8B"/>
    <w:rsid w:val="000C3E13"/>
    <w:rsid w:val="000C3F73"/>
    <w:rsid w:val="000C3FD6"/>
    <w:rsid w:val="000C4129"/>
    <w:rsid w:val="000C413E"/>
    <w:rsid w:val="000C41E7"/>
    <w:rsid w:val="000C42C3"/>
    <w:rsid w:val="000C4522"/>
    <w:rsid w:val="000C4550"/>
    <w:rsid w:val="000C4964"/>
    <w:rsid w:val="000C4A6B"/>
    <w:rsid w:val="000C4A7F"/>
    <w:rsid w:val="000C4CCD"/>
    <w:rsid w:val="000C4D9A"/>
    <w:rsid w:val="000C4DF5"/>
    <w:rsid w:val="000C4E5B"/>
    <w:rsid w:val="000C509C"/>
    <w:rsid w:val="000C53C5"/>
    <w:rsid w:val="000C5624"/>
    <w:rsid w:val="000C5709"/>
    <w:rsid w:val="000C5964"/>
    <w:rsid w:val="000C62C3"/>
    <w:rsid w:val="000C65D0"/>
    <w:rsid w:val="000C67B7"/>
    <w:rsid w:val="000C6972"/>
    <w:rsid w:val="000C699C"/>
    <w:rsid w:val="000C6AA1"/>
    <w:rsid w:val="000C6E94"/>
    <w:rsid w:val="000C7001"/>
    <w:rsid w:val="000C700B"/>
    <w:rsid w:val="000C70E8"/>
    <w:rsid w:val="000C72F5"/>
    <w:rsid w:val="000C75C0"/>
    <w:rsid w:val="000C75D5"/>
    <w:rsid w:val="000C7BA2"/>
    <w:rsid w:val="000D0361"/>
    <w:rsid w:val="000D04D9"/>
    <w:rsid w:val="000D0729"/>
    <w:rsid w:val="000D0937"/>
    <w:rsid w:val="000D0955"/>
    <w:rsid w:val="000D09E3"/>
    <w:rsid w:val="000D0ADA"/>
    <w:rsid w:val="000D0DE2"/>
    <w:rsid w:val="000D0ED6"/>
    <w:rsid w:val="000D0F0F"/>
    <w:rsid w:val="000D18A5"/>
    <w:rsid w:val="000D1AB3"/>
    <w:rsid w:val="000D1B8F"/>
    <w:rsid w:val="000D1DD1"/>
    <w:rsid w:val="000D1E5D"/>
    <w:rsid w:val="000D1F95"/>
    <w:rsid w:val="000D2013"/>
    <w:rsid w:val="000D21B5"/>
    <w:rsid w:val="000D2CFC"/>
    <w:rsid w:val="000D3313"/>
    <w:rsid w:val="000D3839"/>
    <w:rsid w:val="000D3ADD"/>
    <w:rsid w:val="000D3CFA"/>
    <w:rsid w:val="000D3D00"/>
    <w:rsid w:val="000D414F"/>
    <w:rsid w:val="000D416C"/>
    <w:rsid w:val="000D42AA"/>
    <w:rsid w:val="000D43F2"/>
    <w:rsid w:val="000D44A6"/>
    <w:rsid w:val="000D44DD"/>
    <w:rsid w:val="000D4927"/>
    <w:rsid w:val="000D56F0"/>
    <w:rsid w:val="000D59BE"/>
    <w:rsid w:val="000D5DEF"/>
    <w:rsid w:val="000D5DF9"/>
    <w:rsid w:val="000D5F02"/>
    <w:rsid w:val="000D6253"/>
    <w:rsid w:val="000D6458"/>
    <w:rsid w:val="000D6651"/>
    <w:rsid w:val="000D68F5"/>
    <w:rsid w:val="000D6B75"/>
    <w:rsid w:val="000D6DED"/>
    <w:rsid w:val="000D6F43"/>
    <w:rsid w:val="000D6F44"/>
    <w:rsid w:val="000D760A"/>
    <w:rsid w:val="000D7AAB"/>
    <w:rsid w:val="000D7D91"/>
    <w:rsid w:val="000E0053"/>
    <w:rsid w:val="000E032D"/>
    <w:rsid w:val="000E0979"/>
    <w:rsid w:val="000E09A3"/>
    <w:rsid w:val="000E0AE4"/>
    <w:rsid w:val="000E0CA6"/>
    <w:rsid w:val="000E0FA1"/>
    <w:rsid w:val="000E181A"/>
    <w:rsid w:val="000E18B9"/>
    <w:rsid w:val="000E1EC3"/>
    <w:rsid w:val="000E22F4"/>
    <w:rsid w:val="000E2415"/>
    <w:rsid w:val="000E25F0"/>
    <w:rsid w:val="000E3050"/>
    <w:rsid w:val="000E32CA"/>
    <w:rsid w:val="000E343C"/>
    <w:rsid w:val="000E36F2"/>
    <w:rsid w:val="000E3738"/>
    <w:rsid w:val="000E3B67"/>
    <w:rsid w:val="000E3D13"/>
    <w:rsid w:val="000E410F"/>
    <w:rsid w:val="000E43CC"/>
    <w:rsid w:val="000E4919"/>
    <w:rsid w:val="000E4C0B"/>
    <w:rsid w:val="000E4C1C"/>
    <w:rsid w:val="000E4E90"/>
    <w:rsid w:val="000E4EB0"/>
    <w:rsid w:val="000E4FDD"/>
    <w:rsid w:val="000E5040"/>
    <w:rsid w:val="000E50F6"/>
    <w:rsid w:val="000E5267"/>
    <w:rsid w:val="000E52B4"/>
    <w:rsid w:val="000E5414"/>
    <w:rsid w:val="000E54BF"/>
    <w:rsid w:val="000E59D3"/>
    <w:rsid w:val="000E59D7"/>
    <w:rsid w:val="000E5D06"/>
    <w:rsid w:val="000E5FCC"/>
    <w:rsid w:val="000E629D"/>
    <w:rsid w:val="000E65CC"/>
    <w:rsid w:val="000E6718"/>
    <w:rsid w:val="000E677C"/>
    <w:rsid w:val="000E67C1"/>
    <w:rsid w:val="000E69AF"/>
    <w:rsid w:val="000E6B43"/>
    <w:rsid w:val="000E7133"/>
    <w:rsid w:val="000E7232"/>
    <w:rsid w:val="000E728A"/>
    <w:rsid w:val="000E7744"/>
    <w:rsid w:val="000E7802"/>
    <w:rsid w:val="000E7E43"/>
    <w:rsid w:val="000E7F52"/>
    <w:rsid w:val="000F0070"/>
    <w:rsid w:val="000F036B"/>
    <w:rsid w:val="000F0729"/>
    <w:rsid w:val="000F0959"/>
    <w:rsid w:val="000F0A12"/>
    <w:rsid w:val="000F0AFC"/>
    <w:rsid w:val="000F0E0F"/>
    <w:rsid w:val="000F0FAD"/>
    <w:rsid w:val="000F1111"/>
    <w:rsid w:val="000F1267"/>
    <w:rsid w:val="000F14D3"/>
    <w:rsid w:val="000F16F4"/>
    <w:rsid w:val="000F1BA9"/>
    <w:rsid w:val="000F1CD1"/>
    <w:rsid w:val="000F1D1F"/>
    <w:rsid w:val="000F2080"/>
    <w:rsid w:val="000F20A5"/>
    <w:rsid w:val="000F21AC"/>
    <w:rsid w:val="000F247E"/>
    <w:rsid w:val="000F248E"/>
    <w:rsid w:val="000F27A4"/>
    <w:rsid w:val="000F2819"/>
    <w:rsid w:val="000F2878"/>
    <w:rsid w:val="000F28D0"/>
    <w:rsid w:val="000F29A6"/>
    <w:rsid w:val="000F2A20"/>
    <w:rsid w:val="000F2B7A"/>
    <w:rsid w:val="000F2D4A"/>
    <w:rsid w:val="000F355E"/>
    <w:rsid w:val="000F3F7D"/>
    <w:rsid w:val="000F419A"/>
    <w:rsid w:val="000F4234"/>
    <w:rsid w:val="000F43A7"/>
    <w:rsid w:val="000F46A0"/>
    <w:rsid w:val="000F498B"/>
    <w:rsid w:val="000F4C19"/>
    <w:rsid w:val="000F4E28"/>
    <w:rsid w:val="000F4EB8"/>
    <w:rsid w:val="000F53F2"/>
    <w:rsid w:val="000F54A1"/>
    <w:rsid w:val="000F54EE"/>
    <w:rsid w:val="000F56AE"/>
    <w:rsid w:val="000F578F"/>
    <w:rsid w:val="000F584E"/>
    <w:rsid w:val="000F58A2"/>
    <w:rsid w:val="000F58FC"/>
    <w:rsid w:val="000F59A8"/>
    <w:rsid w:val="000F5A8D"/>
    <w:rsid w:val="000F5B52"/>
    <w:rsid w:val="000F5E51"/>
    <w:rsid w:val="000F5FCE"/>
    <w:rsid w:val="000F61C1"/>
    <w:rsid w:val="000F65E7"/>
    <w:rsid w:val="000F673D"/>
    <w:rsid w:val="000F6755"/>
    <w:rsid w:val="000F682A"/>
    <w:rsid w:val="000F6A1F"/>
    <w:rsid w:val="000F6A48"/>
    <w:rsid w:val="000F6FEC"/>
    <w:rsid w:val="000F71ED"/>
    <w:rsid w:val="000F7548"/>
    <w:rsid w:val="000F75E4"/>
    <w:rsid w:val="000F76EC"/>
    <w:rsid w:val="000F7783"/>
    <w:rsid w:val="000F7C04"/>
    <w:rsid w:val="000F7C0F"/>
    <w:rsid w:val="000F7F85"/>
    <w:rsid w:val="001001BA"/>
    <w:rsid w:val="00100293"/>
    <w:rsid w:val="00100371"/>
    <w:rsid w:val="001003CD"/>
    <w:rsid w:val="00100506"/>
    <w:rsid w:val="00100B11"/>
    <w:rsid w:val="00100C30"/>
    <w:rsid w:val="00100CF0"/>
    <w:rsid w:val="00101278"/>
    <w:rsid w:val="001012C7"/>
    <w:rsid w:val="001014F7"/>
    <w:rsid w:val="00101618"/>
    <w:rsid w:val="00101780"/>
    <w:rsid w:val="00101A4B"/>
    <w:rsid w:val="00101E2A"/>
    <w:rsid w:val="00101F85"/>
    <w:rsid w:val="001022AC"/>
    <w:rsid w:val="0010287E"/>
    <w:rsid w:val="00102AF1"/>
    <w:rsid w:val="00103131"/>
    <w:rsid w:val="00103261"/>
    <w:rsid w:val="001032D7"/>
    <w:rsid w:val="00103518"/>
    <w:rsid w:val="001036CC"/>
    <w:rsid w:val="001036E7"/>
    <w:rsid w:val="00103787"/>
    <w:rsid w:val="0010387F"/>
    <w:rsid w:val="0010394B"/>
    <w:rsid w:val="00103BAD"/>
    <w:rsid w:val="00103CE2"/>
    <w:rsid w:val="00103D17"/>
    <w:rsid w:val="00103F06"/>
    <w:rsid w:val="00103F59"/>
    <w:rsid w:val="001040C8"/>
    <w:rsid w:val="001042BB"/>
    <w:rsid w:val="00104326"/>
    <w:rsid w:val="001045AC"/>
    <w:rsid w:val="00104A39"/>
    <w:rsid w:val="00104CE7"/>
    <w:rsid w:val="00104D41"/>
    <w:rsid w:val="00105064"/>
    <w:rsid w:val="00105825"/>
    <w:rsid w:val="00105C26"/>
    <w:rsid w:val="00105C4C"/>
    <w:rsid w:val="00105DC0"/>
    <w:rsid w:val="00105E93"/>
    <w:rsid w:val="00105FD3"/>
    <w:rsid w:val="00106044"/>
    <w:rsid w:val="00106277"/>
    <w:rsid w:val="001062DE"/>
    <w:rsid w:val="001065BD"/>
    <w:rsid w:val="00106753"/>
    <w:rsid w:val="00106DA8"/>
    <w:rsid w:val="00106DE5"/>
    <w:rsid w:val="00107216"/>
    <w:rsid w:val="00107338"/>
    <w:rsid w:val="00107438"/>
    <w:rsid w:val="00107BAA"/>
    <w:rsid w:val="001104EB"/>
    <w:rsid w:val="001108A3"/>
    <w:rsid w:val="00110D4F"/>
    <w:rsid w:val="00110DDA"/>
    <w:rsid w:val="00110EA7"/>
    <w:rsid w:val="00111010"/>
    <w:rsid w:val="00111075"/>
    <w:rsid w:val="001110E5"/>
    <w:rsid w:val="0011112D"/>
    <w:rsid w:val="001111FA"/>
    <w:rsid w:val="00111461"/>
    <w:rsid w:val="001114E5"/>
    <w:rsid w:val="001114FC"/>
    <w:rsid w:val="00111A63"/>
    <w:rsid w:val="00112289"/>
    <w:rsid w:val="0011257C"/>
    <w:rsid w:val="00112942"/>
    <w:rsid w:val="00112A07"/>
    <w:rsid w:val="00112E4E"/>
    <w:rsid w:val="00112ECF"/>
    <w:rsid w:val="00112F1A"/>
    <w:rsid w:val="00113338"/>
    <w:rsid w:val="001136D7"/>
    <w:rsid w:val="00113D71"/>
    <w:rsid w:val="00114251"/>
    <w:rsid w:val="00114778"/>
    <w:rsid w:val="00114997"/>
    <w:rsid w:val="00114A84"/>
    <w:rsid w:val="00114A91"/>
    <w:rsid w:val="00114D00"/>
    <w:rsid w:val="00114D66"/>
    <w:rsid w:val="00114E6C"/>
    <w:rsid w:val="0011530F"/>
    <w:rsid w:val="00115680"/>
    <w:rsid w:val="0011573E"/>
    <w:rsid w:val="0011592D"/>
    <w:rsid w:val="00115C2B"/>
    <w:rsid w:val="00115F33"/>
    <w:rsid w:val="0011636C"/>
    <w:rsid w:val="001163E1"/>
    <w:rsid w:val="0011643F"/>
    <w:rsid w:val="001164F2"/>
    <w:rsid w:val="00116608"/>
    <w:rsid w:val="00116915"/>
    <w:rsid w:val="00116CAF"/>
    <w:rsid w:val="00116D84"/>
    <w:rsid w:val="00116E2F"/>
    <w:rsid w:val="001171A8"/>
    <w:rsid w:val="00117804"/>
    <w:rsid w:val="00117AFE"/>
    <w:rsid w:val="00117E0F"/>
    <w:rsid w:val="00117F4E"/>
    <w:rsid w:val="001202FE"/>
    <w:rsid w:val="001204F8"/>
    <w:rsid w:val="00120BA9"/>
    <w:rsid w:val="001211A9"/>
    <w:rsid w:val="001213C9"/>
    <w:rsid w:val="0012143D"/>
    <w:rsid w:val="00121E07"/>
    <w:rsid w:val="00122098"/>
    <w:rsid w:val="001220EA"/>
    <w:rsid w:val="00122229"/>
    <w:rsid w:val="001223D9"/>
    <w:rsid w:val="001223FB"/>
    <w:rsid w:val="001224E5"/>
    <w:rsid w:val="00122551"/>
    <w:rsid w:val="001225C7"/>
    <w:rsid w:val="001229C0"/>
    <w:rsid w:val="00122A49"/>
    <w:rsid w:val="0012321E"/>
    <w:rsid w:val="00123262"/>
    <w:rsid w:val="001232F8"/>
    <w:rsid w:val="001233EE"/>
    <w:rsid w:val="0012347F"/>
    <w:rsid w:val="001235BA"/>
    <w:rsid w:val="00123A84"/>
    <w:rsid w:val="00123B45"/>
    <w:rsid w:val="00123B5A"/>
    <w:rsid w:val="00123C0F"/>
    <w:rsid w:val="00123CBE"/>
    <w:rsid w:val="00123CD1"/>
    <w:rsid w:val="001241E2"/>
    <w:rsid w:val="00124216"/>
    <w:rsid w:val="00124230"/>
    <w:rsid w:val="001247BC"/>
    <w:rsid w:val="00124BB7"/>
    <w:rsid w:val="00124D47"/>
    <w:rsid w:val="00125199"/>
    <w:rsid w:val="001253E2"/>
    <w:rsid w:val="0012554B"/>
    <w:rsid w:val="001255DD"/>
    <w:rsid w:val="001255E1"/>
    <w:rsid w:val="00125741"/>
    <w:rsid w:val="00125A5B"/>
    <w:rsid w:val="00125D04"/>
    <w:rsid w:val="00125F50"/>
    <w:rsid w:val="00126044"/>
    <w:rsid w:val="001260B9"/>
    <w:rsid w:val="0012610F"/>
    <w:rsid w:val="001261B4"/>
    <w:rsid w:val="001263C5"/>
    <w:rsid w:val="001268A4"/>
    <w:rsid w:val="00127212"/>
    <w:rsid w:val="001272D5"/>
    <w:rsid w:val="001272D6"/>
    <w:rsid w:val="001274CE"/>
    <w:rsid w:val="001274DD"/>
    <w:rsid w:val="0012757D"/>
    <w:rsid w:val="001279E7"/>
    <w:rsid w:val="00127AA6"/>
    <w:rsid w:val="00127C88"/>
    <w:rsid w:val="00127EB6"/>
    <w:rsid w:val="00130508"/>
    <w:rsid w:val="001307A7"/>
    <w:rsid w:val="001307EE"/>
    <w:rsid w:val="0013081A"/>
    <w:rsid w:val="00130AC0"/>
    <w:rsid w:val="00130BEB"/>
    <w:rsid w:val="0013151E"/>
    <w:rsid w:val="00131B73"/>
    <w:rsid w:val="00131BDD"/>
    <w:rsid w:val="00131EC5"/>
    <w:rsid w:val="00131FF1"/>
    <w:rsid w:val="00132290"/>
    <w:rsid w:val="00132D3B"/>
    <w:rsid w:val="00132DCD"/>
    <w:rsid w:val="0013323C"/>
    <w:rsid w:val="00133275"/>
    <w:rsid w:val="0013352E"/>
    <w:rsid w:val="001338ED"/>
    <w:rsid w:val="00133B43"/>
    <w:rsid w:val="00133B55"/>
    <w:rsid w:val="0013404F"/>
    <w:rsid w:val="001340AA"/>
    <w:rsid w:val="001346ED"/>
    <w:rsid w:val="00134E76"/>
    <w:rsid w:val="00135021"/>
    <w:rsid w:val="00135075"/>
    <w:rsid w:val="001350FB"/>
    <w:rsid w:val="001351B1"/>
    <w:rsid w:val="001353D8"/>
    <w:rsid w:val="001354D3"/>
    <w:rsid w:val="0013559D"/>
    <w:rsid w:val="001355F8"/>
    <w:rsid w:val="00135832"/>
    <w:rsid w:val="001359E4"/>
    <w:rsid w:val="00135BA6"/>
    <w:rsid w:val="00135D3C"/>
    <w:rsid w:val="00135D78"/>
    <w:rsid w:val="001361AB"/>
    <w:rsid w:val="001361BB"/>
    <w:rsid w:val="0013623A"/>
    <w:rsid w:val="0013666C"/>
    <w:rsid w:val="00136680"/>
    <w:rsid w:val="00136EE1"/>
    <w:rsid w:val="00137207"/>
    <w:rsid w:val="0013724F"/>
    <w:rsid w:val="0013783D"/>
    <w:rsid w:val="00137FE7"/>
    <w:rsid w:val="001402EB"/>
    <w:rsid w:val="00140360"/>
    <w:rsid w:val="00140361"/>
    <w:rsid w:val="0014055F"/>
    <w:rsid w:val="0014064E"/>
    <w:rsid w:val="00140998"/>
    <w:rsid w:val="00140AF9"/>
    <w:rsid w:val="00140F91"/>
    <w:rsid w:val="00141048"/>
    <w:rsid w:val="001412C0"/>
    <w:rsid w:val="001414C0"/>
    <w:rsid w:val="00141817"/>
    <w:rsid w:val="00141EBF"/>
    <w:rsid w:val="00142242"/>
    <w:rsid w:val="001424FD"/>
    <w:rsid w:val="00142615"/>
    <w:rsid w:val="00142642"/>
    <w:rsid w:val="00142A50"/>
    <w:rsid w:val="001432DF"/>
    <w:rsid w:val="001434CD"/>
    <w:rsid w:val="0014365B"/>
    <w:rsid w:val="00143695"/>
    <w:rsid w:val="00143926"/>
    <w:rsid w:val="00143C21"/>
    <w:rsid w:val="0014405F"/>
    <w:rsid w:val="001440D7"/>
    <w:rsid w:val="001442D0"/>
    <w:rsid w:val="00144A38"/>
    <w:rsid w:val="00144BD4"/>
    <w:rsid w:val="00145239"/>
    <w:rsid w:val="00145284"/>
    <w:rsid w:val="00145360"/>
    <w:rsid w:val="0014540B"/>
    <w:rsid w:val="00145467"/>
    <w:rsid w:val="00145B43"/>
    <w:rsid w:val="00145FE0"/>
    <w:rsid w:val="00146006"/>
    <w:rsid w:val="0014606A"/>
    <w:rsid w:val="0014611F"/>
    <w:rsid w:val="0014639A"/>
    <w:rsid w:val="001464AA"/>
    <w:rsid w:val="001464BE"/>
    <w:rsid w:val="0014659D"/>
    <w:rsid w:val="0014678F"/>
    <w:rsid w:val="00146875"/>
    <w:rsid w:val="00146928"/>
    <w:rsid w:val="001469E3"/>
    <w:rsid w:val="001469EC"/>
    <w:rsid w:val="00146CAF"/>
    <w:rsid w:val="00146D65"/>
    <w:rsid w:val="00146FA3"/>
    <w:rsid w:val="001473B0"/>
    <w:rsid w:val="00147633"/>
    <w:rsid w:val="00147894"/>
    <w:rsid w:val="00147FE7"/>
    <w:rsid w:val="00150279"/>
    <w:rsid w:val="00150783"/>
    <w:rsid w:val="00150D31"/>
    <w:rsid w:val="00150E95"/>
    <w:rsid w:val="00150EA6"/>
    <w:rsid w:val="001511C1"/>
    <w:rsid w:val="00151337"/>
    <w:rsid w:val="0015135C"/>
    <w:rsid w:val="001519D3"/>
    <w:rsid w:val="00151BC2"/>
    <w:rsid w:val="00151C60"/>
    <w:rsid w:val="00151DE5"/>
    <w:rsid w:val="00151EAD"/>
    <w:rsid w:val="00152154"/>
    <w:rsid w:val="001524E1"/>
    <w:rsid w:val="0015271D"/>
    <w:rsid w:val="00152854"/>
    <w:rsid w:val="0015288A"/>
    <w:rsid w:val="00152908"/>
    <w:rsid w:val="00152D18"/>
    <w:rsid w:val="00152EAB"/>
    <w:rsid w:val="00152EBB"/>
    <w:rsid w:val="00152F2C"/>
    <w:rsid w:val="0015330B"/>
    <w:rsid w:val="0015365C"/>
    <w:rsid w:val="00153702"/>
    <w:rsid w:val="0015373C"/>
    <w:rsid w:val="001537EE"/>
    <w:rsid w:val="001538E4"/>
    <w:rsid w:val="00153A83"/>
    <w:rsid w:val="00153A9A"/>
    <w:rsid w:val="00153AF7"/>
    <w:rsid w:val="00153CC4"/>
    <w:rsid w:val="00153D10"/>
    <w:rsid w:val="0015410E"/>
    <w:rsid w:val="00154144"/>
    <w:rsid w:val="001544D3"/>
    <w:rsid w:val="001544FD"/>
    <w:rsid w:val="001545EB"/>
    <w:rsid w:val="001546C6"/>
    <w:rsid w:val="00154E74"/>
    <w:rsid w:val="00154F3E"/>
    <w:rsid w:val="00155408"/>
    <w:rsid w:val="0015543A"/>
    <w:rsid w:val="00155967"/>
    <w:rsid w:val="00155F04"/>
    <w:rsid w:val="001564FA"/>
    <w:rsid w:val="00156561"/>
    <w:rsid w:val="0015669F"/>
    <w:rsid w:val="0015688D"/>
    <w:rsid w:val="00156D6C"/>
    <w:rsid w:val="00157566"/>
    <w:rsid w:val="00157825"/>
    <w:rsid w:val="00157A6D"/>
    <w:rsid w:val="00157BF8"/>
    <w:rsid w:val="00157D89"/>
    <w:rsid w:val="00160124"/>
    <w:rsid w:val="00160302"/>
    <w:rsid w:val="00160362"/>
    <w:rsid w:val="00160511"/>
    <w:rsid w:val="00160753"/>
    <w:rsid w:val="0016077D"/>
    <w:rsid w:val="0016099C"/>
    <w:rsid w:val="00160CD5"/>
    <w:rsid w:val="00160CE1"/>
    <w:rsid w:val="00160DDD"/>
    <w:rsid w:val="00160EA8"/>
    <w:rsid w:val="00160F0B"/>
    <w:rsid w:val="001611EF"/>
    <w:rsid w:val="00161859"/>
    <w:rsid w:val="00161E96"/>
    <w:rsid w:val="00161EBD"/>
    <w:rsid w:val="00162146"/>
    <w:rsid w:val="0016217A"/>
    <w:rsid w:val="0016245E"/>
    <w:rsid w:val="0016292E"/>
    <w:rsid w:val="00162988"/>
    <w:rsid w:val="0016298B"/>
    <w:rsid w:val="001629D0"/>
    <w:rsid w:val="00162D02"/>
    <w:rsid w:val="00162D61"/>
    <w:rsid w:val="001631C5"/>
    <w:rsid w:val="0016344D"/>
    <w:rsid w:val="001636AE"/>
    <w:rsid w:val="0016378B"/>
    <w:rsid w:val="001637FE"/>
    <w:rsid w:val="0016384E"/>
    <w:rsid w:val="0016396A"/>
    <w:rsid w:val="00163976"/>
    <w:rsid w:val="001639AD"/>
    <w:rsid w:val="00163DEA"/>
    <w:rsid w:val="001640E9"/>
    <w:rsid w:val="00164868"/>
    <w:rsid w:val="001648DE"/>
    <w:rsid w:val="001649F4"/>
    <w:rsid w:val="00164BC6"/>
    <w:rsid w:val="00164E83"/>
    <w:rsid w:val="00164F53"/>
    <w:rsid w:val="001651EE"/>
    <w:rsid w:val="001652E9"/>
    <w:rsid w:val="00165486"/>
    <w:rsid w:val="00165ACF"/>
    <w:rsid w:val="00165B08"/>
    <w:rsid w:val="00165D60"/>
    <w:rsid w:val="00165E7D"/>
    <w:rsid w:val="0016611E"/>
    <w:rsid w:val="0016614C"/>
    <w:rsid w:val="001662ED"/>
    <w:rsid w:val="00166426"/>
    <w:rsid w:val="001664C3"/>
    <w:rsid w:val="00166A27"/>
    <w:rsid w:val="00166C61"/>
    <w:rsid w:val="00166DF4"/>
    <w:rsid w:val="001670A5"/>
    <w:rsid w:val="001673CB"/>
    <w:rsid w:val="00167568"/>
    <w:rsid w:val="001676CA"/>
    <w:rsid w:val="00167783"/>
    <w:rsid w:val="0016780D"/>
    <w:rsid w:val="001679AC"/>
    <w:rsid w:val="00167A25"/>
    <w:rsid w:val="00167BE3"/>
    <w:rsid w:val="0017007B"/>
    <w:rsid w:val="00170223"/>
    <w:rsid w:val="001703CC"/>
    <w:rsid w:val="00170566"/>
    <w:rsid w:val="00170F0B"/>
    <w:rsid w:val="00170F4A"/>
    <w:rsid w:val="0017124E"/>
    <w:rsid w:val="001713FD"/>
    <w:rsid w:val="00171816"/>
    <w:rsid w:val="00171929"/>
    <w:rsid w:val="00171C56"/>
    <w:rsid w:val="00171FF6"/>
    <w:rsid w:val="00172191"/>
    <w:rsid w:val="001727AD"/>
    <w:rsid w:val="00172818"/>
    <w:rsid w:val="0017298A"/>
    <w:rsid w:val="00172D45"/>
    <w:rsid w:val="00172DE8"/>
    <w:rsid w:val="00172E35"/>
    <w:rsid w:val="00172EA5"/>
    <w:rsid w:val="00172F3C"/>
    <w:rsid w:val="00172F95"/>
    <w:rsid w:val="001732BB"/>
    <w:rsid w:val="00173306"/>
    <w:rsid w:val="0017334E"/>
    <w:rsid w:val="0017349B"/>
    <w:rsid w:val="001737B1"/>
    <w:rsid w:val="00173E7C"/>
    <w:rsid w:val="00173ED0"/>
    <w:rsid w:val="00174071"/>
    <w:rsid w:val="001740FF"/>
    <w:rsid w:val="00174171"/>
    <w:rsid w:val="0017428C"/>
    <w:rsid w:val="00174622"/>
    <w:rsid w:val="00174925"/>
    <w:rsid w:val="00174AA1"/>
    <w:rsid w:val="00174B02"/>
    <w:rsid w:val="00175283"/>
    <w:rsid w:val="0017569A"/>
    <w:rsid w:val="001756D1"/>
    <w:rsid w:val="0017589B"/>
    <w:rsid w:val="00175EC1"/>
    <w:rsid w:val="00176363"/>
    <w:rsid w:val="001766F8"/>
    <w:rsid w:val="0017676D"/>
    <w:rsid w:val="00176A6F"/>
    <w:rsid w:val="00176AB1"/>
    <w:rsid w:val="00176BD5"/>
    <w:rsid w:val="00176CAE"/>
    <w:rsid w:val="00176F17"/>
    <w:rsid w:val="00177272"/>
    <w:rsid w:val="0017734B"/>
    <w:rsid w:val="00177737"/>
    <w:rsid w:val="001777ED"/>
    <w:rsid w:val="00177841"/>
    <w:rsid w:val="001778DC"/>
    <w:rsid w:val="00177A99"/>
    <w:rsid w:val="00177B20"/>
    <w:rsid w:val="00177B6E"/>
    <w:rsid w:val="00177BE6"/>
    <w:rsid w:val="00177C63"/>
    <w:rsid w:val="00177D03"/>
    <w:rsid w:val="00177E43"/>
    <w:rsid w:val="00180758"/>
    <w:rsid w:val="001807D4"/>
    <w:rsid w:val="00180804"/>
    <w:rsid w:val="0018092D"/>
    <w:rsid w:val="00180B39"/>
    <w:rsid w:val="00180B3D"/>
    <w:rsid w:val="00180D7E"/>
    <w:rsid w:val="00180E79"/>
    <w:rsid w:val="00181096"/>
    <w:rsid w:val="00181813"/>
    <w:rsid w:val="00181E6C"/>
    <w:rsid w:val="001820A0"/>
    <w:rsid w:val="0018230C"/>
    <w:rsid w:val="001824C8"/>
    <w:rsid w:val="00182572"/>
    <w:rsid w:val="00182754"/>
    <w:rsid w:val="0018278C"/>
    <w:rsid w:val="00182B03"/>
    <w:rsid w:val="00182BD5"/>
    <w:rsid w:val="00182C63"/>
    <w:rsid w:val="00182FAC"/>
    <w:rsid w:val="00182FB9"/>
    <w:rsid w:val="001831FE"/>
    <w:rsid w:val="00183445"/>
    <w:rsid w:val="0018377C"/>
    <w:rsid w:val="001837A9"/>
    <w:rsid w:val="00183A71"/>
    <w:rsid w:val="00183D71"/>
    <w:rsid w:val="00183EA7"/>
    <w:rsid w:val="00183EF2"/>
    <w:rsid w:val="00183F3B"/>
    <w:rsid w:val="0018428C"/>
    <w:rsid w:val="001844E6"/>
    <w:rsid w:val="00184730"/>
    <w:rsid w:val="0018498A"/>
    <w:rsid w:val="00184F48"/>
    <w:rsid w:val="0018567F"/>
    <w:rsid w:val="001857A6"/>
    <w:rsid w:val="00185872"/>
    <w:rsid w:val="00185914"/>
    <w:rsid w:val="00185B94"/>
    <w:rsid w:val="00185C72"/>
    <w:rsid w:val="00185EAA"/>
    <w:rsid w:val="00186579"/>
    <w:rsid w:val="00186671"/>
    <w:rsid w:val="00186894"/>
    <w:rsid w:val="00186E57"/>
    <w:rsid w:val="00187297"/>
    <w:rsid w:val="001873E2"/>
    <w:rsid w:val="0018773C"/>
    <w:rsid w:val="00187936"/>
    <w:rsid w:val="00187F80"/>
    <w:rsid w:val="0019017D"/>
    <w:rsid w:val="00190524"/>
    <w:rsid w:val="001905CF"/>
    <w:rsid w:val="00190FA6"/>
    <w:rsid w:val="00191186"/>
    <w:rsid w:val="0019121C"/>
    <w:rsid w:val="001912BD"/>
    <w:rsid w:val="001912DD"/>
    <w:rsid w:val="00191445"/>
    <w:rsid w:val="001914AF"/>
    <w:rsid w:val="00191779"/>
    <w:rsid w:val="001917BB"/>
    <w:rsid w:val="00191A62"/>
    <w:rsid w:val="00191B99"/>
    <w:rsid w:val="00191D50"/>
    <w:rsid w:val="0019201D"/>
    <w:rsid w:val="0019245E"/>
    <w:rsid w:val="00192684"/>
    <w:rsid w:val="001928B1"/>
    <w:rsid w:val="0019298B"/>
    <w:rsid w:val="00192A5A"/>
    <w:rsid w:val="00192BB2"/>
    <w:rsid w:val="0019326C"/>
    <w:rsid w:val="00193469"/>
    <w:rsid w:val="00193620"/>
    <w:rsid w:val="001938F4"/>
    <w:rsid w:val="00193EC1"/>
    <w:rsid w:val="0019426E"/>
    <w:rsid w:val="001944B2"/>
    <w:rsid w:val="00194732"/>
    <w:rsid w:val="0019474F"/>
    <w:rsid w:val="001949FE"/>
    <w:rsid w:val="00194BD2"/>
    <w:rsid w:val="00194F2D"/>
    <w:rsid w:val="001950BE"/>
    <w:rsid w:val="001951AF"/>
    <w:rsid w:val="001951EC"/>
    <w:rsid w:val="00195243"/>
    <w:rsid w:val="00195D85"/>
    <w:rsid w:val="00196262"/>
    <w:rsid w:val="00196356"/>
    <w:rsid w:val="001963BE"/>
    <w:rsid w:val="0019662A"/>
    <w:rsid w:val="00196794"/>
    <w:rsid w:val="001969E5"/>
    <w:rsid w:val="00196C24"/>
    <w:rsid w:val="00196CBC"/>
    <w:rsid w:val="00196FF1"/>
    <w:rsid w:val="00197118"/>
    <w:rsid w:val="001976B7"/>
    <w:rsid w:val="001977CA"/>
    <w:rsid w:val="00197905"/>
    <w:rsid w:val="00197990"/>
    <w:rsid w:val="00197CBF"/>
    <w:rsid w:val="001A04D4"/>
    <w:rsid w:val="001A073B"/>
    <w:rsid w:val="001A0A29"/>
    <w:rsid w:val="001A0EB5"/>
    <w:rsid w:val="001A0FBC"/>
    <w:rsid w:val="001A10E7"/>
    <w:rsid w:val="001A127D"/>
    <w:rsid w:val="001A12BA"/>
    <w:rsid w:val="001A1358"/>
    <w:rsid w:val="001A1372"/>
    <w:rsid w:val="001A18F7"/>
    <w:rsid w:val="001A1C91"/>
    <w:rsid w:val="001A1E87"/>
    <w:rsid w:val="001A2021"/>
    <w:rsid w:val="001A255F"/>
    <w:rsid w:val="001A2968"/>
    <w:rsid w:val="001A2BE8"/>
    <w:rsid w:val="001A3636"/>
    <w:rsid w:val="001A37F5"/>
    <w:rsid w:val="001A3903"/>
    <w:rsid w:val="001A39C0"/>
    <w:rsid w:val="001A39DB"/>
    <w:rsid w:val="001A3C8A"/>
    <w:rsid w:val="001A3EE7"/>
    <w:rsid w:val="001A4210"/>
    <w:rsid w:val="001A4245"/>
    <w:rsid w:val="001A42F0"/>
    <w:rsid w:val="001A43CE"/>
    <w:rsid w:val="001A4900"/>
    <w:rsid w:val="001A494E"/>
    <w:rsid w:val="001A49C1"/>
    <w:rsid w:val="001A4C76"/>
    <w:rsid w:val="001A4DA6"/>
    <w:rsid w:val="001A4FC1"/>
    <w:rsid w:val="001A4FF5"/>
    <w:rsid w:val="001A53F0"/>
    <w:rsid w:val="001A541C"/>
    <w:rsid w:val="001A5790"/>
    <w:rsid w:val="001A59EB"/>
    <w:rsid w:val="001A5A19"/>
    <w:rsid w:val="001A5B76"/>
    <w:rsid w:val="001A5C10"/>
    <w:rsid w:val="001A5FB4"/>
    <w:rsid w:val="001A614C"/>
    <w:rsid w:val="001A6356"/>
    <w:rsid w:val="001A6431"/>
    <w:rsid w:val="001A6917"/>
    <w:rsid w:val="001A6B16"/>
    <w:rsid w:val="001A7127"/>
    <w:rsid w:val="001A73B4"/>
    <w:rsid w:val="001A7594"/>
    <w:rsid w:val="001A7B09"/>
    <w:rsid w:val="001B056E"/>
    <w:rsid w:val="001B05CB"/>
    <w:rsid w:val="001B0715"/>
    <w:rsid w:val="001B07D3"/>
    <w:rsid w:val="001B0974"/>
    <w:rsid w:val="001B0C8D"/>
    <w:rsid w:val="001B0E75"/>
    <w:rsid w:val="001B1440"/>
    <w:rsid w:val="001B14F0"/>
    <w:rsid w:val="001B15AC"/>
    <w:rsid w:val="001B15B9"/>
    <w:rsid w:val="001B15ED"/>
    <w:rsid w:val="001B1A77"/>
    <w:rsid w:val="001B1CAD"/>
    <w:rsid w:val="001B1CED"/>
    <w:rsid w:val="001B1CEF"/>
    <w:rsid w:val="001B24BB"/>
    <w:rsid w:val="001B24DC"/>
    <w:rsid w:val="001B26DD"/>
    <w:rsid w:val="001B2A44"/>
    <w:rsid w:val="001B346D"/>
    <w:rsid w:val="001B3A94"/>
    <w:rsid w:val="001B3D5D"/>
    <w:rsid w:val="001B45E2"/>
    <w:rsid w:val="001B479F"/>
    <w:rsid w:val="001B4905"/>
    <w:rsid w:val="001B491A"/>
    <w:rsid w:val="001B4A90"/>
    <w:rsid w:val="001B4B3C"/>
    <w:rsid w:val="001B4C4A"/>
    <w:rsid w:val="001B4E6B"/>
    <w:rsid w:val="001B4EC7"/>
    <w:rsid w:val="001B5250"/>
    <w:rsid w:val="001B5277"/>
    <w:rsid w:val="001B5343"/>
    <w:rsid w:val="001B53E1"/>
    <w:rsid w:val="001B5A73"/>
    <w:rsid w:val="001B6196"/>
    <w:rsid w:val="001B61AC"/>
    <w:rsid w:val="001B6388"/>
    <w:rsid w:val="001B642F"/>
    <w:rsid w:val="001B6760"/>
    <w:rsid w:val="001B6FAE"/>
    <w:rsid w:val="001B6FD5"/>
    <w:rsid w:val="001B76B3"/>
    <w:rsid w:val="001B7D2F"/>
    <w:rsid w:val="001B7FF7"/>
    <w:rsid w:val="001C02E3"/>
    <w:rsid w:val="001C038D"/>
    <w:rsid w:val="001C0448"/>
    <w:rsid w:val="001C05A0"/>
    <w:rsid w:val="001C08B6"/>
    <w:rsid w:val="001C0B10"/>
    <w:rsid w:val="001C0F63"/>
    <w:rsid w:val="001C1077"/>
    <w:rsid w:val="001C12C1"/>
    <w:rsid w:val="001C143F"/>
    <w:rsid w:val="001C154B"/>
    <w:rsid w:val="001C1622"/>
    <w:rsid w:val="001C18A0"/>
    <w:rsid w:val="001C1C90"/>
    <w:rsid w:val="001C2231"/>
    <w:rsid w:val="001C22CC"/>
    <w:rsid w:val="001C23FE"/>
    <w:rsid w:val="001C2485"/>
    <w:rsid w:val="001C2D65"/>
    <w:rsid w:val="001C2EDB"/>
    <w:rsid w:val="001C308E"/>
    <w:rsid w:val="001C33CB"/>
    <w:rsid w:val="001C38DB"/>
    <w:rsid w:val="001C3AF7"/>
    <w:rsid w:val="001C4070"/>
    <w:rsid w:val="001C4250"/>
    <w:rsid w:val="001C42B5"/>
    <w:rsid w:val="001C4843"/>
    <w:rsid w:val="001C4AFB"/>
    <w:rsid w:val="001C4C68"/>
    <w:rsid w:val="001C5072"/>
    <w:rsid w:val="001C514C"/>
    <w:rsid w:val="001C5739"/>
    <w:rsid w:val="001C5A2C"/>
    <w:rsid w:val="001C5ACA"/>
    <w:rsid w:val="001C5AE5"/>
    <w:rsid w:val="001C5B74"/>
    <w:rsid w:val="001C5C34"/>
    <w:rsid w:val="001C5CB5"/>
    <w:rsid w:val="001C5DBF"/>
    <w:rsid w:val="001C60BB"/>
    <w:rsid w:val="001C661C"/>
    <w:rsid w:val="001C6683"/>
    <w:rsid w:val="001C66E0"/>
    <w:rsid w:val="001C67A5"/>
    <w:rsid w:val="001C683E"/>
    <w:rsid w:val="001C69D3"/>
    <w:rsid w:val="001C69F7"/>
    <w:rsid w:val="001C6B5A"/>
    <w:rsid w:val="001C7044"/>
    <w:rsid w:val="001C728F"/>
    <w:rsid w:val="001C7349"/>
    <w:rsid w:val="001D00D6"/>
    <w:rsid w:val="001D0489"/>
    <w:rsid w:val="001D052C"/>
    <w:rsid w:val="001D065B"/>
    <w:rsid w:val="001D084E"/>
    <w:rsid w:val="001D0A22"/>
    <w:rsid w:val="001D1846"/>
    <w:rsid w:val="001D1A20"/>
    <w:rsid w:val="001D1C65"/>
    <w:rsid w:val="001D1D52"/>
    <w:rsid w:val="001D1E3E"/>
    <w:rsid w:val="001D2407"/>
    <w:rsid w:val="001D27E9"/>
    <w:rsid w:val="001D2C94"/>
    <w:rsid w:val="001D2E94"/>
    <w:rsid w:val="001D2F1C"/>
    <w:rsid w:val="001D2F95"/>
    <w:rsid w:val="001D340D"/>
    <w:rsid w:val="001D38B6"/>
    <w:rsid w:val="001D38DD"/>
    <w:rsid w:val="001D3BE3"/>
    <w:rsid w:val="001D3C4A"/>
    <w:rsid w:val="001D3D1E"/>
    <w:rsid w:val="001D40E5"/>
    <w:rsid w:val="001D438F"/>
    <w:rsid w:val="001D4421"/>
    <w:rsid w:val="001D479E"/>
    <w:rsid w:val="001D480F"/>
    <w:rsid w:val="001D490D"/>
    <w:rsid w:val="001D4938"/>
    <w:rsid w:val="001D49D3"/>
    <w:rsid w:val="001D4DC5"/>
    <w:rsid w:val="001D4DE1"/>
    <w:rsid w:val="001D506F"/>
    <w:rsid w:val="001D52F7"/>
    <w:rsid w:val="001D5323"/>
    <w:rsid w:val="001D5848"/>
    <w:rsid w:val="001D5958"/>
    <w:rsid w:val="001D5978"/>
    <w:rsid w:val="001D5AD5"/>
    <w:rsid w:val="001D5FCE"/>
    <w:rsid w:val="001D61CC"/>
    <w:rsid w:val="001D626E"/>
    <w:rsid w:val="001D6294"/>
    <w:rsid w:val="001D6560"/>
    <w:rsid w:val="001D65A9"/>
    <w:rsid w:val="001D6654"/>
    <w:rsid w:val="001D66D0"/>
    <w:rsid w:val="001D6AF3"/>
    <w:rsid w:val="001D6D0F"/>
    <w:rsid w:val="001D6ECA"/>
    <w:rsid w:val="001D70AF"/>
    <w:rsid w:val="001D71FC"/>
    <w:rsid w:val="001D7246"/>
    <w:rsid w:val="001D77D5"/>
    <w:rsid w:val="001D7830"/>
    <w:rsid w:val="001D7941"/>
    <w:rsid w:val="001D7A9D"/>
    <w:rsid w:val="001D7AE9"/>
    <w:rsid w:val="001D7C92"/>
    <w:rsid w:val="001D7CC0"/>
    <w:rsid w:val="001E00B8"/>
    <w:rsid w:val="001E00CE"/>
    <w:rsid w:val="001E02A6"/>
    <w:rsid w:val="001E080E"/>
    <w:rsid w:val="001E087C"/>
    <w:rsid w:val="001E08AC"/>
    <w:rsid w:val="001E1303"/>
    <w:rsid w:val="001E14A2"/>
    <w:rsid w:val="001E17F3"/>
    <w:rsid w:val="001E1B93"/>
    <w:rsid w:val="001E1C9D"/>
    <w:rsid w:val="001E1CF0"/>
    <w:rsid w:val="001E1CF3"/>
    <w:rsid w:val="001E1D2F"/>
    <w:rsid w:val="001E1DDD"/>
    <w:rsid w:val="001E1ED2"/>
    <w:rsid w:val="001E2052"/>
    <w:rsid w:val="001E20B2"/>
    <w:rsid w:val="001E2126"/>
    <w:rsid w:val="001E2177"/>
    <w:rsid w:val="001E2387"/>
    <w:rsid w:val="001E2391"/>
    <w:rsid w:val="001E2673"/>
    <w:rsid w:val="001E2AD0"/>
    <w:rsid w:val="001E2B4A"/>
    <w:rsid w:val="001E2B9B"/>
    <w:rsid w:val="001E2BE6"/>
    <w:rsid w:val="001E32D2"/>
    <w:rsid w:val="001E34AD"/>
    <w:rsid w:val="001E3567"/>
    <w:rsid w:val="001E35EE"/>
    <w:rsid w:val="001E36B6"/>
    <w:rsid w:val="001E3B61"/>
    <w:rsid w:val="001E3C5B"/>
    <w:rsid w:val="001E3C8E"/>
    <w:rsid w:val="001E42F3"/>
    <w:rsid w:val="001E441F"/>
    <w:rsid w:val="001E4649"/>
    <w:rsid w:val="001E47BE"/>
    <w:rsid w:val="001E48AD"/>
    <w:rsid w:val="001E4B1E"/>
    <w:rsid w:val="001E4B9B"/>
    <w:rsid w:val="001E508E"/>
    <w:rsid w:val="001E5343"/>
    <w:rsid w:val="001E558B"/>
    <w:rsid w:val="001E5847"/>
    <w:rsid w:val="001E5AF3"/>
    <w:rsid w:val="001E5D0A"/>
    <w:rsid w:val="001E5FB5"/>
    <w:rsid w:val="001E5FD9"/>
    <w:rsid w:val="001E62DA"/>
    <w:rsid w:val="001E65D5"/>
    <w:rsid w:val="001E6619"/>
    <w:rsid w:val="001E6A2B"/>
    <w:rsid w:val="001E6EA8"/>
    <w:rsid w:val="001E6FDC"/>
    <w:rsid w:val="001E7210"/>
    <w:rsid w:val="001E72B1"/>
    <w:rsid w:val="001E7486"/>
    <w:rsid w:val="001E75C9"/>
    <w:rsid w:val="001E7B3B"/>
    <w:rsid w:val="001E7F93"/>
    <w:rsid w:val="001F003F"/>
    <w:rsid w:val="001F04DE"/>
    <w:rsid w:val="001F0906"/>
    <w:rsid w:val="001F0A93"/>
    <w:rsid w:val="001F0F27"/>
    <w:rsid w:val="001F0FAF"/>
    <w:rsid w:val="001F101E"/>
    <w:rsid w:val="001F1048"/>
    <w:rsid w:val="001F1179"/>
    <w:rsid w:val="001F1A4A"/>
    <w:rsid w:val="001F1BE7"/>
    <w:rsid w:val="001F1DEA"/>
    <w:rsid w:val="001F1F4A"/>
    <w:rsid w:val="001F20A8"/>
    <w:rsid w:val="001F2156"/>
    <w:rsid w:val="001F2740"/>
    <w:rsid w:val="001F2A71"/>
    <w:rsid w:val="001F2A90"/>
    <w:rsid w:val="001F2B4B"/>
    <w:rsid w:val="001F2BFC"/>
    <w:rsid w:val="001F2E0E"/>
    <w:rsid w:val="001F2EB4"/>
    <w:rsid w:val="001F2FCA"/>
    <w:rsid w:val="001F3465"/>
    <w:rsid w:val="001F35D8"/>
    <w:rsid w:val="001F3745"/>
    <w:rsid w:val="001F43C3"/>
    <w:rsid w:val="001F475A"/>
    <w:rsid w:val="001F4857"/>
    <w:rsid w:val="001F4939"/>
    <w:rsid w:val="001F4C8F"/>
    <w:rsid w:val="001F4EE2"/>
    <w:rsid w:val="001F4FCA"/>
    <w:rsid w:val="001F502E"/>
    <w:rsid w:val="001F52A0"/>
    <w:rsid w:val="001F53B9"/>
    <w:rsid w:val="001F5472"/>
    <w:rsid w:val="001F55D8"/>
    <w:rsid w:val="001F5613"/>
    <w:rsid w:val="001F566C"/>
    <w:rsid w:val="001F56EC"/>
    <w:rsid w:val="001F662A"/>
    <w:rsid w:val="001F66D5"/>
    <w:rsid w:val="001F68C9"/>
    <w:rsid w:val="001F69DB"/>
    <w:rsid w:val="001F6A57"/>
    <w:rsid w:val="001F6A6B"/>
    <w:rsid w:val="001F6C0C"/>
    <w:rsid w:val="001F6EE9"/>
    <w:rsid w:val="001F7182"/>
    <w:rsid w:val="001F71F0"/>
    <w:rsid w:val="001F7218"/>
    <w:rsid w:val="001F74E9"/>
    <w:rsid w:val="001F785B"/>
    <w:rsid w:val="001F7D7C"/>
    <w:rsid w:val="001F7E61"/>
    <w:rsid w:val="001F7F78"/>
    <w:rsid w:val="00200016"/>
    <w:rsid w:val="002004A8"/>
    <w:rsid w:val="002004FE"/>
    <w:rsid w:val="00200868"/>
    <w:rsid w:val="00200A80"/>
    <w:rsid w:val="00200AC6"/>
    <w:rsid w:val="00200BD7"/>
    <w:rsid w:val="00200CD6"/>
    <w:rsid w:val="00200F7A"/>
    <w:rsid w:val="0020114C"/>
    <w:rsid w:val="002011A3"/>
    <w:rsid w:val="00201834"/>
    <w:rsid w:val="002019A5"/>
    <w:rsid w:val="00201C09"/>
    <w:rsid w:val="00201E2C"/>
    <w:rsid w:val="00201E4F"/>
    <w:rsid w:val="00201F63"/>
    <w:rsid w:val="00201FD8"/>
    <w:rsid w:val="0020203E"/>
    <w:rsid w:val="002022C9"/>
    <w:rsid w:val="002023C7"/>
    <w:rsid w:val="00202F3A"/>
    <w:rsid w:val="002030D6"/>
    <w:rsid w:val="0020351D"/>
    <w:rsid w:val="0020361C"/>
    <w:rsid w:val="002038E4"/>
    <w:rsid w:val="00203960"/>
    <w:rsid w:val="00203D39"/>
    <w:rsid w:val="00203E67"/>
    <w:rsid w:val="00203FE8"/>
    <w:rsid w:val="002040F3"/>
    <w:rsid w:val="0020411D"/>
    <w:rsid w:val="0020447F"/>
    <w:rsid w:val="002047A4"/>
    <w:rsid w:val="002047F5"/>
    <w:rsid w:val="00204B1A"/>
    <w:rsid w:val="00204B41"/>
    <w:rsid w:val="00204D88"/>
    <w:rsid w:val="00204F69"/>
    <w:rsid w:val="00204FE8"/>
    <w:rsid w:val="00205180"/>
    <w:rsid w:val="00205631"/>
    <w:rsid w:val="002059C5"/>
    <w:rsid w:val="00205A63"/>
    <w:rsid w:val="00205C5A"/>
    <w:rsid w:val="00205E39"/>
    <w:rsid w:val="00205F0F"/>
    <w:rsid w:val="00206464"/>
    <w:rsid w:val="00206A21"/>
    <w:rsid w:val="00206A24"/>
    <w:rsid w:val="002072BC"/>
    <w:rsid w:val="00207448"/>
    <w:rsid w:val="00207960"/>
    <w:rsid w:val="00207983"/>
    <w:rsid w:val="002079B4"/>
    <w:rsid w:val="00207A76"/>
    <w:rsid w:val="00207BDA"/>
    <w:rsid w:val="00210008"/>
    <w:rsid w:val="002103BF"/>
    <w:rsid w:val="00210A07"/>
    <w:rsid w:val="00210ADA"/>
    <w:rsid w:val="00210B92"/>
    <w:rsid w:val="00210BA4"/>
    <w:rsid w:val="00210DBC"/>
    <w:rsid w:val="00210F17"/>
    <w:rsid w:val="002114E6"/>
    <w:rsid w:val="0021183D"/>
    <w:rsid w:val="00211865"/>
    <w:rsid w:val="002118AC"/>
    <w:rsid w:val="00211D80"/>
    <w:rsid w:val="00212008"/>
    <w:rsid w:val="002120D8"/>
    <w:rsid w:val="00212105"/>
    <w:rsid w:val="002122D0"/>
    <w:rsid w:val="0021257E"/>
    <w:rsid w:val="002127B3"/>
    <w:rsid w:val="002128B1"/>
    <w:rsid w:val="0021326A"/>
    <w:rsid w:val="00213367"/>
    <w:rsid w:val="0021343F"/>
    <w:rsid w:val="0021353E"/>
    <w:rsid w:val="0021389F"/>
    <w:rsid w:val="00213A7C"/>
    <w:rsid w:val="00213D9A"/>
    <w:rsid w:val="00213DBC"/>
    <w:rsid w:val="00213E4F"/>
    <w:rsid w:val="00213E57"/>
    <w:rsid w:val="002142BD"/>
    <w:rsid w:val="00214D97"/>
    <w:rsid w:val="00214FBF"/>
    <w:rsid w:val="00215777"/>
    <w:rsid w:val="002159ED"/>
    <w:rsid w:val="00215A9E"/>
    <w:rsid w:val="0021602E"/>
    <w:rsid w:val="00216108"/>
    <w:rsid w:val="002165FC"/>
    <w:rsid w:val="00216737"/>
    <w:rsid w:val="00216952"/>
    <w:rsid w:val="00216A59"/>
    <w:rsid w:val="00216AA6"/>
    <w:rsid w:val="00216B09"/>
    <w:rsid w:val="00216F43"/>
    <w:rsid w:val="002171CA"/>
    <w:rsid w:val="002171D1"/>
    <w:rsid w:val="002174AC"/>
    <w:rsid w:val="002178EE"/>
    <w:rsid w:val="00217CFA"/>
    <w:rsid w:val="00217D5C"/>
    <w:rsid w:val="00220061"/>
    <w:rsid w:val="002203DA"/>
    <w:rsid w:val="002205EE"/>
    <w:rsid w:val="00220940"/>
    <w:rsid w:val="00220AA6"/>
    <w:rsid w:val="00220AD4"/>
    <w:rsid w:val="00220F71"/>
    <w:rsid w:val="00221035"/>
    <w:rsid w:val="002213AF"/>
    <w:rsid w:val="00221802"/>
    <w:rsid w:val="00221CC3"/>
    <w:rsid w:val="00221D04"/>
    <w:rsid w:val="00221FB1"/>
    <w:rsid w:val="00221FE7"/>
    <w:rsid w:val="00222068"/>
    <w:rsid w:val="0022257E"/>
    <w:rsid w:val="0022263A"/>
    <w:rsid w:val="0022264E"/>
    <w:rsid w:val="0022269C"/>
    <w:rsid w:val="002227D8"/>
    <w:rsid w:val="002227EB"/>
    <w:rsid w:val="00223037"/>
    <w:rsid w:val="00223110"/>
    <w:rsid w:val="002232FA"/>
    <w:rsid w:val="002235FE"/>
    <w:rsid w:val="002236F7"/>
    <w:rsid w:val="00223A09"/>
    <w:rsid w:val="00223C34"/>
    <w:rsid w:val="00223EEB"/>
    <w:rsid w:val="00224380"/>
    <w:rsid w:val="002247A0"/>
    <w:rsid w:val="0022481A"/>
    <w:rsid w:val="00224924"/>
    <w:rsid w:val="00224984"/>
    <w:rsid w:val="00224CBA"/>
    <w:rsid w:val="00224D09"/>
    <w:rsid w:val="00225376"/>
    <w:rsid w:val="002258C8"/>
    <w:rsid w:val="00225DF0"/>
    <w:rsid w:val="00226899"/>
    <w:rsid w:val="00226E3F"/>
    <w:rsid w:val="00226EDC"/>
    <w:rsid w:val="00226FCF"/>
    <w:rsid w:val="00227012"/>
    <w:rsid w:val="00227345"/>
    <w:rsid w:val="00227729"/>
    <w:rsid w:val="00227F15"/>
    <w:rsid w:val="0023005B"/>
    <w:rsid w:val="002302B2"/>
    <w:rsid w:val="002302C3"/>
    <w:rsid w:val="0023036A"/>
    <w:rsid w:val="00230382"/>
    <w:rsid w:val="002303AD"/>
    <w:rsid w:val="002303E0"/>
    <w:rsid w:val="002308C7"/>
    <w:rsid w:val="00230E89"/>
    <w:rsid w:val="002310CC"/>
    <w:rsid w:val="00231197"/>
    <w:rsid w:val="002319ED"/>
    <w:rsid w:val="00231B18"/>
    <w:rsid w:val="00231F14"/>
    <w:rsid w:val="0023206C"/>
    <w:rsid w:val="0023220B"/>
    <w:rsid w:val="00232316"/>
    <w:rsid w:val="002323EF"/>
    <w:rsid w:val="00232771"/>
    <w:rsid w:val="00232B8C"/>
    <w:rsid w:val="00232EF6"/>
    <w:rsid w:val="00232FF5"/>
    <w:rsid w:val="0023309C"/>
    <w:rsid w:val="0023339E"/>
    <w:rsid w:val="00233A2B"/>
    <w:rsid w:val="00233A2F"/>
    <w:rsid w:val="00233AE3"/>
    <w:rsid w:val="00233C45"/>
    <w:rsid w:val="002341A9"/>
    <w:rsid w:val="002341B7"/>
    <w:rsid w:val="00234276"/>
    <w:rsid w:val="002348B6"/>
    <w:rsid w:val="002349CF"/>
    <w:rsid w:val="00234A4D"/>
    <w:rsid w:val="0023521E"/>
    <w:rsid w:val="00235693"/>
    <w:rsid w:val="002356FA"/>
    <w:rsid w:val="002357D3"/>
    <w:rsid w:val="00235A60"/>
    <w:rsid w:val="00235E80"/>
    <w:rsid w:val="00235EE0"/>
    <w:rsid w:val="00235F91"/>
    <w:rsid w:val="00236279"/>
    <w:rsid w:val="00236471"/>
    <w:rsid w:val="00236773"/>
    <w:rsid w:val="0023679B"/>
    <w:rsid w:val="00236A75"/>
    <w:rsid w:val="002371E0"/>
    <w:rsid w:val="00237405"/>
    <w:rsid w:val="00237437"/>
    <w:rsid w:val="002375B8"/>
    <w:rsid w:val="0023761C"/>
    <w:rsid w:val="00237903"/>
    <w:rsid w:val="002404B9"/>
    <w:rsid w:val="00240529"/>
    <w:rsid w:val="0024057D"/>
    <w:rsid w:val="0024083C"/>
    <w:rsid w:val="00240B96"/>
    <w:rsid w:val="0024103C"/>
    <w:rsid w:val="00241192"/>
    <w:rsid w:val="002412FD"/>
    <w:rsid w:val="002416D9"/>
    <w:rsid w:val="00241C8D"/>
    <w:rsid w:val="00241D2F"/>
    <w:rsid w:val="00241E08"/>
    <w:rsid w:val="002423FA"/>
    <w:rsid w:val="0024251D"/>
    <w:rsid w:val="00242629"/>
    <w:rsid w:val="00242AAC"/>
    <w:rsid w:val="00242BBD"/>
    <w:rsid w:val="00242F9D"/>
    <w:rsid w:val="00243168"/>
    <w:rsid w:val="002435A8"/>
    <w:rsid w:val="00243775"/>
    <w:rsid w:val="002437DE"/>
    <w:rsid w:val="00243834"/>
    <w:rsid w:val="00243AF7"/>
    <w:rsid w:val="00243CBE"/>
    <w:rsid w:val="00243FFE"/>
    <w:rsid w:val="0024430B"/>
    <w:rsid w:val="00244773"/>
    <w:rsid w:val="00244CCF"/>
    <w:rsid w:val="00244F65"/>
    <w:rsid w:val="0024507D"/>
    <w:rsid w:val="002455F0"/>
    <w:rsid w:val="00245C51"/>
    <w:rsid w:val="00245E8E"/>
    <w:rsid w:val="00245EC6"/>
    <w:rsid w:val="00245F93"/>
    <w:rsid w:val="002460B8"/>
    <w:rsid w:val="002460D7"/>
    <w:rsid w:val="00246244"/>
    <w:rsid w:val="00246285"/>
    <w:rsid w:val="00246600"/>
    <w:rsid w:val="002466FB"/>
    <w:rsid w:val="00246AF1"/>
    <w:rsid w:val="00246C35"/>
    <w:rsid w:val="00246C48"/>
    <w:rsid w:val="00246C4D"/>
    <w:rsid w:val="002478E2"/>
    <w:rsid w:val="00247A88"/>
    <w:rsid w:val="00247AC6"/>
    <w:rsid w:val="002501EF"/>
    <w:rsid w:val="00250283"/>
    <w:rsid w:val="0025048D"/>
    <w:rsid w:val="00250540"/>
    <w:rsid w:val="002509DE"/>
    <w:rsid w:val="00250B22"/>
    <w:rsid w:val="00250BBE"/>
    <w:rsid w:val="00250E46"/>
    <w:rsid w:val="00250E54"/>
    <w:rsid w:val="00250EB3"/>
    <w:rsid w:val="00251053"/>
    <w:rsid w:val="00251309"/>
    <w:rsid w:val="002513BD"/>
    <w:rsid w:val="002513CC"/>
    <w:rsid w:val="002514E4"/>
    <w:rsid w:val="00251535"/>
    <w:rsid w:val="002515BB"/>
    <w:rsid w:val="002519B1"/>
    <w:rsid w:val="00251C80"/>
    <w:rsid w:val="00251CF5"/>
    <w:rsid w:val="00251E23"/>
    <w:rsid w:val="00252182"/>
    <w:rsid w:val="002522EC"/>
    <w:rsid w:val="002529CB"/>
    <w:rsid w:val="00252C0F"/>
    <w:rsid w:val="00252D45"/>
    <w:rsid w:val="00252FF4"/>
    <w:rsid w:val="00253207"/>
    <w:rsid w:val="002532CF"/>
    <w:rsid w:val="00253491"/>
    <w:rsid w:val="002534E5"/>
    <w:rsid w:val="002538B1"/>
    <w:rsid w:val="00253A95"/>
    <w:rsid w:val="00253D9B"/>
    <w:rsid w:val="00253DB3"/>
    <w:rsid w:val="00253E0A"/>
    <w:rsid w:val="00253E12"/>
    <w:rsid w:val="00253FE7"/>
    <w:rsid w:val="0025427F"/>
    <w:rsid w:val="002546C8"/>
    <w:rsid w:val="00254B55"/>
    <w:rsid w:val="00254C1B"/>
    <w:rsid w:val="00254C53"/>
    <w:rsid w:val="00254F7B"/>
    <w:rsid w:val="00254FCA"/>
    <w:rsid w:val="00255496"/>
    <w:rsid w:val="00255692"/>
    <w:rsid w:val="00255A4D"/>
    <w:rsid w:val="00255C01"/>
    <w:rsid w:val="00255CAB"/>
    <w:rsid w:val="002561AC"/>
    <w:rsid w:val="0025634E"/>
    <w:rsid w:val="00256917"/>
    <w:rsid w:val="00256AFA"/>
    <w:rsid w:val="00256EBB"/>
    <w:rsid w:val="00256F94"/>
    <w:rsid w:val="0025703F"/>
    <w:rsid w:val="00257192"/>
    <w:rsid w:val="002574C4"/>
    <w:rsid w:val="0025757F"/>
    <w:rsid w:val="002576BF"/>
    <w:rsid w:val="00257798"/>
    <w:rsid w:val="0025796E"/>
    <w:rsid w:val="00257B8F"/>
    <w:rsid w:val="00257C5B"/>
    <w:rsid w:val="00257E78"/>
    <w:rsid w:val="002602A2"/>
    <w:rsid w:val="00260780"/>
    <w:rsid w:val="00260926"/>
    <w:rsid w:val="00260A5B"/>
    <w:rsid w:val="00260AFA"/>
    <w:rsid w:val="00260C6F"/>
    <w:rsid w:val="00260DA9"/>
    <w:rsid w:val="00260E19"/>
    <w:rsid w:val="00261431"/>
    <w:rsid w:val="00261447"/>
    <w:rsid w:val="00261457"/>
    <w:rsid w:val="002615F2"/>
    <w:rsid w:val="00261A43"/>
    <w:rsid w:val="00261CAE"/>
    <w:rsid w:val="00261F17"/>
    <w:rsid w:val="00261F89"/>
    <w:rsid w:val="0026235C"/>
    <w:rsid w:val="00262586"/>
    <w:rsid w:val="002625DD"/>
    <w:rsid w:val="0026283D"/>
    <w:rsid w:val="00262A03"/>
    <w:rsid w:val="00262FC2"/>
    <w:rsid w:val="00263010"/>
    <w:rsid w:val="0026303D"/>
    <w:rsid w:val="00263234"/>
    <w:rsid w:val="0026326A"/>
    <w:rsid w:val="0026351F"/>
    <w:rsid w:val="002635C7"/>
    <w:rsid w:val="00263721"/>
    <w:rsid w:val="002637A0"/>
    <w:rsid w:val="00263B85"/>
    <w:rsid w:val="00263EED"/>
    <w:rsid w:val="00263F69"/>
    <w:rsid w:val="00264176"/>
    <w:rsid w:val="00264290"/>
    <w:rsid w:val="00264389"/>
    <w:rsid w:val="00264449"/>
    <w:rsid w:val="00264651"/>
    <w:rsid w:val="00264752"/>
    <w:rsid w:val="00264807"/>
    <w:rsid w:val="00264890"/>
    <w:rsid w:val="00265004"/>
    <w:rsid w:val="00265308"/>
    <w:rsid w:val="002655B4"/>
    <w:rsid w:val="0026588C"/>
    <w:rsid w:val="00265AD0"/>
    <w:rsid w:val="00265BD4"/>
    <w:rsid w:val="0026662D"/>
    <w:rsid w:val="00266BE0"/>
    <w:rsid w:val="00266DC8"/>
    <w:rsid w:val="002672A5"/>
    <w:rsid w:val="0026764F"/>
    <w:rsid w:val="0026798F"/>
    <w:rsid w:val="00267999"/>
    <w:rsid w:val="00267B02"/>
    <w:rsid w:val="00267CB5"/>
    <w:rsid w:val="0027007E"/>
    <w:rsid w:val="002700EF"/>
    <w:rsid w:val="00270298"/>
    <w:rsid w:val="002704CD"/>
    <w:rsid w:val="00270579"/>
    <w:rsid w:val="002708BE"/>
    <w:rsid w:val="00270C8F"/>
    <w:rsid w:val="00270CBC"/>
    <w:rsid w:val="00270E9C"/>
    <w:rsid w:val="00270EBC"/>
    <w:rsid w:val="00271656"/>
    <w:rsid w:val="002716A8"/>
    <w:rsid w:val="00272197"/>
    <w:rsid w:val="002721A7"/>
    <w:rsid w:val="002721F3"/>
    <w:rsid w:val="0027227F"/>
    <w:rsid w:val="00272511"/>
    <w:rsid w:val="00272746"/>
    <w:rsid w:val="00272C63"/>
    <w:rsid w:val="00272F08"/>
    <w:rsid w:val="00272F2C"/>
    <w:rsid w:val="00273156"/>
    <w:rsid w:val="002736A2"/>
    <w:rsid w:val="0027384D"/>
    <w:rsid w:val="002739D2"/>
    <w:rsid w:val="00273A4C"/>
    <w:rsid w:val="00273F8B"/>
    <w:rsid w:val="00274562"/>
    <w:rsid w:val="0027457C"/>
    <w:rsid w:val="00274A20"/>
    <w:rsid w:val="00274C2B"/>
    <w:rsid w:val="00274CA4"/>
    <w:rsid w:val="00274FCE"/>
    <w:rsid w:val="00275094"/>
    <w:rsid w:val="002752CA"/>
    <w:rsid w:val="002752CB"/>
    <w:rsid w:val="002755D3"/>
    <w:rsid w:val="00275CBB"/>
    <w:rsid w:val="00275FF6"/>
    <w:rsid w:val="002764E7"/>
    <w:rsid w:val="00276810"/>
    <w:rsid w:val="0027683B"/>
    <w:rsid w:val="0027688C"/>
    <w:rsid w:val="00276D8F"/>
    <w:rsid w:val="00276F08"/>
    <w:rsid w:val="0027733C"/>
    <w:rsid w:val="002777F7"/>
    <w:rsid w:val="0027786A"/>
    <w:rsid w:val="002778AF"/>
    <w:rsid w:val="002779B3"/>
    <w:rsid w:val="00277C0E"/>
    <w:rsid w:val="00277C8D"/>
    <w:rsid w:val="00277EBF"/>
    <w:rsid w:val="00280148"/>
    <w:rsid w:val="002802BC"/>
    <w:rsid w:val="00280934"/>
    <w:rsid w:val="00280BC6"/>
    <w:rsid w:val="00280D84"/>
    <w:rsid w:val="00281070"/>
    <w:rsid w:val="002810F6"/>
    <w:rsid w:val="002811BE"/>
    <w:rsid w:val="002812FE"/>
    <w:rsid w:val="002813AE"/>
    <w:rsid w:val="00281780"/>
    <w:rsid w:val="002818C2"/>
    <w:rsid w:val="00281996"/>
    <w:rsid w:val="00281AE3"/>
    <w:rsid w:val="00281AFF"/>
    <w:rsid w:val="00281EE9"/>
    <w:rsid w:val="002822FA"/>
    <w:rsid w:val="00282385"/>
    <w:rsid w:val="002823C6"/>
    <w:rsid w:val="0028243F"/>
    <w:rsid w:val="002824EB"/>
    <w:rsid w:val="00282691"/>
    <w:rsid w:val="0028276A"/>
    <w:rsid w:val="002828F6"/>
    <w:rsid w:val="00282912"/>
    <w:rsid w:val="0028293B"/>
    <w:rsid w:val="00282B21"/>
    <w:rsid w:val="00282C84"/>
    <w:rsid w:val="00282DCD"/>
    <w:rsid w:val="002832D0"/>
    <w:rsid w:val="00283379"/>
    <w:rsid w:val="002834B3"/>
    <w:rsid w:val="0028387B"/>
    <w:rsid w:val="00283888"/>
    <w:rsid w:val="002838AE"/>
    <w:rsid w:val="00283B32"/>
    <w:rsid w:val="00283E3F"/>
    <w:rsid w:val="002841EF"/>
    <w:rsid w:val="00284334"/>
    <w:rsid w:val="00284576"/>
    <w:rsid w:val="00284807"/>
    <w:rsid w:val="00284853"/>
    <w:rsid w:val="00284ACD"/>
    <w:rsid w:val="00284DBA"/>
    <w:rsid w:val="00284DFF"/>
    <w:rsid w:val="00284F6B"/>
    <w:rsid w:val="00285123"/>
    <w:rsid w:val="002852F9"/>
    <w:rsid w:val="002855A1"/>
    <w:rsid w:val="00285794"/>
    <w:rsid w:val="00285951"/>
    <w:rsid w:val="00285A02"/>
    <w:rsid w:val="00285E12"/>
    <w:rsid w:val="00286187"/>
    <w:rsid w:val="002863B6"/>
    <w:rsid w:val="0028661B"/>
    <w:rsid w:val="00286822"/>
    <w:rsid w:val="00286A58"/>
    <w:rsid w:val="00286A9C"/>
    <w:rsid w:val="00286D74"/>
    <w:rsid w:val="00286D84"/>
    <w:rsid w:val="002877B9"/>
    <w:rsid w:val="002879FB"/>
    <w:rsid w:val="00287A37"/>
    <w:rsid w:val="00287D73"/>
    <w:rsid w:val="00287E34"/>
    <w:rsid w:val="00287F49"/>
    <w:rsid w:val="00287FAE"/>
    <w:rsid w:val="002902B9"/>
    <w:rsid w:val="002904A5"/>
    <w:rsid w:val="0029053B"/>
    <w:rsid w:val="00290CD1"/>
    <w:rsid w:val="00291062"/>
    <w:rsid w:val="00291479"/>
    <w:rsid w:val="002918CB"/>
    <w:rsid w:val="002918DB"/>
    <w:rsid w:val="00292073"/>
    <w:rsid w:val="00292263"/>
    <w:rsid w:val="00292401"/>
    <w:rsid w:val="00292794"/>
    <w:rsid w:val="002928DA"/>
    <w:rsid w:val="002929C4"/>
    <w:rsid w:val="00292B1A"/>
    <w:rsid w:val="00292CEA"/>
    <w:rsid w:val="00292D31"/>
    <w:rsid w:val="00292E11"/>
    <w:rsid w:val="00292F92"/>
    <w:rsid w:val="002934D2"/>
    <w:rsid w:val="002935C1"/>
    <w:rsid w:val="002935E4"/>
    <w:rsid w:val="00293704"/>
    <w:rsid w:val="00293709"/>
    <w:rsid w:val="002938E6"/>
    <w:rsid w:val="00293D54"/>
    <w:rsid w:val="00293EDB"/>
    <w:rsid w:val="002949EB"/>
    <w:rsid w:val="00294A54"/>
    <w:rsid w:val="00294C04"/>
    <w:rsid w:val="00294FAD"/>
    <w:rsid w:val="0029540B"/>
    <w:rsid w:val="0029541D"/>
    <w:rsid w:val="002956EB"/>
    <w:rsid w:val="002958B2"/>
    <w:rsid w:val="00295E53"/>
    <w:rsid w:val="00295FF4"/>
    <w:rsid w:val="002960E5"/>
    <w:rsid w:val="00296375"/>
    <w:rsid w:val="0029671C"/>
    <w:rsid w:val="002967CD"/>
    <w:rsid w:val="00296AD2"/>
    <w:rsid w:val="00296D8C"/>
    <w:rsid w:val="00296FC0"/>
    <w:rsid w:val="0029737B"/>
    <w:rsid w:val="002973F3"/>
    <w:rsid w:val="00297442"/>
    <w:rsid w:val="0029785A"/>
    <w:rsid w:val="00297A67"/>
    <w:rsid w:val="00297DC0"/>
    <w:rsid w:val="00297EE5"/>
    <w:rsid w:val="002A034D"/>
    <w:rsid w:val="002A0734"/>
    <w:rsid w:val="002A07A8"/>
    <w:rsid w:val="002A0AEE"/>
    <w:rsid w:val="002A0B98"/>
    <w:rsid w:val="002A0BB1"/>
    <w:rsid w:val="002A0C44"/>
    <w:rsid w:val="002A10A6"/>
    <w:rsid w:val="002A1621"/>
    <w:rsid w:val="002A1643"/>
    <w:rsid w:val="002A19B5"/>
    <w:rsid w:val="002A1CB2"/>
    <w:rsid w:val="002A2027"/>
    <w:rsid w:val="002A2126"/>
    <w:rsid w:val="002A2131"/>
    <w:rsid w:val="002A23F0"/>
    <w:rsid w:val="002A2727"/>
    <w:rsid w:val="002A296E"/>
    <w:rsid w:val="002A2C18"/>
    <w:rsid w:val="002A2C98"/>
    <w:rsid w:val="002A303F"/>
    <w:rsid w:val="002A3217"/>
    <w:rsid w:val="002A3343"/>
    <w:rsid w:val="002A337C"/>
    <w:rsid w:val="002A34FE"/>
    <w:rsid w:val="002A3895"/>
    <w:rsid w:val="002A3C30"/>
    <w:rsid w:val="002A3C3E"/>
    <w:rsid w:val="002A3DFB"/>
    <w:rsid w:val="002A3EDD"/>
    <w:rsid w:val="002A3F78"/>
    <w:rsid w:val="002A4386"/>
    <w:rsid w:val="002A445E"/>
    <w:rsid w:val="002A4B55"/>
    <w:rsid w:val="002A4ECD"/>
    <w:rsid w:val="002A4EE4"/>
    <w:rsid w:val="002A50CF"/>
    <w:rsid w:val="002A532E"/>
    <w:rsid w:val="002A548B"/>
    <w:rsid w:val="002A55D8"/>
    <w:rsid w:val="002A5606"/>
    <w:rsid w:val="002A56CA"/>
    <w:rsid w:val="002A5713"/>
    <w:rsid w:val="002A578E"/>
    <w:rsid w:val="002A5A6C"/>
    <w:rsid w:val="002A5BD2"/>
    <w:rsid w:val="002A5D81"/>
    <w:rsid w:val="002A5FD8"/>
    <w:rsid w:val="002A6116"/>
    <w:rsid w:val="002A61DE"/>
    <w:rsid w:val="002A67A1"/>
    <w:rsid w:val="002A6969"/>
    <w:rsid w:val="002A698F"/>
    <w:rsid w:val="002A6D7C"/>
    <w:rsid w:val="002A6E48"/>
    <w:rsid w:val="002A77C1"/>
    <w:rsid w:val="002A7C8C"/>
    <w:rsid w:val="002A7CCC"/>
    <w:rsid w:val="002A7ED3"/>
    <w:rsid w:val="002B00E0"/>
    <w:rsid w:val="002B0189"/>
    <w:rsid w:val="002B01DE"/>
    <w:rsid w:val="002B030A"/>
    <w:rsid w:val="002B04B5"/>
    <w:rsid w:val="002B04D5"/>
    <w:rsid w:val="002B0818"/>
    <w:rsid w:val="002B08D5"/>
    <w:rsid w:val="002B0D6C"/>
    <w:rsid w:val="002B0E55"/>
    <w:rsid w:val="002B1756"/>
    <w:rsid w:val="002B1AD7"/>
    <w:rsid w:val="002B1CF9"/>
    <w:rsid w:val="002B2485"/>
    <w:rsid w:val="002B2978"/>
    <w:rsid w:val="002B2AB5"/>
    <w:rsid w:val="002B2B4D"/>
    <w:rsid w:val="002B2C4A"/>
    <w:rsid w:val="002B2C9E"/>
    <w:rsid w:val="002B2D23"/>
    <w:rsid w:val="002B2D98"/>
    <w:rsid w:val="002B2EFD"/>
    <w:rsid w:val="002B300F"/>
    <w:rsid w:val="002B30DD"/>
    <w:rsid w:val="002B37BF"/>
    <w:rsid w:val="002B3828"/>
    <w:rsid w:val="002B39CA"/>
    <w:rsid w:val="002B3A4E"/>
    <w:rsid w:val="002B3B1C"/>
    <w:rsid w:val="002B3B8B"/>
    <w:rsid w:val="002B3BB7"/>
    <w:rsid w:val="002B3C19"/>
    <w:rsid w:val="002B3CA2"/>
    <w:rsid w:val="002B3CD0"/>
    <w:rsid w:val="002B3ECE"/>
    <w:rsid w:val="002B3F49"/>
    <w:rsid w:val="002B43C9"/>
    <w:rsid w:val="002B4662"/>
    <w:rsid w:val="002B49CD"/>
    <w:rsid w:val="002B4AEB"/>
    <w:rsid w:val="002B4BCD"/>
    <w:rsid w:val="002B4C1F"/>
    <w:rsid w:val="002B4EC0"/>
    <w:rsid w:val="002B4FDE"/>
    <w:rsid w:val="002B5167"/>
    <w:rsid w:val="002B52DE"/>
    <w:rsid w:val="002B55B4"/>
    <w:rsid w:val="002B55EF"/>
    <w:rsid w:val="002B5ED8"/>
    <w:rsid w:val="002B5FA0"/>
    <w:rsid w:val="002B61A5"/>
    <w:rsid w:val="002B6591"/>
    <w:rsid w:val="002B68B4"/>
    <w:rsid w:val="002B6CBA"/>
    <w:rsid w:val="002B6D69"/>
    <w:rsid w:val="002B6E36"/>
    <w:rsid w:val="002B7016"/>
    <w:rsid w:val="002B70FC"/>
    <w:rsid w:val="002B7172"/>
    <w:rsid w:val="002B751B"/>
    <w:rsid w:val="002B77CC"/>
    <w:rsid w:val="002C00AD"/>
    <w:rsid w:val="002C01AD"/>
    <w:rsid w:val="002C0200"/>
    <w:rsid w:val="002C02A8"/>
    <w:rsid w:val="002C056C"/>
    <w:rsid w:val="002C05F8"/>
    <w:rsid w:val="002C06EE"/>
    <w:rsid w:val="002C06FF"/>
    <w:rsid w:val="002C0872"/>
    <w:rsid w:val="002C0BF1"/>
    <w:rsid w:val="002C0E30"/>
    <w:rsid w:val="002C0FC0"/>
    <w:rsid w:val="002C1315"/>
    <w:rsid w:val="002C1429"/>
    <w:rsid w:val="002C1478"/>
    <w:rsid w:val="002C1B7D"/>
    <w:rsid w:val="002C1C50"/>
    <w:rsid w:val="002C1CDE"/>
    <w:rsid w:val="002C1D2B"/>
    <w:rsid w:val="002C1E4C"/>
    <w:rsid w:val="002C2A0F"/>
    <w:rsid w:val="002C2C34"/>
    <w:rsid w:val="002C305A"/>
    <w:rsid w:val="002C310A"/>
    <w:rsid w:val="002C3270"/>
    <w:rsid w:val="002C32D7"/>
    <w:rsid w:val="002C3546"/>
    <w:rsid w:val="002C3614"/>
    <w:rsid w:val="002C3995"/>
    <w:rsid w:val="002C3BC3"/>
    <w:rsid w:val="002C3C2B"/>
    <w:rsid w:val="002C3C6F"/>
    <w:rsid w:val="002C3E69"/>
    <w:rsid w:val="002C4B4C"/>
    <w:rsid w:val="002C4B6A"/>
    <w:rsid w:val="002C4E98"/>
    <w:rsid w:val="002C4FC7"/>
    <w:rsid w:val="002C50E3"/>
    <w:rsid w:val="002C5229"/>
    <w:rsid w:val="002C5BA4"/>
    <w:rsid w:val="002C5E03"/>
    <w:rsid w:val="002C60D5"/>
    <w:rsid w:val="002C63EE"/>
    <w:rsid w:val="002C6602"/>
    <w:rsid w:val="002C66B5"/>
    <w:rsid w:val="002C677E"/>
    <w:rsid w:val="002C69F6"/>
    <w:rsid w:val="002C6CBC"/>
    <w:rsid w:val="002C6E84"/>
    <w:rsid w:val="002C6FA5"/>
    <w:rsid w:val="002C7765"/>
    <w:rsid w:val="002C784A"/>
    <w:rsid w:val="002C7BE1"/>
    <w:rsid w:val="002C7BE8"/>
    <w:rsid w:val="002D00C1"/>
    <w:rsid w:val="002D00C4"/>
    <w:rsid w:val="002D0552"/>
    <w:rsid w:val="002D08C6"/>
    <w:rsid w:val="002D094C"/>
    <w:rsid w:val="002D0DC5"/>
    <w:rsid w:val="002D1110"/>
    <w:rsid w:val="002D12C4"/>
    <w:rsid w:val="002D1456"/>
    <w:rsid w:val="002D16C1"/>
    <w:rsid w:val="002D1897"/>
    <w:rsid w:val="002D1957"/>
    <w:rsid w:val="002D1A98"/>
    <w:rsid w:val="002D1EB6"/>
    <w:rsid w:val="002D20ED"/>
    <w:rsid w:val="002D22A1"/>
    <w:rsid w:val="002D22CE"/>
    <w:rsid w:val="002D23FD"/>
    <w:rsid w:val="002D2768"/>
    <w:rsid w:val="002D2C65"/>
    <w:rsid w:val="002D3250"/>
    <w:rsid w:val="002D338E"/>
    <w:rsid w:val="002D347C"/>
    <w:rsid w:val="002D3897"/>
    <w:rsid w:val="002D3918"/>
    <w:rsid w:val="002D3EC3"/>
    <w:rsid w:val="002D44A0"/>
    <w:rsid w:val="002D47AE"/>
    <w:rsid w:val="002D4B48"/>
    <w:rsid w:val="002D4EB5"/>
    <w:rsid w:val="002D4EC9"/>
    <w:rsid w:val="002D4FBA"/>
    <w:rsid w:val="002D5710"/>
    <w:rsid w:val="002D5A9D"/>
    <w:rsid w:val="002D5D9D"/>
    <w:rsid w:val="002D5F4B"/>
    <w:rsid w:val="002D5F71"/>
    <w:rsid w:val="002D607C"/>
    <w:rsid w:val="002D6093"/>
    <w:rsid w:val="002D6233"/>
    <w:rsid w:val="002D635D"/>
    <w:rsid w:val="002D650A"/>
    <w:rsid w:val="002D6555"/>
    <w:rsid w:val="002D65D5"/>
    <w:rsid w:val="002D6A71"/>
    <w:rsid w:val="002D6C4D"/>
    <w:rsid w:val="002D6E70"/>
    <w:rsid w:val="002D6F5D"/>
    <w:rsid w:val="002D7267"/>
    <w:rsid w:val="002D727D"/>
    <w:rsid w:val="002D74F7"/>
    <w:rsid w:val="002D7599"/>
    <w:rsid w:val="002D78FD"/>
    <w:rsid w:val="002D7D1D"/>
    <w:rsid w:val="002E013B"/>
    <w:rsid w:val="002E015E"/>
    <w:rsid w:val="002E049B"/>
    <w:rsid w:val="002E057E"/>
    <w:rsid w:val="002E062D"/>
    <w:rsid w:val="002E0A78"/>
    <w:rsid w:val="002E0B26"/>
    <w:rsid w:val="002E0DC7"/>
    <w:rsid w:val="002E1200"/>
    <w:rsid w:val="002E129D"/>
    <w:rsid w:val="002E12F0"/>
    <w:rsid w:val="002E1402"/>
    <w:rsid w:val="002E1472"/>
    <w:rsid w:val="002E1700"/>
    <w:rsid w:val="002E1FDA"/>
    <w:rsid w:val="002E2115"/>
    <w:rsid w:val="002E2815"/>
    <w:rsid w:val="002E2A88"/>
    <w:rsid w:val="002E2B05"/>
    <w:rsid w:val="002E2B8B"/>
    <w:rsid w:val="002E2CA8"/>
    <w:rsid w:val="002E2E5F"/>
    <w:rsid w:val="002E2E89"/>
    <w:rsid w:val="002E2F8E"/>
    <w:rsid w:val="002E2FB0"/>
    <w:rsid w:val="002E358B"/>
    <w:rsid w:val="002E3694"/>
    <w:rsid w:val="002E3ABC"/>
    <w:rsid w:val="002E3BDA"/>
    <w:rsid w:val="002E3C2D"/>
    <w:rsid w:val="002E40F6"/>
    <w:rsid w:val="002E4246"/>
    <w:rsid w:val="002E443B"/>
    <w:rsid w:val="002E4766"/>
    <w:rsid w:val="002E48DD"/>
    <w:rsid w:val="002E4970"/>
    <w:rsid w:val="002E51BE"/>
    <w:rsid w:val="002E52DA"/>
    <w:rsid w:val="002E532A"/>
    <w:rsid w:val="002E5686"/>
    <w:rsid w:val="002E5A0A"/>
    <w:rsid w:val="002E5B8F"/>
    <w:rsid w:val="002E5CCE"/>
    <w:rsid w:val="002E5D4F"/>
    <w:rsid w:val="002E5DE1"/>
    <w:rsid w:val="002E5E34"/>
    <w:rsid w:val="002E5F9E"/>
    <w:rsid w:val="002E5FD3"/>
    <w:rsid w:val="002E618C"/>
    <w:rsid w:val="002E61E1"/>
    <w:rsid w:val="002E6517"/>
    <w:rsid w:val="002E683C"/>
    <w:rsid w:val="002E692F"/>
    <w:rsid w:val="002E6D58"/>
    <w:rsid w:val="002E6E14"/>
    <w:rsid w:val="002E6F43"/>
    <w:rsid w:val="002E72A0"/>
    <w:rsid w:val="002E73AF"/>
    <w:rsid w:val="002E7509"/>
    <w:rsid w:val="002E77D3"/>
    <w:rsid w:val="002E7B53"/>
    <w:rsid w:val="002E7F18"/>
    <w:rsid w:val="002F06C0"/>
    <w:rsid w:val="002F0B37"/>
    <w:rsid w:val="002F0E3F"/>
    <w:rsid w:val="002F0E7A"/>
    <w:rsid w:val="002F0EC9"/>
    <w:rsid w:val="002F0F74"/>
    <w:rsid w:val="002F103F"/>
    <w:rsid w:val="002F119A"/>
    <w:rsid w:val="002F11EC"/>
    <w:rsid w:val="002F140C"/>
    <w:rsid w:val="002F14F3"/>
    <w:rsid w:val="002F15F8"/>
    <w:rsid w:val="002F1AF0"/>
    <w:rsid w:val="002F20AE"/>
    <w:rsid w:val="002F24A3"/>
    <w:rsid w:val="002F2508"/>
    <w:rsid w:val="002F26DB"/>
    <w:rsid w:val="002F26E1"/>
    <w:rsid w:val="002F29D0"/>
    <w:rsid w:val="002F2EB8"/>
    <w:rsid w:val="002F2F8B"/>
    <w:rsid w:val="002F30BD"/>
    <w:rsid w:val="002F3179"/>
    <w:rsid w:val="002F3538"/>
    <w:rsid w:val="002F355E"/>
    <w:rsid w:val="002F441C"/>
    <w:rsid w:val="002F4957"/>
    <w:rsid w:val="002F4977"/>
    <w:rsid w:val="002F4B80"/>
    <w:rsid w:val="002F4C50"/>
    <w:rsid w:val="002F4CF3"/>
    <w:rsid w:val="002F4F05"/>
    <w:rsid w:val="002F5263"/>
    <w:rsid w:val="002F53F6"/>
    <w:rsid w:val="002F5465"/>
    <w:rsid w:val="002F546C"/>
    <w:rsid w:val="002F5619"/>
    <w:rsid w:val="002F57F4"/>
    <w:rsid w:val="002F5B1C"/>
    <w:rsid w:val="002F5F2A"/>
    <w:rsid w:val="002F6300"/>
    <w:rsid w:val="002F67A6"/>
    <w:rsid w:val="002F681A"/>
    <w:rsid w:val="002F6E7D"/>
    <w:rsid w:val="002F7BCC"/>
    <w:rsid w:val="002F7D3A"/>
    <w:rsid w:val="002F7F1A"/>
    <w:rsid w:val="00300744"/>
    <w:rsid w:val="00300BEF"/>
    <w:rsid w:val="0030103A"/>
    <w:rsid w:val="00301138"/>
    <w:rsid w:val="003019BE"/>
    <w:rsid w:val="003019D7"/>
    <w:rsid w:val="00301B2A"/>
    <w:rsid w:val="00301F5C"/>
    <w:rsid w:val="0030209F"/>
    <w:rsid w:val="003021E9"/>
    <w:rsid w:val="003025AF"/>
    <w:rsid w:val="003025E6"/>
    <w:rsid w:val="0030283F"/>
    <w:rsid w:val="00302888"/>
    <w:rsid w:val="00302954"/>
    <w:rsid w:val="00302E71"/>
    <w:rsid w:val="00303561"/>
    <w:rsid w:val="003036CC"/>
    <w:rsid w:val="00303753"/>
    <w:rsid w:val="00303803"/>
    <w:rsid w:val="003038CA"/>
    <w:rsid w:val="00303923"/>
    <w:rsid w:val="00303C11"/>
    <w:rsid w:val="00303D24"/>
    <w:rsid w:val="00304363"/>
    <w:rsid w:val="0030436A"/>
    <w:rsid w:val="00304714"/>
    <w:rsid w:val="00304817"/>
    <w:rsid w:val="00304941"/>
    <w:rsid w:val="00304981"/>
    <w:rsid w:val="00304D66"/>
    <w:rsid w:val="00304E3C"/>
    <w:rsid w:val="00305474"/>
    <w:rsid w:val="003055DA"/>
    <w:rsid w:val="00305726"/>
    <w:rsid w:val="0030593F"/>
    <w:rsid w:val="00305B9C"/>
    <w:rsid w:val="00305CE7"/>
    <w:rsid w:val="0030611D"/>
    <w:rsid w:val="003063C8"/>
    <w:rsid w:val="003066E2"/>
    <w:rsid w:val="00306820"/>
    <w:rsid w:val="003068ED"/>
    <w:rsid w:val="00306953"/>
    <w:rsid w:val="00306A0F"/>
    <w:rsid w:val="00306AD6"/>
    <w:rsid w:val="00306BEA"/>
    <w:rsid w:val="00306DBC"/>
    <w:rsid w:val="003077BB"/>
    <w:rsid w:val="003077D5"/>
    <w:rsid w:val="00307AFD"/>
    <w:rsid w:val="00307D2C"/>
    <w:rsid w:val="00307E5E"/>
    <w:rsid w:val="00307F3F"/>
    <w:rsid w:val="00307F7D"/>
    <w:rsid w:val="00307F89"/>
    <w:rsid w:val="003100DA"/>
    <w:rsid w:val="0031079E"/>
    <w:rsid w:val="00310856"/>
    <w:rsid w:val="00310A7B"/>
    <w:rsid w:val="00310BC5"/>
    <w:rsid w:val="00311030"/>
    <w:rsid w:val="003111A5"/>
    <w:rsid w:val="003114DE"/>
    <w:rsid w:val="003114E2"/>
    <w:rsid w:val="0031155C"/>
    <w:rsid w:val="003117D3"/>
    <w:rsid w:val="00311A31"/>
    <w:rsid w:val="00311B1A"/>
    <w:rsid w:val="00311F6F"/>
    <w:rsid w:val="0031229F"/>
    <w:rsid w:val="00312447"/>
    <w:rsid w:val="00312656"/>
    <w:rsid w:val="00312925"/>
    <w:rsid w:val="00312AA7"/>
    <w:rsid w:val="00312FDA"/>
    <w:rsid w:val="00313094"/>
    <w:rsid w:val="00313114"/>
    <w:rsid w:val="00313198"/>
    <w:rsid w:val="00313242"/>
    <w:rsid w:val="003135DB"/>
    <w:rsid w:val="00313654"/>
    <w:rsid w:val="00313698"/>
    <w:rsid w:val="00313898"/>
    <w:rsid w:val="00313961"/>
    <w:rsid w:val="00313987"/>
    <w:rsid w:val="003139FD"/>
    <w:rsid w:val="00313AD8"/>
    <w:rsid w:val="003140E6"/>
    <w:rsid w:val="0031412A"/>
    <w:rsid w:val="0031445D"/>
    <w:rsid w:val="003145B3"/>
    <w:rsid w:val="003146BD"/>
    <w:rsid w:val="0031471A"/>
    <w:rsid w:val="003147F3"/>
    <w:rsid w:val="00314941"/>
    <w:rsid w:val="00314A03"/>
    <w:rsid w:val="00314ADE"/>
    <w:rsid w:val="00314B3C"/>
    <w:rsid w:val="00314BDC"/>
    <w:rsid w:val="00314C9F"/>
    <w:rsid w:val="00314D08"/>
    <w:rsid w:val="003153A6"/>
    <w:rsid w:val="003155C6"/>
    <w:rsid w:val="003155D7"/>
    <w:rsid w:val="00316681"/>
    <w:rsid w:val="00316DCE"/>
    <w:rsid w:val="003170A6"/>
    <w:rsid w:val="00317167"/>
    <w:rsid w:val="00317281"/>
    <w:rsid w:val="00317418"/>
    <w:rsid w:val="0031741B"/>
    <w:rsid w:val="0031755C"/>
    <w:rsid w:val="00317C17"/>
    <w:rsid w:val="00317C42"/>
    <w:rsid w:val="00317D16"/>
    <w:rsid w:val="00317E85"/>
    <w:rsid w:val="00317F6E"/>
    <w:rsid w:val="00317FE2"/>
    <w:rsid w:val="00317FFA"/>
    <w:rsid w:val="00320134"/>
    <w:rsid w:val="00320136"/>
    <w:rsid w:val="003205B8"/>
    <w:rsid w:val="0032076D"/>
    <w:rsid w:val="00320785"/>
    <w:rsid w:val="003208E3"/>
    <w:rsid w:val="00320A9D"/>
    <w:rsid w:val="00321181"/>
    <w:rsid w:val="003214FE"/>
    <w:rsid w:val="00321650"/>
    <w:rsid w:val="0032180B"/>
    <w:rsid w:val="003219DE"/>
    <w:rsid w:val="00321A5B"/>
    <w:rsid w:val="00321A75"/>
    <w:rsid w:val="00321BE7"/>
    <w:rsid w:val="00321CCC"/>
    <w:rsid w:val="00321E40"/>
    <w:rsid w:val="0032209E"/>
    <w:rsid w:val="003222D8"/>
    <w:rsid w:val="00322320"/>
    <w:rsid w:val="003227BB"/>
    <w:rsid w:val="003228EE"/>
    <w:rsid w:val="00322962"/>
    <w:rsid w:val="00322A70"/>
    <w:rsid w:val="00322BB3"/>
    <w:rsid w:val="00322C90"/>
    <w:rsid w:val="00322D7F"/>
    <w:rsid w:val="003230BF"/>
    <w:rsid w:val="003231E1"/>
    <w:rsid w:val="00323333"/>
    <w:rsid w:val="003235DF"/>
    <w:rsid w:val="0032361F"/>
    <w:rsid w:val="00323732"/>
    <w:rsid w:val="00323A1F"/>
    <w:rsid w:val="00323C8F"/>
    <w:rsid w:val="00323CF9"/>
    <w:rsid w:val="00323D2C"/>
    <w:rsid w:val="00323DA1"/>
    <w:rsid w:val="00323F7D"/>
    <w:rsid w:val="00323F8F"/>
    <w:rsid w:val="0032438D"/>
    <w:rsid w:val="003243C9"/>
    <w:rsid w:val="003247B0"/>
    <w:rsid w:val="00324ACA"/>
    <w:rsid w:val="00324B49"/>
    <w:rsid w:val="00325080"/>
    <w:rsid w:val="003252D8"/>
    <w:rsid w:val="00325459"/>
    <w:rsid w:val="00325589"/>
    <w:rsid w:val="003259E7"/>
    <w:rsid w:val="00325DBA"/>
    <w:rsid w:val="00325E31"/>
    <w:rsid w:val="00326017"/>
    <w:rsid w:val="003263B8"/>
    <w:rsid w:val="0032651B"/>
    <w:rsid w:val="00326539"/>
    <w:rsid w:val="00326C78"/>
    <w:rsid w:val="00327869"/>
    <w:rsid w:val="00327B7A"/>
    <w:rsid w:val="0033001A"/>
    <w:rsid w:val="0033046F"/>
    <w:rsid w:val="003304CA"/>
    <w:rsid w:val="003305D8"/>
    <w:rsid w:val="00330927"/>
    <w:rsid w:val="00330A23"/>
    <w:rsid w:val="00330B17"/>
    <w:rsid w:val="00331578"/>
    <w:rsid w:val="00331685"/>
    <w:rsid w:val="0033180E"/>
    <w:rsid w:val="00331851"/>
    <w:rsid w:val="00331A29"/>
    <w:rsid w:val="00331A56"/>
    <w:rsid w:val="0033210D"/>
    <w:rsid w:val="0033219D"/>
    <w:rsid w:val="0033289A"/>
    <w:rsid w:val="00332945"/>
    <w:rsid w:val="00332DC1"/>
    <w:rsid w:val="00332E89"/>
    <w:rsid w:val="0033303D"/>
    <w:rsid w:val="003331DD"/>
    <w:rsid w:val="003334E7"/>
    <w:rsid w:val="00333945"/>
    <w:rsid w:val="00333951"/>
    <w:rsid w:val="00333B06"/>
    <w:rsid w:val="00334377"/>
    <w:rsid w:val="003344D7"/>
    <w:rsid w:val="0033468B"/>
    <w:rsid w:val="00334C1D"/>
    <w:rsid w:val="00334C7B"/>
    <w:rsid w:val="00334DDA"/>
    <w:rsid w:val="00334F93"/>
    <w:rsid w:val="0033537A"/>
    <w:rsid w:val="003353D9"/>
    <w:rsid w:val="003354BF"/>
    <w:rsid w:val="003357F3"/>
    <w:rsid w:val="003358CF"/>
    <w:rsid w:val="00335D35"/>
    <w:rsid w:val="00336450"/>
    <w:rsid w:val="00336D01"/>
    <w:rsid w:val="00337258"/>
    <w:rsid w:val="00337459"/>
    <w:rsid w:val="00337473"/>
    <w:rsid w:val="00337C7C"/>
    <w:rsid w:val="00337E64"/>
    <w:rsid w:val="00340155"/>
    <w:rsid w:val="0034024A"/>
    <w:rsid w:val="003403E6"/>
    <w:rsid w:val="00340510"/>
    <w:rsid w:val="003408C0"/>
    <w:rsid w:val="0034099A"/>
    <w:rsid w:val="00340BFF"/>
    <w:rsid w:val="00340C34"/>
    <w:rsid w:val="00340DDB"/>
    <w:rsid w:val="003416D4"/>
    <w:rsid w:val="00341968"/>
    <w:rsid w:val="00341BC6"/>
    <w:rsid w:val="00341DB8"/>
    <w:rsid w:val="00341FEF"/>
    <w:rsid w:val="00342777"/>
    <w:rsid w:val="003428F0"/>
    <w:rsid w:val="00342B97"/>
    <w:rsid w:val="00342CC8"/>
    <w:rsid w:val="00342F12"/>
    <w:rsid w:val="00343027"/>
    <w:rsid w:val="00343046"/>
    <w:rsid w:val="00343052"/>
    <w:rsid w:val="003430A9"/>
    <w:rsid w:val="003432F4"/>
    <w:rsid w:val="00343526"/>
    <w:rsid w:val="00343755"/>
    <w:rsid w:val="00343A3B"/>
    <w:rsid w:val="00343B04"/>
    <w:rsid w:val="00343B09"/>
    <w:rsid w:val="00343B33"/>
    <w:rsid w:val="00343D88"/>
    <w:rsid w:val="00344455"/>
    <w:rsid w:val="00345422"/>
    <w:rsid w:val="00345441"/>
    <w:rsid w:val="00345843"/>
    <w:rsid w:val="0034590B"/>
    <w:rsid w:val="00345A09"/>
    <w:rsid w:val="00345E1F"/>
    <w:rsid w:val="00346046"/>
    <w:rsid w:val="00346257"/>
    <w:rsid w:val="003462AF"/>
    <w:rsid w:val="00346479"/>
    <w:rsid w:val="003465F3"/>
    <w:rsid w:val="00346B1F"/>
    <w:rsid w:val="00346B93"/>
    <w:rsid w:val="00346CA6"/>
    <w:rsid w:val="00346E06"/>
    <w:rsid w:val="003470A3"/>
    <w:rsid w:val="00347275"/>
    <w:rsid w:val="00347610"/>
    <w:rsid w:val="00347D5E"/>
    <w:rsid w:val="00350022"/>
    <w:rsid w:val="0035017D"/>
    <w:rsid w:val="003504A9"/>
    <w:rsid w:val="0035068B"/>
    <w:rsid w:val="00350E2A"/>
    <w:rsid w:val="00351353"/>
    <w:rsid w:val="0035154B"/>
    <w:rsid w:val="00351B1D"/>
    <w:rsid w:val="00351F69"/>
    <w:rsid w:val="00351FD9"/>
    <w:rsid w:val="003521AD"/>
    <w:rsid w:val="003523C1"/>
    <w:rsid w:val="00352415"/>
    <w:rsid w:val="00352495"/>
    <w:rsid w:val="00352600"/>
    <w:rsid w:val="003527ED"/>
    <w:rsid w:val="0035291B"/>
    <w:rsid w:val="003529BB"/>
    <w:rsid w:val="00352AE7"/>
    <w:rsid w:val="00352B97"/>
    <w:rsid w:val="00352B9F"/>
    <w:rsid w:val="00352FDF"/>
    <w:rsid w:val="003536CB"/>
    <w:rsid w:val="00353948"/>
    <w:rsid w:val="00353CF5"/>
    <w:rsid w:val="00353EC3"/>
    <w:rsid w:val="00354095"/>
    <w:rsid w:val="003541A5"/>
    <w:rsid w:val="00354838"/>
    <w:rsid w:val="003550E8"/>
    <w:rsid w:val="00355471"/>
    <w:rsid w:val="00355475"/>
    <w:rsid w:val="003555DB"/>
    <w:rsid w:val="003559D6"/>
    <w:rsid w:val="00355AA9"/>
    <w:rsid w:val="00355D18"/>
    <w:rsid w:val="00355F66"/>
    <w:rsid w:val="00355F9F"/>
    <w:rsid w:val="00356162"/>
    <w:rsid w:val="00356599"/>
    <w:rsid w:val="0035666F"/>
    <w:rsid w:val="003566BA"/>
    <w:rsid w:val="00356729"/>
    <w:rsid w:val="00356871"/>
    <w:rsid w:val="003569D8"/>
    <w:rsid w:val="00356AB3"/>
    <w:rsid w:val="00356BE5"/>
    <w:rsid w:val="00356F1B"/>
    <w:rsid w:val="00356FD5"/>
    <w:rsid w:val="00357176"/>
    <w:rsid w:val="00357222"/>
    <w:rsid w:val="003572F1"/>
    <w:rsid w:val="003573F8"/>
    <w:rsid w:val="00357556"/>
    <w:rsid w:val="00360071"/>
    <w:rsid w:val="00360637"/>
    <w:rsid w:val="003607C5"/>
    <w:rsid w:val="0036091A"/>
    <w:rsid w:val="00360ABB"/>
    <w:rsid w:val="00360ABC"/>
    <w:rsid w:val="00360CB6"/>
    <w:rsid w:val="00361423"/>
    <w:rsid w:val="003615B6"/>
    <w:rsid w:val="0036184B"/>
    <w:rsid w:val="00361965"/>
    <w:rsid w:val="00361FD6"/>
    <w:rsid w:val="00362031"/>
    <w:rsid w:val="00362040"/>
    <w:rsid w:val="00362622"/>
    <w:rsid w:val="003629C7"/>
    <w:rsid w:val="003629D6"/>
    <w:rsid w:val="00362C1F"/>
    <w:rsid w:val="00362C6C"/>
    <w:rsid w:val="00362FFE"/>
    <w:rsid w:val="00363289"/>
    <w:rsid w:val="003634E8"/>
    <w:rsid w:val="0036369F"/>
    <w:rsid w:val="003636EF"/>
    <w:rsid w:val="00363827"/>
    <w:rsid w:val="0036382E"/>
    <w:rsid w:val="003638B9"/>
    <w:rsid w:val="00363A04"/>
    <w:rsid w:val="003643A0"/>
    <w:rsid w:val="00364406"/>
    <w:rsid w:val="00364442"/>
    <w:rsid w:val="00364AEF"/>
    <w:rsid w:val="00364DC1"/>
    <w:rsid w:val="00364DFF"/>
    <w:rsid w:val="003655A9"/>
    <w:rsid w:val="003656D8"/>
    <w:rsid w:val="003657BD"/>
    <w:rsid w:val="00365AE9"/>
    <w:rsid w:val="00365B8B"/>
    <w:rsid w:val="00365C87"/>
    <w:rsid w:val="00365EB0"/>
    <w:rsid w:val="00366091"/>
    <w:rsid w:val="003663C0"/>
    <w:rsid w:val="003666B2"/>
    <w:rsid w:val="00366A3A"/>
    <w:rsid w:val="00366D6A"/>
    <w:rsid w:val="00366D70"/>
    <w:rsid w:val="00367052"/>
    <w:rsid w:val="003674A3"/>
    <w:rsid w:val="00367563"/>
    <w:rsid w:val="0036763A"/>
    <w:rsid w:val="00367C35"/>
    <w:rsid w:val="00367C71"/>
    <w:rsid w:val="00367F2A"/>
    <w:rsid w:val="00370052"/>
    <w:rsid w:val="003701CE"/>
    <w:rsid w:val="003702B0"/>
    <w:rsid w:val="00370584"/>
    <w:rsid w:val="0037065C"/>
    <w:rsid w:val="00370B7A"/>
    <w:rsid w:val="00370C17"/>
    <w:rsid w:val="00370E0E"/>
    <w:rsid w:val="00370E2F"/>
    <w:rsid w:val="00370EEC"/>
    <w:rsid w:val="00370FE6"/>
    <w:rsid w:val="0037102A"/>
    <w:rsid w:val="0037107D"/>
    <w:rsid w:val="0037161B"/>
    <w:rsid w:val="00371910"/>
    <w:rsid w:val="00371AF9"/>
    <w:rsid w:val="00371DDC"/>
    <w:rsid w:val="003722CC"/>
    <w:rsid w:val="00372524"/>
    <w:rsid w:val="00372541"/>
    <w:rsid w:val="00372605"/>
    <w:rsid w:val="003727C1"/>
    <w:rsid w:val="00372865"/>
    <w:rsid w:val="003736B4"/>
    <w:rsid w:val="003737B9"/>
    <w:rsid w:val="003738F6"/>
    <w:rsid w:val="00374301"/>
    <w:rsid w:val="0037465E"/>
    <w:rsid w:val="00375047"/>
    <w:rsid w:val="003751A8"/>
    <w:rsid w:val="003754A9"/>
    <w:rsid w:val="003756A3"/>
    <w:rsid w:val="00375816"/>
    <w:rsid w:val="003758A1"/>
    <w:rsid w:val="003759B2"/>
    <w:rsid w:val="00375F67"/>
    <w:rsid w:val="00375F80"/>
    <w:rsid w:val="0037602D"/>
    <w:rsid w:val="00376281"/>
    <w:rsid w:val="00376880"/>
    <w:rsid w:val="00376BFC"/>
    <w:rsid w:val="00376D46"/>
    <w:rsid w:val="003773CB"/>
    <w:rsid w:val="003777CF"/>
    <w:rsid w:val="0037795B"/>
    <w:rsid w:val="00377AD7"/>
    <w:rsid w:val="00380125"/>
    <w:rsid w:val="00380193"/>
    <w:rsid w:val="00380283"/>
    <w:rsid w:val="00380921"/>
    <w:rsid w:val="0038092B"/>
    <w:rsid w:val="00380A8B"/>
    <w:rsid w:val="00380AE7"/>
    <w:rsid w:val="00380DF8"/>
    <w:rsid w:val="00380EED"/>
    <w:rsid w:val="0038114F"/>
    <w:rsid w:val="003811EE"/>
    <w:rsid w:val="0038172A"/>
    <w:rsid w:val="00381839"/>
    <w:rsid w:val="0038198C"/>
    <w:rsid w:val="00381E3B"/>
    <w:rsid w:val="00381E52"/>
    <w:rsid w:val="00382023"/>
    <w:rsid w:val="003820B2"/>
    <w:rsid w:val="0038214F"/>
    <w:rsid w:val="003821FC"/>
    <w:rsid w:val="0038272D"/>
    <w:rsid w:val="003829EA"/>
    <w:rsid w:val="00382A89"/>
    <w:rsid w:val="00382C48"/>
    <w:rsid w:val="00382D2A"/>
    <w:rsid w:val="00382F3F"/>
    <w:rsid w:val="00382F7A"/>
    <w:rsid w:val="00382FA0"/>
    <w:rsid w:val="003830DB"/>
    <w:rsid w:val="00383123"/>
    <w:rsid w:val="00383459"/>
    <w:rsid w:val="00383805"/>
    <w:rsid w:val="00383B2E"/>
    <w:rsid w:val="00383DCA"/>
    <w:rsid w:val="00383DE2"/>
    <w:rsid w:val="00383F88"/>
    <w:rsid w:val="0038446A"/>
    <w:rsid w:val="003844E9"/>
    <w:rsid w:val="0038451E"/>
    <w:rsid w:val="00384671"/>
    <w:rsid w:val="003846E8"/>
    <w:rsid w:val="00384AEC"/>
    <w:rsid w:val="00384E8D"/>
    <w:rsid w:val="00384ED9"/>
    <w:rsid w:val="00384F07"/>
    <w:rsid w:val="003851FC"/>
    <w:rsid w:val="00385543"/>
    <w:rsid w:val="003856DB"/>
    <w:rsid w:val="00385A3C"/>
    <w:rsid w:val="00385C6D"/>
    <w:rsid w:val="00385ECD"/>
    <w:rsid w:val="00386206"/>
    <w:rsid w:val="0038629D"/>
    <w:rsid w:val="00386456"/>
    <w:rsid w:val="00386481"/>
    <w:rsid w:val="00386841"/>
    <w:rsid w:val="00386843"/>
    <w:rsid w:val="00386B10"/>
    <w:rsid w:val="00386CC1"/>
    <w:rsid w:val="00386CE8"/>
    <w:rsid w:val="00386EA4"/>
    <w:rsid w:val="00386FFB"/>
    <w:rsid w:val="0038704C"/>
    <w:rsid w:val="003874B7"/>
    <w:rsid w:val="003878A7"/>
    <w:rsid w:val="0039008D"/>
    <w:rsid w:val="00390992"/>
    <w:rsid w:val="00390AC3"/>
    <w:rsid w:val="0039159A"/>
    <w:rsid w:val="00391738"/>
    <w:rsid w:val="003917F0"/>
    <w:rsid w:val="00391A5F"/>
    <w:rsid w:val="00391AF6"/>
    <w:rsid w:val="00391CD8"/>
    <w:rsid w:val="00391CF4"/>
    <w:rsid w:val="00391E55"/>
    <w:rsid w:val="00391FA8"/>
    <w:rsid w:val="0039294D"/>
    <w:rsid w:val="00392956"/>
    <w:rsid w:val="00392B31"/>
    <w:rsid w:val="00392D57"/>
    <w:rsid w:val="00392FD0"/>
    <w:rsid w:val="003930BC"/>
    <w:rsid w:val="00393D9B"/>
    <w:rsid w:val="00393ECA"/>
    <w:rsid w:val="00393F7C"/>
    <w:rsid w:val="003944E9"/>
    <w:rsid w:val="00394612"/>
    <w:rsid w:val="003946E0"/>
    <w:rsid w:val="003948E6"/>
    <w:rsid w:val="00394F21"/>
    <w:rsid w:val="00395365"/>
    <w:rsid w:val="00395370"/>
    <w:rsid w:val="00395A58"/>
    <w:rsid w:val="00395EB9"/>
    <w:rsid w:val="003961C7"/>
    <w:rsid w:val="003963C2"/>
    <w:rsid w:val="003963FB"/>
    <w:rsid w:val="0039652B"/>
    <w:rsid w:val="00396583"/>
    <w:rsid w:val="00396781"/>
    <w:rsid w:val="003972E0"/>
    <w:rsid w:val="0039770B"/>
    <w:rsid w:val="0039791C"/>
    <w:rsid w:val="00397937"/>
    <w:rsid w:val="00397D32"/>
    <w:rsid w:val="00397DAB"/>
    <w:rsid w:val="00397E49"/>
    <w:rsid w:val="00397FF9"/>
    <w:rsid w:val="003A0300"/>
    <w:rsid w:val="003A0459"/>
    <w:rsid w:val="003A0519"/>
    <w:rsid w:val="003A070E"/>
    <w:rsid w:val="003A0993"/>
    <w:rsid w:val="003A09C9"/>
    <w:rsid w:val="003A0C7B"/>
    <w:rsid w:val="003A14D3"/>
    <w:rsid w:val="003A1578"/>
    <w:rsid w:val="003A1913"/>
    <w:rsid w:val="003A1BF1"/>
    <w:rsid w:val="003A1C7B"/>
    <w:rsid w:val="003A1EF3"/>
    <w:rsid w:val="003A2254"/>
    <w:rsid w:val="003A2CE8"/>
    <w:rsid w:val="003A30ED"/>
    <w:rsid w:val="003A3150"/>
    <w:rsid w:val="003A31B3"/>
    <w:rsid w:val="003A326C"/>
    <w:rsid w:val="003A35F7"/>
    <w:rsid w:val="003A37B2"/>
    <w:rsid w:val="003A399E"/>
    <w:rsid w:val="003A3D38"/>
    <w:rsid w:val="003A3D5B"/>
    <w:rsid w:val="003A3E97"/>
    <w:rsid w:val="003A402E"/>
    <w:rsid w:val="003A4199"/>
    <w:rsid w:val="003A41C2"/>
    <w:rsid w:val="003A41EA"/>
    <w:rsid w:val="003A42CE"/>
    <w:rsid w:val="003A435A"/>
    <w:rsid w:val="003A4840"/>
    <w:rsid w:val="003A4DCB"/>
    <w:rsid w:val="003A50A2"/>
    <w:rsid w:val="003A5395"/>
    <w:rsid w:val="003A543A"/>
    <w:rsid w:val="003A551D"/>
    <w:rsid w:val="003A55A0"/>
    <w:rsid w:val="003A5819"/>
    <w:rsid w:val="003A583C"/>
    <w:rsid w:val="003A584F"/>
    <w:rsid w:val="003A5A97"/>
    <w:rsid w:val="003A5B00"/>
    <w:rsid w:val="003A6007"/>
    <w:rsid w:val="003A627B"/>
    <w:rsid w:val="003A6383"/>
    <w:rsid w:val="003A64F9"/>
    <w:rsid w:val="003A6A1F"/>
    <w:rsid w:val="003A6A71"/>
    <w:rsid w:val="003A6D21"/>
    <w:rsid w:val="003A6EB0"/>
    <w:rsid w:val="003A7377"/>
    <w:rsid w:val="003A7393"/>
    <w:rsid w:val="003A73FB"/>
    <w:rsid w:val="003A74B0"/>
    <w:rsid w:val="003A78C5"/>
    <w:rsid w:val="003A7A0C"/>
    <w:rsid w:val="003A7DBA"/>
    <w:rsid w:val="003A7E40"/>
    <w:rsid w:val="003B0418"/>
    <w:rsid w:val="003B04A9"/>
    <w:rsid w:val="003B074B"/>
    <w:rsid w:val="003B0815"/>
    <w:rsid w:val="003B0B20"/>
    <w:rsid w:val="003B0E64"/>
    <w:rsid w:val="003B0E65"/>
    <w:rsid w:val="003B10FF"/>
    <w:rsid w:val="003B1303"/>
    <w:rsid w:val="003B13DD"/>
    <w:rsid w:val="003B14CF"/>
    <w:rsid w:val="003B14FD"/>
    <w:rsid w:val="003B1700"/>
    <w:rsid w:val="003B1845"/>
    <w:rsid w:val="003B1B51"/>
    <w:rsid w:val="003B1BBF"/>
    <w:rsid w:val="003B1DCC"/>
    <w:rsid w:val="003B1E30"/>
    <w:rsid w:val="003B1F34"/>
    <w:rsid w:val="003B1FF4"/>
    <w:rsid w:val="003B221B"/>
    <w:rsid w:val="003B251B"/>
    <w:rsid w:val="003B2774"/>
    <w:rsid w:val="003B27A1"/>
    <w:rsid w:val="003B2C7A"/>
    <w:rsid w:val="003B2F7A"/>
    <w:rsid w:val="003B3008"/>
    <w:rsid w:val="003B3038"/>
    <w:rsid w:val="003B31A0"/>
    <w:rsid w:val="003B32C8"/>
    <w:rsid w:val="003B3A16"/>
    <w:rsid w:val="003B3A7D"/>
    <w:rsid w:val="003B3D9D"/>
    <w:rsid w:val="003B4357"/>
    <w:rsid w:val="003B44AA"/>
    <w:rsid w:val="003B4585"/>
    <w:rsid w:val="003B482D"/>
    <w:rsid w:val="003B488D"/>
    <w:rsid w:val="003B48AD"/>
    <w:rsid w:val="003B490D"/>
    <w:rsid w:val="003B4B53"/>
    <w:rsid w:val="003B4CCC"/>
    <w:rsid w:val="003B4D07"/>
    <w:rsid w:val="003B4F1F"/>
    <w:rsid w:val="003B51EE"/>
    <w:rsid w:val="003B55B0"/>
    <w:rsid w:val="003B581D"/>
    <w:rsid w:val="003B5A0A"/>
    <w:rsid w:val="003B5A19"/>
    <w:rsid w:val="003B5BD8"/>
    <w:rsid w:val="003B5C41"/>
    <w:rsid w:val="003B5CD2"/>
    <w:rsid w:val="003B615B"/>
    <w:rsid w:val="003B622D"/>
    <w:rsid w:val="003B6360"/>
    <w:rsid w:val="003B64AB"/>
    <w:rsid w:val="003B687C"/>
    <w:rsid w:val="003B68AA"/>
    <w:rsid w:val="003B6D2C"/>
    <w:rsid w:val="003B7340"/>
    <w:rsid w:val="003B73A9"/>
    <w:rsid w:val="003B7691"/>
    <w:rsid w:val="003B76F1"/>
    <w:rsid w:val="003B778D"/>
    <w:rsid w:val="003B78E2"/>
    <w:rsid w:val="003B7B2E"/>
    <w:rsid w:val="003B7C2D"/>
    <w:rsid w:val="003B7C2F"/>
    <w:rsid w:val="003C0141"/>
    <w:rsid w:val="003C022A"/>
    <w:rsid w:val="003C0274"/>
    <w:rsid w:val="003C0470"/>
    <w:rsid w:val="003C0808"/>
    <w:rsid w:val="003C085B"/>
    <w:rsid w:val="003C0BB2"/>
    <w:rsid w:val="003C0D38"/>
    <w:rsid w:val="003C0DC1"/>
    <w:rsid w:val="003C0E00"/>
    <w:rsid w:val="003C128A"/>
    <w:rsid w:val="003C12C1"/>
    <w:rsid w:val="003C13CC"/>
    <w:rsid w:val="003C1554"/>
    <w:rsid w:val="003C1773"/>
    <w:rsid w:val="003C182C"/>
    <w:rsid w:val="003C1899"/>
    <w:rsid w:val="003C18ED"/>
    <w:rsid w:val="003C1C91"/>
    <w:rsid w:val="003C23D0"/>
    <w:rsid w:val="003C24F5"/>
    <w:rsid w:val="003C25FB"/>
    <w:rsid w:val="003C2698"/>
    <w:rsid w:val="003C2D1F"/>
    <w:rsid w:val="003C2E11"/>
    <w:rsid w:val="003C2FAA"/>
    <w:rsid w:val="003C366C"/>
    <w:rsid w:val="003C37AE"/>
    <w:rsid w:val="003C3A39"/>
    <w:rsid w:val="003C3E38"/>
    <w:rsid w:val="003C4178"/>
    <w:rsid w:val="003C41C2"/>
    <w:rsid w:val="003C43C5"/>
    <w:rsid w:val="003C4DBE"/>
    <w:rsid w:val="003C50EE"/>
    <w:rsid w:val="003C5375"/>
    <w:rsid w:val="003C53EE"/>
    <w:rsid w:val="003C5532"/>
    <w:rsid w:val="003C5600"/>
    <w:rsid w:val="003C561A"/>
    <w:rsid w:val="003C598A"/>
    <w:rsid w:val="003C5F7C"/>
    <w:rsid w:val="003C5FA7"/>
    <w:rsid w:val="003C623A"/>
    <w:rsid w:val="003C6544"/>
    <w:rsid w:val="003C6BC7"/>
    <w:rsid w:val="003C6DE9"/>
    <w:rsid w:val="003C6ED7"/>
    <w:rsid w:val="003C70ED"/>
    <w:rsid w:val="003C75CB"/>
    <w:rsid w:val="003C75E8"/>
    <w:rsid w:val="003C795C"/>
    <w:rsid w:val="003C797B"/>
    <w:rsid w:val="003C798B"/>
    <w:rsid w:val="003C7A62"/>
    <w:rsid w:val="003C7ACE"/>
    <w:rsid w:val="003C7B58"/>
    <w:rsid w:val="003C7C77"/>
    <w:rsid w:val="003C7F12"/>
    <w:rsid w:val="003C7F9F"/>
    <w:rsid w:val="003D00B7"/>
    <w:rsid w:val="003D0151"/>
    <w:rsid w:val="003D017F"/>
    <w:rsid w:val="003D01CF"/>
    <w:rsid w:val="003D09F3"/>
    <w:rsid w:val="003D0EC1"/>
    <w:rsid w:val="003D10E2"/>
    <w:rsid w:val="003D1278"/>
    <w:rsid w:val="003D12EA"/>
    <w:rsid w:val="003D1460"/>
    <w:rsid w:val="003D177D"/>
    <w:rsid w:val="003D19B0"/>
    <w:rsid w:val="003D1AEC"/>
    <w:rsid w:val="003D1CA1"/>
    <w:rsid w:val="003D1CEF"/>
    <w:rsid w:val="003D1D66"/>
    <w:rsid w:val="003D21B2"/>
    <w:rsid w:val="003D284C"/>
    <w:rsid w:val="003D2B6B"/>
    <w:rsid w:val="003D2C0B"/>
    <w:rsid w:val="003D2C32"/>
    <w:rsid w:val="003D2CFA"/>
    <w:rsid w:val="003D2D6D"/>
    <w:rsid w:val="003D32A5"/>
    <w:rsid w:val="003D3564"/>
    <w:rsid w:val="003D3662"/>
    <w:rsid w:val="003D36F9"/>
    <w:rsid w:val="003D3906"/>
    <w:rsid w:val="003D3A8D"/>
    <w:rsid w:val="003D3C2A"/>
    <w:rsid w:val="003D3FAB"/>
    <w:rsid w:val="003D3FB7"/>
    <w:rsid w:val="003D4042"/>
    <w:rsid w:val="003D42AC"/>
    <w:rsid w:val="003D44AD"/>
    <w:rsid w:val="003D457D"/>
    <w:rsid w:val="003D4759"/>
    <w:rsid w:val="003D47E1"/>
    <w:rsid w:val="003D489D"/>
    <w:rsid w:val="003D4CD5"/>
    <w:rsid w:val="003D558C"/>
    <w:rsid w:val="003D5643"/>
    <w:rsid w:val="003D5770"/>
    <w:rsid w:val="003D5845"/>
    <w:rsid w:val="003D584E"/>
    <w:rsid w:val="003D5A51"/>
    <w:rsid w:val="003D5BEB"/>
    <w:rsid w:val="003D5D45"/>
    <w:rsid w:val="003D5D76"/>
    <w:rsid w:val="003D5F60"/>
    <w:rsid w:val="003D6325"/>
    <w:rsid w:val="003D6412"/>
    <w:rsid w:val="003D648D"/>
    <w:rsid w:val="003D66F6"/>
    <w:rsid w:val="003D6840"/>
    <w:rsid w:val="003D6993"/>
    <w:rsid w:val="003D6CC9"/>
    <w:rsid w:val="003D6E8F"/>
    <w:rsid w:val="003D705E"/>
    <w:rsid w:val="003D74C1"/>
    <w:rsid w:val="003D76F2"/>
    <w:rsid w:val="003D7945"/>
    <w:rsid w:val="003D7A1F"/>
    <w:rsid w:val="003D7A5C"/>
    <w:rsid w:val="003D7DBD"/>
    <w:rsid w:val="003E07A5"/>
    <w:rsid w:val="003E09A4"/>
    <w:rsid w:val="003E0A24"/>
    <w:rsid w:val="003E0B9D"/>
    <w:rsid w:val="003E0BC4"/>
    <w:rsid w:val="003E0C13"/>
    <w:rsid w:val="003E0C49"/>
    <w:rsid w:val="003E1232"/>
    <w:rsid w:val="003E12A6"/>
    <w:rsid w:val="003E12E6"/>
    <w:rsid w:val="003E1CDE"/>
    <w:rsid w:val="003E1D91"/>
    <w:rsid w:val="003E20CC"/>
    <w:rsid w:val="003E220E"/>
    <w:rsid w:val="003E2597"/>
    <w:rsid w:val="003E26E0"/>
    <w:rsid w:val="003E2873"/>
    <w:rsid w:val="003E29FF"/>
    <w:rsid w:val="003E2C7C"/>
    <w:rsid w:val="003E358C"/>
    <w:rsid w:val="003E37ED"/>
    <w:rsid w:val="003E3B72"/>
    <w:rsid w:val="003E3BD5"/>
    <w:rsid w:val="003E3E79"/>
    <w:rsid w:val="003E3F9F"/>
    <w:rsid w:val="003E4463"/>
    <w:rsid w:val="003E4563"/>
    <w:rsid w:val="003E4D8E"/>
    <w:rsid w:val="003E4FC0"/>
    <w:rsid w:val="003E51B5"/>
    <w:rsid w:val="003E5610"/>
    <w:rsid w:val="003E57DC"/>
    <w:rsid w:val="003E5828"/>
    <w:rsid w:val="003E5B2E"/>
    <w:rsid w:val="003E5E2A"/>
    <w:rsid w:val="003E5EE1"/>
    <w:rsid w:val="003E615C"/>
    <w:rsid w:val="003E6179"/>
    <w:rsid w:val="003E63A7"/>
    <w:rsid w:val="003E6816"/>
    <w:rsid w:val="003E6865"/>
    <w:rsid w:val="003E6BB0"/>
    <w:rsid w:val="003E7319"/>
    <w:rsid w:val="003E7391"/>
    <w:rsid w:val="003E7434"/>
    <w:rsid w:val="003E79D8"/>
    <w:rsid w:val="003E7AED"/>
    <w:rsid w:val="003E7FE5"/>
    <w:rsid w:val="003F05FA"/>
    <w:rsid w:val="003F0A2E"/>
    <w:rsid w:val="003F0E4C"/>
    <w:rsid w:val="003F0ED6"/>
    <w:rsid w:val="003F0EED"/>
    <w:rsid w:val="003F0F57"/>
    <w:rsid w:val="003F1328"/>
    <w:rsid w:val="003F1478"/>
    <w:rsid w:val="003F1643"/>
    <w:rsid w:val="003F1BEF"/>
    <w:rsid w:val="003F1D99"/>
    <w:rsid w:val="003F2096"/>
    <w:rsid w:val="003F231D"/>
    <w:rsid w:val="003F25E7"/>
    <w:rsid w:val="003F26E8"/>
    <w:rsid w:val="003F28DA"/>
    <w:rsid w:val="003F28DE"/>
    <w:rsid w:val="003F292F"/>
    <w:rsid w:val="003F2BB0"/>
    <w:rsid w:val="003F2E8F"/>
    <w:rsid w:val="003F303E"/>
    <w:rsid w:val="003F351A"/>
    <w:rsid w:val="003F3FDF"/>
    <w:rsid w:val="003F40E4"/>
    <w:rsid w:val="003F4242"/>
    <w:rsid w:val="003F4307"/>
    <w:rsid w:val="003F4AC9"/>
    <w:rsid w:val="003F5B15"/>
    <w:rsid w:val="003F5F56"/>
    <w:rsid w:val="003F5F84"/>
    <w:rsid w:val="003F5F9A"/>
    <w:rsid w:val="003F5FC2"/>
    <w:rsid w:val="003F61FA"/>
    <w:rsid w:val="003F6227"/>
    <w:rsid w:val="003F63DB"/>
    <w:rsid w:val="003F696E"/>
    <w:rsid w:val="003F6A9B"/>
    <w:rsid w:val="003F6BC4"/>
    <w:rsid w:val="003F6C4F"/>
    <w:rsid w:val="003F6CFF"/>
    <w:rsid w:val="003F6F37"/>
    <w:rsid w:val="003F70BF"/>
    <w:rsid w:val="003F71D1"/>
    <w:rsid w:val="003F7388"/>
    <w:rsid w:val="003F73DF"/>
    <w:rsid w:val="003F7461"/>
    <w:rsid w:val="003F7B5F"/>
    <w:rsid w:val="003F7C33"/>
    <w:rsid w:val="003F7DBF"/>
    <w:rsid w:val="003F7DCE"/>
    <w:rsid w:val="003F7EBD"/>
    <w:rsid w:val="003F7FE7"/>
    <w:rsid w:val="004003D2"/>
    <w:rsid w:val="004006F4"/>
    <w:rsid w:val="00400B48"/>
    <w:rsid w:val="004016D8"/>
    <w:rsid w:val="00401918"/>
    <w:rsid w:val="00401B1B"/>
    <w:rsid w:val="00401CC2"/>
    <w:rsid w:val="00401CF7"/>
    <w:rsid w:val="004021B8"/>
    <w:rsid w:val="0040242E"/>
    <w:rsid w:val="0040251B"/>
    <w:rsid w:val="004029CF"/>
    <w:rsid w:val="004029E6"/>
    <w:rsid w:val="00402B7E"/>
    <w:rsid w:val="00402BB0"/>
    <w:rsid w:val="00402E07"/>
    <w:rsid w:val="00402F79"/>
    <w:rsid w:val="00403177"/>
    <w:rsid w:val="0040324E"/>
    <w:rsid w:val="004032F0"/>
    <w:rsid w:val="00403508"/>
    <w:rsid w:val="0040373B"/>
    <w:rsid w:val="004038A8"/>
    <w:rsid w:val="00403B29"/>
    <w:rsid w:val="00403B40"/>
    <w:rsid w:val="00403C07"/>
    <w:rsid w:val="00403EB3"/>
    <w:rsid w:val="004041B5"/>
    <w:rsid w:val="004043D8"/>
    <w:rsid w:val="00404515"/>
    <w:rsid w:val="0040461F"/>
    <w:rsid w:val="00404AEC"/>
    <w:rsid w:val="004050B1"/>
    <w:rsid w:val="004051FF"/>
    <w:rsid w:val="004053E2"/>
    <w:rsid w:val="00405400"/>
    <w:rsid w:val="004057EE"/>
    <w:rsid w:val="00405906"/>
    <w:rsid w:val="004059AD"/>
    <w:rsid w:val="004059B2"/>
    <w:rsid w:val="00405C07"/>
    <w:rsid w:val="00405E06"/>
    <w:rsid w:val="00405E92"/>
    <w:rsid w:val="00405EBE"/>
    <w:rsid w:val="0040632E"/>
    <w:rsid w:val="004063C6"/>
    <w:rsid w:val="00406631"/>
    <w:rsid w:val="004067DD"/>
    <w:rsid w:val="00406D2D"/>
    <w:rsid w:val="0040709C"/>
    <w:rsid w:val="0040728A"/>
    <w:rsid w:val="00407323"/>
    <w:rsid w:val="004076E6"/>
    <w:rsid w:val="00407863"/>
    <w:rsid w:val="0040790B"/>
    <w:rsid w:val="0040795B"/>
    <w:rsid w:val="00407A6A"/>
    <w:rsid w:val="00407AE8"/>
    <w:rsid w:val="00407E2F"/>
    <w:rsid w:val="00410331"/>
    <w:rsid w:val="004104AF"/>
    <w:rsid w:val="00410556"/>
    <w:rsid w:val="004107B0"/>
    <w:rsid w:val="004107ED"/>
    <w:rsid w:val="00410AB1"/>
    <w:rsid w:val="00410EBC"/>
    <w:rsid w:val="00410F69"/>
    <w:rsid w:val="0041130D"/>
    <w:rsid w:val="004113AD"/>
    <w:rsid w:val="004116EB"/>
    <w:rsid w:val="0041174B"/>
    <w:rsid w:val="004117A6"/>
    <w:rsid w:val="00411C8B"/>
    <w:rsid w:val="00411DAD"/>
    <w:rsid w:val="0041212E"/>
    <w:rsid w:val="00412399"/>
    <w:rsid w:val="004123E8"/>
    <w:rsid w:val="0041258C"/>
    <w:rsid w:val="004129AA"/>
    <w:rsid w:val="00412B30"/>
    <w:rsid w:val="00412C80"/>
    <w:rsid w:val="00413038"/>
    <w:rsid w:val="0041381C"/>
    <w:rsid w:val="00413A32"/>
    <w:rsid w:val="00413CA1"/>
    <w:rsid w:val="00413F76"/>
    <w:rsid w:val="00414049"/>
    <w:rsid w:val="0041410D"/>
    <w:rsid w:val="00414698"/>
    <w:rsid w:val="00414BC6"/>
    <w:rsid w:val="00414D6A"/>
    <w:rsid w:val="00414D80"/>
    <w:rsid w:val="00414DD8"/>
    <w:rsid w:val="00415018"/>
    <w:rsid w:val="004150EC"/>
    <w:rsid w:val="004152CA"/>
    <w:rsid w:val="004158E1"/>
    <w:rsid w:val="004159F0"/>
    <w:rsid w:val="00415AA0"/>
    <w:rsid w:val="00415C07"/>
    <w:rsid w:val="00415C50"/>
    <w:rsid w:val="00415DA0"/>
    <w:rsid w:val="00415EEC"/>
    <w:rsid w:val="00416014"/>
    <w:rsid w:val="004160DF"/>
    <w:rsid w:val="00416180"/>
    <w:rsid w:val="004162FB"/>
    <w:rsid w:val="00416312"/>
    <w:rsid w:val="0041649E"/>
    <w:rsid w:val="00416518"/>
    <w:rsid w:val="004168DF"/>
    <w:rsid w:val="00416957"/>
    <w:rsid w:val="00416A06"/>
    <w:rsid w:val="00416AD2"/>
    <w:rsid w:val="00416EF3"/>
    <w:rsid w:val="00416FB8"/>
    <w:rsid w:val="0041700A"/>
    <w:rsid w:val="004179B4"/>
    <w:rsid w:val="0042038C"/>
    <w:rsid w:val="0042054F"/>
    <w:rsid w:val="004207E7"/>
    <w:rsid w:val="00420B94"/>
    <w:rsid w:val="00420BA0"/>
    <w:rsid w:val="00420CD6"/>
    <w:rsid w:val="00420CE5"/>
    <w:rsid w:val="00420DBA"/>
    <w:rsid w:val="00420EA8"/>
    <w:rsid w:val="00420FF7"/>
    <w:rsid w:val="00421106"/>
    <w:rsid w:val="0042115B"/>
    <w:rsid w:val="004213DA"/>
    <w:rsid w:val="004214FB"/>
    <w:rsid w:val="00421525"/>
    <w:rsid w:val="00421579"/>
    <w:rsid w:val="00421BC1"/>
    <w:rsid w:val="00421CF2"/>
    <w:rsid w:val="00421E0B"/>
    <w:rsid w:val="0042211A"/>
    <w:rsid w:val="00422996"/>
    <w:rsid w:val="00422FF9"/>
    <w:rsid w:val="00423079"/>
    <w:rsid w:val="004236F1"/>
    <w:rsid w:val="0042377A"/>
    <w:rsid w:val="0042416A"/>
    <w:rsid w:val="00424202"/>
    <w:rsid w:val="004248A1"/>
    <w:rsid w:val="00424926"/>
    <w:rsid w:val="00424AD8"/>
    <w:rsid w:val="00424C20"/>
    <w:rsid w:val="00424DAE"/>
    <w:rsid w:val="00425039"/>
    <w:rsid w:val="004253AA"/>
    <w:rsid w:val="004253B3"/>
    <w:rsid w:val="004256D8"/>
    <w:rsid w:val="004258A7"/>
    <w:rsid w:val="00425CC9"/>
    <w:rsid w:val="00425D28"/>
    <w:rsid w:val="00426040"/>
    <w:rsid w:val="0042611B"/>
    <w:rsid w:val="00426213"/>
    <w:rsid w:val="004267DA"/>
    <w:rsid w:val="00426805"/>
    <w:rsid w:val="004269DE"/>
    <w:rsid w:val="00426C74"/>
    <w:rsid w:val="00426DD9"/>
    <w:rsid w:val="00426DDB"/>
    <w:rsid w:val="004271C4"/>
    <w:rsid w:val="004271EE"/>
    <w:rsid w:val="00427578"/>
    <w:rsid w:val="004275EC"/>
    <w:rsid w:val="00427769"/>
    <w:rsid w:val="00427988"/>
    <w:rsid w:val="00427A2A"/>
    <w:rsid w:val="00427A88"/>
    <w:rsid w:val="00427B32"/>
    <w:rsid w:val="00427D43"/>
    <w:rsid w:val="00427DA9"/>
    <w:rsid w:val="00427EA9"/>
    <w:rsid w:val="00427EFD"/>
    <w:rsid w:val="00430187"/>
    <w:rsid w:val="0043025E"/>
    <w:rsid w:val="00430298"/>
    <w:rsid w:val="0043044C"/>
    <w:rsid w:val="00430463"/>
    <w:rsid w:val="004304F2"/>
    <w:rsid w:val="004306EB"/>
    <w:rsid w:val="004307CA"/>
    <w:rsid w:val="0043094F"/>
    <w:rsid w:val="00430A1C"/>
    <w:rsid w:val="00430B87"/>
    <w:rsid w:val="00430F71"/>
    <w:rsid w:val="00431106"/>
    <w:rsid w:val="00431791"/>
    <w:rsid w:val="00431B44"/>
    <w:rsid w:val="004320DA"/>
    <w:rsid w:val="004320DE"/>
    <w:rsid w:val="00432248"/>
    <w:rsid w:val="004322F9"/>
    <w:rsid w:val="004323FB"/>
    <w:rsid w:val="00432460"/>
    <w:rsid w:val="004324DB"/>
    <w:rsid w:val="00432518"/>
    <w:rsid w:val="00432C12"/>
    <w:rsid w:val="00432D0C"/>
    <w:rsid w:val="00432E79"/>
    <w:rsid w:val="00433067"/>
    <w:rsid w:val="0043313C"/>
    <w:rsid w:val="00433267"/>
    <w:rsid w:val="00433337"/>
    <w:rsid w:val="00433B80"/>
    <w:rsid w:val="00433DF8"/>
    <w:rsid w:val="00433E9F"/>
    <w:rsid w:val="00433F9E"/>
    <w:rsid w:val="00434209"/>
    <w:rsid w:val="0043420D"/>
    <w:rsid w:val="00434ADE"/>
    <w:rsid w:val="00434C04"/>
    <w:rsid w:val="00435016"/>
    <w:rsid w:val="00435131"/>
    <w:rsid w:val="00435749"/>
    <w:rsid w:val="00435A85"/>
    <w:rsid w:val="00435E7A"/>
    <w:rsid w:val="00435F45"/>
    <w:rsid w:val="00436244"/>
    <w:rsid w:val="004365EE"/>
    <w:rsid w:val="0043660D"/>
    <w:rsid w:val="004369AB"/>
    <w:rsid w:val="00436D44"/>
    <w:rsid w:val="00436EA4"/>
    <w:rsid w:val="00436FA8"/>
    <w:rsid w:val="00437135"/>
    <w:rsid w:val="004372E9"/>
    <w:rsid w:val="004375CA"/>
    <w:rsid w:val="004378EA"/>
    <w:rsid w:val="004379B9"/>
    <w:rsid w:val="00437B4C"/>
    <w:rsid w:val="00437CB2"/>
    <w:rsid w:val="00437F20"/>
    <w:rsid w:val="00437FFB"/>
    <w:rsid w:val="0044029F"/>
    <w:rsid w:val="00440408"/>
    <w:rsid w:val="00440ABB"/>
    <w:rsid w:val="0044146D"/>
    <w:rsid w:val="00441892"/>
    <w:rsid w:val="00441A09"/>
    <w:rsid w:val="00441B33"/>
    <w:rsid w:val="00441E14"/>
    <w:rsid w:val="0044214A"/>
    <w:rsid w:val="004424BD"/>
    <w:rsid w:val="00442A7D"/>
    <w:rsid w:val="00442AB2"/>
    <w:rsid w:val="00442C78"/>
    <w:rsid w:val="00442CA0"/>
    <w:rsid w:val="00442EC5"/>
    <w:rsid w:val="00443071"/>
    <w:rsid w:val="0044308F"/>
    <w:rsid w:val="00443361"/>
    <w:rsid w:val="004433A4"/>
    <w:rsid w:val="0044390D"/>
    <w:rsid w:val="004439CE"/>
    <w:rsid w:val="00443B69"/>
    <w:rsid w:val="00444299"/>
    <w:rsid w:val="004442F1"/>
    <w:rsid w:val="00444613"/>
    <w:rsid w:val="0044479B"/>
    <w:rsid w:val="004449E6"/>
    <w:rsid w:val="00444FF1"/>
    <w:rsid w:val="00445238"/>
    <w:rsid w:val="00445543"/>
    <w:rsid w:val="004458FB"/>
    <w:rsid w:val="00445AD5"/>
    <w:rsid w:val="00445D08"/>
    <w:rsid w:val="00445D9D"/>
    <w:rsid w:val="00445DC6"/>
    <w:rsid w:val="00446096"/>
    <w:rsid w:val="00446591"/>
    <w:rsid w:val="00446950"/>
    <w:rsid w:val="00446B4E"/>
    <w:rsid w:val="00446CFC"/>
    <w:rsid w:val="00447601"/>
    <w:rsid w:val="00447893"/>
    <w:rsid w:val="0045050B"/>
    <w:rsid w:val="00450761"/>
    <w:rsid w:val="00450824"/>
    <w:rsid w:val="004509FC"/>
    <w:rsid w:val="00450B5F"/>
    <w:rsid w:val="00450D38"/>
    <w:rsid w:val="00450E48"/>
    <w:rsid w:val="00450FFE"/>
    <w:rsid w:val="004512F8"/>
    <w:rsid w:val="00451338"/>
    <w:rsid w:val="00451430"/>
    <w:rsid w:val="004515F9"/>
    <w:rsid w:val="004517F5"/>
    <w:rsid w:val="00451A6C"/>
    <w:rsid w:val="00451D2F"/>
    <w:rsid w:val="00452224"/>
    <w:rsid w:val="00452439"/>
    <w:rsid w:val="004528E8"/>
    <w:rsid w:val="00452AB6"/>
    <w:rsid w:val="00452AC0"/>
    <w:rsid w:val="00452C5F"/>
    <w:rsid w:val="00452DC9"/>
    <w:rsid w:val="00452F6F"/>
    <w:rsid w:val="00453305"/>
    <w:rsid w:val="0045334A"/>
    <w:rsid w:val="0045385B"/>
    <w:rsid w:val="00453FB1"/>
    <w:rsid w:val="0045435D"/>
    <w:rsid w:val="00454B00"/>
    <w:rsid w:val="00454B6B"/>
    <w:rsid w:val="00455109"/>
    <w:rsid w:val="0045536E"/>
    <w:rsid w:val="004553CD"/>
    <w:rsid w:val="00455765"/>
    <w:rsid w:val="004557BE"/>
    <w:rsid w:val="00455C21"/>
    <w:rsid w:val="00455C27"/>
    <w:rsid w:val="00455C76"/>
    <w:rsid w:val="0045613A"/>
    <w:rsid w:val="004566E9"/>
    <w:rsid w:val="0045684C"/>
    <w:rsid w:val="0045685B"/>
    <w:rsid w:val="00456F3A"/>
    <w:rsid w:val="00456F70"/>
    <w:rsid w:val="00457000"/>
    <w:rsid w:val="00457165"/>
    <w:rsid w:val="0045724C"/>
    <w:rsid w:val="00457355"/>
    <w:rsid w:val="004575AF"/>
    <w:rsid w:val="00457651"/>
    <w:rsid w:val="00460001"/>
    <w:rsid w:val="0046007D"/>
    <w:rsid w:val="0046071A"/>
    <w:rsid w:val="00460755"/>
    <w:rsid w:val="004609F7"/>
    <w:rsid w:val="00460A9A"/>
    <w:rsid w:val="00460D72"/>
    <w:rsid w:val="00460F53"/>
    <w:rsid w:val="004611DD"/>
    <w:rsid w:val="004613A2"/>
    <w:rsid w:val="00461772"/>
    <w:rsid w:val="00461803"/>
    <w:rsid w:val="00461A23"/>
    <w:rsid w:val="00461BA3"/>
    <w:rsid w:val="00461BEB"/>
    <w:rsid w:val="00461E08"/>
    <w:rsid w:val="004620E3"/>
    <w:rsid w:val="00462126"/>
    <w:rsid w:val="004624ED"/>
    <w:rsid w:val="004626C1"/>
    <w:rsid w:val="004627AA"/>
    <w:rsid w:val="00462AE2"/>
    <w:rsid w:val="00462B0B"/>
    <w:rsid w:val="0046309F"/>
    <w:rsid w:val="00463101"/>
    <w:rsid w:val="004636F9"/>
    <w:rsid w:val="00463942"/>
    <w:rsid w:val="00463BAB"/>
    <w:rsid w:val="00463C52"/>
    <w:rsid w:val="00463EB0"/>
    <w:rsid w:val="00464019"/>
    <w:rsid w:val="004642BC"/>
    <w:rsid w:val="0046436A"/>
    <w:rsid w:val="00464B29"/>
    <w:rsid w:val="00464C53"/>
    <w:rsid w:val="00464F4C"/>
    <w:rsid w:val="004655DA"/>
    <w:rsid w:val="00465620"/>
    <w:rsid w:val="004658A0"/>
    <w:rsid w:val="00465ACE"/>
    <w:rsid w:val="00465F2E"/>
    <w:rsid w:val="0046618B"/>
    <w:rsid w:val="004667B7"/>
    <w:rsid w:val="00466C22"/>
    <w:rsid w:val="00466C66"/>
    <w:rsid w:val="00466CAF"/>
    <w:rsid w:val="00466E58"/>
    <w:rsid w:val="00466E89"/>
    <w:rsid w:val="00467157"/>
    <w:rsid w:val="004675BA"/>
    <w:rsid w:val="00467723"/>
    <w:rsid w:val="00467A50"/>
    <w:rsid w:val="00467BD8"/>
    <w:rsid w:val="00467C46"/>
    <w:rsid w:val="00467E4F"/>
    <w:rsid w:val="00470079"/>
    <w:rsid w:val="004704DA"/>
    <w:rsid w:val="00470558"/>
    <w:rsid w:val="004708BB"/>
    <w:rsid w:val="0047099E"/>
    <w:rsid w:val="00470ABB"/>
    <w:rsid w:val="00470E62"/>
    <w:rsid w:val="00470EB9"/>
    <w:rsid w:val="00470EF7"/>
    <w:rsid w:val="00470F7E"/>
    <w:rsid w:val="00470FDB"/>
    <w:rsid w:val="004714F9"/>
    <w:rsid w:val="004718E6"/>
    <w:rsid w:val="00471C05"/>
    <w:rsid w:val="00471CB2"/>
    <w:rsid w:val="00471CE2"/>
    <w:rsid w:val="00471E99"/>
    <w:rsid w:val="00471FE6"/>
    <w:rsid w:val="004722A0"/>
    <w:rsid w:val="004722AE"/>
    <w:rsid w:val="00472385"/>
    <w:rsid w:val="00472497"/>
    <w:rsid w:val="004724D4"/>
    <w:rsid w:val="0047276C"/>
    <w:rsid w:val="00473545"/>
    <w:rsid w:val="004739F2"/>
    <w:rsid w:val="00473A62"/>
    <w:rsid w:val="00473BD7"/>
    <w:rsid w:val="00474140"/>
    <w:rsid w:val="0047414E"/>
    <w:rsid w:val="0047425F"/>
    <w:rsid w:val="00474286"/>
    <w:rsid w:val="00474371"/>
    <w:rsid w:val="00474392"/>
    <w:rsid w:val="00474520"/>
    <w:rsid w:val="004749DF"/>
    <w:rsid w:val="00474AD3"/>
    <w:rsid w:val="00474B08"/>
    <w:rsid w:val="00474DCA"/>
    <w:rsid w:val="00474E9A"/>
    <w:rsid w:val="0047517D"/>
    <w:rsid w:val="0047549D"/>
    <w:rsid w:val="004754EF"/>
    <w:rsid w:val="0047553E"/>
    <w:rsid w:val="004758A6"/>
    <w:rsid w:val="00475CB5"/>
    <w:rsid w:val="00475FBC"/>
    <w:rsid w:val="0047618B"/>
    <w:rsid w:val="0047644B"/>
    <w:rsid w:val="00476523"/>
    <w:rsid w:val="004765D6"/>
    <w:rsid w:val="004766DB"/>
    <w:rsid w:val="00476995"/>
    <w:rsid w:val="00476B7D"/>
    <w:rsid w:val="00476C79"/>
    <w:rsid w:val="00476E3E"/>
    <w:rsid w:val="00476E96"/>
    <w:rsid w:val="0047708D"/>
    <w:rsid w:val="00477395"/>
    <w:rsid w:val="00477489"/>
    <w:rsid w:val="00477652"/>
    <w:rsid w:val="0047777F"/>
    <w:rsid w:val="004777DD"/>
    <w:rsid w:val="00477B37"/>
    <w:rsid w:val="00477B8A"/>
    <w:rsid w:val="00477D38"/>
    <w:rsid w:val="00480066"/>
    <w:rsid w:val="004801AD"/>
    <w:rsid w:val="0048058B"/>
    <w:rsid w:val="004806A0"/>
    <w:rsid w:val="00480B88"/>
    <w:rsid w:val="00480D55"/>
    <w:rsid w:val="00480DA3"/>
    <w:rsid w:val="00480DAD"/>
    <w:rsid w:val="004810D4"/>
    <w:rsid w:val="0048119B"/>
    <w:rsid w:val="00481670"/>
    <w:rsid w:val="004819AC"/>
    <w:rsid w:val="00481E87"/>
    <w:rsid w:val="00481EBE"/>
    <w:rsid w:val="00481FF1"/>
    <w:rsid w:val="004823D8"/>
    <w:rsid w:val="00482618"/>
    <w:rsid w:val="00482790"/>
    <w:rsid w:val="0048279A"/>
    <w:rsid w:val="00482A6B"/>
    <w:rsid w:val="00482B28"/>
    <w:rsid w:val="00482E9B"/>
    <w:rsid w:val="00482FAE"/>
    <w:rsid w:val="00483392"/>
    <w:rsid w:val="0048373F"/>
    <w:rsid w:val="00483815"/>
    <w:rsid w:val="004838E8"/>
    <w:rsid w:val="00483917"/>
    <w:rsid w:val="0048394C"/>
    <w:rsid w:val="00483DC2"/>
    <w:rsid w:val="00483EAE"/>
    <w:rsid w:val="00483EB6"/>
    <w:rsid w:val="00483F62"/>
    <w:rsid w:val="00484655"/>
    <w:rsid w:val="00484934"/>
    <w:rsid w:val="00484B9A"/>
    <w:rsid w:val="00484C02"/>
    <w:rsid w:val="00484DEA"/>
    <w:rsid w:val="00484E95"/>
    <w:rsid w:val="00485483"/>
    <w:rsid w:val="0048577E"/>
    <w:rsid w:val="004857AE"/>
    <w:rsid w:val="00485913"/>
    <w:rsid w:val="00485DE0"/>
    <w:rsid w:val="004868E8"/>
    <w:rsid w:val="00486A57"/>
    <w:rsid w:val="00486A8E"/>
    <w:rsid w:val="00486CB8"/>
    <w:rsid w:val="00486E09"/>
    <w:rsid w:val="0048731B"/>
    <w:rsid w:val="00487394"/>
    <w:rsid w:val="004873E9"/>
    <w:rsid w:val="00487494"/>
    <w:rsid w:val="0048754B"/>
    <w:rsid w:val="0048766F"/>
    <w:rsid w:val="00487707"/>
    <w:rsid w:val="00487AE4"/>
    <w:rsid w:val="00490010"/>
    <w:rsid w:val="004902AE"/>
    <w:rsid w:val="0049041E"/>
    <w:rsid w:val="0049044A"/>
    <w:rsid w:val="0049064A"/>
    <w:rsid w:val="004906F7"/>
    <w:rsid w:val="00490822"/>
    <w:rsid w:val="00490F25"/>
    <w:rsid w:val="004911CA"/>
    <w:rsid w:val="004914DF"/>
    <w:rsid w:val="0049171F"/>
    <w:rsid w:val="0049186D"/>
    <w:rsid w:val="004918BA"/>
    <w:rsid w:val="00491A0C"/>
    <w:rsid w:val="00491F5D"/>
    <w:rsid w:val="00492756"/>
    <w:rsid w:val="0049290D"/>
    <w:rsid w:val="00492923"/>
    <w:rsid w:val="00492A59"/>
    <w:rsid w:val="00492B6C"/>
    <w:rsid w:val="00492BC9"/>
    <w:rsid w:val="0049321E"/>
    <w:rsid w:val="0049397C"/>
    <w:rsid w:val="00493BB6"/>
    <w:rsid w:val="00493BE5"/>
    <w:rsid w:val="00493C30"/>
    <w:rsid w:val="00493C97"/>
    <w:rsid w:val="00493E14"/>
    <w:rsid w:val="00493FB2"/>
    <w:rsid w:val="00494091"/>
    <w:rsid w:val="00494491"/>
    <w:rsid w:val="00494570"/>
    <w:rsid w:val="0049475C"/>
    <w:rsid w:val="0049479A"/>
    <w:rsid w:val="004949C7"/>
    <w:rsid w:val="00494A2C"/>
    <w:rsid w:val="00494C6A"/>
    <w:rsid w:val="00494DF4"/>
    <w:rsid w:val="004954DF"/>
    <w:rsid w:val="00495583"/>
    <w:rsid w:val="00495A0E"/>
    <w:rsid w:val="00495F03"/>
    <w:rsid w:val="00496572"/>
    <w:rsid w:val="00496B1E"/>
    <w:rsid w:val="00496B5D"/>
    <w:rsid w:val="00496FBC"/>
    <w:rsid w:val="004974CA"/>
    <w:rsid w:val="0049793E"/>
    <w:rsid w:val="00497CA2"/>
    <w:rsid w:val="004A0411"/>
    <w:rsid w:val="004A0C13"/>
    <w:rsid w:val="004A0F1A"/>
    <w:rsid w:val="004A1383"/>
    <w:rsid w:val="004A153D"/>
    <w:rsid w:val="004A1683"/>
    <w:rsid w:val="004A18DD"/>
    <w:rsid w:val="004A1A8C"/>
    <w:rsid w:val="004A1C2B"/>
    <w:rsid w:val="004A1D3A"/>
    <w:rsid w:val="004A1D6D"/>
    <w:rsid w:val="004A1E5D"/>
    <w:rsid w:val="004A1F41"/>
    <w:rsid w:val="004A20E8"/>
    <w:rsid w:val="004A2183"/>
    <w:rsid w:val="004A2557"/>
    <w:rsid w:val="004A2A7F"/>
    <w:rsid w:val="004A2C99"/>
    <w:rsid w:val="004A3168"/>
    <w:rsid w:val="004A31CF"/>
    <w:rsid w:val="004A325D"/>
    <w:rsid w:val="004A34D3"/>
    <w:rsid w:val="004A34D8"/>
    <w:rsid w:val="004A35B4"/>
    <w:rsid w:val="004A36DE"/>
    <w:rsid w:val="004A36E9"/>
    <w:rsid w:val="004A3A84"/>
    <w:rsid w:val="004A3D70"/>
    <w:rsid w:val="004A3DD5"/>
    <w:rsid w:val="004A40C4"/>
    <w:rsid w:val="004A41C8"/>
    <w:rsid w:val="004A427C"/>
    <w:rsid w:val="004A4772"/>
    <w:rsid w:val="004A480C"/>
    <w:rsid w:val="004A4907"/>
    <w:rsid w:val="004A4A06"/>
    <w:rsid w:val="004A4D8C"/>
    <w:rsid w:val="004A5000"/>
    <w:rsid w:val="004A505C"/>
    <w:rsid w:val="004A51B1"/>
    <w:rsid w:val="004A52F1"/>
    <w:rsid w:val="004A54DC"/>
    <w:rsid w:val="004A5573"/>
    <w:rsid w:val="004A591C"/>
    <w:rsid w:val="004A5ADD"/>
    <w:rsid w:val="004A5E33"/>
    <w:rsid w:val="004A5F7E"/>
    <w:rsid w:val="004A6054"/>
    <w:rsid w:val="004A60D8"/>
    <w:rsid w:val="004A618A"/>
    <w:rsid w:val="004A6481"/>
    <w:rsid w:val="004A6EA4"/>
    <w:rsid w:val="004A7BEC"/>
    <w:rsid w:val="004B0487"/>
    <w:rsid w:val="004B0574"/>
    <w:rsid w:val="004B06DB"/>
    <w:rsid w:val="004B06E1"/>
    <w:rsid w:val="004B0874"/>
    <w:rsid w:val="004B0D2D"/>
    <w:rsid w:val="004B0E5C"/>
    <w:rsid w:val="004B1044"/>
    <w:rsid w:val="004B11DA"/>
    <w:rsid w:val="004B1474"/>
    <w:rsid w:val="004B1899"/>
    <w:rsid w:val="004B1994"/>
    <w:rsid w:val="004B1A7F"/>
    <w:rsid w:val="004B1DAC"/>
    <w:rsid w:val="004B1EE0"/>
    <w:rsid w:val="004B20BE"/>
    <w:rsid w:val="004B2CDB"/>
    <w:rsid w:val="004B2FF3"/>
    <w:rsid w:val="004B300E"/>
    <w:rsid w:val="004B3141"/>
    <w:rsid w:val="004B32E6"/>
    <w:rsid w:val="004B3488"/>
    <w:rsid w:val="004B365E"/>
    <w:rsid w:val="004B375C"/>
    <w:rsid w:val="004B3823"/>
    <w:rsid w:val="004B3B8C"/>
    <w:rsid w:val="004B3C78"/>
    <w:rsid w:val="004B4016"/>
    <w:rsid w:val="004B40DA"/>
    <w:rsid w:val="004B4204"/>
    <w:rsid w:val="004B42CA"/>
    <w:rsid w:val="004B4301"/>
    <w:rsid w:val="004B44E2"/>
    <w:rsid w:val="004B4A4B"/>
    <w:rsid w:val="004B4BFD"/>
    <w:rsid w:val="004B4C9C"/>
    <w:rsid w:val="004B4E0F"/>
    <w:rsid w:val="004B4F0B"/>
    <w:rsid w:val="004B4FB7"/>
    <w:rsid w:val="004B5098"/>
    <w:rsid w:val="004B513A"/>
    <w:rsid w:val="004B5231"/>
    <w:rsid w:val="004B5278"/>
    <w:rsid w:val="004B5B1C"/>
    <w:rsid w:val="004B5B9D"/>
    <w:rsid w:val="004B5C28"/>
    <w:rsid w:val="004B5C7F"/>
    <w:rsid w:val="004B5C98"/>
    <w:rsid w:val="004B5E6E"/>
    <w:rsid w:val="004B5F25"/>
    <w:rsid w:val="004B607C"/>
    <w:rsid w:val="004B609F"/>
    <w:rsid w:val="004B62E9"/>
    <w:rsid w:val="004B666D"/>
    <w:rsid w:val="004B6A5D"/>
    <w:rsid w:val="004B71B9"/>
    <w:rsid w:val="004B73A1"/>
    <w:rsid w:val="004B73D6"/>
    <w:rsid w:val="004B7515"/>
    <w:rsid w:val="004B75E6"/>
    <w:rsid w:val="004B7DF0"/>
    <w:rsid w:val="004B7FBA"/>
    <w:rsid w:val="004C0157"/>
    <w:rsid w:val="004C032D"/>
    <w:rsid w:val="004C03A5"/>
    <w:rsid w:val="004C0566"/>
    <w:rsid w:val="004C0766"/>
    <w:rsid w:val="004C09DD"/>
    <w:rsid w:val="004C0C01"/>
    <w:rsid w:val="004C1163"/>
    <w:rsid w:val="004C119C"/>
    <w:rsid w:val="004C1246"/>
    <w:rsid w:val="004C1533"/>
    <w:rsid w:val="004C171F"/>
    <w:rsid w:val="004C17F4"/>
    <w:rsid w:val="004C1A3B"/>
    <w:rsid w:val="004C1CAA"/>
    <w:rsid w:val="004C1DBF"/>
    <w:rsid w:val="004C1DC3"/>
    <w:rsid w:val="004C1ED2"/>
    <w:rsid w:val="004C1F54"/>
    <w:rsid w:val="004C2061"/>
    <w:rsid w:val="004C2273"/>
    <w:rsid w:val="004C258F"/>
    <w:rsid w:val="004C26F5"/>
    <w:rsid w:val="004C278C"/>
    <w:rsid w:val="004C2E4D"/>
    <w:rsid w:val="004C3091"/>
    <w:rsid w:val="004C3230"/>
    <w:rsid w:val="004C4171"/>
    <w:rsid w:val="004C41D0"/>
    <w:rsid w:val="004C42AB"/>
    <w:rsid w:val="004C466E"/>
    <w:rsid w:val="004C4AA9"/>
    <w:rsid w:val="004C4CF9"/>
    <w:rsid w:val="004C4E7F"/>
    <w:rsid w:val="004C4EDA"/>
    <w:rsid w:val="004C4F1D"/>
    <w:rsid w:val="004C50FF"/>
    <w:rsid w:val="004C5679"/>
    <w:rsid w:val="004C5849"/>
    <w:rsid w:val="004C5CF8"/>
    <w:rsid w:val="004C5FBF"/>
    <w:rsid w:val="004C6670"/>
    <w:rsid w:val="004C6A35"/>
    <w:rsid w:val="004C6D22"/>
    <w:rsid w:val="004C7192"/>
    <w:rsid w:val="004C7739"/>
    <w:rsid w:val="004C78E4"/>
    <w:rsid w:val="004C7A0D"/>
    <w:rsid w:val="004C7F39"/>
    <w:rsid w:val="004D002A"/>
    <w:rsid w:val="004D016B"/>
    <w:rsid w:val="004D03E9"/>
    <w:rsid w:val="004D0C51"/>
    <w:rsid w:val="004D107C"/>
    <w:rsid w:val="004D130A"/>
    <w:rsid w:val="004D1698"/>
    <w:rsid w:val="004D188B"/>
    <w:rsid w:val="004D1C03"/>
    <w:rsid w:val="004D1CD6"/>
    <w:rsid w:val="004D1DC1"/>
    <w:rsid w:val="004D1E8F"/>
    <w:rsid w:val="004D263F"/>
    <w:rsid w:val="004D26EC"/>
    <w:rsid w:val="004D274D"/>
    <w:rsid w:val="004D2804"/>
    <w:rsid w:val="004D28CD"/>
    <w:rsid w:val="004D2A33"/>
    <w:rsid w:val="004D2C38"/>
    <w:rsid w:val="004D2D03"/>
    <w:rsid w:val="004D3141"/>
    <w:rsid w:val="004D3323"/>
    <w:rsid w:val="004D3921"/>
    <w:rsid w:val="004D3B94"/>
    <w:rsid w:val="004D3C92"/>
    <w:rsid w:val="004D42DA"/>
    <w:rsid w:val="004D42DE"/>
    <w:rsid w:val="004D46C6"/>
    <w:rsid w:val="004D4912"/>
    <w:rsid w:val="004D4946"/>
    <w:rsid w:val="004D4ADC"/>
    <w:rsid w:val="004D4BB9"/>
    <w:rsid w:val="004D4C1B"/>
    <w:rsid w:val="004D5211"/>
    <w:rsid w:val="004D53FA"/>
    <w:rsid w:val="004D54C5"/>
    <w:rsid w:val="004D54F4"/>
    <w:rsid w:val="004D58F1"/>
    <w:rsid w:val="004D6340"/>
    <w:rsid w:val="004D67D9"/>
    <w:rsid w:val="004D6866"/>
    <w:rsid w:val="004D6C3A"/>
    <w:rsid w:val="004D6C67"/>
    <w:rsid w:val="004D6E86"/>
    <w:rsid w:val="004D6E88"/>
    <w:rsid w:val="004D7106"/>
    <w:rsid w:val="004D7348"/>
    <w:rsid w:val="004D7977"/>
    <w:rsid w:val="004D79AD"/>
    <w:rsid w:val="004D7BCD"/>
    <w:rsid w:val="004D7BEA"/>
    <w:rsid w:val="004D7E5A"/>
    <w:rsid w:val="004E0508"/>
    <w:rsid w:val="004E0551"/>
    <w:rsid w:val="004E08F5"/>
    <w:rsid w:val="004E0949"/>
    <w:rsid w:val="004E0A7C"/>
    <w:rsid w:val="004E0D80"/>
    <w:rsid w:val="004E0FFB"/>
    <w:rsid w:val="004E10A3"/>
    <w:rsid w:val="004E1519"/>
    <w:rsid w:val="004E15D6"/>
    <w:rsid w:val="004E16AE"/>
    <w:rsid w:val="004E1A70"/>
    <w:rsid w:val="004E1B03"/>
    <w:rsid w:val="004E1B08"/>
    <w:rsid w:val="004E1B52"/>
    <w:rsid w:val="004E1F25"/>
    <w:rsid w:val="004E1F99"/>
    <w:rsid w:val="004E205A"/>
    <w:rsid w:val="004E27A4"/>
    <w:rsid w:val="004E28CD"/>
    <w:rsid w:val="004E28E9"/>
    <w:rsid w:val="004E2CB1"/>
    <w:rsid w:val="004E2DC8"/>
    <w:rsid w:val="004E2EBD"/>
    <w:rsid w:val="004E3028"/>
    <w:rsid w:val="004E304E"/>
    <w:rsid w:val="004E3177"/>
    <w:rsid w:val="004E3300"/>
    <w:rsid w:val="004E340B"/>
    <w:rsid w:val="004E34A9"/>
    <w:rsid w:val="004E3912"/>
    <w:rsid w:val="004E3979"/>
    <w:rsid w:val="004E3F02"/>
    <w:rsid w:val="004E4061"/>
    <w:rsid w:val="004E411E"/>
    <w:rsid w:val="004E476D"/>
    <w:rsid w:val="004E4CC6"/>
    <w:rsid w:val="004E506A"/>
    <w:rsid w:val="004E538B"/>
    <w:rsid w:val="004E53B6"/>
    <w:rsid w:val="004E54B9"/>
    <w:rsid w:val="004E5847"/>
    <w:rsid w:val="004E59CF"/>
    <w:rsid w:val="004E649C"/>
    <w:rsid w:val="004E683E"/>
    <w:rsid w:val="004E73AC"/>
    <w:rsid w:val="004E75F2"/>
    <w:rsid w:val="004E78B2"/>
    <w:rsid w:val="004E7B3B"/>
    <w:rsid w:val="004E7D39"/>
    <w:rsid w:val="004E7DDD"/>
    <w:rsid w:val="004F00B8"/>
    <w:rsid w:val="004F0755"/>
    <w:rsid w:val="004F07CD"/>
    <w:rsid w:val="004F07DE"/>
    <w:rsid w:val="004F09CC"/>
    <w:rsid w:val="004F0A3C"/>
    <w:rsid w:val="004F0B07"/>
    <w:rsid w:val="004F0D89"/>
    <w:rsid w:val="004F0EED"/>
    <w:rsid w:val="004F0F8D"/>
    <w:rsid w:val="004F1274"/>
    <w:rsid w:val="004F1301"/>
    <w:rsid w:val="004F13A1"/>
    <w:rsid w:val="004F1536"/>
    <w:rsid w:val="004F1A64"/>
    <w:rsid w:val="004F1A8F"/>
    <w:rsid w:val="004F1BC9"/>
    <w:rsid w:val="004F1DB3"/>
    <w:rsid w:val="004F2434"/>
    <w:rsid w:val="004F33C2"/>
    <w:rsid w:val="004F3826"/>
    <w:rsid w:val="004F3ADD"/>
    <w:rsid w:val="004F436F"/>
    <w:rsid w:val="004F4497"/>
    <w:rsid w:val="004F4523"/>
    <w:rsid w:val="004F4588"/>
    <w:rsid w:val="004F4798"/>
    <w:rsid w:val="004F4A27"/>
    <w:rsid w:val="004F4C77"/>
    <w:rsid w:val="004F5022"/>
    <w:rsid w:val="004F5298"/>
    <w:rsid w:val="004F5455"/>
    <w:rsid w:val="004F56E1"/>
    <w:rsid w:val="004F5E5C"/>
    <w:rsid w:val="004F5EE1"/>
    <w:rsid w:val="004F6095"/>
    <w:rsid w:val="004F6264"/>
    <w:rsid w:val="004F64A9"/>
    <w:rsid w:val="004F6B7B"/>
    <w:rsid w:val="004F71FE"/>
    <w:rsid w:val="004F720E"/>
    <w:rsid w:val="004F7241"/>
    <w:rsid w:val="004F7B8D"/>
    <w:rsid w:val="004F7EE2"/>
    <w:rsid w:val="004F7F50"/>
    <w:rsid w:val="004F7F80"/>
    <w:rsid w:val="004F7FCE"/>
    <w:rsid w:val="0050009B"/>
    <w:rsid w:val="005001DA"/>
    <w:rsid w:val="0050056B"/>
    <w:rsid w:val="0050065A"/>
    <w:rsid w:val="00500791"/>
    <w:rsid w:val="00500A4A"/>
    <w:rsid w:val="00500BD8"/>
    <w:rsid w:val="00500C48"/>
    <w:rsid w:val="00500CA7"/>
    <w:rsid w:val="00500E4E"/>
    <w:rsid w:val="00501094"/>
    <w:rsid w:val="0050115A"/>
    <w:rsid w:val="0050168D"/>
    <w:rsid w:val="005020FF"/>
    <w:rsid w:val="005024A1"/>
    <w:rsid w:val="005024ED"/>
    <w:rsid w:val="005026D0"/>
    <w:rsid w:val="005027F5"/>
    <w:rsid w:val="00502879"/>
    <w:rsid w:val="00502CF1"/>
    <w:rsid w:val="00502F71"/>
    <w:rsid w:val="00503419"/>
    <w:rsid w:val="00503C3E"/>
    <w:rsid w:val="00503D1D"/>
    <w:rsid w:val="00503FD4"/>
    <w:rsid w:val="00503FFC"/>
    <w:rsid w:val="0050424F"/>
    <w:rsid w:val="005042A7"/>
    <w:rsid w:val="005045D5"/>
    <w:rsid w:val="005048C2"/>
    <w:rsid w:val="00504D5B"/>
    <w:rsid w:val="00505037"/>
    <w:rsid w:val="005053EC"/>
    <w:rsid w:val="00505517"/>
    <w:rsid w:val="00505621"/>
    <w:rsid w:val="005058B3"/>
    <w:rsid w:val="00505F89"/>
    <w:rsid w:val="0050611A"/>
    <w:rsid w:val="0050611F"/>
    <w:rsid w:val="00506151"/>
    <w:rsid w:val="00506825"/>
    <w:rsid w:val="00506826"/>
    <w:rsid w:val="00506A6C"/>
    <w:rsid w:val="00506D6D"/>
    <w:rsid w:val="00506DDC"/>
    <w:rsid w:val="005070C7"/>
    <w:rsid w:val="00507195"/>
    <w:rsid w:val="00507382"/>
    <w:rsid w:val="0050741D"/>
    <w:rsid w:val="00507593"/>
    <w:rsid w:val="00507978"/>
    <w:rsid w:val="005079DF"/>
    <w:rsid w:val="00507AAB"/>
    <w:rsid w:val="00507D69"/>
    <w:rsid w:val="00507D72"/>
    <w:rsid w:val="00507F7E"/>
    <w:rsid w:val="00510045"/>
    <w:rsid w:val="00510177"/>
    <w:rsid w:val="0051017C"/>
    <w:rsid w:val="00510182"/>
    <w:rsid w:val="00510340"/>
    <w:rsid w:val="005107B3"/>
    <w:rsid w:val="0051081D"/>
    <w:rsid w:val="00510A98"/>
    <w:rsid w:val="00510B6B"/>
    <w:rsid w:val="00510D11"/>
    <w:rsid w:val="00510DBA"/>
    <w:rsid w:val="00510E0E"/>
    <w:rsid w:val="00510E40"/>
    <w:rsid w:val="00510E80"/>
    <w:rsid w:val="0051102B"/>
    <w:rsid w:val="00511476"/>
    <w:rsid w:val="00511634"/>
    <w:rsid w:val="005119A6"/>
    <w:rsid w:val="005119C0"/>
    <w:rsid w:val="00511CFC"/>
    <w:rsid w:val="005120B2"/>
    <w:rsid w:val="0051243C"/>
    <w:rsid w:val="005125A9"/>
    <w:rsid w:val="0051291F"/>
    <w:rsid w:val="00512B0B"/>
    <w:rsid w:val="00512C29"/>
    <w:rsid w:val="00512C48"/>
    <w:rsid w:val="00512E50"/>
    <w:rsid w:val="00513146"/>
    <w:rsid w:val="00513406"/>
    <w:rsid w:val="00513683"/>
    <w:rsid w:val="00513CC2"/>
    <w:rsid w:val="00513F20"/>
    <w:rsid w:val="00514175"/>
    <w:rsid w:val="005146F7"/>
    <w:rsid w:val="0051476B"/>
    <w:rsid w:val="00514CC1"/>
    <w:rsid w:val="00514EDD"/>
    <w:rsid w:val="00514F47"/>
    <w:rsid w:val="0051540C"/>
    <w:rsid w:val="00515511"/>
    <w:rsid w:val="00515539"/>
    <w:rsid w:val="005158B3"/>
    <w:rsid w:val="005158F8"/>
    <w:rsid w:val="00515A30"/>
    <w:rsid w:val="00515CE8"/>
    <w:rsid w:val="00515DF5"/>
    <w:rsid w:val="00515FEE"/>
    <w:rsid w:val="00516324"/>
    <w:rsid w:val="00516797"/>
    <w:rsid w:val="00516B72"/>
    <w:rsid w:val="00516C06"/>
    <w:rsid w:val="00516FA9"/>
    <w:rsid w:val="0051700C"/>
    <w:rsid w:val="0051743C"/>
    <w:rsid w:val="005175F0"/>
    <w:rsid w:val="00517707"/>
    <w:rsid w:val="00517ADD"/>
    <w:rsid w:val="00517DE3"/>
    <w:rsid w:val="00520084"/>
    <w:rsid w:val="005205F1"/>
    <w:rsid w:val="005212C6"/>
    <w:rsid w:val="0052141E"/>
    <w:rsid w:val="00521542"/>
    <w:rsid w:val="00521663"/>
    <w:rsid w:val="00521966"/>
    <w:rsid w:val="005219CB"/>
    <w:rsid w:val="00521CF9"/>
    <w:rsid w:val="00521DA5"/>
    <w:rsid w:val="00521F43"/>
    <w:rsid w:val="005225A8"/>
    <w:rsid w:val="00522956"/>
    <w:rsid w:val="00522B97"/>
    <w:rsid w:val="00522CF3"/>
    <w:rsid w:val="00522F57"/>
    <w:rsid w:val="00523083"/>
    <w:rsid w:val="005231AE"/>
    <w:rsid w:val="005235F5"/>
    <w:rsid w:val="005238FF"/>
    <w:rsid w:val="00523A3B"/>
    <w:rsid w:val="00523EE8"/>
    <w:rsid w:val="00524127"/>
    <w:rsid w:val="00524515"/>
    <w:rsid w:val="0052467E"/>
    <w:rsid w:val="0052472F"/>
    <w:rsid w:val="005249BE"/>
    <w:rsid w:val="00524D22"/>
    <w:rsid w:val="00525671"/>
    <w:rsid w:val="0052575B"/>
    <w:rsid w:val="00525A56"/>
    <w:rsid w:val="00525AED"/>
    <w:rsid w:val="00525CA6"/>
    <w:rsid w:val="00525DAA"/>
    <w:rsid w:val="00526100"/>
    <w:rsid w:val="00526591"/>
    <w:rsid w:val="005265B9"/>
    <w:rsid w:val="0052675A"/>
    <w:rsid w:val="005267DB"/>
    <w:rsid w:val="005267F3"/>
    <w:rsid w:val="0052692A"/>
    <w:rsid w:val="00526F0F"/>
    <w:rsid w:val="00527278"/>
    <w:rsid w:val="00527392"/>
    <w:rsid w:val="005273FD"/>
    <w:rsid w:val="0052778D"/>
    <w:rsid w:val="00527BD8"/>
    <w:rsid w:val="00527F8E"/>
    <w:rsid w:val="005301EA"/>
    <w:rsid w:val="005301F3"/>
    <w:rsid w:val="005304B4"/>
    <w:rsid w:val="0053054B"/>
    <w:rsid w:val="005306D6"/>
    <w:rsid w:val="00530765"/>
    <w:rsid w:val="00530D07"/>
    <w:rsid w:val="00530F83"/>
    <w:rsid w:val="00530FB2"/>
    <w:rsid w:val="005312C8"/>
    <w:rsid w:val="00531CDD"/>
    <w:rsid w:val="00531CEB"/>
    <w:rsid w:val="00531D00"/>
    <w:rsid w:val="00531D71"/>
    <w:rsid w:val="00531F2E"/>
    <w:rsid w:val="00531F5A"/>
    <w:rsid w:val="005320F8"/>
    <w:rsid w:val="0053298C"/>
    <w:rsid w:val="00532B8D"/>
    <w:rsid w:val="00532BFA"/>
    <w:rsid w:val="00532DA2"/>
    <w:rsid w:val="00532E60"/>
    <w:rsid w:val="00532EC4"/>
    <w:rsid w:val="00532F35"/>
    <w:rsid w:val="00532F71"/>
    <w:rsid w:val="00532F72"/>
    <w:rsid w:val="005332ED"/>
    <w:rsid w:val="00533781"/>
    <w:rsid w:val="00533AA6"/>
    <w:rsid w:val="00533B01"/>
    <w:rsid w:val="00533E5F"/>
    <w:rsid w:val="00534018"/>
    <w:rsid w:val="0053445B"/>
    <w:rsid w:val="00534FE5"/>
    <w:rsid w:val="00535476"/>
    <w:rsid w:val="00535745"/>
    <w:rsid w:val="00535942"/>
    <w:rsid w:val="00535CFF"/>
    <w:rsid w:val="00535DA5"/>
    <w:rsid w:val="005362B8"/>
    <w:rsid w:val="00536405"/>
    <w:rsid w:val="005364E4"/>
    <w:rsid w:val="005366CA"/>
    <w:rsid w:val="00536B71"/>
    <w:rsid w:val="00536BA7"/>
    <w:rsid w:val="00536C05"/>
    <w:rsid w:val="00536DA9"/>
    <w:rsid w:val="0053703A"/>
    <w:rsid w:val="005371C3"/>
    <w:rsid w:val="00537252"/>
    <w:rsid w:val="0053734F"/>
    <w:rsid w:val="0053740D"/>
    <w:rsid w:val="00537435"/>
    <w:rsid w:val="005375C7"/>
    <w:rsid w:val="00537633"/>
    <w:rsid w:val="0053766A"/>
    <w:rsid w:val="005377E1"/>
    <w:rsid w:val="005378C3"/>
    <w:rsid w:val="00537C72"/>
    <w:rsid w:val="00537FAC"/>
    <w:rsid w:val="0054005C"/>
    <w:rsid w:val="00540106"/>
    <w:rsid w:val="00540533"/>
    <w:rsid w:val="00541227"/>
    <w:rsid w:val="005419B2"/>
    <w:rsid w:val="00541ADC"/>
    <w:rsid w:val="00541C52"/>
    <w:rsid w:val="00541DB2"/>
    <w:rsid w:val="00541F5A"/>
    <w:rsid w:val="005420E3"/>
    <w:rsid w:val="00542264"/>
    <w:rsid w:val="005423B6"/>
    <w:rsid w:val="00542483"/>
    <w:rsid w:val="005425C6"/>
    <w:rsid w:val="00542CC6"/>
    <w:rsid w:val="00542DC5"/>
    <w:rsid w:val="00542DDE"/>
    <w:rsid w:val="00542E67"/>
    <w:rsid w:val="005435D7"/>
    <w:rsid w:val="005436DE"/>
    <w:rsid w:val="00543DA4"/>
    <w:rsid w:val="0054427E"/>
    <w:rsid w:val="00544538"/>
    <w:rsid w:val="00544CA9"/>
    <w:rsid w:val="0054514A"/>
    <w:rsid w:val="00545392"/>
    <w:rsid w:val="00545466"/>
    <w:rsid w:val="00545484"/>
    <w:rsid w:val="0054552B"/>
    <w:rsid w:val="00545659"/>
    <w:rsid w:val="00545DD3"/>
    <w:rsid w:val="00545F36"/>
    <w:rsid w:val="00546238"/>
    <w:rsid w:val="00546289"/>
    <w:rsid w:val="0054635E"/>
    <w:rsid w:val="00546640"/>
    <w:rsid w:val="00546724"/>
    <w:rsid w:val="00546971"/>
    <w:rsid w:val="00546A20"/>
    <w:rsid w:val="00546E85"/>
    <w:rsid w:val="00546ED0"/>
    <w:rsid w:val="00546EF7"/>
    <w:rsid w:val="00547300"/>
    <w:rsid w:val="005473D2"/>
    <w:rsid w:val="00547423"/>
    <w:rsid w:val="005477E5"/>
    <w:rsid w:val="00547871"/>
    <w:rsid w:val="0054789A"/>
    <w:rsid w:val="0054798E"/>
    <w:rsid w:val="00547A99"/>
    <w:rsid w:val="00550576"/>
    <w:rsid w:val="00550D03"/>
    <w:rsid w:val="00550F7E"/>
    <w:rsid w:val="005510E9"/>
    <w:rsid w:val="00551181"/>
    <w:rsid w:val="0055127F"/>
    <w:rsid w:val="005512A8"/>
    <w:rsid w:val="005513A5"/>
    <w:rsid w:val="005514C5"/>
    <w:rsid w:val="0055190E"/>
    <w:rsid w:val="00551A0C"/>
    <w:rsid w:val="00551B47"/>
    <w:rsid w:val="00551C82"/>
    <w:rsid w:val="00551E16"/>
    <w:rsid w:val="0055249F"/>
    <w:rsid w:val="005525D9"/>
    <w:rsid w:val="00552BA9"/>
    <w:rsid w:val="00552BAE"/>
    <w:rsid w:val="00552CB1"/>
    <w:rsid w:val="005530BC"/>
    <w:rsid w:val="005536FF"/>
    <w:rsid w:val="005539DC"/>
    <w:rsid w:val="00553AD6"/>
    <w:rsid w:val="00553C73"/>
    <w:rsid w:val="00553CA0"/>
    <w:rsid w:val="00554347"/>
    <w:rsid w:val="005544AB"/>
    <w:rsid w:val="005544F9"/>
    <w:rsid w:val="00554921"/>
    <w:rsid w:val="00554A81"/>
    <w:rsid w:val="005550AA"/>
    <w:rsid w:val="0055542C"/>
    <w:rsid w:val="00555595"/>
    <w:rsid w:val="0055596F"/>
    <w:rsid w:val="005559BF"/>
    <w:rsid w:val="00555C24"/>
    <w:rsid w:val="00556188"/>
    <w:rsid w:val="005566F8"/>
    <w:rsid w:val="00556A25"/>
    <w:rsid w:val="00556B72"/>
    <w:rsid w:val="00556E56"/>
    <w:rsid w:val="00557124"/>
    <w:rsid w:val="00557362"/>
    <w:rsid w:val="0055753B"/>
    <w:rsid w:val="005577BB"/>
    <w:rsid w:val="00557939"/>
    <w:rsid w:val="005579D1"/>
    <w:rsid w:val="00557B75"/>
    <w:rsid w:val="00557EA7"/>
    <w:rsid w:val="00557F92"/>
    <w:rsid w:val="00560CAE"/>
    <w:rsid w:val="00561060"/>
    <w:rsid w:val="005610E0"/>
    <w:rsid w:val="00561334"/>
    <w:rsid w:val="00561568"/>
    <w:rsid w:val="005617CE"/>
    <w:rsid w:val="00561CB3"/>
    <w:rsid w:val="00561CFD"/>
    <w:rsid w:val="00561E3C"/>
    <w:rsid w:val="00562537"/>
    <w:rsid w:val="00562603"/>
    <w:rsid w:val="005629BC"/>
    <w:rsid w:val="0056335E"/>
    <w:rsid w:val="0056358D"/>
    <w:rsid w:val="00563A0E"/>
    <w:rsid w:val="00563AEA"/>
    <w:rsid w:val="00563CE5"/>
    <w:rsid w:val="005643F2"/>
    <w:rsid w:val="0056481E"/>
    <w:rsid w:val="00564821"/>
    <w:rsid w:val="00564856"/>
    <w:rsid w:val="00564A40"/>
    <w:rsid w:val="00564ED2"/>
    <w:rsid w:val="0056508A"/>
    <w:rsid w:val="0056534A"/>
    <w:rsid w:val="00565975"/>
    <w:rsid w:val="00565A5A"/>
    <w:rsid w:val="00565D6A"/>
    <w:rsid w:val="00565F10"/>
    <w:rsid w:val="00565F51"/>
    <w:rsid w:val="00565FE1"/>
    <w:rsid w:val="00566877"/>
    <w:rsid w:val="00566A7D"/>
    <w:rsid w:val="00566CC6"/>
    <w:rsid w:val="00566F81"/>
    <w:rsid w:val="005671AE"/>
    <w:rsid w:val="00567420"/>
    <w:rsid w:val="00567AE6"/>
    <w:rsid w:val="00567AF0"/>
    <w:rsid w:val="00567B60"/>
    <w:rsid w:val="00567C41"/>
    <w:rsid w:val="00567D16"/>
    <w:rsid w:val="00570B65"/>
    <w:rsid w:val="00570B85"/>
    <w:rsid w:val="00570DF5"/>
    <w:rsid w:val="0057154E"/>
    <w:rsid w:val="00571684"/>
    <w:rsid w:val="005719B9"/>
    <w:rsid w:val="00571B71"/>
    <w:rsid w:val="00571EED"/>
    <w:rsid w:val="00571F0E"/>
    <w:rsid w:val="00571F80"/>
    <w:rsid w:val="0057202F"/>
    <w:rsid w:val="005723E1"/>
    <w:rsid w:val="00572429"/>
    <w:rsid w:val="005725B7"/>
    <w:rsid w:val="00572864"/>
    <w:rsid w:val="00572A04"/>
    <w:rsid w:val="00572E64"/>
    <w:rsid w:val="00572FA0"/>
    <w:rsid w:val="0057332A"/>
    <w:rsid w:val="00573545"/>
    <w:rsid w:val="005736A8"/>
    <w:rsid w:val="0057374B"/>
    <w:rsid w:val="00573A40"/>
    <w:rsid w:val="00573A4C"/>
    <w:rsid w:val="00573C7D"/>
    <w:rsid w:val="00573E45"/>
    <w:rsid w:val="0057497E"/>
    <w:rsid w:val="00574BE1"/>
    <w:rsid w:val="00574C03"/>
    <w:rsid w:val="00574D42"/>
    <w:rsid w:val="00574F5C"/>
    <w:rsid w:val="00575118"/>
    <w:rsid w:val="00575303"/>
    <w:rsid w:val="005754E9"/>
    <w:rsid w:val="005754EA"/>
    <w:rsid w:val="005759C8"/>
    <w:rsid w:val="00575A85"/>
    <w:rsid w:val="00575E79"/>
    <w:rsid w:val="005764BD"/>
    <w:rsid w:val="005767BB"/>
    <w:rsid w:val="00576808"/>
    <w:rsid w:val="00576861"/>
    <w:rsid w:val="00576FCD"/>
    <w:rsid w:val="005771B2"/>
    <w:rsid w:val="0057771E"/>
    <w:rsid w:val="00577B90"/>
    <w:rsid w:val="00577F59"/>
    <w:rsid w:val="00580010"/>
    <w:rsid w:val="00580370"/>
    <w:rsid w:val="005803E9"/>
    <w:rsid w:val="005808AF"/>
    <w:rsid w:val="00580BA1"/>
    <w:rsid w:val="00580CFB"/>
    <w:rsid w:val="00581192"/>
    <w:rsid w:val="00581E21"/>
    <w:rsid w:val="00581F2C"/>
    <w:rsid w:val="00581FE3"/>
    <w:rsid w:val="00582228"/>
    <w:rsid w:val="0058233B"/>
    <w:rsid w:val="00582B82"/>
    <w:rsid w:val="00582E6D"/>
    <w:rsid w:val="00583022"/>
    <w:rsid w:val="005831C2"/>
    <w:rsid w:val="005831C7"/>
    <w:rsid w:val="005836B5"/>
    <w:rsid w:val="005838CF"/>
    <w:rsid w:val="00583B18"/>
    <w:rsid w:val="00583B1E"/>
    <w:rsid w:val="00583FAB"/>
    <w:rsid w:val="005846C3"/>
    <w:rsid w:val="00584A12"/>
    <w:rsid w:val="00584A5E"/>
    <w:rsid w:val="00584BEB"/>
    <w:rsid w:val="00584D35"/>
    <w:rsid w:val="00584E37"/>
    <w:rsid w:val="0058505F"/>
    <w:rsid w:val="0058507F"/>
    <w:rsid w:val="00585394"/>
    <w:rsid w:val="00585856"/>
    <w:rsid w:val="00585E38"/>
    <w:rsid w:val="0058608D"/>
    <w:rsid w:val="005860D9"/>
    <w:rsid w:val="00586164"/>
    <w:rsid w:val="0058625C"/>
    <w:rsid w:val="0058667E"/>
    <w:rsid w:val="005868CF"/>
    <w:rsid w:val="00586F8F"/>
    <w:rsid w:val="005871ED"/>
    <w:rsid w:val="005872EC"/>
    <w:rsid w:val="005873E1"/>
    <w:rsid w:val="00587672"/>
    <w:rsid w:val="00587A2B"/>
    <w:rsid w:val="00587CD8"/>
    <w:rsid w:val="00587EF3"/>
    <w:rsid w:val="00587F83"/>
    <w:rsid w:val="0059031B"/>
    <w:rsid w:val="005905E7"/>
    <w:rsid w:val="00590706"/>
    <w:rsid w:val="005908F5"/>
    <w:rsid w:val="0059090C"/>
    <w:rsid w:val="00590A8F"/>
    <w:rsid w:val="00590B7E"/>
    <w:rsid w:val="00590DE5"/>
    <w:rsid w:val="00590E88"/>
    <w:rsid w:val="00590ED0"/>
    <w:rsid w:val="00591085"/>
    <w:rsid w:val="00591101"/>
    <w:rsid w:val="005913D8"/>
    <w:rsid w:val="005915F4"/>
    <w:rsid w:val="0059177B"/>
    <w:rsid w:val="0059188B"/>
    <w:rsid w:val="00591922"/>
    <w:rsid w:val="005919DD"/>
    <w:rsid w:val="00591F5F"/>
    <w:rsid w:val="00592039"/>
    <w:rsid w:val="00592809"/>
    <w:rsid w:val="00592ADD"/>
    <w:rsid w:val="00592EA0"/>
    <w:rsid w:val="005933AC"/>
    <w:rsid w:val="00593506"/>
    <w:rsid w:val="00593B78"/>
    <w:rsid w:val="00593C80"/>
    <w:rsid w:val="00593DB2"/>
    <w:rsid w:val="00593E04"/>
    <w:rsid w:val="00593E30"/>
    <w:rsid w:val="0059406A"/>
    <w:rsid w:val="00594080"/>
    <w:rsid w:val="00594317"/>
    <w:rsid w:val="005945F1"/>
    <w:rsid w:val="005948A6"/>
    <w:rsid w:val="00594BD4"/>
    <w:rsid w:val="00595012"/>
    <w:rsid w:val="005952E2"/>
    <w:rsid w:val="00595414"/>
    <w:rsid w:val="00595557"/>
    <w:rsid w:val="0059587D"/>
    <w:rsid w:val="00595E3C"/>
    <w:rsid w:val="00596ADB"/>
    <w:rsid w:val="00596E30"/>
    <w:rsid w:val="00597125"/>
    <w:rsid w:val="00597355"/>
    <w:rsid w:val="005973EE"/>
    <w:rsid w:val="005974BC"/>
    <w:rsid w:val="005975B7"/>
    <w:rsid w:val="00597693"/>
    <w:rsid w:val="005978AE"/>
    <w:rsid w:val="005978EF"/>
    <w:rsid w:val="005979D7"/>
    <w:rsid w:val="00597C5B"/>
    <w:rsid w:val="005A0175"/>
    <w:rsid w:val="005A08E7"/>
    <w:rsid w:val="005A0BA2"/>
    <w:rsid w:val="005A0C15"/>
    <w:rsid w:val="005A0C30"/>
    <w:rsid w:val="005A0DED"/>
    <w:rsid w:val="005A1768"/>
    <w:rsid w:val="005A17AF"/>
    <w:rsid w:val="005A1962"/>
    <w:rsid w:val="005A1966"/>
    <w:rsid w:val="005A1A13"/>
    <w:rsid w:val="005A1D71"/>
    <w:rsid w:val="005A1EF8"/>
    <w:rsid w:val="005A238F"/>
    <w:rsid w:val="005A2400"/>
    <w:rsid w:val="005A24BB"/>
    <w:rsid w:val="005A2892"/>
    <w:rsid w:val="005A2B46"/>
    <w:rsid w:val="005A2D45"/>
    <w:rsid w:val="005A2DF3"/>
    <w:rsid w:val="005A2DF7"/>
    <w:rsid w:val="005A3398"/>
    <w:rsid w:val="005A33C0"/>
    <w:rsid w:val="005A357B"/>
    <w:rsid w:val="005A39C7"/>
    <w:rsid w:val="005A3AF0"/>
    <w:rsid w:val="005A3DF9"/>
    <w:rsid w:val="005A3E0C"/>
    <w:rsid w:val="005A3FD8"/>
    <w:rsid w:val="005A465D"/>
    <w:rsid w:val="005A468C"/>
    <w:rsid w:val="005A4FEB"/>
    <w:rsid w:val="005A51E0"/>
    <w:rsid w:val="005A5213"/>
    <w:rsid w:val="005A52E3"/>
    <w:rsid w:val="005A56E5"/>
    <w:rsid w:val="005A58AB"/>
    <w:rsid w:val="005A5B31"/>
    <w:rsid w:val="005A5C74"/>
    <w:rsid w:val="005A6097"/>
    <w:rsid w:val="005A6373"/>
    <w:rsid w:val="005A6531"/>
    <w:rsid w:val="005A6CFC"/>
    <w:rsid w:val="005A6E92"/>
    <w:rsid w:val="005A6EA2"/>
    <w:rsid w:val="005A731A"/>
    <w:rsid w:val="005A743F"/>
    <w:rsid w:val="005A78D1"/>
    <w:rsid w:val="005A78D2"/>
    <w:rsid w:val="005A7999"/>
    <w:rsid w:val="005A79D6"/>
    <w:rsid w:val="005A7AFA"/>
    <w:rsid w:val="005A7AFC"/>
    <w:rsid w:val="005A7B07"/>
    <w:rsid w:val="005A7DD1"/>
    <w:rsid w:val="005A7E50"/>
    <w:rsid w:val="005B03D9"/>
    <w:rsid w:val="005B051B"/>
    <w:rsid w:val="005B0692"/>
    <w:rsid w:val="005B0757"/>
    <w:rsid w:val="005B076B"/>
    <w:rsid w:val="005B0835"/>
    <w:rsid w:val="005B09FD"/>
    <w:rsid w:val="005B0AA3"/>
    <w:rsid w:val="005B0AFA"/>
    <w:rsid w:val="005B0E47"/>
    <w:rsid w:val="005B0ED2"/>
    <w:rsid w:val="005B1396"/>
    <w:rsid w:val="005B147A"/>
    <w:rsid w:val="005B158D"/>
    <w:rsid w:val="005B15D3"/>
    <w:rsid w:val="005B179B"/>
    <w:rsid w:val="005B1814"/>
    <w:rsid w:val="005B1A41"/>
    <w:rsid w:val="005B1CE0"/>
    <w:rsid w:val="005B1E61"/>
    <w:rsid w:val="005B2387"/>
    <w:rsid w:val="005B2CDB"/>
    <w:rsid w:val="005B2D35"/>
    <w:rsid w:val="005B2D3F"/>
    <w:rsid w:val="005B2D56"/>
    <w:rsid w:val="005B2E8F"/>
    <w:rsid w:val="005B2FBC"/>
    <w:rsid w:val="005B35E0"/>
    <w:rsid w:val="005B368B"/>
    <w:rsid w:val="005B3CEA"/>
    <w:rsid w:val="005B3D3B"/>
    <w:rsid w:val="005B3E07"/>
    <w:rsid w:val="005B3F5B"/>
    <w:rsid w:val="005B4957"/>
    <w:rsid w:val="005B514E"/>
    <w:rsid w:val="005B5246"/>
    <w:rsid w:val="005B53AA"/>
    <w:rsid w:val="005B5576"/>
    <w:rsid w:val="005B560A"/>
    <w:rsid w:val="005B581C"/>
    <w:rsid w:val="005B5882"/>
    <w:rsid w:val="005B608C"/>
    <w:rsid w:val="005B659F"/>
    <w:rsid w:val="005B6A5F"/>
    <w:rsid w:val="005B6BB3"/>
    <w:rsid w:val="005B6E7F"/>
    <w:rsid w:val="005B6F19"/>
    <w:rsid w:val="005B6F9D"/>
    <w:rsid w:val="005B7330"/>
    <w:rsid w:val="005B764E"/>
    <w:rsid w:val="005B7AB3"/>
    <w:rsid w:val="005B7AE9"/>
    <w:rsid w:val="005B7C18"/>
    <w:rsid w:val="005B7F0D"/>
    <w:rsid w:val="005B7F34"/>
    <w:rsid w:val="005B7F9F"/>
    <w:rsid w:val="005C0084"/>
    <w:rsid w:val="005C008A"/>
    <w:rsid w:val="005C0269"/>
    <w:rsid w:val="005C02F9"/>
    <w:rsid w:val="005C03C4"/>
    <w:rsid w:val="005C06C8"/>
    <w:rsid w:val="005C0805"/>
    <w:rsid w:val="005C084A"/>
    <w:rsid w:val="005C093E"/>
    <w:rsid w:val="005C0BD9"/>
    <w:rsid w:val="005C0C9B"/>
    <w:rsid w:val="005C12A6"/>
    <w:rsid w:val="005C143D"/>
    <w:rsid w:val="005C1568"/>
    <w:rsid w:val="005C1613"/>
    <w:rsid w:val="005C1A5F"/>
    <w:rsid w:val="005C24DB"/>
    <w:rsid w:val="005C2596"/>
    <w:rsid w:val="005C28ED"/>
    <w:rsid w:val="005C28F1"/>
    <w:rsid w:val="005C2E31"/>
    <w:rsid w:val="005C2FCD"/>
    <w:rsid w:val="005C3028"/>
    <w:rsid w:val="005C3644"/>
    <w:rsid w:val="005C472A"/>
    <w:rsid w:val="005C4931"/>
    <w:rsid w:val="005C49A5"/>
    <w:rsid w:val="005C4F0E"/>
    <w:rsid w:val="005C5854"/>
    <w:rsid w:val="005C59CB"/>
    <w:rsid w:val="005C5ABD"/>
    <w:rsid w:val="005C5B33"/>
    <w:rsid w:val="005C5D93"/>
    <w:rsid w:val="005C6075"/>
    <w:rsid w:val="005C6551"/>
    <w:rsid w:val="005C6994"/>
    <w:rsid w:val="005C6CC4"/>
    <w:rsid w:val="005C7489"/>
    <w:rsid w:val="005C7684"/>
    <w:rsid w:val="005C769A"/>
    <w:rsid w:val="005C76F1"/>
    <w:rsid w:val="005C77F4"/>
    <w:rsid w:val="005C7AB3"/>
    <w:rsid w:val="005C7BDE"/>
    <w:rsid w:val="005C7CD5"/>
    <w:rsid w:val="005C7D4B"/>
    <w:rsid w:val="005C7EE5"/>
    <w:rsid w:val="005C7FD5"/>
    <w:rsid w:val="005C7FEF"/>
    <w:rsid w:val="005C7FFA"/>
    <w:rsid w:val="005D02F8"/>
    <w:rsid w:val="005D038C"/>
    <w:rsid w:val="005D046E"/>
    <w:rsid w:val="005D0721"/>
    <w:rsid w:val="005D0824"/>
    <w:rsid w:val="005D0CE2"/>
    <w:rsid w:val="005D0EDB"/>
    <w:rsid w:val="005D0F5B"/>
    <w:rsid w:val="005D0FCC"/>
    <w:rsid w:val="005D0FEB"/>
    <w:rsid w:val="005D0FFF"/>
    <w:rsid w:val="005D10ED"/>
    <w:rsid w:val="005D16DA"/>
    <w:rsid w:val="005D1B1E"/>
    <w:rsid w:val="005D1BC3"/>
    <w:rsid w:val="005D1CB7"/>
    <w:rsid w:val="005D1DCA"/>
    <w:rsid w:val="005D1F89"/>
    <w:rsid w:val="005D22DB"/>
    <w:rsid w:val="005D2391"/>
    <w:rsid w:val="005D2466"/>
    <w:rsid w:val="005D26B6"/>
    <w:rsid w:val="005D294C"/>
    <w:rsid w:val="005D2AD5"/>
    <w:rsid w:val="005D2D7E"/>
    <w:rsid w:val="005D2EB1"/>
    <w:rsid w:val="005D2F02"/>
    <w:rsid w:val="005D302F"/>
    <w:rsid w:val="005D3238"/>
    <w:rsid w:val="005D3366"/>
    <w:rsid w:val="005D3574"/>
    <w:rsid w:val="005D37DD"/>
    <w:rsid w:val="005D3800"/>
    <w:rsid w:val="005D3952"/>
    <w:rsid w:val="005D3A4D"/>
    <w:rsid w:val="005D4022"/>
    <w:rsid w:val="005D4077"/>
    <w:rsid w:val="005D4105"/>
    <w:rsid w:val="005D464E"/>
    <w:rsid w:val="005D490B"/>
    <w:rsid w:val="005D49E1"/>
    <w:rsid w:val="005D4C70"/>
    <w:rsid w:val="005D54D6"/>
    <w:rsid w:val="005D5938"/>
    <w:rsid w:val="005D5A65"/>
    <w:rsid w:val="005D5B9D"/>
    <w:rsid w:val="005D5EF5"/>
    <w:rsid w:val="005D5F07"/>
    <w:rsid w:val="005D5F2B"/>
    <w:rsid w:val="005D5FC2"/>
    <w:rsid w:val="005D5FF3"/>
    <w:rsid w:val="005D6030"/>
    <w:rsid w:val="005D6352"/>
    <w:rsid w:val="005D63D9"/>
    <w:rsid w:val="005D6651"/>
    <w:rsid w:val="005D66AE"/>
    <w:rsid w:val="005D6847"/>
    <w:rsid w:val="005D6AC2"/>
    <w:rsid w:val="005D6BFD"/>
    <w:rsid w:val="005D70B3"/>
    <w:rsid w:val="005D78BF"/>
    <w:rsid w:val="005D7E11"/>
    <w:rsid w:val="005D7E47"/>
    <w:rsid w:val="005D7FB1"/>
    <w:rsid w:val="005E005C"/>
    <w:rsid w:val="005E02EE"/>
    <w:rsid w:val="005E0B42"/>
    <w:rsid w:val="005E0BB3"/>
    <w:rsid w:val="005E0EB9"/>
    <w:rsid w:val="005E1676"/>
    <w:rsid w:val="005E2110"/>
    <w:rsid w:val="005E21ED"/>
    <w:rsid w:val="005E28CB"/>
    <w:rsid w:val="005E29D0"/>
    <w:rsid w:val="005E29DB"/>
    <w:rsid w:val="005E2A36"/>
    <w:rsid w:val="005E2A86"/>
    <w:rsid w:val="005E2CF3"/>
    <w:rsid w:val="005E2FDE"/>
    <w:rsid w:val="005E32FE"/>
    <w:rsid w:val="005E3481"/>
    <w:rsid w:val="005E34BC"/>
    <w:rsid w:val="005E3BAC"/>
    <w:rsid w:val="005E3C11"/>
    <w:rsid w:val="005E3EDE"/>
    <w:rsid w:val="005E3F2F"/>
    <w:rsid w:val="005E4075"/>
    <w:rsid w:val="005E40B3"/>
    <w:rsid w:val="005E4A79"/>
    <w:rsid w:val="005E4C70"/>
    <w:rsid w:val="005E50CF"/>
    <w:rsid w:val="005E5192"/>
    <w:rsid w:val="005E52C7"/>
    <w:rsid w:val="005E593D"/>
    <w:rsid w:val="005E6001"/>
    <w:rsid w:val="005E610F"/>
    <w:rsid w:val="005E61BD"/>
    <w:rsid w:val="005E639A"/>
    <w:rsid w:val="005E669E"/>
    <w:rsid w:val="005E67DA"/>
    <w:rsid w:val="005E689F"/>
    <w:rsid w:val="005E696C"/>
    <w:rsid w:val="005E69FE"/>
    <w:rsid w:val="005E6B4E"/>
    <w:rsid w:val="005E6B8A"/>
    <w:rsid w:val="005E70C0"/>
    <w:rsid w:val="005E76B7"/>
    <w:rsid w:val="005E77AA"/>
    <w:rsid w:val="005E7F13"/>
    <w:rsid w:val="005F00A0"/>
    <w:rsid w:val="005F01CB"/>
    <w:rsid w:val="005F03C8"/>
    <w:rsid w:val="005F05CC"/>
    <w:rsid w:val="005F0A4D"/>
    <w:rsid w:val="005F0C28"/>
    <w:rsid w:val="005F0F31"/>
    <w:rsid w:val="005F152C"/>
    <w:rsid w:val="005F190D"/>
    <w:rsid w:val="005F1952"/>
    <w:rsid w:val="005F1E7E"/>
    <w:rsid w:val="005F259B"/>
    <w:rsid w:val="005F25A3"/>
    <w:rsid w:val="005F27F5"/>
    <w:rsid w:val="005F2A98"/>
    <w:rsid w:val="005F2BD9"/>
    <w:rsid w:val="005F2C86"/>
    <w:rsid w:val="005F2CF8"/>
    <w:rsid w:val="005F30EC"/>
    <w:rsid w:val="005F3263"/>
    <w:rsid w:val="005F34A8"/>
    <w:rsid w:val="005F364A"/>
    <w:rsid w:val="005F3A75"/>
    <w:rsid w:val="005F3DBF"/>
    <w:rsid w:val="005F3EB9"/>
    <w:rsid w:val="005F3F20"/>
    <w:rsid w:val="005F405D"/>
    <w:rsid w:val="005F43AA"/>
    <w:rsid w:val="005F45FF"/>
    <w:rsid w:val="005F4617"/>
    <w:rsid w:val="005F47A6"/>
    <w:rsid w:val="005F48EB"/>
    <w:rsid w:val="005F4B02"/>
    <w:rsid w:val="005F4DBB"/>
    <w:rsid w:val="005F5142"/>
    <w:rsid w:val="005F59B5"/>
    <w:rsid w:val="005F5A58"/>
    <w:rsid w:val="005F5D55"/>
    <w:rsid w:val="005F6572"/>
    <w:rsid w:val="005F676B"/>
    <w:rsid w:val="005F67D0"/>
    <w:rsid w:val="005F6C05"/>
    <w:rsid w:val="005F7A20"/>
    <w:rsid w:val="005F7CE1"/>
    <w:rsid w:val="005F7F00"/>
    <w:rsid w:val="0060009A"/>
    <w:rsid w:val="00600194"/>
    <w:rsid w:val="006003CA"/>
    <w:rsid w:val="006004AD"/>
    <w:rsid w:val="006006C9"/>
    <w:rsid w:val="006006F9"/>
    <w:rsid w:val="0060081A"/>
    <w:rsid w:val="00600937"/>
    <w:rsid w:val="00601668"/>
    <w:rsid w:val="00601711"/>
    <w:rsid w:val="00601DAF"/>
    <w:rsid w:val="00601E4B"/>
    <w:rsid w:val="00601F45"/>
    <w:rsid w:val="00601FF5"/>
    <w:rsid w:val="00602246"/>
    <w:rsid w:val="006022E4"/>
    <w:rsid w:val="0060244D"/>
    <w:rsid w:val="00602F8B"/>
    <w:rsid w:val="0060317D"/>
    <w:rsid w:val="0060324E"/>
    <w:rsid w:val="006033D7"/>
    <w:rsid w:val="006037AC"/>
    <w:rsid w:val="00603B72"/>
    <w:rsid w:val="00603CFD"/>
    <w:rsid w:val="00604330"/>
    <w:rsid w:val="006043B1"/>
    <w:rsid w:val="00604B25"/>
    <w:rsid w:val="00604C02"/>
    <w:rsid w:val="0060508B"/>
    <w:rsid w:val="00605148"/>
    <w:rsid w:val="006051DC"/>
    <w:rsid w:val="006054A0"/>
    <w:rsid w:val="00605773"/>
    <w:rsid w:val="00605795"/>
    <w:rsid w:val="00605969"/>
    <w:rsid w:val="00605E8E"/>
    <w:rsid w:val="006065CC"/>
    <w:rsid w:val="00606724"/>
    <w:rsid w:val="00606844"/>
    <w:rsid w:val="006068CD"/>
    <w:rsid w:val="00606948"/>
    <w:rsid w:val="00606BD4"/>
    <w:rsid w:val="00606C0A"/>
    <w:rsid w:val="0060703B"/>
    <w:rsid w:val="006074A8"/>
    <w:rsid w:val="00607ABF"/>
    <w:rsid w:val="00607B38"/>
    <w:rsid w:val="00607C10"/>
    <w:rsid w:val="00607E1B"/>
    <w:rsid w:val="0061001F"/>
    <w:rsid w:val="0061008A"/>
    <w:rsid w:val="006102C6"/>
    <w:rsid w:val="006103AF"/>
    <w:rsid w:val="006108C8"/>
    <w:rsid w:val="0061095B"/>
    <w:rsid w:val="00610D8D"/>
    <w:rsid w:val="006111B4"/>
    <w:rsid w:val="006116FD"/>
    <w:rsid w:val="00611F4F"/>
    <w:rsid w:val="006123A2"/>
    <w:rsid w:val="00612414"/>
    <w:rsid w:val="00612451"/>
    <w:rsid w:val="006125C2"/>
    <w:rsid w:val="0061265D"/>
    <w:rsid w:val="0061265E"/>
    <w:rsid w:val="00612665"/>
    <w:rsid w:val="006128EB"/>
    <w:rsid w:val="00612E24"/>
    <w:rsid w:val="00613049"/>
    <w:rsid w:val="0061306F"/>
    <w:rsid w:val="0061315F"/>
    <w:rsid w:val="0061326A"/>
    <w:rsid w:val="00613307"/>
    <w:rsid w:val="00613530"/>
    <w:rsid w:val="00613C26"/>
    <w:rsid w:val="00613F24"/>
    <w:rsid w:val="00613F72"/>
    <w:rsid w:val="0061401E"/>
    <w:rsid w:val="0061409C"/>
    <w:rsid w:val="00614165"/>
    <w:rsid w:val="00614184"/>
    <w:rsid w:val="006141D0"/>
    <w:rsid w:val="006143C6"/>
    <w:rsid w:val="00614514"/>
    <w:rsid w:val="0061455C"/>
    <w:rsid w:val="006146B3"/>
    <w:rsid w:val="00614716"/>
    <w:rsid w:val="0061475C"/>
    <w:rsid w:val="006147DB"/>
    <w:rsid w:val="006148D9"/>
    <w:rsid w:val="00614A44"/>
    <w:rsid w:val="00614BC2"/>
    <w:rsid w:val="00614BD7"/>
    <w:rsid w:val="00614C0E"/>
    <w:rsid w:val="00614D3F"/>
    <w:rsid w:val="00614F19"/>
    <w:rsid w:val="006153A2"/>
    <w:rsid w:val="00615499"/>
    <w:rsid w:val="006154B8"/>
    <w:rsid w:val="00615625"/>
    <w:rsid w:val="00615642"/>
    <w:rsid w:val="006157AA"/>
    <w:rsid w:val="00615984"/>
    <w:rsid w:val="00615C3B"/>
    <w:rsid w:val="00615C76"/>
    <w:rsid w:val="00615CA1"/>
    <w:rsid w:val="00615DDF"/>
    <w:rsid w:val="00616AB7"/>
    <w:rsid w:val="00616ACB"/>
    <w:rsid w:val="00616BD8"/>
    <w:rsid w:val="00616DE5"/>
    <w:rsid w:val="00616FFE"/>
    <w:rsid w:val="006171CD"/>
    <w:rsid w:val="006173C2"/>
    <w:rsid w:val="006177A6"/>
    <w:rsid w:val="00617B7A"/>
    <w:rsid w:val="00617BED"/>
    <w:rsid w:val="00617C6A"/>
    <w:rsid w:val="00617D6A"/>
    <w:rsid w:val="00617F11"/>
    <w:rsid w:val="00617F30"/>
    <w:rsid w:val="006204A8"/>
    <w:rsid w:val="0062053B"/>
    <w:rsid w:val="00620888"/>
    <w:rsid w:val="00620F29"/>
    <w:rsid w:val="00621102"/>
    <w:rsid w:val="00621131"/>
    <w:rsid w:val="00621135"/>
    <w:rsid w:val="00621E05"/>
    <w:rsid w:val="00622118"/>
    <w:rsid w:val="006225E8"/>
    <w:rsid w:val="0062261B"/>
    <w:rsid w:val="0062280D"/>
    <w:rsid w:val="00622D2F"/>
    <w:rsid w:val="00622D60"/>
    <w:rsid w:val="00622F0E"/>
    <w:rsid w:val="00623046"/>
    <w:rsid w:val="00623204"/>
    <w:rsid w:val="006232A8"/>
    <w:rsid w:val="00623409"/>
    <w:rsid w:val="00623759"/>
    <w:rsid w:val="0062379C"/>
    <w:rsid w:val="006237EE"/>
    <w:rsid w:val="00623B4F"/>
    <w:rsid w:val="00623B64"/>
    <w:rsid w:val="00623C5D"/>
    <w:rsid w:val="00623F4D"/>
    <w:rsid w:val="00624297"/>
    <w:rsid w:val="006242ED"/>
    <w:rsid w:val="00624620"/>
    <w:rsid w:val="006246C1"/>
    <w:rsid w:val="006247DE"/>
    <w:rsid w:val="00624BC0"/>
    <w:rsid w:val="00624D67"/>
    <w:rsid w:val="00624E0D"/>
    <w:rsid w:val="006251D4"/>
    <w:rsid w:val="006254DB"/>
    <w:rsid w:val="00625729"/>
    <w:rsid w:val="0062596F"/>
    <w:rsid w:val="00625BBA"/>
    <w:rsid w:val="00625C80"/>
    <w:rsid w:val="00625E86"/>
    <w:rsid w:val="00626300"/>
    <w:rsid w:val="0062688C"/>
    <w:rsid w:val="006268EF"/>
    <w:rsid w:val="00626A33"/>
    <w:rsid w:val="00626C54"/>
    <w:rsid w:val="00627016"/>
    <w:rsid w:val="0062722D"/>
    <w:rsid w:val="00627673"/>
    <w:rsid w:val="00627ADF"/>
    <w:rsid w:val="0063019D"/>
    <w:rsid w:val="00630202"/>
    <w:rsid w:val="00630237"/>
    <w:rsid w:val="006303F0"/>
    <w:rsid w:val="006304F8"/>
    <w:rsid w:val="006305D9"/>
    <w:rsid w:val="006306EC"/>
    <w:rsid w:val="00630F09"/>
    <w:rsid w:val="00631174"/>
    <w:rsid w:val="00631554"/>
    <w:rsid w:val="00631BF2"/>
    <w:rsid w:val="00631D60"/>
    <w:rsid w:val="00631E40"/>
    <w:rsid w:val="0063202B"/>
    <w:rsid w:val="0063219C"/>
    <w:rsid w:val="00632473"/>
    <w:rsid w:val="006329FF"/>
    <w:rsid w:val="00632EA0"/>
    <w:rsid w:val="00633392"/>
    <w:rsid w:val="006333E0"/>
    <w:rsid w:val="0063381E"/>
    <w:rsid w:val="00633954"/>
    <w:rsid w:val="00633A89"/>
    <w:rsid w:val="00633DDE"/>
    <w:rsid w:val="00633E63"/>
    <w:rsid w:val="00634096"/>
    <w:rsid w:val="006341BA"/>
    <w:rsid w:val="0063464A"/>
    <w:rsid w:val="00634A78"/>
    <w:rsid w:val="0063527D"/>
    <w:rsid w:val="006353AA"/>
    <w:rsid w:val="006358E9"/>
    <w:rsid w:val="00635BBE"/>
    <w:rsid w:val="0063602A"/>
    <w:rsid w:val="00636273"/>
    <w:rsid w:val="0063635F"/>
    <w:rsid w:val="006368ED"/>
    <w:rsid w:val="00636C88"/>
    <w:rsid w:val="00636F44"/>
    <w:rsid w:val="00636F8A"/>
    <w:rsid w:val="0063703A"/>
    <w:rsid w:val="00637134"/>
    <w:rsid w:val="006371CF"/>
    <w:rsid w:val="006373CE"/>
    <w:rsid w:val="00637724"/>
    <w:rsid w:val="0063777C"/>
    <w:rsid w:val="006378AF"/>
    <w:rsid w:val="00637BF6"/>
    <w:rsid w:val="00637E64"/>
    <w:rsid w:val="00640009"/>
    <w:rsid w:val="006404CC"/>
    <w:rsid w:val="0064060C"/>
    <w:rsid w:val="00640634"/>
    <w:rsid w:val="0064072B"/>
    <w:rsid w:val="00640E36"/>
    <w:rsid w:val="00641A2A"/>
    <w:rsid w:val="00641C9B"/>
    <w:rsid w:val="00641D99"/>
    <w:rsid w:val="006420B9"/>
    <w:rsid w:val="00642327"/>
    <w:rsid w:val="006423A5"/>
    <w:rsid w:val="00642661"/>
    <w:rsid w:val="00642CCE"/>
    <w:rsid w:val="00643018"/>
    <w:rsid w:val="00643500"/>
    <w:rsid w:val="0064365E"/>
    <w:rsid w:val="00643B26"/>
    <w:rsid w:val="00643C65"/>
    <w:rsid w:val="00643D75"/>
    <w:rsid w:val="00644295"/>
    <w:rsid w:val="0064430D"/>
    <w:rsid w:val="006444D3"/>
    <w:rsid w:val="006444DD"/>
    <w:rsid w:val="0064463A"/>
    <w:rsid w:val="00644E5C"/>
    <w:rsid w:val="0064502F"/>
    <w:rsid w:val="00645286"/>
    <w:rsid w:val="006453CC"/>
    <w:rsid w:val="006457F6"/>
    <w:rsid w:val="00645B8D"/>
    <w:rsid w:val="00645C67"/>
    <w:rsid w:val="00645D3D"/>
    <w:rsid w:val="00646080"/>
    <w:rsid w:val="0064617A"/>
    <w:rsid w:val="0064643E"/>
    <w:rsid w:val="006466B5"/>
    <w:rsid w:val="00646D57"/>
    <w:rsid w:val="00646EBB"/>
    <w:rsid w:val="00647082"/>
    <w:rsid w:val="00647124"/>
    <w:rsid w:val="006473BE"/>
    <w:rsid w:val="006474ED"/>
    <w:rsid w:val="006477EF"/>
    <w:rsid w:val="00647948"/>
    <w:rsid w:val="00647ACF"/>
    <w:rsid w:val="00647C1C"/>
    <w:rsid w:val="00647EC6"/>
    <w:rsid w:val="006501B6"/>
    <w:rsid w:val="0065035E"/>
    <w:rsid w:val="0065044A"/>
    <w:rsid w:val="0065057D"/>
    <w:rsid w:val="006509A6"/>
    <w:rsid w:val="00651295"/>
    <w:rsid w:val="00651355"/>
    <w:rsid w:val="00651385"/>
    <w:rsid w:val="00651542"/>
    <w:rsid w:val="00651728"/>
    <w:rsid w:val="00651855"/>
    <w:rsid w:val="00651975"/>
    <w:rsid w:val="00651A1C"/>
    <w:rsid w:val="00651F86"/>
    <w:rsid w:val="006520F2"/>
    <w:rsid w:val="0065218A"/>
    <w:rsid w:val="00652379"/>
    <w:rsid w:val="006524D8"/>
    <w:rsid w:val="00652664"/>
    <w:rsid w:val="00652675"/>
    <w:rsid w:val="00652A48"/>
    <w:rsid w:val="00652BBD"/>
    <w:rsid w:val="006531AA"/>
    <w:rsid w:val="006532A1"/>
    <w:rsid w:val="006535FD"/>
    <w:rsid w:val="0065385F"/>
    <w:rsid w:val="0065393E"/>
    <w:rsid w:val="0065397D"/>
    <w:rsid w:val="00653E97"/>
    <w:rsid w:val="00654136"/>
    <w:rsid w:val="00654196"/>
    <w:rsid w:val="006541B2"/>
    <w:rsid w:val="006549B7"/>
    <w:rsid w:val="006549B8"/>
    <w:rsid w:val="00654F3B"/>
    <w:rsid w:val="006550B1"/>
    <w:rsid w:val="006552A1"/>
    <w:rsid w:val="0065547B"/>
    <w:rsid w:val="0065549E"/>
    <w:rsid w:val="00655825"/>
    <w:rsid w:val="00655B30"/>
    <w:rsid w:val="00655E65"/>
    <w:rsid w:val="00655E83"/>
    <w:rsid w:val="00655E90"/>
    <w:rsid w:val="00655FA4"/>
    <w:rsid w:val="0065653C"/>
    <w:rsid w:val="00656949"/>
    <w:rsid w:val="00657059"/>
    <w:rsid w:val="0065708F"/>
    <w:rsid w:val="00657157"/>
    <w:rsid w:val="006576F3"/>
    <w:rsid w:val="00657977"/>
    <w:rsid w:val="006579FE"/>
    <w:rsid w:val="00657C24"/>
    <w:rsid w:val="00657DF1"/>
    <w:rsid w:val="00657F0D"/>
    <w:rsid w:val="006600AD"/>
    <w:rsid w:val="0066039D"/>
    <w:rsid w:val="006604F6"/>
    <w:rsid w:val="0066053A"/>
    <w:rsid w:val="00660564"/>
    <w:rsid w:val="0066061E"/>
    <w:rsid w:val="00660704"/>
    <w:rsid w:val="00660A7F"/>
    <w:rsid w:val="00660E01"/>
    <w:rsid w:val="00660E48"/>
    <w:rsid w:val="00660EC4"/>
    <w:rsid w:val="00661265"/>
    <w:rsid w:val="0066173E"/>
    <w:rsid w:val="00661A20"/>
    <w:rsid w:val="00661C84"/>
    <w:rsid w:val="00661FDF"/>
    <w:rsid w:val="0066211C"/>
    <w:rsid w:val="006622A7"/>
    <w:rsid w:val="00662342"/>
    <w:rsid w:val="0066247F"/>
    <w:rsid w:val="00662738"/>
    <w:rsid w:val="00662BD4"/>
    <w:rsid w:val="00662EA0"/>
    <w:rsid w:val="00662F00"/>
    <w:rsid w:val="0066309D"/>
    <w:rsid w:val="006631A5"/>
    <w:rsid w:val="00663306"/>
    <w:rsid w:val="006633F1"/>
    <w:rsid w:val="0066348B"/>
    <w:rsid w:val="00663651"/>
    <w:rsid w:val="0066374E"/>
    <w:rsid w:val="00663832"/>
    <w:rsid w:val="00663A5B"/>
    <w:rsid w:val="00663F3D"/>
    <w:rsid w:val="006640B0"/>
    <w:rsid w:val="00664116"/>
    <w:rsid w:val="00664120"/>
    <w:rsid w:val="00664436"/>
    <w:rsid w:val="006648C3"/>
    <w:rsid w:val="00664910"/>
    <w:rsid w:val="00664985"/>
    <w:rsid w:val="00664BF0"/>
    <w:rsid w:val="00664D07"/>
    <w:rsid w:val="00664D31"/>
    <w:rsid w:val="006651C0"/>
    <w:rsid w:val="006657F4"/>
    <w:rsid w:val="006659E2"/>
    <w:rsid w:val="00665DDF"/>
    <w:rsid w:val="00665E7F"/>
    <w:rsid w:val="006661C2"/>
    <w:rsid w:val="00666565"/>
    <w:rsid w:val="00666610"/>
    <w:rsid w:val="0066699D"/>
    <w:rsid w:val="00666E6F"/>
    <w:rsid w:val="0066717E"/>
    <w:rsid w:val="0066718F"/>
    <w:rsid w:val="00667404"/>
    <w:rsid w:val="006674FB"/>
    <w:rsid w:val="0066755C"/>
    <w:rsid w:val="0066763B"/>
    <w:rsid w:val="0066774C"/>
    <w:rsid w:val="00667A88"/>
    <w:rsid w:val="00667CD5"/>
    <w:rsid w:val="00670352"/>
    <w:rsid w:val="00670365"/>
    <w:rsid w:val="00670405"/>
    <w:rsid w:val="006704EA"/>
    <w:rsid w:val="006704F7"/>
    <w:rsid w:val="00670673"/>
    <w:rsid w:val="00670C54"/>
    <w:rsid w:val="00671093"/>
    <w:rsid w:val="0067124C"/>
    <w:rsid w:val="00671A18"/>
    <w:rsid w:val="00671A8E"/>
    <w:rsid w:val="00671B51"/>
    <w:rsid w:val="00672136"/>
    <w:rsid w:val="006722CA"/>
    <w:rsid w:val="00672443"/>
    <w:rsid w:val="006724EA"/>
    <w:rsid w:val="0067268B"/>
    <w:rsid w:val="00672746"/>
    <w:rsid w:val="006727E5"/>
    <w:rsid w:val="00672862"/>
    <w:rsid w:val="0067294D"/>
    <w:rsid w:val="00672A7A"/>
    <w:rsid w:val="00672B9C"/>
    <w:rsid w:val="00672BAE"/>
    <w:rsid w:val="00672C74"/>
    <w:rsid w:val="00672D78"/>
    <w:rsid w:val="00672DC6"/>
    <w:rsid w:val="00672DFA"/>
    <w:rsid w:val="00672E31"/>
    <w:rsid w:val="0067388D"/>
    <w:rsid w:val="006738B2"/>
    <w:rsid w:val="006740E9"/>
    <w:rsid w:val="006741D9"/>
    <w:rsid w:val="006744E4"/>
    <w:rsid w:val="006745B7"/>
    <w:rsid w:val="0067496A"/>
    <w:rsid w:val="0067499A"/>
    <w:rsid w:val="00674B03"/>
    <w:rsid w:val="00674ED2"/>
    <w:rsid w:val="00675183"/>
    <w:rsid w:val="006751CF"/>
    <w:rsid w:val="00675789"/>
    <w:rsid w:val="0067595A"/>
    <w:rsid w:val="00675D5B"/>
    <w:rsid w:val="00675F23"/>
    <w:rsid w:val="006760FD"/>
    <w:rsid w:val="00676311"/>
    <w:rsid w:val="006767CC"/>
    <w:rsid w:val="00676973"/>
    <w:rsid w:val="006769C3"/>
    <w:rsid w:val="00676A87"/>
    <w:rsid w:val="00676EF0"/>
    <w:rsid w:val="00677193"/>
    <w:rsid w:val="006773EC"/>
    <w:rsid w:val="0067752B"/>
    <w:rsid w:val="0067796C"/>
    <w:rsid w:val="00677A9B"/>
    <w:rsid w:val="006801F3"/>
    <w:rsid w:val="00680315"/>
    <w:rsid w:val="00680AFA"/>
    <w:rsid w:val="006811C6"/>
    <w:rsid w:val="006813E1"/>
    <w:rsid w:val="0068155B"/>
    <w:rsid w:val="006815F7"/>
    <w:rsid w:val="00681C3E"/>
    <w:rsid w:val="00681CD4"/>
    <w:rsid w:val="00681D47"/>
    <w:rsid w:val="00681E23"/>
    <w:rsid w:val="0068208D"/>
    <w:rsid w:val="00682139"/>
    <w:rsid w:val="006822E2"/>
    <w:rsid w:val="006822F6"/>
    <w:rsid w:val="0068233E"/>
    <w:rsid w:val="0068233F"/>
    <w:rsid w:val="0068234A"/>
    <w:rsid w:val="00682650"/>
    <w:rsid w:val="006826A9"/>
    <w:rsid w:val="00682A90"/>
    <w:rsid w:val="00682DBC"/>
    <w:rsid w:val="00682EAD"/>
    <w:rsid w:val="00683223"/>
    <w:rsid w:val="00683571"/>
    <w:rsid w:val="006836DA"/>
    <w:rsid w:val="00683720"/>
    <w:rsid w:val="006839EF"/>
    <w:rsid w:val="00683DF9"/>
    <w:rsid w:val="00684CBF"/>
    <w:rsid w:val="00684D9B"/>
    <w:rsid w:val="00684E91"/>
    <w:rsid w:val="00684F1D"/>
    <w:rsid w:val="0068501A"/>
    <w:rsid w:val="006858EA"/>
    <w:rsid w:val="00685992"/>
    <w:rsid w:val="00685A50"/>
    <w:rsid w:val="00685DBB"/>
    <w:rsid w:val="00685DE5"/>
    <w:rsid w:val="00685F83"/>
    <w:rsid w:val="00685FCC"/>
    <w:rsid w:val="00686263"/>
    <w:rsid w:val="006864FD"/>
    <w:rsid w:val="006866C4"/>
    <w:rsid w:val="00686BA5"/>
    <w:rsid w:val="00686C51"/>
    <w:rsid w:val="00686D82"/>
    <w:rsid w:val="00686DF8"/>
    <w:rsid w:val="00686E1E"/>
    <w:rsid w:val="00687665"/>
    <w:rsid w:val="00687851"/>
    <w:rsid w:val="00687C93"/>
    <w:rsid w:val="00687D18"/>
    <w:rsid w:val="00687F46"/>
    <w:rsid w:val="00690194"/>
    <w:rsid w:val="00690563"/>
    <w:rsid w:val="00690730"/>
    <w:rsid w:val="006907F3"/>
    <w:rsid w:val="00690A03"/>
    <w:rsid w:val="00690F37"/>
    <w:rsid w:val="00691C40"/>
    <w:rsid w:val="00691C83"/>
    <w:rsid w:val="00691EAA"/>
    <w:rsid w:val="00691F43"/>
    <w:rsid w:val="006923DA"/>
    <w:rsid w:val="00692442"/>
    <w:rsid w:val="0069268C"/>
    <w:rsid w:val="00692991"/>
    <w:rsid w:val="00692A60"/>
    <w:rsid w:val="00692B1D"/>
    <w:rsid w:val="00692B3B"/>
    <w:rsid w:val="00692F0D"/>
    <w:rsid w:val="006930DE"/>
    <w:rsid w:val="00693360"/>
    <w:rsid w:val="0069350F"/>
    <w:rsid w:val="00693D70"/>
    <w:rsid w:val="00693F4C"/>
    <w:rsid w:val="00693F5A"/>
    <w:rsid w:val="006940C0"/>
    <w:rsid w:val="00694138"/>
    <w:rsid w:val="006942AC"/>
    <w:rsid w:val="00694462"/>
    <w:rsid w:val="00694823"/>
    <w:rsid w:val="00694C5D"/>
    <w:rsid w:val="00694C95"/>
    <w:rsid w:val="00694ED8"/>
    <w:rsid w:val="0069541A"/>
    <w:rsid w:val="006954D2"/>
    <w:rsid w:val="00695552"/>
    <w:rsid w:val="0069562F"/>
    <w:rsid w:val="00695911"/>
    <w:rsid w:val="00695BF5"/>
    <w:rsid w:val="00695F58"/>
    <w:rsid w:val="006962EC"/>
    <w:rsid w:val="006965AA"/>
    <w:rsid w:val="006965CB"/>
    <w:rsid w:val="006966B2"/>
    <w:rsid w:val="00696902"/>
    <w:rsid w:val="00696B12"/>
    <w:rsid w:val="0069715C"/>
    <w:rsid w:val="006972A2"/>
    <w:rsid w:val="00697728"/>
    <w:rsid w:val="00697993"/>
    <w:rsid w:val="00697D80"/>
    <w:rsid w:val="00697E09"/>
    <w:rsid w:val="00697EC2"/>
    <w:rsid w:val="006A0049"/>
    <w:rsid w:val="006A0198"/>
    <w:rsid w:val="006A0727"/>
    <w:rsid w:val="006A07D1"/>
    <w:rsid w:val="006A093F"/>
    <w:rsid w:val="006A0ADC"/>
    <w:rsid w:val="006A0B06"/>
    <w:rsid w:val="006A0BE0"/>
    <w:rsid w:val="006A0C81"/>
    <w:rsid w:val="006A0DC0"/>
    <w:rsid w:val="006A0FE2"/>
    <w:rsid w:val="006A10B1"/>
    <w:rsid w:val="006A1128"/>
    <w:rsid w:val="006A1212"/>
    <w:rsid w:val="006A1367"/>
    <w:rsid w:val="006A13CF"/>
    <w:rsid w:val="006A15E4"/>
    <w:rsid w:val="006A19F3"/>
    <w:rsid w:val="006A1A07"/>
    <w:rsid w:val="006A1DA7"/>
    <w:rsid w:val="006A1DB6"/>
    <w:rsid w:val="006A1F79"/>
    <w:rsid w:val="006A202E"/>
    <w:rsid w:val="006A2125"/>
    <w:rsid w:val="006A2239"/>
    <w:rsid w:val="006A26BA"/>
    <w:rsid w:val="006A26FD"/>
    <w:rsid w:val="006A2ADC"/>
    <w:rsid w:val="006A35DA"/>
    <w:rsid w:val="006A35DD"/>
    <w:rsid w:val="006A37F5"/>
    <w:rsid w:val="006A3939"/>
    <w:rsid w:val="006A393B"/>
    <w:rsid w:val="006A411B"/>
    <w:rsid w:val="006A4251"/>
    <w:rsid w:val="006A48CA"/>
    <w:rsid w:val="006A4986"/>
    <w:rsid w:val="006A4D25"/>
    <w:rsid w:val="006A4F25"/>
    <w:rsid w:val="006A523E"/>
    <w:rsid w:val="006A5655"/>
    <w:rsid w:val="006A5693"/>
    <w:rsid w:val="006A5756"/>
    <w:rsid w:val="006A5B37"/>
    <w:rsid w:val="006A5B68"/>
    <w:rsid w:val="006A5D17"/>
    <w:rsid w:val="006A5E74"/>
    <w:rsid w:val="006A5EDF"/>
    <w:rsid w:val="006A6043"/>
    <w:rsid w:val="006A6A55"/>
    <w:rsid w:val="006A6BB6"/>
    <w:rsid w:val="006A6F44"/>
    <w:rsid w:val="006A7000"/>
    <w:rsid w:val="006A70DF"/>
    <w:rsid w:val="006A7137"/>
    <w:rsid w:val="006A754A"/>
    <w:rsid w:val="006A7624"/>
    <w:rsid w:val="006A76D4"/>
    <w:rsid w:val="006A78D2"/>
    <w:rsid w:val="006A7B8E"/>
    <w:rsid w:val="006A7D1F"/>
    <w:rsid w:val="006A7E4B"/>
    <w:rsid w:val="006B0337"/>
    <w:rsid w:val="006B05B5"/>
    <w:rsid w:val="006B0691"/>
    <w:rsid w:val="006B16C7"/>
    <w:rsid w:val="006B1778"/>
    <w:rsid w:val="006B20E0"/>
    <w:rsid w:val="006B21A9"/>
    <w:rsid w:val="006B25D4"/>
    <w:rsid w:val="006B2A27"/>
    <w:rsid w:val="006B2A97"/>
    <w:rsid w:val="006B2A9C"/>
    <w:rsid w:val="006B2D1D"/>
    <w:rsid w:val="006B2E4B"/>
    <w:rsid w:val="006B3001"/>
    <w:rsid w:val="006B3034"/>
    <w:rsid w:val="006B31CF"/>
    <w:rsid w:val="006B31E4"/>
    <w:rsid w:val="006B3435"/>
    <w:rsid w:val="006B3709"/>
    <w:rsid w:val="006B3C4A"/>
    <w:rsid w:val="006B3E41"/>
    <w:rsid w:val="006B3ED6"/>
    <w:rsid w:val="006B411B"/>
    <w:rsid w:val="006B422E"/>
    <w:rsid w:val="006B43CC"/>
    <w:rsid w:val="006B44CA"/>
    <w:rsid w:val="006B490E"/>
    <w:rsid w:val="006B4B2F"/>
    <w:rsid w:val="006B4BD5"/>
    <w:rsid w:val="006B4C05"/>
    <w:rsid w:val="006B4EF0"/>
    <w:rsid w:val="006B531B"/>
    <w:rsid w:val="006B5356"/>
    <w:rsid w:val="006B54A8"/>
    <w:rsid w:val="006B58D7"/>
    <w:rsid w:val="006B5A22"/>
    <w:rsid w:val="006B5E37"/>
    <w:rsid w:val="006B5E7C"/>
    <w:rsid w:val="006B6074"/>
    <w:rsid w:val="006B61D7"/>
    <w:rsid w:val="006B6862"/>
    <w:rsid w:val="006B6877"/>
    <w:rsid w:val="006B692D"/>
    <w:rsid w:val="006B6D53"/>
    <w:rsid w:val="006B6DE3"/>
    <w:rsid w:val="006B705C"/>
    <w:rsid w:val="006B7096"/>
    <w:rsid w:val="006B72B6"/>
    <w:rsid w:val="006B7349"/>
    <w:rsid w:val="006B7367"/>
    <w:rsid w:val="006B7825"/>
    <w:rsid w:val="006B788E"/>
    <w:rsid w:val="006B7991"/>
    <w:rsid w:val="006B7B33"/>
    <w:rsid w:val="006B7C14"/>
    <w:rsid w:val="006B7DB6"/>
    <w:rsid w:val="006B7E95"/>
    <w:rsid w:val="006C091F"/>
    <w:rsid w:val="006C092E"/>
    <w:rsid w:val="006C0C0B"/>
    <w:rsid w:val="006C10A5"/>
    <w:rsid w:val="006C112F"/>
    <w:rsid w:val="006C18A9"/>
    <w:rsid w:val="006C1AC3"/>
    <w:rsid w:val="006C1DD0"/>
    <w:rsid w:val="006C1DEA"/>
    <w:rsid w:val="006C1E9E"/>
    <w:rsid w:val="006C1FA0"/>
    <w:rsid w:val="006C2180"/>
    <w:rsid w:val="006C21CE"/>
    <w:rsid w:val="006C22D5"/>
    <w:rsid w:val="006C2798"/>
    <w:rsid w:val="006C27CE"/>
    <w:rsid w:val="006C2A14"/>
    <w:rsid w:val="006C30CE"/>
    <w:rsid w:val="006C3208"/>
    <w:rsid w:val="006C37A5"/>
    <w:rsid w:val="006C37D0"/>
    <w:rsid w:val="006C3A96"/>
    <w:rsid w:val="006C3AFD"/>
    <w:rsid w:val="006C3BF7"/>
    <w:rsid w:val="006C3CF0"/>
    <w:rsid w:val="006C41EF"/>
    <w:rsid w:val="006C4217"/>
    <w:rsid w:val="006C42C6"/>
    <w:rsid w:val="006C479D"/>
    <w:rsid w:val="006C4902"/>
    <w:rsid w:val="006C49FA"/>
    <w:rsid w:val="006C4A35"/>
    <w:rsid w:val="006C4BBD"/>
    <w:rsid w:val="006C4BDA"/>
    <w:rsid w:val="006C4CF5"/>
    <w:rsid w:val="006C4E66"/>
    <w:rsid w:val="006C4F52"/>
    <w:rsid w:val="006C5571"/>
    <w:rsid w:val="006C571E"/>
    <w:rsid w:val="006C573F"/>
    <w:rsid w:val="006C5767"/>
    <w:rsid w:val="006C58A6"/>
    <w:rsid w:val="006C5B97"/>
    <w:rsid w:val="006C5FBE"/>
    <w:rsid w:val="006C646D"/>
    <w:rsid w:val="006C6844"/>
    <w:rsid w:val="006C696B"/>
    <w:rsid w:val="006C6BFC"/>
    <w:rsid w:val="006C708D"/>
    <w:rsid w:val="006C7572"/>
    <w:rsid w:val="006C7686"/>
    <w:rsid w:val="006C782D"/>
    <w:rsid w:val="006C7B06"/>
    <w:rsid w:val="006D01E5"/>
    <w:rsid w:val="006D02CB"/>
    <w:rsid w:val="006D0394"/>
    <w:rsid w:val="006D0570"/>
    <w:rsid w:val="006D065D"/>
    <w:rsid w:val="006D075B"/>
    <w:rsid w:val="006D07F3"/>
    <w:rsid w:val="006D088F"/>
    <w:rsid w:val="006D0A30"/>
    <w:rsid w:val="006D0CDB"/>
    <w:rsid w:val="006D0E68"/>
    <w:rsid w:val="006D108F"/>
    <w:rsid w:val="006D1658"/>
    <w:rsid w:val="006D167F"/>
    <w:rsid w:val="006D1731"/>
    <w:rsid w:val="006D175C"/>
    <w:rsid w:val="006D176C"/>
    <w:rsid w:val="006D1E62"/>
    <w:rsid w:val="006D20F6"/>
    <w:rsid w:val="006D26AE"/>
    <w:rsid w:val="006D26D4"/>
    <w:rsid w:val="006D2B99"/>
    <w:rsid w:val="006D2CDE"/>
    <w:rsid w:val="006D2F64"/>
    <w:rsid w:val="006D3001"/>
    <w:rsid w:val="006D321A"/>
    <w:rsid w:val="006D3482"/>
    <w:rsid w:val="006D3518"/>
    <w:rsid w:val="006D367B"/>
    <w:rsid w:val="006D404C"/>
    <w:rsid w:val="006D40AF"/>
    <w:rsid w:val="006D4422"/>
    <w:rsid w:val="006D4938"/>
    <w:rsid w:val="006D4CAD"/>
    <w:rsid w:val="006D4DA0"/>
    <w:rsid w:val="006D4F64"/>
    <w:rsid w:val="006D527F"/>
    <w:rsid w:val="006D5564"/>
    <w:rsid w:val="006D5664"/>
    <w:rsid w:val="006D56A8"/>
    <w:rsid w:val="006D57B5"/>
    <w:rsid w:val="006D58B9"/>
    <w:rsid w:val="006D5D12"/>
    <w:rsid w:val="006D5E90"/>
    <w:rsid w:val="006D6044"/>
    <w:rsid w:val="006D60C0"/>
    <w:rsid w:val="006D62A5"/>
    <w:rsid w:val="006D65E4"/>
    <w:rsid w:val="006D6A3A"/>
    <w:rsid w:val="006D6CAB"/>
    <w:rsid w:val="006D6F5C"/>
    <w:rsid w:val="006D6FA2"/>
    <w:rsid w:val="006D701E"/>
    <w:rsid w:val="006D73FD"/>
    <w:rsid w:val="006D7414"/>
    <w:rsid w:val="006D746C"/>
    <w:rsid w:val="006D74C6"/>
    <w:rsid w:val="006D7685"/>
    <w:rsid w:val="006E020C"/>
    <w:rsid w:val="006E0463"/>
    <w:rsid w:val="006E0F89"/>
    <w:rsid w:val="006E115F"/>
    <w:rsid w:val="006E13CE"/>
    <w:rsid w:val="006E1501"/>
    <w:rsid w:val="006E15FD"/>
    <w:rsid w:val="006E1BEF"/>
    <w:rsid w:val="006E1F13"/>
    <w:rsid w:val="006E2448"/>
    <w:rsid w:val="006E2C68"/>
    <w:rsid w:val="006E2D4C"/>
    <w:rsid w:val="006E3427"/>
    <w:rsid w:val="006E3963"/>
    <w:rsid w:val="006E3C20"/>
    <w:rsid w:val="006E4AB2"/>
    <w:rsid w:val="006E4CE1"/>
    <w:rsid w:val="006E4E03"/>
    <w:rsid w:val="006E4F9F"/>
    <w:rsid w:val="006E524D"/>
    <w:rsid w:val="006E5376"/>
    <w:rsid w:val="006E5869"/>
    <w:rsid w:val="006E5E77"/>
    <w:rsid w:val="006E6139"/>
    <w:rsid w:val="006E65E7"/>
    <w:rsid w:val="006E682C"/>
    <w:rsid w:val="006E6BFF"/>
    <w:rsid w:val="006E70B9"/>
    <w:rsid w:val="006E72E4"/>
    <w:rsid w:val="006E752D"/>
    <w:rsid w:val="006E76F8"/>
    <w:rsid w:val="006E7740"/>
    <w:rsid w:val="006E77BA"/>
    <w:rsid w:val="006E78F2"/>
    <w:rsid w:val="006E7B10"/>
    <w:rsid w:val="006E7F67"/>
    <w:rsid w:val="006F016E"/>
    <w:rsid w:val="006F034B"/>
    <w:rsid w:val="006F0A14"/>
    <w:rsid w:val="006F0F99"/>
    <w:rsid w:val="006F103B"/>
    <w:rsid w:val="006F1179"/>
    <w:rsid w:val="006F1308"/>
    <w:rsid w:val="006F1643"/>
    <w:rsid w:val="006F1B7D"/>
    <w:rsid w:val="006F1BDF"/>
    <w:rsid w:val="006F1C30"/>
    <w:rsid w:val="006F1E1D"/>
    <w:rsid w:val="006F1E38"/>
    <w:rsid w:val="006F2D6D"/>
    <w:rsid w:val="006F308D"/>
    <w:rsid w:val="006F31A6"/>
    <w:rsid w:val="006F3442"/>
    <w:rsid w:val="006F368A"/>
    <w:rsid w:val="006F3A06"/>
    <w:rsid w:val="006F3B5B"/>
    <w:rsid w:val="006F3C1A"/>
    <w:rsid w:val="006F3DB0"/>
    <w:rsid w:val="006F4027"/>
    <w:rsid w:val="006F4412"/>
    <w:rsid w:val="006F4499"/>
    <w:rsid w:val="006F4FCA"/>
    <w:rsid w:val="006F56B6"/>
    <w:rsid w:val="006F59FC"/>
    <w:rsid w:val="006F5E82"/>
    <w:rsid w:val="006F622F"/>
    <w:rsid w:val="006F65A0"/>
    <w:rsid w:val="006F6C44"/>
    <w:rsid w:val="006F6EAE"/>
    <w:rsid w:val="006F6F1B"/>
    <w:rsid w:val="006F6F7C"/>
    <w:rsid w:val="006F7027"/>
    <w:rsid w:val="006F709C"/>
    <w:rsid w:val="006F755D"/>
    <w:rsid w:val="006F773C"/>
    <w:rsid w:val="006F779A"/>
    <w:rsid w:val="006F7830"/>
    <w:rsid w:val="006F7A2F"/>
    <w:rsid w:val="006F7D23"/>
    <w:rsid w:val="006F7D7F"/>
    <w:rsid w:val="0070022E"/>
    <w:rsid w:val="00700244"/>
    <w:rsid w:val="00700334"/>
    <w:rsid w:val="007004A8"/>
    <w:rsid w:val="007005DF"/>
    <w:rsid w:val="00701397"/>
    <w:rsid w:val="00701D16"/>
    <w:rsid w:val="00702160"/>
    <w:rsid w:val="007021C9"/>
    <w:rsid w:val="00702D20"/>
    <w:rsid w:val="0070316A"/>
    <w:rsid w:val="00703A13"/>
    <w:rsid w:val="00703C0A"/>
    <w:rsid w:val="00703D11"/>
    <w:rsid w:val="00703FEF"/>
    <w:rsid w:val="007043F5"/>
    <w:rsid w:val="007047BE"/>
    <w:rsid w:val="007048D7"/>
    <w:rsid w:val="00704B16"/>
    <w:rsid w:val="00704F0C"/>
    <w:rsid w:val="00704F9B"/>
    <w:rsid w:val="00705143"/>
    <w:rsid w:val="007052CE"/>
    <w:rsid w:val="00705895"/>
    <w:rsid w:val="007059B1"/>
    <w:rsid w:val="00705B67"/>
    <w:rsid w:val="00705BD7"/>
    <w:rsid w:val="00705C69"/>
    <w:rsid w:val="00705FA9"/>
    <w:rsid w:val="00706095"/>
    <w:rsid w:val="0070615D"/>
    <w:rsid w:val="00706295"/>
    <w:rsid w:val="007063DB"/>
    <w:rsid w:val="00706414"/>
    <w:rsid w:val="00706532"/>
    <w:rsid w:val="00706602"/>
    <w:rsid w:val="00706689"/>
    <w:rsid w:val="007067FF"/>
    <w:rsid w:val="00706835"/>
    <w:rsid w:val="00706895"/>
    <w:rsid w:val="007069E7"/>
    <w:rsid w:val="00706C01"/>
    <w:rsid w:val="00706C64"/>
    <w:rsid w:val="007070C2"/>
    <w:rsid w:val="0070779E"/>
    <w:rsid w:val="007079B1"/>
    <w:rsid w:val="00707CB8"/>
    <w:rsid w:val="00707CC8"/>
    <w:rsid w:val="00707CCE"/>
    <w:rsid w:val="0071040D"/>
    <w:rsid w:val="00710513"/>
    <w:rsid w:val="00710760"/>
    <w:rsid w:val="00710D21"/>
    <w:rsid w:val="00710D89"/>
    <w:rsid w:val="0071113A"/>
    <w:rsid w:val="0071137D"/>
    <w:rsid w:val="007115A8"/>
    <w:rsid w:val="00711853"/>
    <w:rsid w:val="00711A56"/>
    <w:rsid w:val="00711E28"/>
    <w:rsid w:val="00711F9D"/>
    <w:rsid w:val="00712179"/>
    <w:rsid w:val="0071219C"/>
    <w:rsid w:val="007124DA"/>
    <w:rsid w:val="007125F5"/>
    <w:rsid w:val="007129BD"/>
    <w:rsid w:val="00712C44"/>
    <w:rsid w:val="00713444"/>
    <w:rsid w:val="00713813"/>
    <w:rsid w:val="00714312"/>
    <w:rsid w:val="00714313"/>
    <w:rsid w:val="0071439F"/>
    <w:rsid w:val="007143C1"/>
    <w:rsid w:val="007149C8"/>
    <w:rsid w:val="00714CA6"/>
    <w:rsid w:val="00714FD7"/>
    <w:rsid w:val="00715468"/>
    <w:rsid w:val="007158D0"/>
    <w:rsid w:val="007160E7"/>
    <w:rsid w:val="0071634A"/>
    <w:rsid w:val="00716830"/>
    <w:rsid w:val="0071683C"/>
    <w:rsid w:val="00716866"/>
    <w:rsid w:val="007168F6"/>
    <w:rsid w:val="00716A42"/>
    <w:rsid w:val="00716AC7"/>
    <w:rsid w:val="00716C44"/>
    <w:rsid w:val="00716C62"/>
    <w:rsid w:val="00716E01"/>
    <w:rsid w:val="007170A5"/>
    <w:rsid w:val="007171F1"/>
    <w:rsid w:val="00717206"/>
    <w:rsid w:val="0071720D"/>
    <w:rsid w:val="007172F4"/>
    <w:rsid w:val="00717AE1"/>
    <w:rsid w:val="007200AE"/>
    <w:rsid w:val="007204FA"/>
    <w:rsid w:val="00720649"/>
    <w:rsid w:val="007208D2"/>
    <w:rsid w:val="0072091F"/>
    <w:rsid w:val="00720D82"/>
    <w:rsid w:val="00721117"/>
    <w:rsid w:val="007213DC"/>
    <w:rsid w:val="007218AE"/>
    <w:rsid w:val="00721958"/>
    <w:rsid w:val="0072205A"/>
    <w:rsid w:val="007222B1"/>
    <w:rsid w:val="007225DE"/>
    <w:rsid w:val="00722628"/>
    <w:rsid w:val="00722751"/>
    <w:rsid w:val="00722903"/>
    <w:rsid w:val="00722A37"/>
    <w:rsid w:val="00722AE1"/>
    <w:rsid w:val="00722C6E"/>
    <w:rsid w:val="00722E00"/>
    <w:rsid w:val="0072342E"/>
    <w:rsid w:val="007234E0"/>
    <w:rsid w:val="00723523"/>
    <w:rsid w:val="00723539"/>
    <w:rsid w:val="00723994"/>
    <w:rsid w:val="00723C9B"/>
    <w:rsid w:val="00723DCC"/>
    <w:rsid w:val="00723FEE"/>
    <w:rsid w:val="0072424D"/>
    <w:rsid w:val="00724265"/>
    <w:rsid w:val="00724732"/>
    <w:rsid w:val="007247EF"/>
    <w:rsid w:val="00724820"/>
    <w:rsid w:val="007248C0"/>
    <w:rsid w:val="00724C12"/>
    <w:rsid w:val="00724F59"/>
    <w:rsid w:val="0072502E"/>
    <w:rsid w:val="007254A4"/>
    <w:rsid w:val="0072591A"/>
    <w:rsid w:val="00725A12"/>
    <w:rsid w:val="00725D30"/>
    <w:rsid w:val="00725E50"/>
    <w:rsid w:val="007260F1"/>
    <w:rsid w:val="0072610C"/>
    <w:rsid w:val="0072629B"/>
    <w:rsid w:val="0072633E"/>
    <w:rsid w:val="007263AD"/>
    <w:rsid w:val="00726609"/>
    <w:rsid w:val="0072680D"/>
    <w:rsid w:val="00726BD3"/>
    <w:rsid w:val="00726F7F"/>
    <w:rsid w:val="00727222"/>
    <w:rsid w:val="00727389"/>
    <w:rsid w:val="00727541"/>
    <w:rsid w:val="0072766D"/>
    <w:rsid w:val="00727A8D"/>
    <w:rsid w:val="00727F4A"/>
    <w:rsid w:val="00727F65"/>
    <w:rsid w:val="0073010A"/>
    <w:rsid w:val="007304CE"/>
    <w:rsid w:val="00730581"/>
    <w:rsid w:val="0073091B"/>
    <w:rsid w:val="00730D7A"/>
    <w:rsid w:val="00730F91"/>
    <w:rsid w:val="00731053"/>
    <w:rsid w:val="00731083"/>
    <w:rsid w:val="007314A5"/>
    <w:rsid w:val="0073157A"/>
    <w:rsid w:val="00731A62"/>
    <w:rsid w:val="00731DCE"/>
    <w:rsid w:val="00731E32"/>
    <w:rsid w:val="00732079"/>
    <w:rsid w:val="00732087"/>
    <w:rsid w:val="0073209E"/>
    <w:rsid w:val="00732863"/>
    <w:rsid w:val="00732A86"/>
    <w:rsid w:val="00732CF1"/>
    <w:rsid w:val="0073318D"/>
    <w:rsid w:val="007331FF"/>
    <w:rsid w:val="00733201"/>
    <w:rsid w:val="007332AA"/>
    <w:rsid w:val="00733356"/>
    <w:rsid w:val="007336A5"/>
    <w:rsid w:val="00733762"/>
    <w:rsid w:val="00733860"/>
    <w:rsid w:val="00733CEE"/>
    <w:rsid w:val="007343D1"/>
    <w:rsid w:val="0073440C"/>
    <w:rsid w:val="00734655"/>
    <w:rsid w:val="00734690"/>
    <w:rsid w:val="00734839"/>
    <w:rsid w:val="00734A74"/>
    <w:rsid w:val="00735041"/>
    <w:rsid w:val="007350D1"/>
    <w:rsid w:val="0073524B"/>
    <w:rsid w:val="0073531F"/>
    <w:rsid w:val="00735419"/>
    <w:rsid w:val="00735582"/>
    <w:rsid w:val="00735742"/>
    <w:rsid w:val="007358AA"/>
    <w:rsid w:val="007358F1"/>
    <w:rsid w:val="00735A56"/>
    <w:rsid w:val="00735CEB"/>
    <w:rsid w:val="00735D49"/>
    <w:rsid w:val="00735F3A"/>
    <w:rsid w:val="007360AC"/>
    <w:rsid w:val="00736166"/>
    <w:rsid w:val="0073623F"/>
    <w:rsid w:val="00736335"/>
    <w:rsid w:val="00736748"/>
    <w:rsid w:val="0073682D"/>
    <w:rsid w:val="007368BB"/>
    <w:rsid w:val="00736AE5"/>
    <w:rsid w:val="00736D10"/>
    <w:rsid w:val="00736F22"/>
    <w:rsid w:val="00737221"/>
    <w:rsid w:val="00737282"/>
    <w:rsid w:val="00737408"/>
    <w:rsid w:val="0073767D"/>
    <w:rsid w:val="00737C7D"/>
    <w:rsid w:val="00737D02"/>
    <w:rsid w:val="00737DCB"/>
    <w:rsid w:val="00737FCA"/>
    <w:rsid w:val="007402B8"/>
    <w:rsid w:val="007405C7"/>
    <w:rsid w:val="007406C5"/>
    <w:rsid w:val="00740881"/>
    <w:rsid w:val="007408C3"/>
    <w:rsid w:val="007409EF"/>
    <w:rsid w:val="00740A00"/>
    <w:rsid w:val="00740DBD"/>
    <w:rsid w:val="00740F1E"/>
    <w:rsid w:val="00740F37"/>
    <w:rsid w:val="00740FFC"/>
    <w:rsid w:val="007410CE"/>
    <w:rsid w:val="00741221"/>
    <w:rsid w:val="007417D8"/>
    <w:rsid w:val="007417DC"/>
    <w:rsid w:val="00741816"/>
    <w:rsid w:val="0074196F"/>
    <w:rsid w:val="00741BBE"/>
    <w:rsid w:val="00741C07"/>
    <w:rsid w:val="00741EFA"/>
    <w:rsid w:val="00741F7E"/>
    <w:rsid w:val="00741F8C"/>
    <w:rsid w:val="007420AF"/>
    <w:rsid w:val="00742138"/>
    <w:rsid w:val="007422DC"/>
    <w:rsid w:val="00742355"/>
    <w:rsid w:val="00742795"/>
    <w:rsid w:val="00742BBB"/>
    <w:rsid w:val="00742BCD"/>
    <w:rsid w:val="00743234"/>
    <w:rsid w:val="0074333C"/>
    <w:rsid w:val="00743C7D"/>
    <w:rsid w:val="00743D6C"/>
    <w:rsid w:val="00744038"/>
    <w:rsid w:val="007440D8"/>
    <w:rsid w:val="007442EF"/>
    <w:rsid w:val="007443DB"/>
    <w:rsid w:val="00744405"/>
    <w:rsid w:val="007448A5"/>
    <w:rsid w:val="00744948"/>
    <w:rsid w:val="00744D45"/>
    <w:rsid w:val="00744D90"/>
    <w:rsid w:val="00744E20"/>
    <w:rsid w:val="00744F4B"/>
    <w:rsid w:val="00745437"/>
    <w:rsid w:val="007454BE"/>
    <w:rsid w:val="007455CD"/>
    <w:rsid w:val="00745A33"/>
    <w:rsid w:val="00745AD1"/>
    <w:rsid w:val="00745B91"/>
    <w:rsid w:val="00745ED7"/>
    <w:rsid w:val="007462EF"/>
    <w:rsid w:val="00746463"/>
    <w:rsid w:val="00746553"/>
    <w:rsid w:val="00746576"/>
    <w:rsid w:val="007467E9"/>
    <w:rsid w:val="007469B9"/>
    <w:rsid w:val="007469EC"/>
    <w:rsid w:val="00746B22"/>
    <w:rsid w:val="00746D39"/>
    <w:rsid w:val="00746F0F"/>
    <w:rsid w:val="00746F14"/>
    <w:rsid w:val="007471D8"/>
    <w:rsid w:val="0074770D"/>
    <w:rsid w:val="00747D04"/>
    <w:rsid w:val="00750134"/>
    <w:rsid w:val="00750846"/>
    <w:rsid w:val="00750879"/>
    <w:rsid w:val="00750929"/>
    <w:rsid w:val="00750CCA"/>
    <w:rsid w:val="00751158"/>
    <w:rsid w:val="0075132C"/>
    <w:rsid w:val="00751412"/>
    <w:rsid w:val="0075160D"/>
    <w:rsid w:val="00751869"/>
    <w:rsid w:val="007518BF"/>
    <w:rsid w:val="00751B10"/>
    <w:rsid w:val="00752304"/>
    <w:rsid w:val="007523C1"/>
    <w:rsid w:val="00752618"/>
    <w:rsid w:val="0075262F"/>
    <w:rsid w:val="0075286D"/>
    <w:rsid w:val="00752A18"/>
    <w:rsid w:val="00752A1A"/>
    <w:rsid w:val="00752B8B"/>
    <w:rsid w:val="00752C9F"/>
    <w:rsid w:val="00752F32"/>
    <w:rsid w:val="00752F87"/>
    <w:rsid w:val="00753095"/>
    <w:rsid w:val="00753137"/>
    <w:rsid w:val="00753526"/>
    <w:rsid w:val="00753D11"/>
    <w:rsid w:val="00753E16"/>
    <w:rsid w:val="00753FD2"/>
    <w:rsid w:val="00754045"/>
    <w:rsid w:val="00754260"/>
    <w:rsid w:val="00754A0E"/>
    <w:rsid w:val="00754B16"/>
    <w:rsid w:val="00754C41"/>
    <w:rsid w:val="00754D75"/>
    <w:rsid w:val="007553C4"/>
    <w:rsid w:val="00755452"/>
    <w:rsid w:val="007555B0"/>
    <w:rsid w:val="00755631"/>
    <w:rsid w:val="00755667"/>
    <w:rsid w:val="007557E6"/>
    <w:rsid w:val="007558D1"/>
    <w:rsid w:val="00755921"/>
    <w:rsid w:val="00755A68"/>
    <w:rsid w:val="00755BC3"/>
    <w:rsid w:val="00755DE9"/>
    <w:rsid w:val="00756020"/>
    <w:rsid w:val="007560C4"/>
    <w:rsid w:val="007560F3"/>
    <w:rsid w:val="00756255"/>
    <w:rsid w:val="00756326"/>
    <w:rsid w:val="0075668C"/>
    <w:rsid w:val="0075672F"/>
    <w:rsid w:val="00756B7E"/>
    <w:rsid w:val="00756B92"/>
    <w:rsid w:val="00756D14"/>
    <w:rsid w:val="0075738E"/>
    <w:rsid w:val="00757665"/>
    <w:rsid w:val="0075796B"/>
    <w:rsid w:val="00757E37"/>
    <w:rsid w:val="00760255"/>
    <w:rsid w:val="0076075C"/>
    <w:rsid w:val="00760A33"/>
    <w:rsid w:val="00760B0A"/>
    <w:rsid w:val="00760CAB"/>
    <w:rsid w:val="00760E07"/>
    <w:rsid w:val="007613F4"/>
    <w:rsid w:val="007620B7"/>
    <w:rsid w:val="007620E1"/>
    <w:rsid w:val="0076250D"/>
    <w:rsid w:val="00762981"/>
    <w:rsid w:val="00762A3B"/>
    <w:rsid w:val="00762E66"/>
    <w:rsid w:val="0076315B"/>
    <w:rsid w:val="00763483"/>
    <w:rsid w:val="0076351D"/>
    <w:rsid w:val="00763B0F"/>
    <w:rsid w:val="00763D12"/>
    <w:rsid w:val="00763DCA"/>
    <w:rsid w:val="00763E37"/>
    <w:rsid w:val="00763FAC"/>
    <w:rsid w:val="007640D1"/>
    <w:rsid w:val="00764159"/>
    <w:rsid w:val="0076423B"/>
    <w:rsid w:val="007643E5"/>
    <w:rsid w:val="0076448C"/>
    <w:rsid w:val="0076478B"/>
    <w:rsid w:val="00764839"/>
    <w:rsid w:val="00764958"/>
    <w:rsid w:val="00764B05"/>
    <w:rsid w:val="00764B0A"/>
    <w:rsid w:val="00764CEB"/>
    <w:rsid w:val="00765030"/>
    <w:rsid w:val="0076514D"/>
    <w:rsid w:val="0076524D"/>
    <w:rsid w:val="007653C0"/>
    <w:rsid w:val="007655D0"/>
    <w:rsid w:val="007656F9"/>
    <w:rsid w:val="007658A7"/>
    <w:rsid w:val="007658BC"/>
    <w:rsid w:val="007658E4"/>
    <w:rsid w:val="00765A6B"/>
    <w:rsid w:val="00765B8C"/>
    <w:rsid w:val="00765BE2"/>
    <w:rsid w:val="00765E00"/>
    <w:rsid w:val="0076681A"/>
    <w:rsid w:val="007668DC"/>
    <w:rsid w:val="00766A7C"/>
    <w:rsid w:val="00766A96"/>
    <w:rsid w:val="00766AE5"/>
    <w:rsid w:val="00766DCE"/>
    <w:rsid w:val="007670E8"/>
    <w:rsid w:val="00767206"/>
    <w:rsid w:val="007674FA"/>
    <w:rsid w:val="00767A8B"/>
    <w:rsid w:val="00767B07"/>
    <w:rsid w:val="00770271"/>
    <w:rsid w:val="007703AC"/>
    <w:rsid w:val="007704BB"/>
    <w:rsid w:val="00770523"/>
    <w:rsid w:val="007705C8"/>
    <w:rsid w:val="00770A55"/>
    <w:rsid w:val="00771045"/>
    <w:rsid w:val="007714C6"/>
    <w:rsid w:val="007715F8"/>
    <w:rsid w:val="007716E3"/>
    <w:rsid w:val="007719ED"/>
    <w:rsid w:val="00771AC6"/>
    <w:rsid w:val="00771C4C"/>
    <w:rsid w:val="00771D71"/>
    <w:rsid w:val="00771ED6"/>
    <w:rsid w:val="007726E6"/>
    <w:rsid w:val="00772BA6"/>
    <w:rsid w:val="00772DE9"/>
    <w:rsid w:val="00773297"/>
    <w:rsid w:val="007733E4"/>
    <w:rsid w:val="007736A2"/>
    <w:rsid w:val="007736DF"/>
    <w:rsid w:val="007737DC"/>
    <w:rsid w:val="007737FD"/>
    <w:rsid w:val="00773B4C"/>
    <w:rsid w:val="00773DEE"/>
    <w:rsid w:val="00773ECB"/>
    <w:rsid w:val="00774276"/>
    <w:rsid w:val="0077461C"/>
    <w:rsid w:val="0077482F"/>
    <w:rsid w:val="00774869"/>
    <w:rsid w:val="00774981"/>
    <w:rsid w:val="00774A01"/>
    <w:rsid w:val="00774BAB"/>
    <w:rsid w:val="00774CB4"/>
    <w:rsid w:val="00775146"/>
    <w:rsid w:val="007752FB"/>
    <w:rsid w:val="00775511"/>
    <w:rsid w:val="00775639"/>
    <w:rsid w:val="00775689"/>
    <w:rsid w:val="00775803"/>
    <w:rsid w:val="00775813"/>
    <w:rsid w:val="0077588B"/>
    <w:rsid w:val="007758F6"/>
    <w:rsid w:val="00775962"/>
    <w:rsid w:val="00776142"/>
    <w:rsid w:val="00776171"/>
    <w:rsid w:val="00776196"/>
    <w:rsid w:val="00776249"/>
    <w:rsid w:val="0077631F"/>
    <w:rsid w:val="00776827"/>
    <w:rsid w:val="007768B9"/>
    <w:rsid w:val="00776AF8"/>
    <w:rsid w:val="00776EBA"/>
    <w:rsid w:val="00776ED2"/>
    <w:rsid w:val="00776FC8"/>
    <w:rsid w:val="00777413"/>
    <w:rsid w:val="00777538"/>
    <w:rsid w:val="0077785E"/>
    <w:rsid w:val="00777C24"/>
    <w:rsid w:val="00777CEF"/>
    <w:rsid w:val="00780553"/>
    <w:rsid w:val="0078069B"/>
    <w:rsid w:val="00780721"/>
    <w:rsid w:val="007809EE"/>
    <w:rsid w:val="00780B3D"/>
    <w:rsid w:val="00780C11"/>
    <w:rsid w:val="00780C3F"/>
    <w:rsid w:val="00780C65"/>
    <w:rsid w:val="00780D46"/>
    <w:rsid w:val="00781035"/>
    <w:rsid w:val="007811C4"/>
    <w:rsid w:val="00781652"/>
    <w:rsid w:val="0078198B"/>
    <w:rsid w:val="00781BBE"/>
    <w:rsid w:val="0078212E"/>
    <w:rsid w:val="00782349"/>
    <w:rsid w:val="007823E6"/>
    <w:rsid w:val="007828D7"/>
    <w:rsid w:val="00782A44"/>
    <w:rsid w:val="00782FC3"/>
    <w:rsid w:val="007831B7"/>
    <w:rsid w:val="00783372"/>
    <w:rsid w:val="007836AC"/>
    <w:rsid w:val="0078387B"/>
    <w:rsid w:val="00783A39"/>
    <w:rsid w:val="00783C3F"/>
    <w:rsid w:val="00783E41"/>
    <w:rsid w:val="00783FE7"/>
    <w:rsid w:val="00784157"/>
    <w:rsid w:val="007849D5"/>
    <w:rsid w:val="00784E91"/>
    <w:rsid w:val="0078504A"/>
    <w:rsid w:val="007854A8"/>
    <w:rsid w:val="007857F9"/>
    <w:rsid w:val="007858F8"/>
    <w:rsid w:val="00785B5E"/>
    <w:rsid w:val="00785BCA"/>
    <w:rsid w:val="00785E8B"/>
    <w:rsid w:val="00786118"/>
    <w:rsid w:val="00786339"/>
    <w:rsid w:val="00786445"/>
    <w:rsid w:val="007866C0"/>
    <w:rsid w:val="0078696E"/>
    <w:rsid w:val="00786A78"/>
    <w:rsid w:val="00786AA7"/>
    <w:rsid w:val="00786ACB"/>
    <w:rsid w:val="007873F9"/>
    <w:rsid w:val="007874A1"/>
    <w:rsid w:val="007874E4"/>
    <w:rsid w:val="007877CC"/>
    <w:rsid w:val="00787964"/>
    <w:rsid w:val="00787AF1"/>
    <w:rsid w:val="00787C1B"/>
    <w:rsid w:val="007902A4"/>
    <w:rsid w:val="007906D1"/>
    <w:rsid w:val="007906D6"/>
    <w:rsid w:val="00790762"/>
    <w:rsid w:val="007908CD"/>
    <w:rsid w:val="00790B8D"/>
    <w:rsid w:val="00790C39"/>
    <w:rsid w:val="00790D2D"/>
    <w:rsid w:val="007917A4"/>
    <w:rsid w:val="0079199B"/>
    <w:rsid w:val="00791DF2"/>
    <w:rsid w:val="00791EC5"/>
    <w:rsid w:val="007920D8"/>
    <w:rsid w:val="0079222D"/>
    <w:rsid w:val="007922B1"/>
    <w:rsid w:val="00792E76"/>
    <w:rsid w:val="0079311B"/>
    <w:rsid w:val="007933BB"/>
    <w:rsid w:val="00793513"/>
    <w:rsid w:val="0079383F"/>
    <w:rsid w:val="007938E5"/>
    <w:rsid w:val="00793D9D"/>
    <w:rsid w:val="007949F0"/>
    <w:rsid w:val="00794A77"/>
    <w:rsid w:val="00794AE6"/>
    <w:rsid w:val="00794DC7"/>
    <w:rsid w:val="00794F67"/>
    <w:rsid w:val="00794FC0"/>
    <w:rsid w:val="00795345"/>
    <w:rsid w:val="0079537F"/>
    <w:rsid w:val="007953B0"/>
    <w:rsid w:val="00795561"/>
    <w:rsid w:val="0079597C"/>
    <w:rsid w:val="00795B0F"/>
    <w:rsid w:val="00795C87"/>
    <w:rsid w:val="00795CAA"/>
    <w:rsid w:val="00795FD1"/>
    <w:rsid w:val="007960CB"/>
    <w:rsid w:val="00796373"/>
    <w:rsid w:val="0079687D"/>
    <w:rsid w:val="00796A53"/>
    <w:rsid w:val="00796E7E"/>
    <w:rsid w:val="00796EE0"/>
    <w:rsid w:val="00796F60"/>
    <w:rsid w:val="007973E9"/>
    <w:rsid w:val="007979F4"/>
    <w:rsid w:val="00797A26"/>
    <w:rsid w:val="00797A95"/>
    <w:rsid w:val="00797BB1"/>
    <w:rsid w:val="007A0011"/>
    <w:rsid w:val="007A015D"/>
    <w:rsid w:val="007A01EE"/>
    <w:rsid w:val="007A04F2"/>
    <w:rsid w:val="007A0540"/>
    <w:rsid w:val="007A0552"/>
    <w:rsid w:val="007A07CC"/>
    <w:rsid w:val="007A099A"/>
    <w:rsid w:val="007A0A83"/>
    <w:rsid w:val="007A0AB5"/>
    <w:rsid w:val="007A0D4A"/>
    <w:rsid w:val="007A0DD9"/>
    <w:rsid w:val="007A152A"/>
    <w:rsid w:val="007A165C"/>
    <w:rsid w:val="007A175E"/>
    <w:rsid w:val="007A1A59"/>
    <w:rsid w:val="007A2032"/>
    <w:rsid w:val="007A2383"/>
    <w:rsid w:val="007A24E8"/>
    <w:rsid w:val="007A24EE"/>
    <w:rsid w:val="007A24F0"/>
    <w:rsid w:val="007A2838"/>
    <w:rsid w:val="007A28C9"/>
    <w:rsid w:val="007A2E3E"/>
    <w:rsid w:val="007A3000"/>
    <w:rsid w:val="007A302B"/>
    <w:rsid w:val="007A34DC"/>
    <w:rsid w:val="007A3857"/>
    <w:rsid w:val="007A3A92"/>
    <w:rsid w:val="007A3E58"/>
    <w:rsid w:val="007A3ED3"/>
    <w:rsid w:val="007A4161"/>
    <w:rsid w:val="007A4257"/>
    <w:rsid w:val="007A425C"/>
    <w:rsid w:val="007A4337"/>
    <w:rsid w:val="007A434C"/>
    <w:rsid w:val="007A4445"/>
    <w:rsid w:val="007A481D"/>
    <w:rsid w:val="007A4971"/>
    <w:rsid w:val="007A4C29"/>
    <w:rsid w:val="007A4C62"/>
    <w:rsid w:val="007A4D5B"/>
    <w:rsid w:val="007A4DDA"/>
    <w:rsid w:val="007A4DF6"/>
    <w:rsid w:val="007A5AA2"/>
    <w:rsid w:val="007A5B1F"/>
    <w:rsid w:val="007A6110"/>
    <w:rsid w:val="007A61FF"/>
    <w:rsid w:val="007A634C"/>
    <w:rsid w:val="007A661D"/>
    <w:rsid w:val="007A697A"/>
    <w:rsid w:val="007A6AB8"/>
    <w:rsid w:val="007A6B4D"/>
    <w:rsid w:val="007A6DC2"/>
    <w:rsid w:val="007A708C"/>
    <w:rsid w:val="007A73E4"/>
    <w:rsid w:val="007A7469"/>
    <w:rsid w:val="007A7473"/>
    <w:rsid w:val="007A7512"/>
    <w:rsid w:val="007A76FD"/>
    <w:rsid w:val="007A783F"/>
    <w:rsid w:val="007A7863"/>
    <w:rsid w:val="007A78AD"/>
    <w:rsid w:val="007A78EC"/>
    <w:rsid w:val="007A7EE1"/>
    <w:rsid w:val="007B00DF"/>
    <w:rsid w:val="007B01E3"/>
    <w:rsid w:val="007B0267"/>
    <w:rsid w:val="007B02F4"/>
    <w:rsid w:val="007B06E9"/>
    <w:rsid w:val="007B0949"/>
    <w:rsid w:val="007B0B39"/>
    <w:rsid w:val="007B0B88"/>
    <w:rsid w:val="007B0D9B"/>
    <w:rsid w:val="007B0DE3"/>
    <w:rsid w:val="007B0ED7"/>
    <w:rsid w:val="007B12DA"/>
    <w:rsid w:val="007B18DE"/>
    <w:rsid w:val="007B18FF"/>
    <w:rsid w:val="007B1A25"/>
    <w:rsid w:val="007B1A35"/>
    <w:rsid w:val="007B1C4B"/>
    <w:rsid w:val="007B1C7B"/>
    <w:rsid w:val="007B1DD7"/>
    <w:rsid w:val="007B1F14"/>
    <w:rsid w:val="007B1FD8"/>
    <w:rsid w:val="007B20D6"/>
    <w:rsid w:val="007B2103"/>
    <w:rsid w:val="007B210B"/>
    <w:rsid w:val="007B232C"/>
    <w:rsid w:val="007B23C0"/>
    <w:rsid w:val="007B246E"/>
    <w:rsid w:val="007B2706"/>
    <w:rsid w:val="007B2B66"/>
    <w:rsid w:val="007B2C2E"/>
    <w:rsid w:val="007B2D77"/>
    <w:rsid w:val="007B2DC0"/>
    <w:rsid w:val="007B2FA8"/>
    <w:rsid w:val="007B31BA"/>
    <w:rsid w:val="007B3700"/>
    <w:rsid w:val="007B3B2E"/>
    <w:rsid w:val="007B3C0F"/>
    <w:rsid w:val="007B3DC6"/>
    <w:rsid w:val="007B4153"/>
    <w:rsid w:val="007B41E6"/>
    <w:rsid w:val="007B4200"/>
    <w:rsid w:val="007B4AB8"/>
    <w:rsid w:val="007B5504"/>
    <w:rsid w:val="007B593B"/>
    <w:rsid w:val="007B59A9"/>
    <w:rsid w:val="007B59B0"/>
    <w:rsid w:val="007B5E30"/>
    <w:rsid w:val="007B5F6E"/>
    <w:rsid w:val="007B6029"/>
    <w:rsid w:val="007B6085"/>
    <w:rsid w:val="007B61A8"/>
    <w:rsid w:val="007B6214"/>
    <w:rsid w:val="007B6382"/>
    <w:rsid w:val="007B63CC"/>
    <w:rsid w:val="007B6513"/>
    <w:rsid w:val="007B667B"/>
    <w:rsid w:val="007B6B9C"/>
    <w:rsid w:val="007B7280"/>
    <w:rsid w:val="007B7709"/>
    <w:rsid w:val="007B7884"/>
    <w:rsid w:val="007B7D2C"/>
    <w:rsid w:val="007B7DF5"/>
    <w:rsid w:val="007C018E"/>
    <w:rsid w:val="007C022A"/>
    <w:rsid w:val="007C0291"/>
    <w:rsid w:val="007C0528"/>
    <w:rsid w:val="007C0585"/>
    <w:rsid w:val="007C073D"/>
    <w:rsid w:val="007C0786"/>
    <w:rsid w:val="007C084C"/>
    <w:rsid w:val="007C08CB"/>
    <w:rsid w:val="007C0BBC"/>
    <w:rsid w:val="007C0C04"/>
    <w:rsid w:val="007C0CFE"/>
    <w:rsid w:val="007C102B"/>
    <w:rsid w:val="007C1428"/>
    <w:rsid w:val="007C16F3"/>
    <w:rsid w:val="007C1728"/>
    <w:rsid w:val="007C1D90"/>
    <w:rsid w:val="007C22DE"/>
    <w:rsid w:val="007C23D8"/>
    <w:rsid w:val="007C24E9"/>
    <w:rsid w:val="007C263E"/>
    <w:rsid w:val="007C2959"/>
    <w:rsid w:val="007C2BDC"/>
    <w:rsid w:val="007C310C"/>
    <w:rsid w:val="007C3420"/>
    <w:rsid w:val="007C3A16"/>
    <w:rsid w:val="007C3AEB"/>
    <w:rsid w:val="007C3CEC"/>
    <w:rsid w:val="007C3D6E"/>
    <w:rsid w:val="007C3E2B"/>
    <w:rsid w:val="007C3FDC"/>
    <w:rsid w:val="007C41D3"/>
    <w:rsid w:val="007C4832"/>
    <w:rsid w:val="007C4BEB"/>
    <w:rsid w:val="007C4C9C"/>
    <w:rsid w:val="007C4D80"/>
    <w:rsid w:val="007C5374"/>
    <w:rsid w:val="007C54E5"/>
    <w:rsid w:val="007C585D"/>
    <w:rsid w:val="007C5D83"/>
    <w:rsid w:val="007C5E19"/>
    <w:rsid w:val="007C5E4B"/>
    <w:rsid w:val="007C61AB"/>
    <w:rsid w:val="007C61F9"/>
    <w:rsid w:val="007C6853"/>
    <w:rsid w:val="007C6904"/>
    <w:rsid w:val="007C69B9"/>
    <w:rsid w:val="007C6AD0"/>
    <w:rsid w:val="007C7893"/>
    <w:rsid w:val="007C79AD"/>
    <w:rsid w:val="007C7B70"/>
    <w:rsid w:val="007C7CC7"/>
    <w:rsid w:val="007C7EBD"/>
    <w:rsid w:val="007C7FB9"/>
    <w:rsid w:val="007D0161"/>
    <w:rsid w:val="007D0610"/>
    <w:rsid w:val="007D0700"/>
    <w:rsid w:val="007D0918"/>
    <w:rsid w:val="007D0B44"/>
    <w:rsid w:val="007D115F"/>
    <w:rsid w:val="007D1412"/>
    <w:rsid w:val="007D1853"/>
    <w:rsid w:val="007D197D"/>
    <w:rsid w:val="007D19C1"/>
    <w:rsid w:val="007D1BCC"/>
    <w:rsid w:val="007D1BFD"/>
    <w:rsid w:val="007D1CF2"/>
    <w:rsid w:val="007D1CF6"/>
    <w:rsid w:val="007D2038"/>
    <w:rsid w:val="007D27A9"/>
    <w:rsid w:val="007D283A"/>
    <w:rsid w:val="007D2F96"/>
    <w:rsid w:val="007D2FA8"/>
    <w:rsid w:val="007D3276"/>
    <w:rsid w:val="007D3398"/>
    <w:rsid w:val="007D3495"/>
    <w:rsid w:val="007D36A2"/>
    <w:rsid w:val="007D372D"/>
    <w:rsid w:val="007D3A46"/>
    <w:rsid w:val="007D3CF3"/>
    <w:rsid w:val="007D3DA4"/>
    <w:rsid w:val="007D3E67"/>
    <w:rsid w:val="007D3F14"/>
    <w:rsid w:val="007D41C5"/>
    <w:rsid w:val="007D44F9"/>
    <w:rsid w:val="007D4822"/>
    <w:rsid w:val="007D492B"/>
    <w:rsid w:val="007D4AE1"/>
    <w:rsid w:val="007D4B73"/>
    <w:rsid w:val="007D4C86"/>
    <w:rsid w:val="007D5477"/>
    <w:rsid w:val="007D56E0"/>
    <w:rsid w:val="007D5982"/>
    <w:rsid w:val="007D5C03"/>
    <w:rsid w:val="007D5CBC"/>
    <w:rsid w:val="007D5DE4"/>
    <w:rsid w:val="007D629A"/>
    <w:rsid w:val="007D66DF"/>
    <w:rsid w:val="007D69E5"/>
    <w:rsid w:val="007D6D28"/>
    <w:rsid w:val="007D742A"/>
    <w:rsid w:val="007D7601"/>
    <w:rsid w:val="007D7AFC"/>
    <w:rsid w:val="007D7B2B"/>
    <w:rsid w:val="007D7D8B"/>
    <w:rsid w:val="007E0046"/>
    <w:rsid w:val="007E02EF"/>
    <w:rsid w:val="007E0CCF"/>
    <w:rsid w:val="007E1271"/>
    <w:rsid w:val="007E1547"/>
    <w:rsid w:val="007E1718"/>
    <w:rsid w:val="007E174B"/>
    <w:rsid w:val="007E1759"/>
    <w:rsid w:val="007E19CF"/>
    <w:rsid w:val="007E1AAB"/>
    <w:rsid w:val="007E1BA9"/>
    <w:rsid w:val="007E262E"/>
    <w:rsid w:val="007E29B9"/>
    <w:rsid w:val="007E2C0B"/>
    <w:rsid w:val="007E2C24"/>
    <w:rsid w:val="007E30AC"/>
    <w:rsid w:val="007E343D"/>
    <w:rsid w:val="007E34E0"/>
    <w:rsid w:val="007E3774"/>
    <w:rsid w:val="007E3C40"/>
    <w:rsid w:val="007E3C88"/>
    <w:rsid w:val="007E3E86"/>
    <w:rsid w:val="007E40DD"/>
    <w:rsid w:val="007E416C"/>
    <w:rsid w:val="007E43F2"/>
    <w:rsid w:val="007E4644"/>
    <w:rsid w:val="007E4891"/>
    <w:rsid w:val="007E50E8"/>
    <w:rsid w:val="007E50F3"/>
    <w:rsid w:val="007E5174"/>
    <w:rsid w:val="007E5685"/>
    <w:rsid w:val="007E5F66"/>
    <w:rsid w:val="007E654A"/>
    <w:rsid w:val="007E65CB"/>
    <w:rsid w:val="007E67DE"/>
    <w:rsid w:val="007E68F0"/>
    <w:rsid w:val="007E6A6E"/>
    <w:rsid w:val="007E6EA5"/>
    <w:rsid w:val="007E6EB0"/>
    <w:rsid w:val="007E6F63"/>
    <w:rsid w:val="007E719C"/>
    <w:rsid w:val="007E71DC"/>
    <w:rsid w:val="007E7299"/>
    <w:rsid w:val="007E73B7"/>
    <w:rsid w:val="007E7CFC"/>
    <w:rsid w:val="007F0083"/>
    <w:rsid w:val="007F00C0"/>
    <w:rsid w:val="007F016D"/>
    <w:rsid w:val="007F0436"/>
    <w:rsid w:val="007F0995"/>
    <w:rsid w:val="007F0A21"/>
    <w:rsid w:val="007F0A60"/>
    <w:rsid w:val="007F0AAD"/>
    <w:rsid w:val="007F0E4E"/>
    <w:rsid w:val="007F0F0C"/>
    <w:rsid w:val="007F106C"/>
    <w:rsid w:val="007F1217"/>
    <w:rsid w:val="007F13E5"/>
    <w:rsid w:val="007F1806"/>
    <w:rsid w:val="007F188A"/>
    <w:rsid w:val="007F1A46"/>
    <w:rsid w:val="007F1C01"/>
    <w:rsid w:val="007F1DBC"/>
    <w:rsid w:val="007F2429"/>
    <w:rsid w:val="007F27F0"/>
    <w:rsid w:val="007F28BD"/>
    <w:rsid w:val="007F2B11"/>
    <w:rsid w:val="007F2DD6"/>
    <w:rsid w:val="007F3002"/>
    <w:rsid w:val="007F30CD"/>
    <w:rsid w:val="007F3709"/>
    <w:rsid w:val="007F39FC"/>
    <w:rsid w:val="007F3BAA"/>
    <w:rsid w:val="007F3BCE"/>
    <w:rsid w:val="007F3C08"/>
    <w:rsid w:val="007F3CCC"/>
    <w:rsid w:val="007F3F0F"/>
    <w:rsid w:val="007F4030"/>
    <w:rsid w:val="007F417C"/>
    <w:rsid w:val="007F4385"/>
    <w:rsid w:val="007F4661"/>
    <w:rsid w:val="007F47A1"/>
    <w:rsid w:val="007F47BE"/>
    <w:rsid w:val="007F49F7"/>
    <w:rsid w:val="007F4A36"/>
    <w:rsid w:val="007F4A63"/>
    <w:rsid w:val="007F4B38"/>
    <w:rsid w:val="007F4C19"/>
    <w:rsid w:val="007F4DDC"/>
    <w:rsid w:val="007F52F4"/>
    <w:rsid w:val="007F5795"/>
    <w:rsid w:val="007F5A6E"/>
    <w:rsid w:val="007F5D05"/>
    <w:rsid w:val="007F5E0F"/>
    <w:rsid w:val="007F5EF3"/>
    <w:rsid w:val="007F625C"/>
    <w:rsid w:val="007F6575"/>
    <w:rsid w:val="007F6D10"/>
    <w:rsid w:val="007F6DC8"/>
    <w:rsid w:val="007F7067"/>
    <w:rsid w:val="007F7152"/>
    <w:rsid w:val="007F716A"/>
    <w:rsid w:val="007F7301"/>
    <w:rsid w:val="007F786E"/>
    <w:rsid w:val="007F78E1"/>
    <w:rsid w:val="007F78EC"/>
    <w:rsid w:val="007F7D74"/>
    <w:rsid w:val="007F7DCB"/>
    <w:rsid w:val="00800038"/>
    <w:rsid w:val="008001C9"/>
    <w:rsid w:val="008002CF"/>
    <w:rsid w:val="0080036C"/>
    <w:rsid w:val="00800983"/>
    <w:rsid w:val="00800A15"/>
    <w:rsid w:val="00800A57"/>
    <w:rsid w:val="00800C5F"/>
    <w:rsid w:val="00800CBC"/>
    <w:rsid w:val="00800D11"/>
    <w:rsid w:val="00800E39"/>
    <w:rsid w:val="00800ED5"/>
    <w:rsid w:val="00800F4F"/>
    <w:rsid w:val="00800FEB"/>
    <w:rsid w:val="00801052"/>
    <w:rsid w:val="00801445"/>
    <w:rsid w:val="00801728"/>
    <w:rsid w:val="008017A0"/>
    <w:rsid w:val="008020DF"/>
    <w:rsid w:val="00802217"/>
    <w:rsid w:val="00802840"/>
    <w:rsid w:val="0080289E"/>
    <w:rsid w:val="0080299E"/>
    <w:rsid w:val="00802DE9"/>
    <w:rsid w:val="00802FA5"/>
    <w:rsid w:val="00803034"/>
    <w:rsid w:val="008032E0"/>
    <w:rsid w:val="0080359B"/>
    <w:rsid w:val="008038E0"/>
    <w:rsid w:val="008038FF"/>
    <w:rsid w:val="008039C0"/>
    <w:rsid w:val="008039CA"/>
    <w:rsid w:val="00803B3C"/>
    <w:rsid w:val="00803E70"/>
    <w:rsid w:val="00804180"/>
    <w:rsid w:val="008043C1"/>
    <w:rsid w:val="008044C8"/>
    <w:rsid w:val="00804C24"/>
    <w:rsid w:val="00805591"/>
    <w:rsid w:val="0080569C"/>
    <w:rsid w:val="00805ACC"/>
    <w:rsid w:val="00805BFF"/>
    <w:rsid w:val="00805F0C"/>
    <w:rsid w:val="00806103"/>
    <w:rsid w:val="00806158"/>
    <w:rsid w:val="0080627D"/>
    <w:rsid w:val="00806353"/>
    <w:rsid w:val="008064DE"/>
    <w:rsid w:val="008067E8"/>
    <w:rsid w:val="00806900"/>
    <w:rsid w:val="00806AEE"/>
    <w:rsid w:val="00806B8E"/>
    <w:rsid w:val="00806D2D"/>
    <w:rsid w:val="00806E31"/>
    <w:rsid w:val="008072E2"/>
    <w:rsid w:val="00807563"/>
    <w:rsid w:val="008078A7"/>
    <w:rsid w:val="008078D1"/>
    <w:rsid w:val="008078EE"/>
    <w:rsid w:val="00807960"/>
    <w:rsid w:val="00807C17"/>
    <w:rsid w:val="0081085A"/>
    <w:rsid w:val="00810A4C"/>
    <w:rsid w:val="00810A68"/>
    <w:rsid w:val="00810CF6"/>
    <w:rsid w:val="00810FEF"/>
    <w:rsid w:val="00811026"/>
    <w:rsid w:val="0081161A"/>
    <w:rsid w:val="0081168B"/>
    <w:rsid w:val="008116C3"/>
    <w:rsid w:val="0081170A"/>
    <w:rsid w:val="00811E3D"/>
    <w:rsid w:val="00811F03"/>
    <w:rsid w:val="00812038"/>
    <w:rsid w:val="008124D4"/>
    <w:rsid w:val="00812581"/>
    <w:rsid w:val="00812C85"/>
    <w:rsid w:val="00812DCA"/>
    <w:rsid w:val="00812FAE"/>
    <w:rsid w:val="0081312E"/>
    <w:rsid w:val="00813495"/>
    <w:rsid w:val="008134D3"/>
    <w:rsid w:val="0081372C"/>
    <w:rsid w:val="0081376F"/>
    <w:rsid w:val="008138B8"/>
    <w:rsid w:val="00813913"/>
    <w:rsid w:val="0081395B"/>
    <w:rsid w:val="00813CE3"/>
    <w:rsid w:val="00813E09"/>
    <w:rsid w:val="00814328"/>
    <w:rsid w:val="0081449D"/>
    <w:rsid w:val="008146FE"/>
    <w:rsid w:val="00814960"/>
    <w:rsid w:val="00814A43"/>
    <w:rsid w:val="00814A56"/>
    <w:rsid w:val="00814B58"/>
    <w:rsid w:val="00814D5F"/>
    <w:rsid w:val="00815018"/>
    <w:rsid w:val="00815142"/>
    <w:rsid w:val="008159BB"/>
    <w:rsid w:val="0081729A"/>
    <w:rsid w:val="008175F1"/>
    <w:rsid w:val="00817BED"/>
    <w:rsid w:val="00817BF5"/>
    <w:rsid w:val="00817CCE"/>
    <w:rsid w:val="00817E25"/>
    <w:rsid w:val="00817E2E"/>
    <w:rsid w:val="00817EF7"/>
    <w:rsid w:val="00817F09"/>
    <w:rsid w:val="00817F68"/>
    <w:rsid w:val="00817F86"/>
    <w:rsid w:val="0082009B"/>
    <w:rsid w:val="008205B9"/>
    <w:rsid w:val="00820617"/>
    <w:rsid w:val="00820677"/>
    <w:rsid w:val="00820756"/>
    <w:rsid w:val="0082085B"/>
    <w:rsid w:val="008208B2"/>
    <w:rsid w:val="00820B30"/>
    <w:rsid w:val="00820BD2"/>
    <w:rsid w:val="00820C85"/>
    <w:rsid w:val="008211A4"/>
    <w:rsid w:val="00821381"/>
    <w:rsid w:val="008216BE"/>
    <w:rsid w:val="00821824"/>
    <w:rsid w:val="008218B1"/>
    <w:rsid w:val="0082226E"/>
    <w:rsid w:val="0082229F"/>
    <w:rsid w:val="008222F1"/>
    <w:rsid w:val="008224B5"/>
    <w:rsid w:val="008227C5"/>
    <w:rsid w:val="00822ADA"/>
    <w:rsid w:val="00822F12"/>
    <w:rsid w:val="00823087"/>
    <w:rsid w:val="008234BE"/>
    <w:rsid w:val="008234C1"/>
    <w:rsid w:val="00823533"/>
    <w:rsid w:val="008237D6"/>
    <w:rsid w:val="0082383A"/>
    <w:rsid w:val="008239DC"/>
    <w:rsid w:val="00823A49"/>
    <w:rsid w:val="00823B17"/>
    <w:rsid w:val="00823CDD"/>
    <w:rsid w:val="00823D79"/>
    <w:rsid w:val="00823DF3"/>
    <w:rsid w:val="00823EEC"/>
    <w:rsid w:val="008240A5"/>
    <w:rsid w:val="008240FF"/>
    <w:rsid w:val="008242B9"/>
    <w:rsid w:val="00824315"/>
    <w:rsid w:val="008243D4"/>
    <w:rsid w:val="008244C8"/>
    <w:rsid w:val="008246A2"/>
    <w:rsid w:val="00824A01"/>
    <w:rsid w:val="00824DDB"/>
    <w:rsid w:val="0082514C"/>
    <w:rsid w:val="0082525B"/>
    <w:rsid w:val="0082532F"/>
    <w:rsid w:val="00825649"/>
    <w:rsid w:val="00825AC9"/>
    <w:rsid w:val="00825C18"/>
    <w:rsid w:val="00825D31"/>
    <w:rsid w:val="00825D71"/>
    <w:rsid w:val="00825E75"/>
    <w:rsid w:val="00825F71"/>
    <w:rsid w:val="00826137"/>
    <w:rsid w:val="008270C5"/>
    <w:rsid w:val="00827387"/>
    <w:rsid w:val="008274C5"/>
    <w:rsid w:val="0082768B"/>
    <w:rsid w:val="008278F8"/>
    <w:rsid w:val="008279E9"/>
    <w:rsid w:val="00827B35"/>
    <w:rsid w:val="00830377"/>
    <w:rsid w:val="00830580"/>
    <w:rsid w:val="00830C06"/>
    <w:rsid w:val="00830E71"/>
    <w:rsid w:val="00830FC3"/>
    <w:rsid w:val="008317E6"/>
    <w:rsid w:val="00831B04"/>
    <w:rsid w:val="00831B8A"/>
    <w:rsid w:val="00831E10"/>
    <w:rsid w:val="0083206A"/>
    <w:rsid w:val="0083225E"/>
    <w:rsid w:val="008323B6"/>
    <w:rsid w:val="00832692"/>
    <w:rsid w:val="00832849"/>
    <w:rsid w:val="00832A23"/>
    <w:rsid w:val="00832AE4"/>
    <w:rsid w:val="00832B9F"/>
    <w:rsid w:val="00832CBB"/>
    <w:rsid w:val="00832F81"/>
    <w:rsid w:val="0083309B"/>
    <w:rsid w:val="00833528"/>
    <w:rsid w:val="00833AE9"/>
    <w:rsid w:val="00833C8A"/>
    <w:rsid w:val="00833D46"/>
    <w:rsid w:val="008340B1"/>
    <w:rsid w:val="0083413B"/>
    <w:rsid w:val="0083449F"/>
    <w:rsid w:val="008344C4"/>
    <w:rsid w:val="008348C7"/>
    <w:rsid w:val="00834964"/>
    <w:rsid w:val="008350EE"/>
    <w:rsid w:val="00835459"/>
    <w:rsid w:val="008356DB"/>
    <w:rsid w:val="0083578C"/>
    <w:rsid w:val="0083583B"/>
    <w:rsid w:val="008358B2"/>
    <w:rsid w:val="00835BB7"/>
    <w:rsid w:val="00835F6D"/>
    <w:rsid w:val="00835FC6"/>
    <w:rsid w:val="008361A4"/>
    <w:rsid w:val="008362AF"/>
    <w:rsid w:val="00836819"/>
    <w:rsid w:val="00836949"/>
    <w:rsid w:val="00836A19"/>
    <w:rsid w:val="00836B1A"/>
    <w:rsid w:val="00836EB8"/>
    <w:rsid w:val="00837003"/>
    <w:rsid w:val="008400E9"/>
    <w:rsid w:val="00840399"/>
    <w:rsid w:val="00840772"/>
    <w:rsid w:val="008408C5"/>
    <w:rsid w:val="00840A39"/>
    <w:rsid w:val="00840E05"/>
    <w:rsid w:val="00840EAE"/>
    <w:rsid w:val="008412B7"/>
    <w:rsid w:val="0084187C"/>
    <w:rsid w:val="008419F9"/>
    <w:rsid w:val="00842222"/>
    <w:rsid w:val="008422E9"/>
    <w:rsid w:val="00842375"/>
    <w:rsid w:val="00842547"/>
    <w:rsid w:val="00842699"/>
    <w:rsid w:val="00842854"/>
    <w:rsid w:val="008428C8"/>
    <w:rsid w:val="00842A2E"/>
    <w:rsid w:val="008438B7"/>
    <w:rsid w:val="00843975"/>
    <w:rsid w:val="00843C82"/>
    <w:rsid w:val="00843EB3"/>
    <w:rsid w:val="00843F7D"/>
    <w:rsid w:val="00843FBB"/>
    <w:rsid w:val="008444B9"/>
    <w:rsid w:val="0084498A"/>
    <w:rsid w:val="00844B45"/>
    <w:rsid w:val="00844C86"/>
    <w:rsid w:val="00844D6B"/>
    <w:rsid w:val="00845484"/>
    <w:rsid w:val="008456B3"/>
    <w:rsid w:val="00845835"/>
    <w:rsid w:val="00845B19"/>
    <w:rsid w:val="00845B61"/>
    <w:rsid w:val="00845B78"/>
    <w:rsid w:val="00846369"/>
    <w:rsid w:val="008463C5"/>
    <w:rsid w:val="00846528"/>
    <w:rsid w:val="0084660D"/>
    <w:rsid w:val="008468FE"/>
    <w:rsid w:val="0084691F"/>
    <w:rsid w:val="00846945"/>
    <w:rsid w:val="008469D4"/>
    <w:rsid w:val="00846B4C"/>
    <w:rsid w:val="00846DA7"/>
    <w:rsid w:val="00846DCF"/>
    <w:rsid w:val="008470B2"/>
    <w:rsid w:val="008479AF"/>
    <w:rsid w:val="00847DA2"/>
    <w:rsid w:val="00847EBF"/>
    <w:rsid w:val="00850895"/>
    <w:rsid w:val="0085094E"/>
    <w:rsid w:val="00850CD0"/>
    <w:rsid w:val="00850D15"/>
    <w:rsid w:val="0085164F"/>
    <w:rsid w:val="00851653"/>
    <w:rsid w:val="00851675"/>
    <w:rsid w:val="00851714"/>
    <w:rsid w:val="00852177"/>
    <w:rsid w:val="008523BD"/>
    <w:rsid w:val="008524D9"/>
    <w:rsid w:val="008525B2"/>
    <w:rsid w:val="00852734"/>
    <w:rsid w:val="0085292C"/>
    <w:rsid w:val="00852AC7"/>
    <w:rsid w:val="00852B3E"/>
    <w:rsid w:val="00853265"/>
    <w:rsid w:val="00853266"/>
    <w:rsid w:val="0085352E"/>
    <w:rsid w:val="008535AE"/>
    <w:rsid w:val="0085375E"/>
    <w:rsid w:val="008538FD"/>
    <w:rsid w:val="008539EB"/>
    <w:rsid w:val="00853A7D"/>
    <w:rsid w:val="00853C73"/>
    <w:rsid w:val="0085401F"/>
    <w:rsid w:val="00854188"/>
    <w:rsid w:val="0085427C"/>
    <w:rsid w:val="0085456C"/>
    <w:rsid w:val="0085494C"/>
    <w:rsid w:val="008549E0"/>
    <w:rsid w:val="00854BC2"/>
    <w:rsid w:val="00854DA5"/>
    <w:rsid w:val="008550BB"/>
    <w:rsid w:val="00855175"/>
    <w:rsid w:val="008552BC"/>
    <w:rsid w:val="0085531B"/>
    <w:rsid w:val="00855830"/>
    <w:rsid w:val="00855A7F"/>
    <w:rsid w:val="00855ABB"/>
    <w:rsid w:val="00855BA7"/>
    <w:rsid w:val="00855DCD"/>
    <w:rsid w:val="00855F42"/>
    <w:rsid w:val="00855F75"/>
    <w:rsid w:val="0085659A"/>
    <w:rsid w:val="0085666C"/>
    <w:rsid w:val="00856704"/>
    <w:rsid w:val="00856A74"/>
    <w:rsid w:val="00856C94"/>
    <w:rsid w:val="00856CF3"/>
    <w:rsid w:val="00856F95"/>
    <w:rsid w:val="0085709E"/>
    <w:rsid w:val="00857210"/>
    <w:rsid w:val="008573C2"/>
    <w:rsid w:val="00857BA7"/>
    <w:rsid w:val="008601BF"/>
    <w:rsid w:val="0086082B"/>
    <w:rsid w:val="008608CE"/>
    <w:rsid w:val="00860B7E"/>
    <w:rsid w:val="00860D33"/>
    <w:rsid w:val="00860D4F"/>
    <w:rsid w:val="0086108C"/>
    <w:rsid w:val="008612F9"/>
    <w:rsid w:val="0086161E"/>
    <w:rsid w:val="0086172E"/>
    <w:rsid w:val="008619B7"/>
    <w:rsid w:val="00862128"/>
    <w:rsid w:val="008622D0"/>
    <w:rsid w:val="00862355"/>
    <w:rsid w:val="00862710"/>
    <w:rsid w:val="00862719"/>
    <w:rsid w:val="00862902"/>
    <w:rsid w:val="00862E19"/>
    <w:rsid w:val="00863107"/>
    <w:rsid w:val="00863748"/>
    <w:rsid w:val="00863B46"/>
    <w:rsid w:val="00863CE3"/>
    <w:rsid w:val="00863E0B"/>
    <w:rsid w:val="00863E5B"/>
    <w:rsid w:val="008642E3"/>
    <w:rsid w:val="00864563"/>
    <w:rsid w:val="008649E3"/>
    <w:rsid w:val="00864B40"/>
    <w:rsid w:val="00864BA4"/>
    <w:rsid w:val="00864C65"/>
    <w:rsid w:val="008650DE"/>
    <w:rsid w:val="008652F8"/>
    <w:rsid w:val="00865873"/>
    <w:rsid w:val="008659E5"/>
    <w:rsid w:val="00865DBA"/>
    <w:rsid w:val="00865FE5"/>
    <w:rsid w:val="0086634A"/>
    <w:rsid w:val="008664F5"/>
    <w:rsid w:val="00866733"/>
    <w:rsid w:val="00866813"/>
    <w:rsid w:val="008669CF"/>
    <w:rsid w:val="00867214"/>
    <w:rsid w:val="00867286"/>
    <w:rsid w:val="008673AC"/>
    <w:rsid w:val="008673D8"/>
    <w:rsid w:val="008674C9"/>
    <w:rsid w:val="00867691"/>
    <w:rsid w:val="00867762"/>
    <w:rsid w:val="00867823"/>
    <w:rsid w:val="00867A3E"/>
    <w:rsid w:val="00867AE8"/>
    <w:rsid w:val="008700D3"/>
    <w:rsid w:val="008702B8"/>
    <w:rsid w:val="008703B4"/>
    <w:rsid w:val="008708AF"/>
    <w:rsid w:val="00870943"/>
    <w:rsid w:val="00870CE0"/>
    <w:rsid w:val="00870E59"/>
    <w:rsid w:val="008710C1"/>
    <w:rsid w:val="00871197"/>
    <w:rsid w:val="008711BC"/>
    <w:rsid w:val="00871AAD"/>
    <w:rsid w:val="00871C4C"/>
    <w:rsid w:val="00871EE8"/>
    <w:rsid w:val="00871FC8"/>
    <w:rsid w:val="00872015"/>
    <w:rsid w:val="00872404"/>
    <w:rsid w:val="00872473"/>
    <w:rsid w:val="008724DC"/>
    <w:rsid w:val="00872557"/>
    <w:rsid w:val="00872656"/>
    <w:rsid w:val="00872736"/>
    <w:rsid w:val="00872816"/>
    <w:rsid w:val="008728B8"/>
    <w:rsid w:val="00872BD6"/>
    <w:rsid w:val="00872E02"/>
    <w:rsid w:val="00872EEB"/>
    <w:rsid w:val="008730EB"/>
    <w:rsid w:val="0087312C"/>
    <w:rsid w:val="00873921"/>
    <w:rsid w:val="008739A0"/>
    <w:rsid w:val="00873C25"/>
    <w:rsid w:val="00873C27"/>
    <w:rsid w:val="00873E18"/>
    <w:rsid w:val="0087422F"/>
    <w:rsid w:val="00874489"/>
    <w:rsid w:val="008744F0"/>
    <w:rsid w:val="008745DC"/>
    <w:rsid w:val="00874612"/>
    <w:rsid w:val="0087475F"/>
    <w:rsid w:val="00874CB8"/>
    <w:rsid w:val="00875089"/>
    <w:rsid w:val="0087526D"/>
    <w:rsid w:val="00875B62"/>
    <w:rsid w:val="00875CAB"/>
    <w:rsid w:val="00875EF7"/>
    <w:rsid w:val="00875F46"/>
    <w:rsid w:val="008762FF"/>
    <w:rsid w:val="008767A1"/>
    <w:rsid w:val="00876892"/>
    <w:rsid w:val="00876A80"/>
    <w:rsid w:val="00876C4D"/>
    <w:rsid w:val="00876E50"/>
    <w:rsid w:val="00876F03"/>
    <w:rsid w:val="00877221"/>
    <w:rsid w:val="0087752C"/>
    <w:rsid w:val="008775C2"/>
    <w:rsid w:val="0087760F"/>
    <w:rsid w:val="008777C3"/>
    <w:rsid w:val="008778CD"/>
    <w:rsid w:val="00877C67"/>
    <w:rsid w:val="00877CDE"/>
    <w:rsid w:val="00877E4B"/>
    <w:rsid w:val="0088013A"/>
    <w:rsid w:val="008803D4"/>
    <w:rsid w:val="00880962"/>
    <w:rsid w:val="00880E44"/>
    <w:rsid w:val="00880E75"/>
    <w:rsid w:val="008811AE"/>
    <w:rsid w:val="008819ED"/>
    <w:rsid w:val="00881BF0"/>
    <w:rsid w:val="00881D23"/>
    <w:rsid w:val="00881EA4"/>
    <w:rsid w:val="00881F3B"/>
    <w:rsid w:val="008821B3"/>
    <w:rsid w:val="00882560"/>
    <w:rsid w:val="008828D4"/>
    <w:rsid w:val="00882C86"/>
    <w:rsid w:val="00882CA3"/>
    <w:rsid w:val="00882D4E"/>
    <w:rsid w:val="00882EB0"/>
    <w:rsid w:val="00882EEF"/>
    <w:rsid w:val="00882F54"/>
    <w:rsid w:val="00882FB0"/>
    <w:rsid w:val="008830F4"/>
    <w:rsid w:val="00883668"/>
    <w:rsid w:val="00883829"/>
    <w:rsid w:val="00883841"/>
    <w:rsid w:val="008839F1"/>
    <w:rsid w:val="00883EA1"/>
    <w:rsid w:val="0088415F"/>
    <w:rsid w:val="0088419A"/>
    <w:rsid w:val="008843D4"/>
    <w:rsid w:val="008847B5"/>
    <w:rsid w:val="008849CF"/>
    <w:rsid w:val="00884A7A"/>
    <w:rsid w:val="00884E16"/>
    <w:rsid w:val="00885512"/>
    <w:rsid w:val="00885718"/>
    <w:rsid w:val="00885C97"/>
    <w:rsid w:val="00886111"/>
    <w:rsid w:val="008861A0"/>
    <w:rsid w:val="008869A7"/>
    <w:rsid w:val="00886CAD"/>
    <w:rsid w:val="00887252"/>
    <w:rsid w:val="00887560"/>
    <w:rsid w:val="00887934"/>
    <w:rsid w:val="00887DE1"/>
    <w:rsid w:val="00887F3B"/>
    <w:rsid w:val="00887FF0"/>
    <w:rsid w:val="0089008D"/>
    <w:rsid w:val="008902CD"/>
    <w:rsid w:val="0089054A"/>
    <w:rsid w:val="0089081F"/>
    <w:rsid w:val="00890A3F"/>
    <w:rsid w:val="0089113A"/>
    <w:rsid w:val="00891217"/>
    <w:rsid w:val="008918C7"/>
    <w:rsid w:val="00891CCB"/>
    <w:rsid w:val="00891DB7"/>
    <w:rsid w:val="00891F07"/>
    <w:rsid w:val="00891F8F"/>
    <w:rsid w:val="00892323"/>
    <w:rsid w:val="008925C4"/>
    <w:rsid w:val="00892651"/>
    <w:rsid w:val="00892844"/>
    <w:rsid w:val="0089292E"/>
    <w:rsid w:val="00892967"/>
    <w:rsid w:val="008929D7"/>
    <w:rsid w:val="00892B9A"/>
    <w:rsid w:val="00892C6A"/>
    <w:rsid w:val="00892D2B"/>
    <w:rsid w:val="00892D65"/>
    <w:rsid w:val="00893036"/>
    <w:rsid w:val="008931E8"/>
    <w:rsid w:val="00893204"/>
    <w:rsid w:val="008933DC"/>
    <w:rsid w:val="008933F4"/>
    <w:rsid w:val="00893593"/>
    <w:rsid w:val="00893990"/>
    <w:rsid w:val="00893BAB"/>
    <w:rsid w:val="00893EB8"/>
    <w:rsid w:val="00893FC9"/>
    <w:rsid w:val="0089428B"/>
    <w:rsid w:val="00894BAC"/>
    <w:rsid w:val="0089582F"/>
    <w:rsid w:val="00895A26"/>
    <w:rsid w:val="00895A8F"/>
    <w:rsid w:val="00895CC9"/>
    <w:rsid w:val="00895DFC"/>
    <w:rsid w:val="00895EE6"/>
    <w:rsid w:val="00895FBA"/>
    <w:rsid w:val="008963A1"/>
    <w:rsid w:val="00896467"/>
    <w:rsid w:val="008969BA"/>
    <w:rsid w:val="00896A4F"/>
    <w:rsid w:val="00896B07"/>
    <w:rsid w:val="00896B0B"/>
    <w:rsid w:val="00896B97"/>
    <w:rsid w:val="00896CD9"/>
    <w:rsid w:val="00896CE2"/>
    <w:rsid w:val="00896D0F"/>
    <w:rsid w:val="00896DF3"/>
    <w:rsid w:val="0089703A"/>
    <w:rsid w:val="00897136"/>
    <w:rsid w:val="00897159"/>
    <w:rsid w:val="00897206"/>
    <w:rsid w:val="0089731E"/>
    <w:rsid w:val="00897336"/>
    <w:rsid w:val="008974C0"/>
    <w:rsid w:val="008977F1"/>
    <w:rsid w:val="00897E24"/>
    <w:rsid w:val="008A00B5"/>
    <w:rsid w:val="008A0139"/>
    <w:rsid w:val="008A032C"/>
    <w:rsid w:val="008A03C7"/>
    <w:rsid w:val="008A0824"/>
    <w:rsid w:val="008A100C"/>
    <w:rsid w:val="008A103D"/>
    <w:rsid w:val="008A10B7"/>
    <w:rsid w:val="008A1171"/>
    <w:rsid w:val="008A11DA"/>
    <w:rsid w:val="008A12FD"/>
    <w:rsid w:val="008A1726"/>
    <w:rsid w:val="008A1C74"/>
    <w:rsid w:val="008A1F01"/>
    <w:rsid w:val="008A2793"/>
    <w:rsid w:val="008A27C8"/>
    <w:rsid w:val="008A28B4"/>
    <w:rsid w:val="008A2BBE"/>
    <w:rsid w:val="008A2D74"/>
    <w:rsid w:val="008A3132"/>
    <w:rsid w:val="008A3399"/>
    <w:rsid w:val="008A35F4"/>
    <w:rsid w:val="008A35FE"/>
    <w:rsid w:val="008A3911"/>
    <w:rsid w:val="008A3A56"/>
    <w:rsid w:val="008A3B1C"/>
    <w:rsid w:val="008A40EF"/>
    <w:rsid w:val="008A4274"/>
    <w:rsid w:val="008A4372"/>
    <w:rsid w:val="008A4374"/>
    <w:rsid w:val="008A44F1"/>
    <w:rsid w:val="008A4556"/>
    <w:rsid w:val="008A46E0"/>
    <w:rsid w:val="008A480D"/>
    <w:rsid w:val="008A48E6"/>
    <w:rsid w:val="008A4B30"/>
    <w:rsid w:val="008A5296"/>
    <w:rsid w:val="008A55BB"/>
    <w:rsid w:val="008A56D3"/>
    <w:rsid w:val="008A57C8"/>
    <w:rsid w:val="008A610D"/>
    <w:rsid w:val="008A61D8"/>
    <w:rsid w:val="008A6696"/>
    <w:rsid w:val="008A6CE5"/>
    <w:rsid w:val="008A6E6E"/>
    <w:rsid w:val="008A70B2"/>
    <w:rsid w:val="008A73A5"/>
    <w:rsid w:val="008A7446"/>
    <w:rsid w:val="008A756B"/>
    <w:rsid w:val="008A76C4"/>
    <w:rsid w:val="008A76E2"/>
    <w:rsid w:val="008A7AA0"/>
    <w:rsid w:val="008A7C3F"/>
    <w:rsid w:val="008B0028"/>
    <w:rsid w:val="008B0472"/>
    <w:rsid w:val="008B051C"/>
    <w:rsid w:val="008B054E"/>
    <w:rsid w:val="008B0559"/>
    <w:rsid w:val="008B05BF"/>
    <w:rsid w:val="008B08CD"/>
    <w:rsid w:val="008B0A44"/>
    <w:rsid w:val="008B0A60"/>
    <w:rsid w:val="008B0AD4"/>
    <w:rsid w:val="008B0B5A"/>
    <w:rsid w:val="008B1859"/>
    <w:rsid w:val="008B1B7B"/>
    <w:rsid w:val="008B1D3B"/>
    <w:rsid w:val="008B21DB"/>
    <w:rsid w:val="008B2324"/>
    <w:rsid w:val="008B2377"/>
    <w:rsid w:val="008B2586"/>
    <w:rsid w:val="008B26E2"/>
    <w:rsid w:val="008B2889"/>
    <w:rsid w:val="008B2AFA"/>
    <w:rsid w:val="008B2EA6"/>
    <w:rsid w:val="008B2EB3"/>
    <w:rsid w:val="008B30FC"/>
    <w:rsid w:val="008B3783"/>
    <w:rsid w:val="008B37BA"/>
    <w:rsid w:val="008B380C"/>
    <w:rsid w:val="008B3DAF"/>
    <w:rsid w:val="008B3EED"/>
    <w:rsid w:val="008B42F7"/>
    <w:rsid w:val="008B497D"/>
    <w:rsid w:val="008B4DF0"/>
    <w:rsid w:val="008B53CF"/>
    <w:rsid w:val="008B553B"/>
    <w:rsid w:val="008B570B"/>
    <w:rsid w:val="008B59F4"/>
    <w:rsid w:val="008B5B2E"/>
    <w:rsid w:val="008B5ED7"/>
    <w:rsid w:val="008B5ED9"/>
    <w:rsid w:val="008B619E"/>
    <w:rsid w:val="008B629A"/>
    <w:rsid w:val="008B6593"/>
    <w:rsid w:val="008B6CF8"/>
    <w:rsid w:val="008B73D6"/>
    <w:rsid w:val="008B767C"/>
    <w:rsid w:val="008B76B1"/>
    <w:rsid w:val="008B7713"/>
    <w:rsid w:val="008B7A58"/>
    <w:rsid w:val="008B7FBA"/>
    <w:rsid w:val="008C05DA"/>
    <w:rsid w:val="008C0615"/>
    <w:rsid w:val="008C087C"/>
    <w:rsid w:val="008C08CA"/>
    <w:rsid w:val="008C0A3F"/>
    <w:rsid w:val="008C0B36"/>
    <w:rsid w:val="008C0EBD"/>
    <w:rsid w:val="008C0F4E"/>
    <w:rsid w:val="008C0F91"/>
    <w:rsid w:val="008C10DF"/>
    <w:rsid w:val="008C1226"/>
    <w:rsid w:val="008C12F6"/>
    <w:rsid w:val="008C14AE"/>
    <w:rsid w:val="008C166B"/>
    <w:rsid w:val="008C1679"/>
    <w:rsid w:val="008C16A1"/>
    <w:rsid w:val="008C1817"/>
    <w:rsid w:val="008C1935"/>
    <w:rsid w:val="008C19CD"/>
    <w:rsid w:val="008C1B09"/>
    <w:rsid w:val="008C1DE2"/>
    <w:rsid w:val="008C1F48"/>
    <w:rsid w:val="008C1FE7"/>
    <w:rsid w:val="008C21C8"/>
    <w:rsid w:val="008C2597"/>
    <w:rsid w:val="008C2A83"/>
    <w:rsid w:val="008C2B74"/>
    <w:rsid w:val="008C2D5E"/>
    <w:rsid w:val="008C2E99"/>
    <w:rsid w:val="008C2F39"/>
    <w:rsid w:val="008C30B7"/>
    <w:rsid w:val="008C322E"/>
    <w:rsid w:val="008C3258"/>
    <w:rsid w:val="008C3428"/>
    <w:rsid w:val="008C369F"/>
    <w:rsid w:val="008C388E"/>
    <w:rsid w:val="008C38C0"/>
    <w:rsid w:val="008C4356"/>
    <w:rsid w:val="008C47C4"/>
    <w:rsid w:val="008C48E9"/>
    <w:rsid w:val="008C4BE8"/>
    <w:rsid w:val="008C4C21"/>
    <w:rsid w:val="008C526D"/>
    <w:rsid w:val="008C5A1E"/>
    <w:rsid w:val="008C6279"/>
    <w:rsid w:val="008C655F"/>
    <w:rsid w:val="008C65FD"/>
    <w:rsid w:val="008C6B61"/>
    <w:rsid w:val="008C6F37"/>
    <w:rsid w:val="008C71B0"/>
    <w:rsid w:val="008C7347"/>
    <w:rsid w:val="008C736A"/>
    <w:rsid w:val="008C74AE"/>
    <w:rsid w:val="008C78A7"/>
    <w:rsid w:val="008C78FE"/>
    <w:rsid w:val="008C7955"/>
    <w:rsid w:val="008C7B0C"/>
    <w:rsid w:val="008C7D97"/>
    <w:rsid w:val="008C7E5A"/>
    <w:rsid w:val="008C7F71"/>
    <w:rsid w:val="008D0323"/>
    <w:rsid w:val="008D03F0"/>
    <w:rsid w:val="008D044B"/>
    <w:rsid w:val="008D0889"/>
    <w:rsid w:val="008D0EAE"/>
    <w:rsid w:val="008D110E"/>
    <w:rsid w:val="008D16DD"/>
    <w:rsid w:val="008D16EC"/>
    <w:rsid w:val="008D1E2B"/>
    <w:rsid w:val="008D1ECE"/>
    <w:rsid w:val="008D1F57"/>
    <w:rsid w:val="008D204F"/>
    <w:rsid w:val="008D2055"/>
    <w:rsid w:val="008D22DD"/>
    <w:rsid w:val="008D257A"/>
    <w:rsid w:val="008D2A81"/>
    <w:rsid w:val="008D2AA9"/>
    <w:rsid w:val="008D35A3"/>
    <w:rsid w:val="008D379C"/>
    <w:rsid w:val="008D38C4"/>
    <w:rsid w:val="008D3A89"/>
    <w:rsid w:val="008D3ACA"/>
    <w:rsid w:val="008D3E45"/>
    <w:rsid w:val="008D3FC4"/>
    <w:rsid w:val="008D42C5"/>
    <w:rsid w:val="008D4328"/>
    <w:rsid w:val="008D4588"/>
    <w:rsid w:val="008D4957"/>
    <w:rsid w:val="008D4D64"/>
    <w:rsid w:val="008D4F0F"/>
    <w:rsid w:val="008D509E"/>
    <w:rsid w:val="008D5273"/>
    <w:rsid w:val="008D5804"/>
    <w:rsid w:val="008D5852"/>
    <w:rsid w:val="008D588E"/>
    <w:rsid w:val="008D5BC2"/>
    <w:rsid w:val="008D5C13"/>
    <w:rsid w:val="008D5F13"/>
    <w:rsid w:val="008D6000"/>
    <w:rsid w:val="008D61B7"/>
    <w:rsid w:val="008D6289"/>
    <w:rsid w:val="008D67CE"/>
    <w:rsid w:val="008D68A6"/>
    <w:rsid w:val="008D69BC"/>
    <w:rsid w:val="008D69F2"/>
    <w:rsid w:val="008D6C77"/>
    <w:rsid w:val="008D6D1C"/>
    <w:rsid w:val="008D6EE6"/>
    <w:rsid w:val="008D744E"/>
    <w:rsid w:val="008D76E7"/>
    <w:rsid w:val="008D783E"/>
    <w:rsid w:val="008D7930"/>
    <w:rsid w:val="008D798D"/>
    <w:rsid w:val="008D7DD8"/>
    <w:rsid w:val="008D7E3B"/>
    <w:rsid w:val="008D7FA6"/>
    <w:rsid w:val="008E07F5"/>
    <w:rsid w:val="008E08D6"/>
    <w:rsid w:val="008E0A73"/>
    <w:rsid w:val="008E0BE6"/>
    <w:rsid w:val="008E101B"/>
    <w:rsid w:val="008E1079"/>
    <w:rsid w:val="008E1196"/>
    <w:rsid w:val="008E11B4"/>
    <w:rsid w:val="008E1AB3"/>
    <w:rsid w:val="008E1D2C"/>
    <w:rsid w:val="008E1E89"/>
    <w:rsid w:val="008E1F24"/>
    <w:rsid w:val="008E2068"/>
    <w:rsid w:val="008E23C7"/>
    <w:rsid w:val="008E277B"/>
    <w:rsid w:val="008E295B"/>
    <w:rsid w:val="008E2B9D"/>
    <w:rsid w:val="008E30CC"/>
    <w:rsid w:val="008E3505"/>
    <w:rsid w:val="008E3BF4"/>
    <w:rsid w:val="008E3D9E"/>
    <w:rsid w:val="008E4294"/>
    <w:rsid w:val="008E4473"/>
    <w:rsid w:val="008E45D5"/>
    <w:rsid w:val="008E48A9"/>
    <w:rsid w:val="008E4A01"/>
    <w:rsid w:val="008E4A0E"/>
    <w:rsid w:val="008E4CE8"/>
    <w:rsid w:val="008E55EF"/>
    <w:rsid w:val="008E575F"/>
    <w:rsid w:val="008E5B9C"/>
    <w:rsid w:val="008E5C5A"/>
    <w:rsid w:val="008E5EA5"/>
    <w:rsid w:val="008E6268"/>
    <w:rsid w:val="008E638F"/>
    <w:rsid w:val="008E63AB"/>
    <w:rsid w:val="008E6752"/>
    <w:rsid w:val="008E68A1"/>
    <w:rsid w:val="008E68B5"/>
    <w:rsid w:val="008E6D07"/>
    <w:rsid w:val="008E7106"/>
    <w:rsid w:val="008E74D0"/>
    <w:rsid w:val="008E7640"/>
    <w:rsid w:val="008E77D4"/>
    <w:rsid w:val="008E782A"/>
    <w:rsid w:val="008E7F14"/>
    <w:rsid w:val="008F0438"/>
    <w:rsid w:val="008F09C7"/>
    <w:rsid w:val="008F0A5B"/>
    <w:rsid w:val="008F0B47"/>
    <w:rsid w:val="008F0C73"/>
    <w:rsid w:val="008F0C90"/>
    <w:rsid w:val="008F0CF2"/>
    <w:rsid w:val="008F0E8D"/>
    <w:rsid w:val="008F0F0D"/>
    <w:rsid w:val="008F10AA"/>
    <w:rsid w:val="008F1234"/>
    <w:rsid w:val="008F1240"/>
    <w:rsid w:val="008F15D7"/>
    <w:rsid w:val="008F16F1"/>
    <w:rsid w:val="008F1772"/>
    <w:rsid w:val="008F2651"/>
    <w:rsid w:val="008F2749"/>
    <w:rsid w:val="008F2765"/>
    <w:rsid w:val="008F276B"/>
    <w:rsid w:val="008F27A3"/>
    <w:rsid w:val="008F28B4"/>
    <w:rsid w:val="008F2C9C"/>
    <w:rsid w:val="008F2F72"/>
    <w:rsid w:val="008F316D"/>
    <w:rsid w:val="008F3204"/>
    <w:rsid w:val="008F3229"/>
    <w:rsid w:val="008F329A"/>
    <w:rsid w:val="008F34A4"/>
    <w:rsid w:val="008F374F"/>
    <w:rsid w:val="008F3F95"/>
    <w:rsid w:val="008F434A"/>
    <w:rsid w:val="008F4F84"/>
    <w:rsid w:val="008F51E6"/>
    <w:rsid w:val="008F521A"/>
    <w:rsid w:val="008F5522"/>
    <w:rsid w:val="008F5523"/>
    <w:rsid w:val="008F5684"/>
    <w:rsid w:val="008F57F8"/>
    <w:rsid w:val="008F6177"/>
    <w:rsid w:val="008F636A"/>
    <w:rsid w:val="008F649A"/>
    <w:rsid w:val="008F69F2"/>
    <w:rsid w:val="008F69FA"/>
    <w:rsid w:val="008F6B7B"/>
    <w:rsid w:val="008F6BBD"/>
    <w:rsid w:val="008F7305"/>
    <w:rsid w:val="008F7544"/>
    <w:rsid w:val="008F7717"/>
    <w:rsid w:val="008F79A3"/>
    <w:rsid w:val="008F7CD1"/>
    <w:rsid w:val="008F7E87"/>
    <w:rsid w:val="009000BC"/>
    <w:rsid w:val="009001C8"/>
    <w:rsid w:val="009002B9"/>
    <w:rsid w:val="009003E3"/>
    <w:rsid w:val="00900550"/>
    <w:rsid w:val="00900623"/>
    <w:rsid w:val="00900998"/>
    <w:rsid w:val="009011AC"/>
    <w:rsid w:val="009011F8"/>
    <w:rsid w:val="0090133F"/>
    <w:rsid w:val="009016B6"/>
    <w:rsid w:val="0090172E"/>
    <w:rsid w:val="00901A9A"/>
    <w:rsid w:val="00901B85"/>
    <w:rsid w:val="009020E4"/>
    <w:rsid w:val="00902133"/>
    <w:rsid w:val="009027A9"/>
    <w:rsid w:val="00902909"/>
    <w:rsid w:val="00902B80"/>
    <w:rsid w:val="00902C8B"/>
    <w:rsid w:val="00902F12"/>
    <w:rsid w:val="00903184"/>
    <w:rsid w:val="00903284"/>
    <w:rsid w:val="009033FA"/>
    <w:rsid w:val="0090354E"/>
    <w:rsid w:val="00903709"/>
    <w:rsid w:val="00903748"/>
    <w:rsid w:val="009038CF"/>
    <w:rsid w:val="009038EA"/>
    <w:rsid w:val="00903DD8"/>
    <w:rsid w:val="00903E66"/>
    <w:rsid w:val="00903EB4"/>
    <w:rsid w:val="0090401D"/>
    <w:rsid w:val="00904389"/>
    <w:rsid w:val="009043D6"/>
    <w:rsid w:val="009046FB"/>
    <w:rsid w:val="009049DD"/>
    <w:rsid w:val="00904B85"/>
    <w:rsid w:val="009062D2"/>
    <w:rsid w:val="009068E6"/>
    <w:rsid w:val="009068FB"/>
    <w:rsid w:val="0090691F"/>
    <w:rsid w:val="00906B54"/>
    <w:rsid w:val="00906D5D"/>
    <w:rsid w:val="009074D9"/>
    <w:rsid w:val="009074F9"/>
    <w:rsid w:val="009075F4"/>
    <w:rsid w:val="00907B11"/>
    <w:rsid w:val="00907ECC"/>
    <w:rsid w:val="009100FC"/>
    <w:rsid w:val="00910515"/>
    <w:rsid w:val="00910912"/>
    <w:rsid w:val="00910C8D"/>
    <w:rsid w:val="00910CE1"/>
    <w:rsid w:val="00910D4C"/>
    <w:rsid w:val="00910DF7"/>
    <w:rsid w:val="00911919"/>
    <w:rsid w:val="0091193A"/>
    <w:rsid w:val="00911AB0"/>
    <w:rsid w:val="00911B0F"/>
    <w:rsid w:val="0091202E"/>
    <w:rsid w:val="009120F7"/>
    <w:rsid w:val="00912106"/>
    <w:rsid w:val="00912583"/>
    <w:rsid w:val="009127F9"/>
    <w:rsid w:val="009127FE"/>
    <w:rsid w:val="00912B23"/>
    <w:rsid w:val="00913070"/>
    <w:rsid w:val="0091316D"/>
    <w:rsid w:val="00913497"/>
    <w:rsid w:val="0091364E"/>
    <w:rsid w:val="00913834"/>
    <w:rsid w:val="00913AF5"/>
    <w:rsid w:val="00913B06"/>
    <w:rsid w:val="00913B92"/>
    <w:rsid w:val="00913DC9"/>
    <w:rsid w:val="00913DD4"/>
    <w:rsid w:val="00913FA8"/>
    <w:rsid w:val="009140D1"/>
    <w:rsid w:val="00914322"/>
    <w:rsid w:val="0091438A"/>
    <w:rsid w:val="009144B7"/>
    <w:rsid w:val="00914572"/>
    <w:rsid w:val="00914643"/>
    <w:rsid w:val="00914649"/>
    <w:rsid w:val="00914E73"/>
    <w:rsid w:val="00914EAD"/>
    <w:rsid w:val="0091521D"/>
    <w:rsid w:val="009153E9"/>
    <w:rsid w:val="0091561C"/>
    <w:rsid w:val="00915812"/>
    <w:rsid w:val="009159BB"/>
    <w:rsid w:val="00915A4A"/>
    <w:rsid w:val="00915BE4"/>
    <w:rsid w:val="00915C1A"/>
    <w:rsid w:val="00915D7A"/>
    <w:rsid w:val="00916058"/>
    <w:rsid w:val="0091621B"/>
    <w:rsid w:val="00916241"/>
    <w:rsid w:val="00916600"/>
    <w:rsid w:val="0091660D"/>
    <w:rsid w:val="00916836"/>
    <w:rsid w:val="00916A90"/>
    <w:rsid w:val="00916B27"/>
    <w:rsid w:val="00916BE1"/>
    <w:rsid w:val="00917322"/>
    <w:rsid w:val="009173B6"/>
    <w:rsid w:val="00917561"/>
    <w:rsid w:val="00917CF9"/>
    <w:rsid w:val="00917FF3"/>
    <w:rsid w:val="0092041A"/>
    <w:rsid w:val="0092077B"/>
    <w:rsid w:val="00920831"/>
    <w:rsid w:val="0092084C"/>
    <w:rsid w:val="00920BBE"/>
    <w:rsid w:val="00920F88"/>
    <w:rsid w:val="00921316"/>
    <w:rsid w:val="00921430"/>
    <w:rsid w:val="00921743"/>
    <w:rsid w:val="009217DE"/>
    <w:rsid w:val="00921CCD"/>
    <w:rsid w:val="00922064"/>
    <w:rsid w:val="009220BA"/>
    <w:rsid w:val="00922200"/>
    <w:rsid w:val="00922772"/>
    <w:rsid w:val="00922792"/>
    <w:rsid w:val="00922882"/>
    <w:rsid w:val="00922A4E"/>
    <w:rsid w:val="00922AE2"/>
    <w:rsid w:val="00922E86"/>
    <w:rsid w:val="00922F3F"/>
    <w:rsid w:val="0092324E"/>
    <w:rsid w:val="009235AA"/>
    <w:rsid w:val="0092360A"/>
    <w:rsid w:val="00923729"/>
    <w:rsid w:val="009238B5"/>
    <w:rsid w:val="009239BD"/>
    <w:rsid w:val="00923A03"/>
    <w:rsid w:val="00923D39"/>
    <w:rsid w:val="00923F9D"/>
    <w:rsid w:val="00924252"/>
    <w:rsid w:val="0092428D"/>
    <w:rsid w:val="00924311"/>
    <w:rsid w:val="009243CD"/>
    <w:rsid w:val="00924865"/>
    <w:rsid w:val="00924CB0"/>
    <w:rsid w:val="0092537B"/>
    <w:rsid w:val="009253AB"/>
    <w:rsid w:val="009257D7"/>
    <w:rsid w:val="009257D8"/>
    <w:rsid w:val="009259A8"/>
    <w:rsid w:val="00925C83"/>
    <w:rsid w:val="009260FA"/>
    <w:rsid w:val="009261D1"/>
    <w:rsid w:val="009263E6"/>
    <w:rsid w:val="009265CF"/>
    <w:rsid w:val="00926845"/>
    <w:rsid w:val="00926852"/>
    <w:rsid w:val="00926A4E"/>
    <w:rsid w:val="00926DE7"/>
    <w:rsid w:val="00926FAD"/>
    <w:rsid w:val="0092703C"/>
    <w:rsid w:val="0092707A"/>
    <w:rsid w:val="009271EA"/>
    <w:rsid w:val="0092748D"/>
    <w:rsid w:val="00927A07"/>
    <w:rsid w:val="00927D23"/>
    <w:rsid w:val="009304F4"/>
    <w:rsid w:val="00930529"/>
    <w:rsid w:val="00930865"/>
    <w:rsid w:val="00930919"/>
    <w:rsid w:val="00930ABC"/>
    <w:rsid w:val="00930FC3"/>
    <w:rsid w:val="0093104D"/>
    <w:rsid w:val="00931163"/>
    <w:rsid w:val="009311C4"/>
    <w:rsid w:val="009313FE"/>
    <w:rsid w:val="0093170E"/>
    <w:rsid w:val="00931836"/>
    <w:rsid w:val="0093189F"/>
    <w:rsid w:val="00931BB8"/>
    <w:rsid w:val="00931CDB"/>
    <w:rsid w:val="009329CC"/>
    <w:rsid w:val="009330F0"/>
    <w:rsid w:val="0093329B"/>
    <w:rsid w:val="009334F6"/>
    <w:rsid w:val="0093358D"/>
    <w:rsid w:val="00933996"/>
    <w:rsid w:val="00933A07"/>
    <w:rsid w:val="00933C4B"/>
    <w:rsid w:val="00933D7C"/>
    <w:rsid w:val="00933F93"/>
    <w:rsid w:val="00934232"/>
    <w:rsid w:val="0093454A"/>
    <w:rsid w:val="009347A1"/>
    <w:rsid w:val="009347ED"/>
    <w:rsid w:val="0093480C"/>
    <w:rsid w:val="00934B49"/>
    <w:rsid w:val="009353CC"/>
    <w:rsid w:val="0093580E"/>
    <w:rsid w:val="00935878"/>
    <w:rsid w:val="00935CCE"/>
    <w:rsid w:val="009368F9"/>
    <w:rsid w:val="00936D52"/>
    <w:rsid w:val="00936D9D"/>
    <w:rsid w:val="00936E02"/>
    <w:rsid w:val="00936F7F"/>
    <w:rsid w:val="00937327"/>
    <w:rsid w:val="009375E3"/>
    <w:rsid w:val="00937970"/>
    <w:rsid w:val="00937CB3"/>
    <w:rsid w:val="00937F5C"/>
    <w:rsid w:val="00937FD8"/>
    <w:rsid w:val="00940017"/>
    <w:rsid w:val="0094004B"/>
    <w:rsid w:val="0094059C"/>
    <w:rsid w:val="00941263"/>
    <w:rsid w:val="009412B6"/>
    <w:rsid w:val="00941340"/>
    <w:rsid w:val="0094194C"/>
    <w:rsid w:val="009419BA"/>
    <w:rsid w:val="00941A90"/>
    <w:rsid w:val="00941C59"/>
    <w:rsid w:val="00941E31"/>
    <w:rsid w:val="00941EEE"/>
    <w:rsid w:val="00942611"/>
    <w:rsid w:val="009426B0"/>
    <w:rsid w:val="009427B0"/>
    <w:rsid w:val="00942802"/>
    <w:rsid w:val="00942C7C"/>
    <w:rsid w:val="00942D6B"/>
    <w:rsid w:val="00942E54"/>
    <w:rsid w:val="00942F01"/>
    <w:rsid w:val="00942F24"/>
    <w:rsid w:val="00942FD1"/>
    <w:rsid w:val="00942FD5"/>
    <w:rsid w:val="0094300B"/>
    <w:rsid w:val="00943091"/>
    <w:rsid w:val="009431AA"/>
    <w:rsid w:val="009437EF"/>
    <w:rsid w:val="009438E9"/>
    <w:rsid w:val="009439B0"/>
    <w:rsid w:val="00943E80"/>
    <w:rsid w:val="00943FBC"/>
    <w:rsid w:val="009444A2"/>
    <w:rsid w:val="009447A6"/>
    <w:rsid w:val="00944C2E"/>
    <w:rsid w:val="00944D93"/>
    <w:rsid w:val="00944EA2"/>
    <w:rsid w:val="0094525C"/>
    <w:rsid w:val="00945A20"/>
    <w:rsid w:val="00945D87"/>
    <w:rsid w:val="00945E40"/>
    <w:rsid w:val="00945E57"/>
    <w:rsid w:val="009460CC"/>
    <w:rsid w:val="0094613C"/>
    <w:rsid w:val="009465C4"/>
    <w:rsid w:val="00946669"/>
    <w:rsid w:val="0094696E"/>
    <w:rsid w:val="00946AB0"/>
    <w:rsid w:val="00946EA3"/>
    <w:rsid w:val="0094705A"/>
    <w:rsid w:val="00947247"/>
    <w:rsid w:val="00947604"/>
    <w:rsid w:val="00947620"/>
    <w:rsid w:val="0094765B"/>
    <w:rsid w:val="0094781F"/>
    <w:rsid w:val="00947A1D"/>
    <w:rsid w:val="00947B1D"/>
    <w:rsid w:val="009502C9"/>
    <w:rsid w:val="00950872"/>
    <w:rsid w:val="00950EF5"/>
    <w:rsid w:val="009511D5"/>
    <w:rsid w:val="00951285"/>
    <w:rsid w:val="00951429"/>
    <w:rsid w:val="009514E3"/>
    <w:rsid w:val="009519F8"/>
    <w:rsid w:val="00951C88"/>
    <w:rsid w:val="00951D76"/>
    <w:rsid w:val="0095207E"/>
    <w:rsid w:val="00952090"/>
    <w:rsid w:val="009522CA"/>
    <w:rsid w:val="00952437"/>
    <w:rsid w:val="009524D8"/>
    <w:rsid w:val="0095262E"/>
    <w:rsid w:val="00952C0F"/>
    <w:rsid w:val="00952F32"/>
    <w:rsid w:val="00953097"/>
    <w:rsid w:val="009530A9"/>
    <w:rsid w:val="00953148"/>
    <w:rsid w:val="0095342A"/>
    <w:rsid w:val="00953785"/>
    <w:rsid w:val="0095379C"/>
    <w:rsid w:val="00953AB1"/>
    <w:rsid w:val="00953C04"/>
    <w:rsid w:val="00953C9F"/>
    <w:rsid w:val="00953CF9"/>
    <w:rsid w:val="0095400D"/>
    <w:rsid w:val="00954099"/>
    <w:rsid w:val="00954100"/>
    <w:rsid w:val="009547E2"/>
    <w:rsid w:val="00954A45"/>
    <w:rsid w:val="00954D62"/>
    <w:rsid w:val="00954DC4"/>
    <w:rsid w:val="00954E38"/>
    <w:rsid w:val="00954F9F"/>
    <w:rsid w:val="0095507E"/>
    <w:rsid w:val="009550A1"/>
    <w:rsid w:val="009558EF"/>
    <w:rsid w:val="00955906"/>
    <w:rsid w:val="0095593E"/>
    <w:rsid w:val="00955C10"/>
    <w:rsid w:val="0095607D"/>
    <w:rsid w:val="009561D1"/>
    <w:rsid w:val="009561DA"/>
    <w:rsid w:val="009566F8"/>
    <w:rsid w:val="00956813"/>
    <w:rsid w:val="009569D1"/>
    <w:rsid w:val="00956AEC"/>
    <w:rsid w:val="00956C18"/>
    <w:rsid w:val="00957022"/>
    <w:rsid w:val="009570C2"/>
    <w:rsid w:val="0095719B"/>
    <w:rsid w:val="00957441"/>
    <w:rsid w:val="0095747B"/>
    <w:rsid w:val="0095778E"/>
    <w:rsid w:val="00957AD9"/>
    <w:rsid w:val="00957AF9"/>
    <w:rsid w:val="00957D94"/>
    <w:rsid w:val="0096019C"/>
    <w:rsid w:val="009607CA"/>
    <w:rsid w:val="00960A11"/>
    <w:rsid w:val="00961115"/>
    <w:rsid w:val="0096122D"/>
    <w:rsid w:val="009615D7"/>
    <w:rsid w:val="009617CD"/>
    <w:rsid w:val="00961826"/>
    <w:rsid w:val="00961884"/>
    <w:rsid w:val="00961B2A"/>
    <w:rsid w:val="00961D41"/>
    <w:rsid w:val="009620A3"/>
    <w:rsid w:val="00962503"/>
    <w:rsid w:val="00962724"/>
    <w:rsid w:val="009627F1"/>
    <w:rsid w:val="00962965"/>
    <w:rsid w:val="009629BB"/>
    <w:rsid w:val="00962E07"/>
    <w:rsid w:val="00962FD7"/>
    <w:rsid w:val="0096302E"/>
    <w:rsid w:val="009630D3"/>
    <w:rsid w:val="00963567"/>
    <w:rsid w:val="009638DD"/>
    <w:rsid w:val="00963924"/>
    <w:rsid w:val="009641F2"/>
    <w:rsid w:val="00964BBD"/>
    <w:rsid w:val="00964C9C"/>
    <w:rsid w:val="00964CC9"/>
    <w:rsid w:val="00965492"/>
    <w:rsid w:val="009654D7"/>
    <w:rsid w:val="00965A09"/>
    <w:rsid w:val="00965AB4"/>
    <w:rsid w:val="00965CFB"/>
    <w:rsid w:val="00965E5C"/>
    <w:rsid w:val="0096605A"/>
    <w:rsid w:val="009662E8"/>
    <w:rsid w:val="00966302"/>
    <w:rsid w:val="009666AD"/>
    <w:rsid w:val="0096690C"/>
    <w:rsid w:val="00966A3C"/>
    <w:rsid w:val="00966F87"/>
    <w:rsid w:val="009670C4"/>
    <w:rsid w:val="00967798"/>
    <w:rsid w:val="00967A17"/>
    <w:rsid w:val="00967D2D"/>
    <w:rsid w:val="009702E8"/>
    <w:rsid w:val="009704AC"/>
    <w:rsid w:val="00970547"/>
    <w:rsid w:val="009707D0"/>
    <w:rsid w:val="00970953"/>
    <w:rsid w:val="00970A98"/>
    <w:rsid w:val="00970AEB"/>
    <w:rsid w:val="00970B50"/>
    <w:rsid w:val="00970F78"/>
    <w:rsid w:val="00971167"/>
    <w:rsid w:val="00971463"/>
    <w:rsid w:val="00971732"/>
    <w:rsid w:val="009717AE"/>
    <w:rsid w:val="009717B0"/>
    <w:rsid w:val="00971A15"/>
    <w:rsid w:val="00971DC4"/>
    <w:rsid w:val="00971EC3"/>
    <w:rsid w:val="00971FE8"/>
    <w:rsid w:val="0097211C"/>
    <w:rsid w:val="00972213"/>
    <w:rsid w:val="0097236A"/>
    <w:rsid w:val="00972761"/>
    <w:rsid w:val="009729AD"/>
    <w:rsid w:val="00972B89"/>
    <w:rsid w:val="00972B8F"/>
    <w:rsid w:val="00972E14"/>
    <w:rsid w:val="009733AA"/>
    <w:rsid w:val="0097346C"/>
    <w:rsid w:val="009739D6"/>
    <w:rsid w:val="00973A36"/>
    <w:rsid w:val="00973C6A"/>
    <w:rsid w:val="00973EBC"/>
    <w:rsid w:val="00973FBB"/>
    <w:rsid w:val="009742F0"/>
    <w:rsid w:val="00974697"/>
    <w:rsid w:val="0097485B"/>
    <w:rsid w:val="00974BB3"/>
    <w:rsid w:val="00974CAC"/>
    <w:rsid w:val="00974E8E"/>
    <w:rsid w:val="00975650"/>
    <w:rsid w:val="00975774"/>
    <w:rsid w:val="00975931"/>
    <w:rsid w:val="00975A21"/>
    <w:rsid w:val="00975CCC"/>
    <w:rsid w:val="00975CDA"/>
    <w:rsid w:val="00975ECB"/>
    <w:rsid w:val="00976020"/>
    <w:rsid w:val="009760D9"/>
    <w:rsid w:val="00976122"/>
    <w:rsid w:val="009763F1"/>
    <w:rsid w:val="00976648"/>
    <w:rsid w:val="009766A8"/>
    <w:rsid w:val="00976703"/>
    <w:rsid w:val="00976A27"/>
    <w:rsid w:val="00976AA7"/>
    <w:rsid w:val="00977043"/>
    <w:rsid w:val="00977A53"/>
    <w:rsid w:val="00977C1F"/>
    <w:rsid w:val="00977D2F"/>
    <w:rsid w:val="00977D53"/>
    <w:rsid w:val="00977F2B"/>
    <w:rsid w:val="009800D4"/>
    <w:rsid w:val="009802D8"/>
    <w:rsid w:val="0098060B"/>
    <w:rsid w:val="00980B7A"/>
    <w:rsid w:val="00980F79"/>
    <w:rsid w:val="00980F7D"/>
    <w:rsid w:val="00980FEC"/>
    <w:rsid w:val="009810A3"/>
    <w:rsid w:val="00981371"/>
    <w:rsid w:val="009816FD"/>
    <w:rsid w:val="009817D6"/>
    <w:rsid w:val="009817D7"/>
    <w:rsid w:val="0098189D"/>
    <w:rsid w:val="00981955"/>
    <w:rsid w:val="00981C04"/>
    <w:rsid w:val="00981CCD"/>
    <w:rsid w:val="00981E12"/>
    <w:rsid w:val="009821B0"/>
    <w:rsid w:val="009821DF"/>
    <w:rsid w:val="00982681"/>
    <w:rsid w:val="009827F4"/>
    <w:rsid w:val="00982954"/>
    <w:rsid w:val="00982B71"/>
    <w:rsid w:val="00983349"/>
    <w:rsid w:val="009834BB"/>
    <w:rsid w:val="0098399D"/>
    <w:rsid w:val="00983AE7"/>
    <w:rsid w:val="00983C0F"/>
    <w:rsid w:val="00983CB9"/>
    <w:rsid w:val="00983CF4"/>
    <w:rsid w:val="0098400F"/>
    <w:rsid w:val="009843C9"/>
    <w:rsid w:val="00984640"/>
    <w:rsid w:val="00984A20"/>
    <w:rsid w:val="00984FED"/>
    <w:rsid w:val="009850F0"/>
    <w:rsid w:val="00985273"/>
    <w:rsid w:val="0098583A"/>
    <w:rsid w:val="00985874"/>
    <w:rsid w:val="00985B6F"/>
    <w:rsid w:val="00985BEF"/>
    <w:rsid w:val="00985F61"/>
    <w:rsid w:val="00986229"/>
    <w:rsid w:val="00986ACA"/>
    <w:rsid w:val="00986B17"/>
    <w:rsid w:val="00986D0F"/>
    <w:rsid w:val="00987606"/>
    <w:rsid w:val="00987CDB"/>
    <w:rsid w:val="00987E38"/>
    <w:rsid w:val="00990292"/>
    <w:rsid w:val="00990691"/>
    <w:rsid w:val="00990735"/>
    <w:rsid w:val="00990965"/>
    <w:rsid w:val="00990F8C"/>
    <w:rsid w:val="00991119"/>
    <w:rsid w:val="009912CA"/>
    <w:rsid w:val="00991522"/>
    <w:rsid w:val="009920F1"/>
    <w:rsid w:val="0099225C"/>
    <w:rsid w:val="0099245C"/>
    <w:rsid w:val="0099251A"/>
    <w:rsid w:val="0099269F"/>
    <w:rsid w:val="00992DBD"/>
    <w:rsid w:val="00992E69"/>
    <w:rsid w:val="00992E8F"/>
    <w:rsid w:val="009938CF"/>
    <w:rsid w:val="00993C4F"/>
    <w:rsid w:val="00993D06"/>
    <w:rsid w:val="00993E66"/>
    <w:rsid w:val="00994365"/>
    <w:rsid w:val="00994467"/>
    <w:rsid w:val="00994645"/>
    <w:rsid w:val="00994892"/>
    <w:rsid w:val="0099491C"/>
    <w:rsid w:val="00994D8B"/>
    <w:rsid w:val="00994E84"/>
    <w:rsid w:val="00995327"/>
    <w:rsid w:val="00995643"/>
    <w:rsid w:val="00995F13"/>
    <w:rsid w:val="0099613A"/>
    <w:rsid w:val="00996315"/>
    <w:rsid w:val="00996456"/>
    <w:rsid w:val="009965F9"/>
    <w:rsid w:val="00996BD8"/>
    <w:rsid w:val="00996D66"/>
    <w:rsid w:val="00996DDC"/>
    <w:rsid w:val="00996FC2"/>
    <w:rsid w:val="00997079"/>
    <w:rsid w:val="0099732C"/>
    <w:rsid w:val="009975D0"/>
    <w:rsid w:val="00997751"/>
    <w:rsid w:val="00997B24"/>
    <w:rsid w:val="009A075D"/>
    <w:rsid w:val="009A0775"/>
    <w:rsid w:val="009A097E"/>
    <w:rsid w:val="009A0AA7"/>
    <w:rsid w:val="009A0F27"/>
    <w:rsid w:val="009A10A4"/>
    <w:rsid w:val="009A10E6"/>
    <w:rsid w:val="009A10F8"/>
    <w:rsid w:val="009A1533"/>
    <w:rsid w:val="009A19E3"/>
    <w:rsid w:val="009A1EA5"/>
    <w:rsid w:val="009A20B1"/>
    <w:rsid w:val="009A27B4"/>
    <w:rsid w:val="009A2904"/>
    <w:rsid w:val="009A2908"/>
    <w:rsid w:val="009A2AEB"/>
    <w:rsid w:val="009A2D19"/>
    <w:rsid w:val="009A2DBA"/>
    <w:rsid w:val="009A3157"/>
    <w:rsid w:val="009A32AD"/>
    <w:rsid w:val="009A3388"/>
    <w:rsid w:val="009A34B8"/>
    <w:rsid w:val="009A3502"/>
    <w:rsid w:val="009A3656"/>
    <w:rsid w:val="009A36EC"/>
    <w:rsid w:val="009A386A"/>
    <w:rsid w:val="009A3A79"/>
    <w:rsid w:val="009A3DBB"/>
    <w:rsid w:val="009A3DBF"/>
    <w:rsid w:val="009A4055"/>
    <w:rsid w:val="009A449C"/>
    <w:rsid w:val="009A4AC0"/>
    <w:rsid w:val="009A4C62"/>
    <w:rsid w:val="009A4E7C"/>
    <w:rsid w:val="009A5153"/>
    <w:rsid w:val="009A5395"/>
    <w:rsid w:val="009A57AF"/>
    <w:rsid w:val="009A5D2C"/>
    <w:rsid w:val="009A60A5"/>
    <w:rsid w:val="009A6190"/>
    <w:rsid w:val="009A6496"/>
    <w:rsid w:val="009A689A"/>
    <w:rsid w:val="009A6B00"/>
    <w:rsid w:val="009A6B0C"/>
    <w:rsid w:val="009A7264"/>
    <w:rsid w:val="009A7270"/>
    <w:rsid w:val="009A72FD"/>
    <w:rsid w:val="009A7387"/>
    <w:rsid w:val="009A744D"/>
    <w:rsid w:val="009A74B7"/>
    <w:rsid w:val="009A7761"/>
    <w:rsid w:val="009A7EE3"/>
    <w:rsid w:val="009B03B6"/>
    <w:rsid w:val="009B050C"/>
    <w:rsid w:val="009B0855"/>
    <w:rsid w:val="009B092D"/>
    <w:rsid w:val="009B0C2C"/>
    <w:rsid w:val="009B0ECE"/>
    <w:rsid w:val="009B0F0D"/>
    <w:rsid w:val="009B1164"/>
    <w:rsid w:val="009B13B3"/>
    <w:rsid w:val="009B1504"/>
    <w:rsid w:val="009B1DC1"/>
    <w:rsid w:val="009B23E4"/>
    <w:rsid w:val="009B291A"/>
    <w:rsid w:val="009B2D1A"/>
    <w:rsid w:val="009B2F24"/>
    <w:rsid w:val="009B2FD5"/>
    <w:rsid w:val="009B3152"/>
    <w:rsid w:val="009B32B1"/>
    <w:rsid w:val="009B33F5"/>
    <w:rsid w:val="009B354E"/>
    <w:rsid w:val="009B38B5"/>
    <w:rsid w:val="009B3903"/>
    <w:rsid w:val="009B398B"/>
    <w:rsid w:val="009B39F6"/>
    <w:rsid w:val="009B3B07"/>
    <w:rsid w:val="009B3B6F"/>
    <w:rsid w:val="009B3D1D"/>
    <w:rsid w:val="009B3E26"/>
    <w:rsid w:val="009B3E94"/>
    <w:rsid w:val="009B3F54"/>
    <w:rsid w:val="009B4004"/>
    <w:rsid w:val="009B44BE"/>
    <w:rsid w:val="009B45A4"/>
    <w:rsid w:val="009B47CE"/>
    <w:rsid w:val="009B486C"/>
    <w:rsid w:val="009B4B1C"/>
    <w:rsid w:val="009B5117"/>
    <w:rsid w:val="009B5F9F"/>
    <w:rsid w:val="009B653E"/>
    <w:rsid w:val="009B67BD"/>
    <w:rsid w:val="009B6845"/>
    <w:rsid w:val="009B6937"/>
    <w:rsid w:val="009B6A9C"/>
    <w:rsid w:val="009B6BFD"/>
    <w:rsid w:val="009B6C3F"/>
    <w:rsid w:val="009B6CC1"/>
    <w:rsid w:val="009B6F71"/>
    <w:rsid w:val="009B7270"/>
    <w:rsid w:val="009B7554"/>
    <w:rsid w:val="009B757E"/>
    <w:rsid w:val="009B7824"/>
    <w:rsid w:val="009B79DD"/>
    <w:rsid w:val="009B7FB4"/>
    <w:rsid w:val="009C012F"/>
    <w:rsid w:val="009C022F"/>
    <w:rsid w:val="009C0238"/>
    <w:rsid w:val="009C0673"/>
    <w:rsid w:val="009C06D8"/>
    <w:rsid w:val="009C07CE"/>
    <w:rsid w:val="009C0837"/>
    <w:rsid w:val="009C08EB"/>
    <w:rsid w:val="009C0E37"/>
    <w:rsid w:val="009C1178"/>
    <w:rsid w:val="009C1202"/>
    <w:rsid w:val="009C150B"/>
    <w:rsid w:val="009C16D5"/>
    <w:rsid w:val="009C182A"/>
    <w:rsid w:val="009C1A1B"/>
    <w:rsid w:val="009C1EE6"/>
    <w:rsid w:val="009C1F75"/>
    <w:rsid w:val="009C20FF"/>
    <w:rsid w:val="009C2698"/>
    <w:rsid w:val="009C2854"/>
    <w:rsid w:val="009C2A71"/>
    <w:rsid w:val="009C2C0C"/>
    <w:rsid w:val="009C2E80"/>
    <w:rsid w:val="009C342E"/>
    <w:rsid w:val="009C3484"/>
    <w:rsid w:val="009C34F8"/>
    <w:rsid w:val="009C35EA"/>
    <w:rsid w:val="009C394A"/>
    <w:rsid w:val="009C3968"/>
    <w:rsid w:val="009C398A"/>
    <w:rsid w:val="009C3B03"/>
    <w:rsid w:val="009C3CEB"/>
    <w:rsid w:val="009C4142"/>
    <w:rsid w:val="009C44B0"/>
    <w:rsid w:val="009C486E"/>
    <w:rsid w:val="009C4A1F"/>
    <w:rsid w:val="009C4BBD"/>
    <w:rsid w:val="009C4DA3"/>
    <w:rsid w:val="009C4E1A"/>
    <w:rsid w:val="009C4EBB"/>
    <w:rsid w:val="009C4F63"/>
    <w:rsid w:val="009C5021"/>
    <w:rsid w:val="009C56E2"/>
    <w:rsid w:val="009C571C"/>
    <w:rsid w:val="009C579C"/>
    <w:rsid w:val="009C57BF"/>
    <w:rsid w:val="009C59DF"/>
    <w:rsid w:val="009C5A73"/>
    <w:rsid w:val="009C5D6A"/>
    <w:rsid w:val="009C612A"/>
    <w:rsid w:val="009C61BD"/>
    <w:rsid w:val="009C645C"/>
    <w:rsid w:val="009C6627"/>
    <w:rsid w:val="009C6813"/>
    <w:rsid w:val="009C684A"/>
    <w:rsid w:val="009C6852"/>
    <w:rsid w:val="009C7071"/>
    <w:rsid w:val="009C7140"/>
    <w:rsid w:val="009C7211"/>
    <w:rsid w:val="009C7517"/>
    <w:rsid w:val="009C7548"/>
    <w:rsid w:val="009C77C7"/>
    <w:rsid w:val="009C7A68"/>
    <w:rsid w:val="009C7E80"/>
    <w:rsid w:val="009D014C"/>
    <w:rsid w:val="009D02C8"/>
    <w:rsid w:val="009D03FD"/>
    <w:rsid w:val="009D05C7"/>
    <w:rsid w:val="009D0726"/>
    <w:rsid w:val="009D098D"/>
    <w:rsid w:val="009D0CBC"/>
    <w:rsid w:val="009D0E11"/>
    <w:rsid w:val="009D0F65"/>
    <w:rsid w:val="009D0FC5"/>
    <w:rsid w:val="009D10B7"/>
    <w:rsid w:val="009D1395"/>
    <w:rsid w:val="009D16E9"/>
    <w:rsid w:val="009D1776"/>
    <w:rsid w:val="009D1F00"/>
    <w:rsid w:val="009D1F96"/>
    <w:rsid w:val="009D1FFF"/>
    <w:rsid w:val="009D2107"/>
    <w:rsid w:val="009D2535"/>
    <w:rsid w:val="009D2538"/>
    <w:rsid w:val="009D27FE"/>
    <w:rsid w:val="009D2850"/>
    <w:rsid w:val="009D29F4"/>
    <w:rsid w:val="009D2B9C"/>
    <w:rsid w:val="009D2BAC"/>
    <w:rsid w:val="009D3208"/>
    <w:rsid w:val="009D3730"/>
    <w:rsid w:val="009D37E4"/>
    <w:rsid w:val="009D3B41"/>
    <w:rsid w:val="009D3D2D"/>
    <w:rsid w:val="009D400A"/>
    <w:rsid w:val="009D42DA"/>
    <w:rsid w:val="009D45C0"/>
    <w:rsid w:val="009D4A2F"/>
    <w:rsid w:val="009D4B90"/>
    <w:rsid w:val="009D4E56"/>
    <w:rsid w:val="009D54B1"/>
    <w:rsid w:val="009D5A66"/>
    <w:rsid w:val="009D5CDE"/>
    <w:rsid w:val="009D5ECD"/>
    <w:rsid w:val="009D5F22"/>
    <w:rsid w:val="009D6028"/>
    <w:rsid w:val="009D60B4"/>
    <w:rsid w:val="009D6155"/>
    <w:rsid w:val="009D6AAA"/>
    <w:rsid w:val="009D6D0E"/>
    <w:rsid w:val="009D6E00"/>
    <w:rsid w:val="009D70C9"/>
    <w:rsid w:val="009D768B"/>
    <w:rsid w:val="009D77E5"/>
    <w:rsid w:val="009D7A3D"/>
    <w:rsid w:val="009D7C2B"/>
    <w:rsid w:val="009D7E5D"/>
    <w:rsid w:val="009E0727"/>
    <w:rsid w:val="009E0927"/>
    <w:rsid w:val="009E0C56"/>
    <w:rsid w:val="009E0DCF"/>
    <w:rsid w:val="009E0FAD"/>
    <w:rsid w:val="009E1362"/>
    <w:rsid w:val="009E1D0F"/>
    <w:rsid w:val="009E1D88"/>
    <w:rsid w:val="009E1F31"/>
    <w:rsid w:val="009E2A85"/>
    <w:rsid w:val="009E2C59"/>
    <w:rsid w:val="009E3AB6"/>
    <w:rsid w:val="009E3CF9"/>
    <w:rsid w:val="009E3E4A"/>
    <w:rsid w:val="009E40A9"/>
    <w:rsid w:val="009E44BC"/>
    <w:rsid w:val="009E44DB"/>
    <w:rsid w:val="009E454B"/>
    <w:rsid w:val="009E4681"/>
    <w:rsid w:val="009E47DD"/>
    <w:rsid w:val="009E48D1"/>
    <w:rsid w:val="009E4A26"/>
    <w:rsid w:val="009E4B1C"/>
    <w:rsid w:val="009E4D72"/>
    <w:rsid w:val="009E4F8C"/>
    <w:rsid w:val="009E4FB1"/>
    <w:rsid w:val="009E508C"/>
    <w:rsid w:val="009E512F"/>
    <w:rsid w:val="009E5545"/>
    <w:rsid w:val="009E55F8"/>
    <w:rsid w:val="009E5962"/>
    <w:rsid w:val="009E5B50"/>
    <w:rsid w:val="009E6087"/>
    <w:rsid w:val="009E6182"/>
    <w:rsid w:val="009E618E"/>
    <w:rsid w:val="009E635D"/>
    <w:rsid w:val="009E6403"/>
    <w:rsid w:val="009E6868"/>
    <w:rsid w:val="009E6898"/>
    <w:rsid w:val="009E6D97"/>
    <w:rsid w:val="009E6F2A"/>
    <w:rsid w:val="009E7622"/>
    <w:rsid w:val="009E7661"/>
    <w:rsid w:val="009E79CF"/>
    <w:rsid w:val="009E7C82"/>
    <w:rsid w:val="009E7E1E"/>
    <w:rsid w:val="009E7E8A"/>
    <w:rsid w:val="009E7FB3"/>
    <w:rsid w:val="009F00D4"/>
    <w:rsid w:val="009F0493"/>
    <w:rsid w:val="009F08D9"/>
    <w:rsid w:val="009F0C57"/>
    <w:rsid w:val="009F0C72"/>
    <w:rsid w:val="009F0DBF"/>
    <w:rsid w:val="009F0E10"/>
    <w:rsid w:val="009F10FB"/>
    <w:rsid w:val="009F114C"/>
    <w:rsid w:val="009F127E"/>
    <w:rsid w:val="009F1889"/>
    <w:rsid w:val="009F1E57"/>
    <w:rsid w:val="009F1F5E"/>
    <w:rsid w:val="009F2174"/>
    <w:rsid w:val="009F25AF"/>
    <w:rsid w:val="009F26A1"/>
    <w:rsid w:val="009F26E9"/>
    <w:rsid w:val="009F2724"/>
    <w:rsid w:val="009F2730"/>
    <w:rsid w:val="009F2B70"/>
    <w:rsid w:val="009F2D75"/>
    <w:rsid w:val="009F2E8B"/>
    <w:rsid w:val="009F307C"/>
    <w:rsid w:val="009F32B4"/>
    <w:rsid w:val="009F3437"/>
    <w:rsid w:val="009F36F7"/>
    <w:rsid w:val="009F38EF"/>
    <w:rsid w:val="009F454D"/>
    <w:rsid w:val="009F483C"/>
    <w:rsid w:val="009F484E"/>
    <w:rsid w:val="009F4C1B"/>
    <w:rsid w:val="009F4C1D"/>
    <w:rsid w:val="009F4D22"/>
    <w:rsid w:val="009F4DE1"/>
    <w:rsid w:val="009F4E3F"/>
    <w:rsid w:val="009F5462"/>
    <w:rsid w:val="009F5676"/>
    <w:rsid w:val="009F5943"/>
    <w:rsid w:val="009F5A0E"/>
    <w:rsid w:val="009F5BE4"/>
    <w:rsid w:val="009F5C47"/>
    <w:rsid w:val="009F5DB8"/>
    <w:rsid w:val="009F5E66"/>
    <w:rsid w:val="009F643A"/>
    <w:rsid w:val="009F6932"/>
    <w:rsid w:val="009F697F"/>
    <w:rsid w:val="009F69EE"/>
    <w:rsid w:val="009F6D77"/>
    <w:rsid w:val="009F71B3"/>
    <w:rsid w:val="009F72BE"/>
    <w:rsid w:val="009F79BA"/>
    <w:rsid w:val="009F7D19"/>
    <w:rsid w:val="00A0014F"/>
    <w:rsid w:val="00A00434"/>
    <w:rsid w:val="00A0058B"/>
    <w:rsid w:val="00A006CB"/>
    <w:rsid w:val="00A00811"/>
    <w:rsid w:val="00A00817"/>
    <w:rsid w:val="00A00BE0"/>
    <w:rsid w:val="00A00D0C"/>
    <w:rsid w:val="00A00D34"/>
    <w:rsid w:val="00A0100F"/>
    <w:rsid w:val="00A0126C"/>
    <w:rsid w:val="00A012AD"/>
    <w:rsid w:val="00A0156C"/>
    <w:rsid w:val="00A01776"/>
    <w:rsid w:val="00A0189C"/>
    <w:rsid w:val="00A01F5A"/>
    <w:rsid w:val="00A0215D"/>
    <w:rsid w:val="00A0230C"/>
    <w:rsid w:val="00A028AE"/>
    <w:rsid w:val="00A0295E"/>
    <w:rsid w:val="00A0298C"/>
    <w:rsid w:val="00A02ED8"/>
    <w:rsid w:val="00A02F40"/>
    <w:rsid w:val="00A0309B"/>
    <w:rsid w:val="00A0313E"/>
    <w:rsid w:val="00A0324B"/>
    <w:rsid w:val="00A0349F"/>
    <w:rsid w:val="00A03667"/>
    <w:rsid w:val="00A03988"/>
    <w:rsid w:val="00A03CC7"/>
    <w:rsid w:val="00A04190"/>
    <w:rsid w:val="00A0435C"/>
    <w:rsid w:val="00A046D0"/>
    <w:rsid w:val="00A049F7"/>
    <w:rsid w:val="00A04DA4"/>
    <w:rsid w:val="00A04F47"/>
    <w:rsid w:val="00A0516F"/>
    <w:rsid w:val="00A051C1"/>
    <w:rsid w:val="00A0544D"/>
    <w:rsid w:val="00A05572"/>
    <w:rsid w:val="00A05A6D"/>
    <w:rsid w:val="00A05B5B"/>
    <w:rsid w:val="00A05B97"/>
    <w:rsid w:val="00A05D70"/>
    <w:rsid w:val="00A06156"/>
    <w:rsid w:val="00A06205"/>
    <w:rsid w:val="00A06302"/>
    <w:rsid w:val="00A06433"/>
    <w:rsid w:val="00A0667E"/>
    <w:rsid w:val="00A069AF"/>
    <w:rsid w:val="00A06A67"/>
    <w:rsid w:val="00A06D5F"/>
    <w:rsid w:val="00A06E93"/>
    <w:rsid w:val="00A06F17"/>
    <w:rsid w:val="00A06F7F"/>
    <w:rsid w:val="00A07113"/>
    <w:rsid w:val="00A07131"/>
    <w:rsid w:val="00A07200"/>
    <w:rsid w:val="00A072AB"/>
    <w:rsid w:val="00A072FE"/>
    <w:rsid w:val="00A07596"/>
    <w:rsid w:val="00A07711"/>
    <w:rsid w:val="00A07759"/>
    <w:rsid w:val="00A078FB"/>
    <w:rsid w:val="00A07B46"/>
    <w:rsid w:val="00A07F49"/>
    <w:rsid w:val="00A10026"/>
    <w:rsid w:val="00A10259"/>
    <w:rsid w:val="00A10291"/>
    <w:rsid w:val="00A10497"/>
    <w:rsid w:val="00A10693"/>
    <w:rsid w:val="00A1091D"/>
    <w:rsid w:val="00A10DBD"/>
    <w:rsid w:val="00A10F0F"/>
    <w:rsid w:val="00A11A71"/>
    <w:rsid w:val="00A11A8F"/>
    <w:rsid w:val="00A11ADB"/>
    <w:rsid w:val="00A11B71"/>
    <w:rsid w:val="00A11CC6"/>
    <w:rsid w:val="00A11E63"/>
    <w:rsid w:val="00A12051"/>
    <w:rsid w:val="00A120B1"/>
    <w:rsid w:val="00A120F5"/>
    <w:rsid w:val="00A12C2A"/>
    <w:rsid w:val="00A12C8F"/>
    <w:rsid w:val="00A12E80"/>
    <w:rsid w:val="00A13783"/>
    <w:rsid w:val="00A13A3F"/>
    <w:rsid w:val="00A13CE3"/>
    <w:rsid w:val="00A13D1A"/>
    <w:rsid w:val="00A13E76"/>
    <w:rsid w:val="00A13EEA"/>
    <w:rsid w:val="00A13F81"/>
    <w:rsid w:val="00A14241"/>
    <w:rsid w:val="00A14749"/>
    <w:rsid w:val="00A14A2F"/>
    <w:rsid w:val="00A14A95"/>
    <w:rsid w:val="00A14DE4"/>
    <w:rsid w:val="00A14F2F"/>
    <w:rsid w:val="00A15501"/>
    <w:rsid w:val="00A15799"/>
    <w:rsid w:val="00A1598E"/>
    <w:rsid w:val="00A15BA1"/>
    <w:rsid w:val="00A15C08"/>
    <w:rsid w:val="00A15F84"/>
    <w:rsid w:val="00A161BF"/>
    <w:rsid w:val="00A16504"/>
    <w:rsid w:val="00A16523"/>
    <w:rsid w:val="00A1677A"/>
    <w:rsid w:val="00A1689E"/>
    <w:rsid w:val="00A169B8"/>
    <w:rsid w:val="00A169E8"/>
    <w:rsid w:val="00A16C20"/>
    <w:rsid w:val="00A16D0F"/>
    <w:rsid w:val="00A170F5"/>
    <w:rsid w:val="00A171A6"/>
    <w:rsid w:val="00A17214"/>
    <w:rsid w:val="00A1728D"/>
    <w:rsid w:val="00A176A4"/>
    <w:rsid w:val="00A179C4"/>
    <w:rsid w:val="00A179E0"/>
    <w:rsid w:val="00A17D96"/>
    <w:rsid w:val="00A17E53"/>
    <w:rsid w:val="00A17EB9"/>
    <w:rsid w:val="00A20087"/>
    <w:rsid w:val="00A2034A"/>
    <w:rsid w:val="00A20991"/>
    <w:rsid w:val="00A20BAA"/>
    <w:rsid w:val="00A20CAD"/>
    <w:rsid w:val="00A20F4F"/>
    <w:rsid w:val="00A21091"/>
    <w:rsid w:val="00A2130C"/>
    <w:rsid w:val="00A2132D"/>
    <w:rsid w:val="00A216A0"/>
    <w:rsid w:val="00A217B6"/>
    <w:rsid w:val="00A21A0E"/>
    <w:rsid w:val="00A21ADA"/>
    <w:rsid w:val="00A2211C"/>
    <w:rsid w:val="00A221A6"/>
    <w:rsid w:val="00A2282A"/>
    <w:rsid w:val="00A22A1C"/>
    <w:rsid w:val="00A22C4E"/>
    <w:rsid w:val="00A23056"/>
    <w:rsid w:val="00A2306E"/>
    <w:rsid w:val="00A2355C"/>
    <w:rsid w:val="00A23569"/>
    <w:rsid w:val="00A2362E"/>
    <w:rsid w:val="00A23813"/>
    <w:rsid w:val="00A23914"/>
    <w:rsid w:val="00A23B9F"/>
    <w:rsid w:val="00A23DB5"/>
    <w:rsid w:val="00A23E01"/>
    <w:rsid w:val="00A23F09"/>
    <w:rsid w:val="00A240CB"/>
    <w:rsid w:val="00A24150"/>
    <w:rsid w:val="00A2445E"/>
    <w:rsid w:val="00A24496"/>
    <w:rsid w:val="00A24748"/>
    <w:rsid w:val="00A24794"/>
    <w:rsid w:val="00A249E5"/>
    <w:rsid w:val="00A24FFF"/>
    <w:rsid w:val="00A25008"/>
    <w:rsid w:val="00A25087"/>
    <w:rsid w:val="00A250D3"/>
    <w:rsid w:val="00A250F5"/>
    <w:rsid w:val="00A2556E"/>
    <w:rsid w:val="00A25938"/>
    <w:rsid w:val="00A25A47"/>
    <w:rsid w:val="00A25B03"/>
    <w:rsid w:val="00A25C85"/>
    <w:rsid w:val="00A25EB3"/>
    <w:rsid w:val="00A25EF2"/>
    <w:rsid w:val="00A2625F"/>
    <w:rsid w:val="00A2655F"/>
    <w:rsid w:val="00A265E1"/>
    <w:rsid w:val="00A265E9"/>
    <w:rsid w:val="00A26824"/>
    <w:rsid w:val="00A26A82"/>
    <w:rsid w:val="00A26AC2"/>
    <w:rsid w:val="00A26EC6"/>
    <w:rsid w:val="00A271DC"/>
    <w:rsid w:val="00A2741D"/>
    <w:rsid w:val="00A27544"/>
    <w:rsid w:val="00A2768B"/>
    <w:rsid w:val="00A277D7"/>
    <w:rsid w:val="00A27C3E"/>
    <w:rsid w:val="00A27C8A"/>
    <w:rsid w:val="00A27D36"/>
    <w:rsid w:val="00A30089"/>
    <w:rsid w:val="00A3117D"/>
    <w:rsid w:val="00A3186D"/>
    <w:rsid w:val="00A31881"/>
    <w:rsid w:val="00A320C4"/>
    <w:rsid w:val="00A323E0"/>
    <w:rsid w:val="00A32466"/>
    <w:rsid w:val="00A324C2"/>
    <w:rsid w:val="00A3257B"/>
    <w:rsid w:val="00A32B11"/>
    <w:rsid w:val="00A32C4D"/>
    <w:rsid w:val="00A330D6"/>
    <w:rsid w:val="00A3323B"/>
    <w:rsid w:val="00A3324B"/>
    <w:rsid w:val="00A332A1"/>
    <w:rsid w:val="00A33474"/>
    <w:rsid w:val="00A336CC"/>
    <w:rsid w:val="00A33DA4"/>
    <w:rsid w:val="00A34372"/>
    <w:rsid w:val="00A344E6"/>
    <w:rsid w:val="00A345A9"/>
    <w:rsid w:val="00A347F4"/>
    <w:rsid w:val="00A34961"/>
    <w:rsid w:val="00A34A38"/>
    <w:rsid w:val="00A34B0B"/>
    <w:rsid w:val="00A34D5A"/>
    <w:rsid w:val="00A34D5F"/>
    <w:rsid w:val="00A34F99"/>
    <w:rsid w:val="00A35015"/>
    <w:rsid w:val="00A35AB0"/>
    <w:rsid w:val="00A35B60"/>
    <w:rsid w:val="00A35D00"/>
    <w:rsid w:val="00A35E4A"/>
    <w:rsid w:val="00A36023"/>
    <w:rsid w:val="00A36115"/>
    <w:rsid w:val="00A361E8"/>
    <w:rsid w:val="00A36372"/>
    <w:rsid w:val="00A3673B"/>
    <w:rsid w:val="00A3676D"/>
    <w:rsid w:val="00A3683E"/>
    <w:rsid w:val="00A36C67"/>
    <w:rsid w:val="00A37222"/>
    <w:rsid w:val="00A374F7"/>
    <w:rsid w:val="00A3767B"/>
    <w:rsid w:val="00A3789E"/>
    <w:rsid w:val="00A37B18"/>
    <w:rsid w:val="00A37B6D"/>
    <w:rsid w:val="00A37D75"/>
    <w:rsid w:val="00A405AC"/>
    <w:rsid w:val="00A4073A"/>
    <w:rsid w:val="00A408CC"/>
    <w:rsid w:val="00A409F4"/>
    <w:rsid w:val="00A40A98"/>
    <w:rsid w:val="00A40ABE"/>
    <w:rsid w:val="00A40E88"/>
    <w:rsid w:val="00A40EE0"/>
    <w:rsid w:val="00A40FCD"/>
    <w:rsid w:val="00A41218"/>
    <w:rsid w:val="00A412E9"/>
    <w:rsid w:val="00A414EB"/>
    <w:rsid w:val="00A414EF"/>
    <w:rsid w:val="00A414F0"/>
    <w:rsid w:val="00A4170F"/>
    <w:rsid w:val="00A41FED"/>
    <w:rsid w:val="00A423F8"/>
    <w:rsid w:val="00A4244C"/>
    <w:rsid w:val="00A428D8"/>
    <w:rsid w:val="00A42A9B"/>
    <w:rsid w:val="00A42E31"/>
    <w:rsid w:val="00A42F76"/>
    <w:rsid w:val="00A432ED"/>
    <w:rsid w:val="00A4338E"/>
    <w:rsid w:val="00A433B9"/>
    <w:rsid w:val="00A433C3"/>
    <w:rsid w:val="00A43930"/>
    <w:rsid w:val="00A43E73"/>
    <w:rsid w:val="00A44164"/>
    <w:rsid w:val="00A44763"/>
    <w:rsid w:val="00A4494B"/>
    <w:rsid w:val="00A44C79"/>
    <w:rsid w:val="00A44CBC"/>
    <w:rsid w:val="00A44DC6"/>
    <w:rsid w:val="00A44EE7"/>
    <w:rsid w:val="00A45783"/>
    <w:rsid w:val="00A458BF"/>
    <w:rsid w:val="00A459B5"/>
    <w:rsid w:val="00A45C8B"/>
    <w:rsid w:val="00A45DC5"/>
    <w:rsid w:val="00A45F1C"/>
    <w:rsid w:val="00A46368"/>
    <w:rsid w:val="00A464C1"/>
    <w:rsid w:val="00A4651F"/>
    <w:rsid w:val="00A46722"/>
    <w:rsid w:val="00A46A0C"/>
    <w:rsid w:val="00A46C2D"/>
    <w:rsid w:val="00A46CE5"/>
    <w:rsid w:val="00A471C1"/>
    <w:rsid w:val="00A472CA"/>
    <w:rsid w:val="00A476BA"/>
    <w:rsid w:val="00A47781"/>
    <w:rsid w:val="00A4783F"/>
    <w:rsid w:val="00A4796B"/>
    <w:rsid w:val="00A504CA"/>
    <w:rsid w:val="00A506FC"/>
    <w:rsid w:val="00A50735"/>
    <w:rsid w:val="00A50822"/>
    <w:rsid w:val="00A508E5"/>
    <w:rsid w:val="00A50B39"/>
    <w:rsid w:val="00A50C78"/>
    <w:rsid w:val="00A5180D"/>
    <w:rsid w:val="00A51B2E"/>
    <w:rsid w:val="00A5205F"/>
    <w:rsid w:val="00A52248"/>
    <w:rsid w:val="00A52383"/>
    <w:rsid w:val="00A52695"/>
    <w:rsid w:val="00A5288F"/>
    <w:rsid w:val="00A529E2"/>
    <w:rsid w:val="00A52B6A"/>
    <w:rsid w:val="00A52CE5"/>
    <w:rsid w:val="00A52D6B"/>
    <w:rsid w:val="00A530E8"/>
    <w:rsid w:val="00A53174"/>
    <w:rsid w:val="00A5339D"/>
    <w:rsid w:val="00A534D2"/>
    <w:rsid w:val="00A535B2"/>
    <w:rsid w:val="00A535E5"/>
    <w:rsid w:val="00A53CA3"/>
    <w:rsid w:val="00A53D7E"/>
    <w:rsid w:val="00A53E5F"/>
    <w:rsid w:val="00A53EDA"/>
    <w:rsid w:val="00A54419"/>
    <w:rsid w:val="00A5463A"/>
    <w:rsid w:val="00A54641"/>
    <w:rsid w:val="00A54B04"/>
    <w:rsid w:val="00A54CDC"/>
    <w:rsid w:val="00A54EFB"/>
    <w:rsid w:val="00A55042"/>
    <w:rsid w:val="00A551B3"/>
    <w:rsid w:val="00A55503"/>
    <w:rsid w:val="00A5563C"/>
    <w:rsid w:val="00A558C3"/>
    <w:rsid w:val="00A55F65"/>
    <w:rsid w:val="00A560CB"/>
    <w:rsid w:val="00A56339"/>
    <w:rsid w:val="00A564B9"/>
    <w:rsid w:val="00A565D7"/>
    <w:rsid w:val="00A5661A"/>
    <w:rsid w:val="00A5666B"/>
    <w:rsid w:val="00A56F13"/>
    <w:rsid w:val="00A56FC9"/>
    <w:rsid w:val="00A5758C"/>
    <w:rsid w:val="00A57996"/>
    <w:rsid w:val="00A57CF5"/>
    <w:rsid w:val="00A60397"/>
    <w:rsid w:val="00A60487"/>
    <w:rsid w:val="00A6060B"/>
    <w:rsid w:val="00A60C7A"/>
    <w:rsid w:val="00A60ED1"/>
    <w:rsid w:val="00A60F04"/>
    <w:rsid w:val="00A60F87"/>
    <w:rsid w:val="00A612ED"/>
    <w:rsid w:val="00A61844"/>
    <w:rsid w:val="00A61E15"/>
    <w:rsid w:val="00A62069"/>
    <w:rsid w:val="00A62362"/>
    <w:rsid w:val="00A623B9"/>
    <w:rsid w:val="00A624C2"/>
    <w:rsid w:val="00A625DA"/>
    <w:rsid w:val="00A62747"/>
    <w:rsid w:val="00A6277D"/>
    <w:rsid w:val="00A62F9F"/>
    <w:rsid w:val="00A63045"/>
    <w:rsid w:val="00A630C4"/>
    <w:rsid w:val="00A6384B"/>
    <w:rsid w:val="00A63B05"/>
    <w:rsid w:val="00A63DFA"/>
    <w:rsid w:val="00A6408D"/>
    <w:rsid w:val="00A6422E"/>
    <w:rsid w:val="00A6451A"/>
    <w:rsid w:val="00A647FC"/>
    <w:rsid w:val="00A64852"/>
    <w:rsid w:val="00A64B79"/>
    <w:rsid w:val="00A64C38"/>
    <w:rsid w:val="00A64C78"/>
    <w:rsid w:val="00A64CDD"/>
    <w:rsid w:val="00A64F61"/>
    <w:rsid w:val="00A65296"/>
    <w:rsid w:val="00A6535E"/>
    <w:rsid w:val="00A6536F"/>
    <w:rsid w:val="00A65BC4"/>
    <w:rsid w:val="00A65FF3"/>
    <w:rsid w:val="00A6632D"/>
    <w:rsid w:val="00A66361"/>
    <w:rsid w:val="00A66373"/>
    <w:rsid w:val="00A6650E"/>
    <w:rsid w:val="00A66976"/>
    <w:rsid w:val="00A66A97"/>
    <w:rsid w:val="00A66C99"/>
    <w:rsid w:val="00A66D55"/>
    <w:rsid w:val="00A66ED6"/>
    <w:rsid w:val="00A66F50"/>
    <w:rsid w:val="00A6731F"/>
    <w:rsid w:val="00A67486"/>
    <w:rsid w:val="00A67670"/>
    <w:rsid w:val="00A67739"/>
    <w:rsid w:val="00A677B5"/>
    <w:rsid w:val="00A67BAC"/>
    <w:rsid w:val="00A67BBE"/>
    <w:rsid w:val="00A67C02"/>
    <w:rsid w:val="00A67CE9"/>
    <w:rsid w:val="00A67D65"/>
    <w:rsid w:val="00A67E07"/>
    <w:rsid w:val="00A67EB4"/>
    <w:rsid w:val="00A67EC2"/>
    <w:rsid w:val="00A67F5A"/>
    <w:rsid w:val="00A67FE7"/>
    <w:rsid w:val="00A7010D"/>
    <w:rsid w:val="00A7035C"/>
    <w:rsid w:val="00A703CE"/>
    <w:rsid w:val="00A70415"/>
    <w:rsid w:val="00A70623"/>
    <w:rsid w:val="00A70739"/>
    <w:rsid w:val="00A708CA"/>
    <w:rsid w:val="00A708DE"/>
    <w:rsid w:val="00A70AF9"/>
    <w:rsid w:val="00A70C12"/>
    <w:rsid w:val="00A7117D"/>
    <w:rsid w:val="00A7119D"/>
    <w:rsid w:val="00A71868"/>
    <w:rsid w:val="00A71977"/>
    <w:rsid w:val="00A71B63"/>
    <w:rsid w:val="00A71DC5"/>
    <w:rsid w:val="00A71F3C"/>
    <w:rsid w:val="00A72096"/>
    <w:rsid w:val="00A72412"/>
    <w:rsid w:val="00A7258B"/>
    <w:rsid w:val="00A726BB"/>
    <w:rsid w:val="00A727C5"/>
    <w:rsid w:val="00A72BBF"/>
    <w:rsid w:val="00A72BCB"/>
    <w:rsid w:val="00A73182"/>
    <w:rsid w:val="00A733E2"/>
    <w:rsid w:val="00A7394B"/>
    <w:rsid w:val="00A73E64"/>
    <w:rsid w:val="00A73FA7"/>
    <w:rsid w:val="00A74011"/>
    <w:rsid w:val="00A743C3"/>
    <w:rsid w:val="00A746CE"/>
    <w:rsid w:val="00A74878"/>
    <w:rsid w:val="00A748D8"/>
    <w:rsid w:val="00A74F34"/>
    <w:rsid w:val="00A74F4B"/>
    <w:rsid w:val="00A75302"/>
    <w:rsid w:val="00A7552B"/>
    <w:rsid w:val="00A755B2"/>
    <w:rsid w:val="00A75632"/>
    <w:rsid w:val="00A75820"/>
    <w:rsid w:val="00A75C46"/>
    <w:rsid w:val="00A75E54"/>
    <w:rsid w:val="00A75F9F"/>
    <w:rsid w:val="00A768E2"/>
    <w:rsid w:val="00A76B03"/>
    <w:rsid w:val="00A76BF1"/>
    <w:rsid w:val="00A77107"/>
    <w:rsid w:val="00A77170"/>
    <w:rsid w:val="00A7742B"/>
    <w:rsid w:val="00A774B5"/>
    <w:rsid w:val="00A77887"/>
    <w:rsid w:val="00A77DBD"/>
    <w:rsid w:val="00A77F99"/>
    <w:rsid w:val="00A801D5"/>
    <w:rsid w:val="00A80368"/>
    <w:rsid w:val="00A806F6"/>
    <w:rsid w:val="00A8089C"/>
    <w:rsid w:val="00A80C98"/>
    <w:rsid w:val="00A81157"/>
    <w:rsid w:val="00A8146F"/>
    <w:rsid w:val="00A814A7"/>
    <w:rsid w:val="00A817DD"/>
    <w:rsid w:val="00A818E3"/>
    <w:rsid w:val="00A81C8E"/>
    <w:rsid w:val="00A81CEB"/>
    <w:rsid w:val="00A81CF5"/>
    <w:rsid w:val="00A81E3E"/>
    <w:rsid w:val="00A81E4B"/>
    <w:rsid w:val="00A81F12"/>
    <w:rsid w:val="00A81F74"/>
    <w:rsid w:val="00A8218C"/>
    <w:rsid w:val="00A8244F"/>
    <w:rsid w:val="00A82632"/>
    <w:rsid w:val="00A826F3"/>
    <w:rsid w:val="00A82D5C"/>
    <w:rsid w:val="00A82EDF"/>
    <w:rsid w:val="00A83217"/>
    <w:rsid w:val="00A834FA"/>
    <w:rsid w:val="00A83A43"/>
    <w:rsid w:val="00A83F36"/>
    <w:rsid w:val="00A83F68"/>
    <w:rsid w:val="00A84297"/>
    <w:rsid w:val="00A842A6"/>
    <w:rsid w:val="00A842C8"/>
    <w:rsid w:val="00A842D4"/>
    <w:rsid w:val="00A84552"/>
    <w:rsid w:val="00A8475E"/>
    <w:rsid w:val="00A84F4E"/>
    <w:rsid w:val="00A84FCB"/>
    <w:rsid w:val="00A85059"/>
    <w:rsid w:val="00A85441"/>
    <w:rsid w:val="00A85523"/>
    <w:rsid w:val="00A8568E"/>
    <w:rsid w:val="00A858D6"/>
    <w:rsid w:val="00A866C6"/>
    <w:rsid w:val="00A87168"/>
    <w:rsid w:val="00A87738"/>
    <w:rsid w:val="00A87810"/>
    <w:rsid w:val="00A879FE"/>
    <w:rsid w:val="00A90072"/>
    <w:rsid w:val="00A900E7"/>
    <w:rsid w:val="00A9010C"/>
    <w:rsid w:val="00A90161"/>
    <w:rsid w:val="00A901B4"/>
    <w:rsid w:val="00A9024C"/>
    <w:rsid w:val="00A904C0"/>
    <w:rsid w:val="00A904EB"/>
    <w:rsid w:val="00A90541"/>
    <w:rsid w:val="00A9059A"/>
    <w:rsid w:val="00A90917"/>
    <w:rsid w:val="00A909CD"/>
    <w:rsid w:val="00A90C6E"/>
    <w:rsid w:val="00A90CEA"/>
    <w:rsid w:val="00A9133B"/>
    <w:rsid w:val="00A91931"/>
    <w:rsid w:val="00A91BD9"/>
    <w:rsid w:val="00A91D08"/>
    <w:rsid w:val="00A91D89"/>
    <w:rsid w:val="00A92073"/>
    <w:rsid w:val="00A9261E"/>
    <w:rsid w:val="00A92686"/>
    <w:rsid w:val="00A927C8"/>
    <w:rsid w:val="00A92A0D"/>
    <w:rsid w:val="00A92BA9"/>
    <w:rsid w:val="00A92D1E"/>
    <w:rsid w:val="00A9350A"/>
    <w:rsid w:val="00A935AF"/>
    <w:rsid w:val="00A935B0"/>
    <w:rsid w:val="00A93787"/>
    <w:rsid w:val="00A93A76"/>
    <w:rsid w:val="00A93AFF"/>
    <w:rsid w:val="00A93B35"/>
    <w:rsid w:val="00A9419B"/>
    <w:rsid w:val="00A94399"/>
    <w:rsid w:val="00A9450D"/>
    <w:rsid w:val="00A94941"/>
    <w:rsid w:val="00A94A1A"/>
    <w:rsid w:val="00A94AC0"/>
    <w:rsid w:val="00A94E97"/>
    <w:rsid w:val="00A956B9"/>
    <w:rsid w:val="00A957CD"/>
    <w:rsid w:val="00A95919"/>
    <w:rsid w:val="00A96270"/>
    <w:rsid w:val="00A967BE"/>
    <w:rsid w:val="00A96895"/>
    <w:rsid w:val="00A97078"/>
    <w:rsid w:val="00A97181"/>
    <w:rsid w:val="00A971FF"/>
    <w:rsid w:val="00A97249"/>
    <w:rsid w:val="00A97447"/>
    <w:rsid w:val="00A97451"/>
    <w:rsid w:val="00A976B5"/>
    <w:rsid w:val="00A97879"/>
    <w:rsid w:val="00A97962"/>
    <w:rsid w:val="00A97ACC"/>
    <w:rsid w:val="00A97B8E"/>
    <w:rsid w:val="00A97BA5"/>
    <w:rsid w:val="00AA0122"/>
    <w:rsid w:val="00AA0480"/>
    <w:rsid w:val="00AA05C3"/>
    <w:rsid w:val="00AA0673"/>
    <w:rsid w:val="00AA06F3"/>
    <w:rsid w:val="00AA06FC"/>
    <w:rsid w:val="00AA0748"/>
    <w:rsid w:val="00AA076A"/>
    <w:rsid w:val="00AA09CE"/>
    <w:rsid w:val="00AA0C66"/>
    <w:rsid w:val="00AA0D72"/>
    <w:rsid w:val="00AA105B"/>
    <w:rsid w:val="00AA1351"/>
    <w:rsid w:val="00AA14CF"/>
    <w:rsid w:val="00AA1538"/>
    <w:rsid w:val="00AA1791"/>
    <w:rsid w:val="00AA195E"/>
    <w:rsid w:val="00AA1AA5"/>
    <w:rsid w:val="00AA1B7C"/>
    <w:rsid w:val="00AA2175"/>
    <w:rsid w:val="00AA257B"/>
    <w:rsid w:val="00AA2C4E"/>
    <w:rsid w:val="00AA3014"/>
    <w:rsid w:val="00AA30B1"/>
    <w:rsid w:val="00AA30FB"/>
    <w:rsid w:val="00AA33B4"/>
    <w:rsid w:val="00AA345A"/>
    <w:rsid w:val="00AA3822"/>
    <w:rsid w:val="00AA39CC"/>
    <w:rsid w:val="00AA3B45"/>
    <w:rsid w:val="00AA3C30"/>
    <w:rsid w:val="00AA40C0"/>
    <w:rsid w:val="00AA417B"/>
    <w:rsid w:val="00AA4395"/>
    <w:rsid w:val="00AA4405"/>
    <w:rsid w:val="00AA4459"/>
    <w:rsid w:val="00AA4496"/>
    <w:rsid w:val="00AA45CA"/>
    <w:rsid w:val="00AA4C08"/>
    <w:rsid w:val="00AA4C96"/>
    <w:rsid w:val="00AA520A"/>
    <w:rsid w:val="00AA5465"/>
    <w:rsid w:val="00AA5547"/>
    <w:rsid w:val="00AA5C04"/>
    <w:rsid w:val="00AA5D53"/>
    <w:rsid w:val="00AA5F7B"/>
    <w:rsid w:val="00AA627B"/>
    <w:rsid w:val="00AA6492"/>
    <w:rsid w:val="00AA664B"/>
    <w:rsid w:val="00AA6763"/>
    <w:rsid w:val="00AA6A6F"/>
    <w:rsid w:val="00AA6EEF"/>
    <w:rsid w:val="00AA6FDB"/>
    <w:rsid w:val="00AA7212"/>
    <w:rsid w:val="00AA768E"/>
    <w:rsid w:val="00AA77F6"/>
    <w:rsid w:val="00AB0086"/>
    <w:rsid w:val="00AB00FE"/>
    <w:rsid w:val="00AB0412"/>
    <w:rsid w:val="00AB049D"/>
    <w:rsid w:val="00AB078D"/>
    <w:rsid w:val="00AB0C5D"/>
    <w:rsid w:val="00AB0DFD"/>
    <w:rsid w:val="00AB1057"/>
    <w:rsid w:val="00AB1224"/>
    <w:rsid w:val="00AB1334"/>
    <w:rsid w:val="00AB15D9"/>
    <w:rsid w:val="00AB1899"/>
    <w:rsid w:val="00AB24D8"/>
    <w:rsid w:val="00AB2955"/>
    <w:rsid w:val="00AB2A3E"/>
    <w:rsid w:val="00AB31C2"/>
    <w:rsid w:val="00AB3237"/>
    <w:rsid w:val="00AB337D"/>
    <w:rsid w:val="00AB3436"/>
    <w:rsid w:val="00AB3437"/>
    <w:rsid w:val="00AB3485"/>
    <w:rsid w:val="00AB351F"/>
    <w:rsid w:val="00AB35BF"/>
    <w:rsid w:val="00AB3749"/>
    <w:rsid w:val="00AB38A5"/>
    <w:rsid w:val="00AB38E0"/>
    <w:rsid w:val="00AB3A58"/>
    <w:rsid w:val="00AB3B0C"/>
    <w:rsid w:val="00AB3B2C"/>
    <w:rsid w:val="00AB3C55"/>
    <w:rsid w:val="00AB3EB2"/>
    <w:rsid w:val="00AB3F44"/>
    <w:rsid w:val="00AB3F9B"/>
    <w:rsid w:val="00AB3FC8"/>
    <w:rsid w:val="00AB457B"/>
    <w:rsid w:val="00AB491B"/>
    <w:rsid w:val="00AB4B2D"/>
    <w:rsid w:val="00AB4B79"/>
    <w:rsid w:val="00AB50DA"/>
    <w:rsid w:val="00AB533F"/>
    <w:rsid w:val="00AB5561"/>
    <w:rsid w:val="00AB6107"/>
    <w:rsid w:val="00AB6345"/>
    <w:rsid w:val="00AB64FF"/>
    <w:rsid w:val="00AB668D"/>
    <w:rsid w:val="00AB669F"/>
    <w:rsid w:val="00AB68D4"/>
    <w:rsid w:val="00AB6A79"/>
    <w:rsid w:val="00AB6BDE"/>
    <w:rsid w:val="00AB6BF4"/>
    <w:rsid w:val="00AB6D59"/>
    <w:rsid w:val="00AB7271"/>
    <w:rsid w:val="00AB72BA"/>
    <w:rsid w:val="00AB72C8"/>
    <w:rsid w:val="00AB73AC"/>
    <w:rsid w:val="00AB777B"/>
    <w:rsid w:val="00AB7938"/>
    <w:rsid w:val="00AB7D1F"/>
    <w:rsid w:val="00AC0AE1"/>
    <w:rsid w:val="00AC0BAE"/>
    <w:rsid w:val="00AC0D08"/>
    <w:rsid w:val="00AC0E06"/>
    <w:rsid w:val="00AC0F29"/>
    <w:rsid w:val="00AC0F2D"/>
    <w:rsid w:val="00AC1467"/>
    <w:rsid w:val="00AC14CC"/>
    <w:rsid w:val="00AC14DD"/>
    <w:rsid w:val="00AC1A66"/>
    <w:rsid w:val="00AC1AE8"/>
    <w:rsid w:val="00AC1C4A"/>
    <w:rsid w:val="00AC1D77"/>
    <w:rsid w:val="00AC1F26"/>
    <w:rsid w:val="00AC1FD7"/>
    <w:rsid w:val="00AC2835"/>
    <w:rsid w:val="00AC285C"/>
    <w:rsid w:val="00AC28C7"/>
    <w:rsid w:val="00AC297C"/>
    <w:rsid w:val="00AC2B6B"/>
    <w:rsid w:val="00AC36C4"/>
    <w:rsid w:val="00AC3720"/>
    <w:rsid w:val="00AC3B50"/>
    <w:rsid w:val="00AC3D39"/>
    <w:rsid w:val="00AC3D3C"/>
    <w:rsid w:val="00AC3DBF"/>
    <w:rsid w:val="00AC3FE4"/>
    <w:rsid w:val="00AC3FFD"/>
    <w:rsid w:val="00AC41A1"/>
    <w:rsid w:val="00AC41A4"/>
    <w:rsid w:val="00AC43F1"/>
    <w:rsid w:val="00AC4449"/>
    <w:rsid w:val="00AC444F"/>
    <w:rsid w:val="00AC46B7"/>
    <w:rsid w:val="00AC4780"/>
    <w:rsid w:val="00AC4A8C"/>
    <w:rsid w:val="00AC4AFD"/>
    <w:rsid w:val="00AC4DF7"/>
    <w:rsid w:val="00AC4F90"/>
    <w:rsid w:val="00AC5439"/>
    <w:rsid w:val="00AC5508"/>
    <w:rsid w:val="00AC55E0"/>
    <w:rsid w:val="00AC5692"/>
    <w:rsid w:val="00AC5F7B"/>
    <w:rsid w:val="00AC601B"/>
    <w:rsid w:val="00AC60EF"/>
    <w:rsid w:val="00AC6334"/>
    <w:rsid w:val="00AC654E"/>
    <w:rsid w:val="00AC662F"/>
    <w:rsid w:val="00AC674C"/>
    <w:rsid w:val="00AC6BF2"/>
    <w:rsid w:val="00AC72CE"/>
    <w:rsid w:val="00AC7526"/>
    <w:rsid w:val="00AC7892"/>
    <w:rsid w:val="00AC78A3"/>
    <w:rsid w:val="00AC79B1"/>
    <w:rsid w:val="00AC7AA5"/>
    <w:rsid w:val="00AC7C2A"/>
    <w:rsid w:val="00AD03AA"/>
    <w:rsid w:val="00AD0475"/>
    <w:rsid w:val="00AD04F2"/>
    <w:rsid w:val="00AD058D"/>
    <w:rsid w:val="00AD0732"/>
    <w:rsid w:val="00AD0A65"/>
    <w:rsid w:val="00AD0B72"/>
    <w:rsid w:val="00AD0C83"/>
    <w:rsid w:val="00AD0D4D"/>
    <w:rsid w:val="00AD1635"/>
    <w:rsid w:val="00AD1928"/>
    <w:rsid w:val="00AD1934"/>
    <w:rsid w:val="00AD195D"/>
    <w:rsid w:val="00AD1BAB"/>
    <w:rsid w:val="00AD1C76"/>
    <w:rsid w:val="00AD1DA8"/>
    <w:rsid w:val="00AD1FD8"/>
    <w:rsid w:val="00AD226D"/>
    <w:rsid w:val="00AD260D"/>
    <w:rsid w:val="00AD27FA"/>
    <w:rsid w:val="00AD2814"/>
    <w:rsid w:val="00AD2BFB"/>
    <w:rsid w:val="00AD2E75"/>
    <w:rsid w:val="00AD2EA5"/>
    <w:rsid w:val="00AD3041"/>
    <w:rsid w:val="00AD30A7"/>
    <w:rsid w:val="00AD3154"/>
    <w:rsid w:val="00AD3682"/>
    <w:rsid w:val="00AD39CC"/>
    <w:rsid w:val="00AD39F6"/>
    <w:rsid w:val="00AD3A1F"/>
    <w:rsid w:val="00AD3A58"/>
    <w:rsid w:val="00AD3B16"/>
    <w:rsid w:val="00AD3C18"/>
    <w:rsid w:val="00AD3CE0"/>
    <w:rsid w:val="00AD4083"/>
    <w:rsid w:val="00AD437D"/>
    <w:rsid w:val="00AD4389"/>
    <w:rsid w:val="00AD4508"/>
    <w:rsid w:val="00AD46C7"/>
    <w:rsid w:val="00AD470E"/>
    <w:rsid w:val="00AD48C0"/>
    <w:rsid w:val="00AD4A19"/>
    <w:rsid w:val="00AD5058"/>
    <w:rsid w:val="00AD506D"/>
    <w:rsid w:val="00AD52DF"/>
    <w:rsid w:val="00AD55CA"/>
    <w:rsid w:val="00AD5706"/>
    <w:rsid w:val="00AD5713"/>
    <w:rsid w:val="00AD5EC5"/>
    <w:rsid w:val="00AD6179"/>
    <w:rsid w:val="00AD61B0"/>
    <w:rsid w:val="00AD6705"/>
    <w:rsid w:val="00AD694E"/>
    <w:rsid w:val="00AD6CF7"/>
    <w:rsid w:val="00AD6DC1"/>
    <w:rsid w:val="00AD7056"/>
    <w:rsid w:val="00AD71C1"/>
    <w:rsid w:val="00AD7573"/>
    <w:rsid w:val="00AD75A5"/>
    <w:rsid w:val="00AD773C"/>
    <w:rsid w:val="00AD7878"/>
    <w:rsid w:val="00AD7EBD"/>
    <w:rsid w:val="00AE07D1"/>
    <w:rsid w:val="00AE07D7"/>
    <w:rsid w:val="00AE0C90"/>
    <w:rsid w:val="00AE0CAF"/>
    <w:rsid w:val="00AE0F15"/>
    <w:rsid w:val="00AE10E6"/>
    <w:rsid w:val="00AE1394"/>
    <w:rsid w:val="00AE1575"/>
    <w:rsid w:val="00AE1673"/>
    <w:rsid w:val="00AE1B61"/>
    <w:rsid w:val="00AE1F3C"/>
    <w:rsid w:val="00AE23D7"/>
    <w:rsid w:val="00AE24FE"/>
    <w:rsid w:val="00AE25E4"/>
    <w:rsid w:val="00AE262E"/>
    <w:rsid w:val="00AE26AD"/>
    <w:rsid w:val="00AE26ED"/>
    <w:rsid w:val="00AE2A29"/>
    <w:rsid w:val="00AE2D4E"/>
    <w:rsid w:val="00AE2E36"/>
    <w:rsid w:val="00AE3064"/>
    <w:rsid w:val="00AE3400"/>
    <w:rsid w:val="00AE3535"/>
    <w:rsid w:val="00AE35A6"/>
    <w:rsid w:val="00AE35D9"/>
    <w:rsid w:val="00AE362D"/>
    <w:rsid w:val="00AE385F"/>
    <w:rsid w:val="00AE3AB8"/>
    <w:rsid w:val="00AE3BE4"/>
    <w:rsid w:val="00AE3DB7"/>
    <w:rsid w:val="00AE41A5"/>
    <w:rsid w:val="00AE43C4"/>
    <w:rsid w:val="00AE449A"/>
    <w:rsid w:val="00AE4728"/>
    <w:rsid w:val="00AE484C"/>
    <w:rsid w:val="00AE4855"/>
    <w:rsid w:val="00AE4ACC"/>
    <w:rsid w:val="00AE4C85"/>
    <w:rsid w:val="00AE4CDC"/>
    <w:rsid w:val="00AE4EB1"/>
    <w:rsid w:val="00AE5279"/>
    <w:rsid w:val="00AE539B"/>
    <w:rsid w:val="00AE5836"/>
    <w:rsid w:val="00AE59C3"/>
    <w:rsid w:val="00AE607F"/>
    <w:rsid w:val="00AE65EA"/>
    <w:rsid w:val="00AE6806"/>
    <w:rsid w:val="00AE6867"/>
    <w:rsid w:val="00AE6EC6"/>
    <w:rsid w:val="00AE70FF"/>
    <w:rsid w:val="00AE7605"/>
    <w:rsid w:val="00AE798B"/>
    <w:rsid w:val="00AE7CDB"/>
    <w:rsid w:val="00AF038F"/>
    <w:rsid w:val="00AF07A4"/>
    <w:rsid w:val="00AF0D82"/>
    <w:rsid w:val="00AF0E93"/>
    <w:rsid w:val="00AF0FEA"/>
    <w:rsid w:val="00AF1132"/>
    <w:rsid w:val="00AF1485"/>
    <w:rsid w:val="00AF159C"/>
    <w:rsid w:val="00AF16E8"/>
    <w:rsid w:val="00AF1729"/>
    <w:rsid w:val="00AF1A73"/>
    <w:rsid w:val="00AF1CC2"/>
    <w:rsid w:val="00AF1CC8"/>
    <w:rsid w:val="00AF24F4"/>
    <w:rsid w:val="00AF2795"/>
    <w:rsid w:val="00AF2ABF"/>
    <w:rsid w:val="00AF2D84"/>
    <w:rsid w:val="00AF3132"/>
    <w:rsid w:val="00AF319F"/>
    <w:rsid w:val="00AF31C2"/>
    <w:rsid w:val="00AF32A8"/>
    <w:rsid w:val="00AF33E0"/>
    <w:rsid w:val="00AF368D"/>
    <w:rsid w:val="00AF37BB"/>
    <w:rsid w:val="00AF396A"/>
    <w:rsid w:val="00AF3B93"/>
    <w:rsid w:val="00AF3C39"/>
    <w:rsid w:val="00AF3E61"/>
    <w:rsid w:val="00AF4ABE"/>
    <w:rsid w:val="00AF4CE7"/>
    <w:rsid w:val="00AF4F48"/>
    <w:rsid w:val="00AF538B"/>
    <w:rsid w:val="00AF5463"/>
    <w:rsid w:val="00AF5721"/>
    <w:rsid w:val="00AF59B3"/>
    <w:rsid w:val="00AF59F0"/>
    <w:rsid w:val="00AF5EC3"/>
    <w:rsid w:val="00AF6141"/>
    <w:rsid w:val="00AF6243"/>
    <w:rsid w:val="00AF6247"/>
    <w:rsid w:val="00AF627A"/>
    <w:rsid w:val="00AF62FA"/>
    <w:rsid w:val="00AF6688"/>
    <w:rsid w:val="00AF67D8"/>
    <w:rsid w:val="00AF689E"/>
    <w:rsid w:val="00AF6AC0"/>
    <w:rsid w:val="00AF6FB1"/>
    <w:rsid w:val="00AF725C"/>
    <w:rsid w:val="00AF7286"/>
    <w:rsid w:val="00AF740C"/>
    <w:rsid w:val="00AF762F"/>
    <w:rsid w:val="00AF76EC"/>
    <w:rsid w:val="00AF7970"/>
    <w:rsid w:val="00AF7981"/>
    <w:rsid w:val="00AF7A87"/>
    <w:rsid w:val="00AF7D22"/>
    <w:rsid w:val="00B00057"/>
    <w:rsid w:val="00B002FE"/>
    <w:rsid w:val="00B003FD"/>
    <w:rsid w:val="00B00C78"/>
    <w:rsid w:val="00B00DCF"/>
    <w:rsid w:val="00B01359"/>
    <w:rsid w:val="00B0136F"/>
    <w:rsid w:val="00B0162B"/>
    <w:rsid w:val="00B01A60"/>
    <w:rsid w:val="00B01B4C"/>
    <w:rsid w:val="00B01CF3"/>
    <w:rsid w:val="00B01F10"/>
    <w:rsid w:val="00B01F1A"/>
    <w:rsid w:val="00B0206F"/>
    <w:rsid w:val="00B02096"/>
    <w:rsid w:val="00B020A8"/>
    <w:rsid w:val="00B022D7"/>
    <w:rsid w:val="00B02468"/>
    <w:rsid w:val="00B024D9"/>
    <w:rsid w:val="00B026DD"/>
    <w:rsid w:val="00B02E10"/>
    <w:rsid w:val="00B0330E"/>
    <w:rsid w:val="00B03785"/>
    <w:rsid w:val="00B03844"/>
    <w:rsid w:val="00B03E2A"/>
    <w:rsid w:val="00B04140"/>
    <w:rsid w:val="00B04299"/>
    <w:rsid w:val="00B04336"/>
    <w:rsid w:val="00B0435B"/>
    <w:rsid w:val="00B04421"/>
    <w:rsid w:val="00B048EB"/>
    <w:rsid w:val="00B0492C"/>
    <w:rsid w:val="00B04BB4"/>
    <w:rsid w:val="00B04F1A"/>
    <w:rsid w:val="00B04F3F"/>
    <w:rsid w:val="00B05152"/>
    <w:rsid w:val="00B055C6"/>
    <w:rsid w:val="00B05DDD"/>
    <w:rsid w:val="00B06088"/>
    <w:rsid w:val="00B06136"/>
    <w:rsid w:val="00B062CE"/>
    <w:rsid w:val="00B062FF"/>
    <w:rsid w:val="00B0678D"/>
    <w:rsid w:val="00B068A1"/>
    <w:rsid w:val="00B06C95"/>
    <w:rsid w:val="00B07005"/>
    <w:rsid w:val="00B07074"/>
    <w:rsid w:val="00B070AD"/>
    <w:rsid w:val="00B074A6"/>
    <w:rsid w:val="00B075E2"/>
    <w:rsid w:val="00B07DDA"/>
    <w:rsid w:val="00B07E69"/>
    <w:rsid w:val="00B07E78"/>
    <w:rsid w:val="00B1002A"/>
    <w:rsid w:val="00B102C0"/>
    <w:rsid w:val="00B102EF"/>
    <w:rsid w:val="00B104F6"/>
    <w:rsid w:val="00B106A7"/>
    <w:rsid w:val="00B10721"/>
    <w:rsid w:val="00B10767"/>
    <w:rsid w:val="00B1079F"/>
    <w:rsid w:val="00B10887"/>
    <w:rsid w:val="00B110CC"/>
    <w:rsid w:val="00B112DA"/>
    <w:rsid w:val="00B114CD"/>
    <w:rsid w:val="00B11707"/>
    <w:rsid w:val="00B117A0"/>
    <w:rsid w:val="00B11892"/>
    <w:rsid w:val="00B11901"/>
    <w:rsid w:val="00B11918"/>
    <w:rsid w:val="00B11AC3"/>
    <w:rsid w:val="00B11B53"/>
    <w:rsid w:val="00B120D8"/>
    <w:rsid w:val="00B12122"/>
    <w:rsid w:val="00B123A4"/>
    <w:rsid w:val="00B125A7"/>
    <w:rsid w:val="00B13047"/>
    <w:rsid w:val="00B130FC"/>
    <w:rsid w:val="00B134A3"/>
    <w:rsid w:val="00B134E4"/>
    <w:rsid w:val="00B136BB"/>
    <w:rsid w:val="00B138BC"/>
    <w:rsid w:val="00B139EA"/>
    <w:rsid w:val="00B1446C"/>
    <w:rsid w:val="00B144DE"/>
    <w:rsid w:val="00B14654"/>
    <w:rsid w:val="00B148F4"/>
    <w:rsid w:val="00B1494F"/>
    <w:rsid w:val="00B149CC"/>
    <w:rsid w:val="00B14A33"/>
    <w:rsid w:val="00B14A39"/>
    <w:rsid w:val="00B14BEA"/>
    <w:rsid w:val="00B14D5A"/>
    <w:rsid w:val="00B14E59"/>
    <w:rsid w:val="00B14EEA"/>
    <w:rsid w:val="00B15650"/>
    <w:rsid w:val="00B15822"/>
    <w:rsid w:val="00B15A3E"/>
    <w:rsid w:val="00B15A6E"/>
    <w:rsid w:val="00B15CB6"/>
    <w:rsid w:val="00B15CF2"/>
    <w:rsid w:val="00B15CFF"/>
    <w:rsid w:val="00B163C0"/>
    <w:rsid w:val="00B1661B"/>
    <w:rsid w:val="00B166EA"/>
    <w:rsid w:val="00B1673F"/>
    <w:rsid w:val="00B168F1"/>
    <w:rsid w:val="00B16926"/>
    <w:rsid w:val="00B16B9F"/>
    <w:rsid w:val="00B16C00"/>
    <w:rsid w:val="00B16D42"/>
    <w:rsid w:val="00B16E34"/>
    <w:rsid w:val="00B1733F"/>
    <w:rsid w:val="00B173D3"/>
    <w:rsid w:val="00B17462"/>
    <w:rsid w:val="00B175B5"/>
    <w:rsid w:val="00B17748"/>
    <w:rsid w:val="00B177CC"/>
    <w:rsid w:val="00B206A7"/>
    <w:rsid w:val="00B20D1B"/>
    <w:rsid w:val="00B20D61"/>
    <w:rsid w:val="00B2139B"/>
    <w:rsid w:val="00B214B1"/>
    <w:rsid w:val="00B2175C"/>
    <w:rsid w:val="00B2185B"/>
    <w:rsid w:val="00B2186D"/>
    <w:rsid w:val="00B21F03"/>
    <w:rsid w:val="00B22457"/>
    <w:rsid w:val="00B22CAE"/>
    <w:rsid w:val="00B2312D"/>
    <w:rsid w:val="00B23219"/>
    <w:rsid w:val="00B2325C"/>
    <w:rsid w:val="00B23426"/>
    <w:rsid w:val="00B234FD"/>
    <w:rsid w:val="00B23614"/>
    <w:rsid w:val="00B237C5"/>
    <w:rsid w:val="00B23825"/>
    <w:rsid w:val="00B2394E"/>
    <w:rsid w:val="00B23C68"/>
    <w:rsid w:val="00B23E83"/>
    <w:rsid w:val="00B23EEB"/>
    <w:rsid w:val="00B241C6"/>
    <w:rsid w:val="00B24902"/>
    <w:rsid w:val="00B249B8"/>
    <w:rsid w:val="00B24AE0"/>
    <w:rsid w:val="00B24CC6"/>
    <w:rsid w:val="00B24D37"/>
    <w:rsid w:val="00B252F4"/>
    <w:rsid w:val="00B25724"/>
    <w:rsid w:val="00B258E7"/>
    <w:rsid w:val="00B258EF"/>
    <w:rsid w:val="00B25AEA"/>
    <w:rsid w:val="00B25C5A"/>
    <w:rsid w:val="00B25FC5"/>
    <w:rsid w:val="00B26153"/>
    <w:rsid w:val="00B2666A"/>
    <w:rsid w:val="00B2670A"/>
    <w:rsid w:val="00B2676F"/>
    <w:rsid w:val="00B269D6"/>
    <w:rsid w:val="00B26A3E"/>
    <w:rsid w:val="00B26EA0"/>
    <w:rsid w:val="00B26FE3"/>
    <w:rsid w:val="00B2703C"/>
    <w:rsid w:val="00B27234"/>
    <w:rsid w:val="00B279FC"/>
    <w:rsid w:val="00B27C5C"/>
    <w:rsid w:val="00B30847"/>
    <w:rsid w:val="00B30D3D"/>
    <w:rsid w:val="00B3149F"/>
    <w:rsid w:val="00B31954"/>
    <w:rsid w:val="00B31C46"/>
    <w:rsid w:val="00B31E2F"/>
    <w:rsid w:val="00B3226F"/>
    <w:rsid w:val="00B3227B"/>
    <w:rsid w:val="00B322EC"/>
    <w:rsid w:val="00B323E7"/>
    <w:rsid w:val="00B3245D"/>
    <w:rsid w:val="00B32677"/>
    <w:rsid w:val="00B327B5"/>
    <w:rsid w:val="00B3283F"/>
    <w:rsid w:val="00B3291A"/>
    <w:rsid w:val="00B32AD9"/>
    <w:rsid w:val="00B32B2D"/>
    <w:rsid w:val="00B32D91"/>
    <w:rsid w:val="00B32DC2"/>
    <w:rsid w:val="00B32EF0"/>
    <w:rsid w:val="00B33180"/>
    <w:rsid w:val="00B33574"/>
    <w:rsid w:val="00B33619"/>
    <w:rsid w:val="00B33C54"/>
    <w:rsid w:val="00B33E7A"/>
    <w:rsid w:val="00B33EC8"/>
    <w:rsid w:val="00B34636"/>
    <w:rsid w:val="00B3472E"/>
    <w:rsid w:val="00B34846"/>
    <w:rsid w:val="00B3486D"/>
    <w:rsid w:val="00B34B29"/>
    <w:rsid w:val="00B34C84"/>
    <w:rsid w:val="00B34E24"/>
    <w:rsid w:val="00B34E95"/>
    <w:rsid w:val="00B34ECA"/>
    <w:rsid w:val="00B34FC7"/>
    <w:rsid w:val="00B35030"/>
    <w:rsid w:val="00B35239"/>
    <w:rsid w:val="00B356E9"/>
    <w:rsid w:val="00B35704"/>
    <w:rsid w:val="00B357BD"/>
    <w:rsid w:val="00B35E66"/>
    <w:rsid w:val="00B35FEF"/>
    <w:rsid w:val="00B36043"/>
    <w:rsid w:val="00B3628A"/>
    <w:rsid w:val="00B3631D"/>
    <w:rsid w:val="00B36AC4"/>
    <w:rsid w:val="00B36C5E"/>
    <w:rsid w:val="00B36D48"/>
    <w:rsid w:val="00B37083"/>
    <w:rsid w:val="00B37282"/>
    <w:rsid w:val="00B373BC"/>
    <w:rsid w:val="00B37512"/>
    <w:rsid w:val="00B37756"/>
    <w:rsid w:val="00B37CF5"/>
    <w:rsid w:val="00B40048"/>
    <w:rsid w:val="00B403B4"/>
    <w:rsid w:val="00B40450"/>
    <w:rsid w:val="00B404A7"/>
    <w:rsid w:val="00B4055A"/>
    <w:rsid w:val="00B40AB6"/>
    <w:rsid w:val="00B40C06"/>
    <w:rsid w:val="00B40CF9"/>
    <w:rsid w:val="00B40D17"/>
    <w:rsid w:val="00B4183B"/>
    <w:rsid w:val="00B421CA"/>
    <w:rsid w:val="00B4220D"/>
    <w:rsid w:val="00B423ED"/>
    <w:rsid w:val="00B425D9"/>
    <w:rsid w:val="00B42709"/>
    <w:rsid w:val="00B42A09"/>
    <w:rsid w:val="00B42A90"/>
    <w:rsid w:val="00B42E87"/>
    <w:rsid w:val="00B4300D"/>
    <w:rsid w:val="00B4310A"/>
    <w:rsid w:val="00B431FC"/>
    <w:rsid w:val="00B4337E"/>
    <w:rsid w:val="00B433EE"/>
    <w:rsid w:val="00B43538"/>
    <w:rsid w:val="00B435F1"/>
    <w:rsid w:val="00B4369A"/>
    <w:rsid w:val="00B437D3"/>
    <w:rsid w:val="00B43BC3"/>
    <w:rsid w:val="00B43EBA"/>
    <w:rsid w:val="00B443C6"/>
    <w:rsid w:val="00B4442E"/>
    <w:rsid w:val="00B445BE"/>
    <w:rsid w:val="00B446AD"/>
    <w:rsid w:val="00B44757"/>
    <w:rsid w:val="00B44906"/>
    <w:rsid w:val="00B44B87"/>
    <w:rsid w:val="00B44E24"/>
    <w:rsid w:val="00B4503F"/>
    <w:rsid w:val="00B450C0"/>
    <w:rsid w:val="00B450DE"/>
    <w:rsid w:val="00B45104"/>
    <w:rsid w:val="00B4510C"/>
    <w:rsid w:val="00B452C6"/>
    <w:rsid w:val="00B45414"/>
    <w:rsid w:val="00B4549B"/>
    <w:rsid w:val="00B4579F"/>
    <w:rsid w:val="00B45AD7"/>
    <w:rsid w:val="00B45ADC"/>
    <w:rsid w:val="00B45C78"/>
    <w:rsid w:val="00B45C85"/>
    <w:rsid w:val="00B45C8F"/>
    <w:rsid w:val="00B460B0"/>
    <w:rsid w:val="00B464A0"/>
    <w:rsid w:val="00B469F1"/>
    <w:rsid w:val="00B46B2C"/>
    <w:rsid w:val="00B46B39"/>
    <w:rsid w:val="00B46EB0"/>
    <w:rsid w:val="00B47054"/>
    <w:rsid w:val="00B47158"/>
    <w:rsid w:val="00B473DC"/>
    <w:rsid w:val="00B474BA"/>
    <w:rsid w:val="00B4769A"/>
    <w:rsid w:val="00B476A1"/>
    <w:rsid w:val="00B47B24"/>
    <w:rsid w:val="00B47D7E"/>
    <w:rsid w:val="00B47DC0"/>
    <w:rsid w:val="00B47F65"/>
    <w:rsid w:val="00B50012"/>
    <w:rsid w:val="00B5062B"/>
    <w:rsid w:val="00B50A79"/>
    <w:rsid w:val="00B50BEF"/>
    <w:rsid w:val="00B50CD0"/>
    <w:rsid w:val="00B50D62"/>
    <w:rsid w:val="00B50D77"/>
    <w:rsid w:val="00B50FC1"/>
    <w:rsid w:val="00B5102B"/>
    <w:rsid w:val="00B51095"/>
    <w:rsid w:val="00B51651"/>
    <w:rsid w:val="00B51697"/>
    <w:rsid w:val="00B5175D"/>
    <w:rsid w:val="00B5176B"/>
    <w:rsid w:val="00B518B1"/>
    <w:rsid w:val="00B51BE6"/>
    <w:rsid w:val="00B51D64"/>
    <w:rsid w:val="00B51FDB"/>
    <w:rsid w:val="00B523BB"/>
    <w:rsid w:val="00B52429"/>
    <w:rsid w:val="00B525AB"/>
    <w:rsid w:val="00B52DAE"/>
    <w:rsid w:val="00B52DF4"/>
    <w:rsid w:val="00B52E58"/>
    <w:rsid w:val="00B52FE8"/>
    <w:rsid w:val="00B53210"/>
    <w:rsid w:val="00B53414"/>
    <w:rsid w:val="00B53485"/>
    <w:rsid w:val="00B535CC"/>
    <w:rsid w:val="00B536E3"/>
    <w:rsid w:val="00B53A40"/>
    <w:rsid w:val="00B53AB9"/>
    <w:rsid w:val="00B53BFF"/>
    <w:rsid w:val="00B53E15"/>
    <w:rsid w:val="00B54076"/>
    <w:rsid w:val="00B547F6"/>
    <w:rsid w:val="00B54886"/>
    <w:rsid w:val="00B54A9F"/>
    <w:rsid w:val="00B5512E"/>
    <w:rsid w:val="00B551D9"/>
    <w:rsid w:val="00B55647"/>
    <w:rsid w:val="00B55823"/>
    <w:rsid w:val="00B55B05"/>
    <w:rsid w:val="00B55C17"/>
    <w:rsid w:val="00B55CE0"/>
    <w:rsid w:val="00B561D3"/>
    <w:rsid w:val="00B562AC"/>
    <w:rsid w:val="00B56472"/>
    <w:rsid w:val="00B566D1"/>
    <w:rsid w:val="00B5685C"/>
    <w:rsid w:val="00B57069"/>
    <w:rsid w:val="00B5706E"/>
    <w:rsid w:val="00B57264"/>
    <w:rsid w:val="00B57400"/>
    <w:rsid w:val="00B5740E"/>
    <w:rsid w:val="00B57499"/>
    <w:rsid w:val="00B57572"/>
    <w:rsid w:val="00B57856"/>
    <w:rsid w:val="00B57C1B"/>
    <w:rsid w:val="00B57C75"/>
    <w:rsid w:val="00B57EFA"/>
    <w:rsid w:val="00B60065"/>
    <w:rsid w:val="00B601AB"/>
    <w:rsid w:val="00B602F8"/>
    <w:rsid w:val="00B605E9"/>
    <w:rsid w:val="00B606A6"/>
    <w:rsid w:val="00B609DD"/>
    <w:rsid w:val="00B60ABD"/>
    <w:rsid w:val="00B60C49"/>
    <w:rsid w:val="00B60CB6"/>
    <w:rsid w:val="00B60F7B"/>
    <w:rsid w:val="00B61392"/>
    <w:rsid w:val="00B6140F"/>
    <w:rsid w:val="00B618EB"/>
    <w:rsid w:val="00B61983"/>
    <w:rsid w:val="00B61C5D"/>
    <w:rsid w:val="00B62648"/>
    <w:rsid w:val="00B62DBB"/>
    <w:rsid w:val="00B62DCF"/>
    <w:rsid w:val="00B62F87"/>
    <w:rsid w:val="00B6331A"/>
    <w:rsid w:val="00B63709"/>
    <w:rsid w:val="00B63B5C"/>
    <w:rsid w:val="00B63C05"/>
    <w:rsid w:val="00B63D58"/>
    <w:rsid w:val="00B63E3E"/>
    <w:rsid w:val="00B64204"/>
    <w:rsid w:val="00B64386"/>
    <w:rsid w:val="00B644F9"/>
    <w:rsid w:val="00B64605"/>
    <w:rsid w:val="00B64C47"/>
    <w:rsid w:val="00B64D83"/>
    <w:rsid w:val="00B6515B"/>
    <w:rsid w:val="00B654A5"/>
    <w:rsid w:val="00B654FB"/>
    <w:rsid w:val="00B655A0"/>
    <w:rsid w:val="00B65B4B"/>
    <w:rsid w:val="00B65E64"/>
    <w:rsid w:val="00B66341"/>
    <w:rsid w:val="00B66573"/>
    <w:rsid w:val="00B66646"/>
    <w:rsid w:val="00B6672E"/>
    <w:rsid w:val="00B668AF"/>
    <w:rsid w:val="00B66A77"/>
    <w:rsid w:val="00B66B87"/>
    <w:rsid w:val="00B672EF"/>
    <w:rsid w:val="00B677E5"/>
    <w:rsid w:val="00B709E4"/>
    <w:rsid w:val="00B70A90"/>
    <w:rsid w:val="00B70C11"/>
    <w:rsid w:val="00B70CE9"/>
    <w:rsid w:val="00B70E3F"/>
    <w:rsid w:val="00B70F8C"/>
    <w:rsid w:val="00B71012"/>
    <w:rsid w:val="00B71015"/>
    <w:rsid w:val="00B71346"/>
    <w:rsid w:val="00B71361"/>
    <w:rsid w:val="00B717B5"/>
    <w:rsid w:val="00B718CC"/>
    <w:rsid w:val="00B71A0C"/>
    <w:rsid w:val="00B71D1B"/>
    <w:rsid w:val="00B71E96"/>
    <w:rsid w:val="00B72018"/>
    <w:rsid w:val="00B7206F"/>
    <w:rsid w:val="00B72697"/>
    <w:rsid w:val="00B729EC"/>
    <w:rsid w:val="00B72B9E"/>
    <w:rsid w:val="00B72E2A"/>
    <w:rsid w:val="00B72E60"/>
    <w:rsid w:val="00B7312D"/>
    <w:rsid w:val="00B7358B"/>
    <w:rsid w:val="00B73641"/>
    <w:rsid w:val="00B736C1"/>
    <w:rsid w:val="00B73759"/>
    <w:rsid w:val="00B73883"/>
    <w:rsid w:val="00B73A81"/>
    <w:rsid w:val="00B73F2E"/>
    <w:rsid w:val="00B73F57"/>
    <w:rsid w:val="00B7442E"/>
    <w:rsid w:val="00B744CA"/>
    <w:rsid w:val="00B74B95"/>
    <w:rsid w:val="00B74C75"/>
    <w:rsid w:val="00B74DBA"/>
    <w:rsid w:val="00B74E13"/>
    <w:rsid w:val="00B74F9D"/>
    <w:rsid w:val="00B751E4"/>
    <w:rsid w:val="00B7527D"/>
    <w:rsid w:val="00B755B4"/>
    <w:rsid w:val="00B75636"/>
    <w:rsid w:val="00B75AC5"/>
    <w:rsid w:val="00B75B59"/>
    <w:rsid w:val="00B75F18"/>
    <w:rsid w:val="00B75F23"/>
    <w:rsid w:val="00B76469"/>
    <w:rsid w:val="00B76512"/>
    <w:rsid w:val="00B76C4E"/>
    <w:rsid w:val="00B76CD5"/>
    <w:rsid w:val="00B7739F"/>
    <w:rsid w:val="00B77576"/>
    <w:rsid w:val="00B77810"/>
    <w:rsid w:val="00B803AE"/>
    <w:rsid w:val="00B805BA"/>
    <w:rsid w:val="00B8061E"/>
    <w:rsid w:val="00B806CC"/>
    <w:rsid w:val="00B8082A"/>
    <w:rsid w:val="00B80A93"/>
    <w:rsid w:val="00B81008"/>
    <w:rsid w:val="00B81260"/>
    <w:rsid w:val="00B81F66"/>
    <w:rsid w:val="00B8204F"/>
    <w:rsid w:val="00B8221E"/>
    <w:rsid w:val="00B822CA"/>
    <w:rsid w:val="00B823D0"/>
    <w:rsid w:val="00B824EF"/>
    <w:rsid w:val="00B82E62"/>
    <w:rsid w:val="00B82EA5"/>
    <w:rsid w:val="00B83001"/>
    <w:rsid w:val="00B830BA"/>
    <w:rsid w:val="00B83464"/>
    <w:rsid w:val="00B834C3"/>
    <w:rsid w:val="00B835A3"/>
    <w:rsid w:val="00B83687"/>
    <w:rsid w:val="00B837D3"/>
    <w:rsid w:val="00B8408D"/>
    <w:rsid w:val="00B842B2"/>
    <w:rsid w:val="00B843D8"/>
    <w:rsid w:val="00B848F9"/>
    <w:rsid w:val="00B84AB9"/>
    <w:rsid w:val="00B85400"/>
    <w:rsid w:val="00B85405"/>
    <w:rsid w:val="00B85505"/>
    <w:rsid w:val="00B8554A"/>
    <w:rsid w:val="00B8564D"/>
    <w:rsid w:val="00B85923"/>
    <w:rsid w:val="00B85B83"/>
    <w:rsid w:val="00B85FB3"/>
    <w:rsid w:val="00B866C2"/>
    <w:rsid w:val="00B86A25"/>
    <w:rsid w:val="00B86B64"/>
    <w:rsid w:val="00B86BAB"/>
    <w:rsid w:val="00B86DEE"/>
    <w:rsid w:val="00B86F91"/>
    <w:rsid w:val="00B877BE"/>
    <w:rsid w:val="00B87853"/>
    <w:rsid w:val="00B87BB2"/>
    <w:rsid w:val="00B87CC4"/>
    <w:rsid w:val="00B90136"/>
    <w:rsid w:val="00B90502"/>
    <w:rsid w:val="00B90724"/>
    <w:rsid w:val="00B90C12"/>
    <w:rsid w:val="00B90E58"/>
    <w:rsid w:val="00B9101A"/>
    <w:rsid w:val="00B91097"/>
    <w:rsid w:val="00B91262"/>
    <w:rsid w:val="00B9126D"/>
    <w:rsid w:val="00B91383"/>
    <w:rsid w:val="00B91425"/>
    <w:rsid w:val="00B915DC"/>
    <w:rsid w:val="00B91707"/>
    <w:rsid w:val="00B917EE"/>
    <w:rsid w:val="00B91A54"/>
    <w:rsid w:val="00B91A91"/>
    <w:rsid w:val="00B91ABA"/>
    <w:rsid w:val="00B91C4C"/>
    <w:rsid w:val="00B91F23"/>
    <w:rsid w:val="00B920D2"/>
    <w:rsid w:val="00B92751"/>
    <w:rsid w:val="00B92E59"/>
    <w:rsid w:val="00B92F23"/>
    <w:rsid w:val="00B930D9"/>
    <w:rsid w:val="00B93467"/>
    <w:rsid w:val="00B939F4"/>
    <w:rsid w:val="00B93C59"/>
    <w:rsid w:val="00B93E18"/>
    <w:rsid w:val="00B9408E"/>
    <w:rsid w:val="00B940DD"/>
    <w:rsid w:val="00B943AD"/>
    <w:rsid w:val="00B944AA"/>
    <w:rsid w:val="00B9452B"/>
    <w:rsid w:val="00B94C85"/>
    <w:rsid w:val="00B94DE0"/>
    <w:rsid w:val="00B95321"/>
    <w:rsid w:val="00B95527"/>
    <w:rsid w:val="00B956CE"/>
    <w:rsid w:val="00B9596D"/>
    <w:rsid w:val="00B959C7"/>
    <w:rsid w:val="00B95EC9"/>
    <w:rsid w:val="00B95EDC"/>
    <w:rsid w:val="00B962D1"/>
    <w:rsid w:val="00B969DF"/>
    <w:rsid w:val="00B96F40"/>
    <w:rsid w:val="00B9717E"/>
    <w:rsid w:val="00B973B7"/>
    <w:rsid w:val="00B97497"/>
    <w:rsid w:val="00B97AB2"/>
    <w:rsid w:val="00B97CFF"/>
    <w:rsid w:val="00B97D15"/>
    <w:rsid w:val="00BA0055"/>
    <w:rsid w:val="00BA00DC"/>
    <w:rsid w:val="00BA0107"/>
    <w:rsid w:val="00BA01F3"/>
    <w:rsid w:val="00BA0552"/>
    <w:rsid w:val="00BA0CE3"/>
    <w:rsid w:val="00BA0D97"/>
    <w:rsid w:val="00BA0EF4"/>
    <w:rsid w:val="00BA0F65"/>
    <w:rsid w:val="00BA13BA"/>
    <w:rsid w:val="00BA16AF"/>
    <w:rsid w:val="00BA1879"/>
    <w:rsid w:val="00BA1C00"/>
    <w:rsid w:val="00BA1D2A"/>
    <w:rsid w:val="00BA1D8C"/>
    <w:rsid w:val="00BA1DEC"/>
    <w:rsid w:val="00BA24C2"/>
    <w:rsid w:val="00BA274F"/>
    <w:rsid w:val="00BA2B90"/>
    <w:rsid w:val="00BA2BC1"/>
    <w:rsid w:val="00BA2BF0"/>
    <w:rsid w:val="00BA2F2D"/>
    <w:rsid w:val="00BA2F41"/>
    <w:rsid w:val="00BA3107"/>
    <w:rsid w:val="00BA36F9"/>
    <w:rsid w:val="00BA3BB8"/>
    <w:rsid w:val="00BA3BE3"/>
    <w:rsid w:val="00BA3C73"/>
    <w:rsid w:val="00BA3CDE"/>
    <w:rsid w:val="00BA3DA5"/>
    <w:rsid w:val="00BA3F15"/>
    <w:rsid w:val="00BA41A2"/>
    <w:rsid w:val="00BA41C1"/>
    <w:rsid w:val="00BA4611"/>
    <w:rsid w:val="00BA464A"/>
    <w:rsid w:val="00BA4735"/>
    <w:rsid w:val="00BA482B"/>
    <w:rsid w:val="00BA484B"/>
    <w:rsid w:val="00BA4896"/>
    <w:rsid w:val="00BA4AF5"/>
    <w:rsid w:val="00BA4FA1"/>
    <w:rsid w:val="00BA53E9"/>
    <w:rsid w:val="00BA53F4"/>
    <w:rsid w:val="00BA576A"/>
    <w:rsid w:val="00BA5E79"/>
    <w:rsid w:val="00BA5F80"/>
    <w:rsid w:val="00BA600C"/>
    <w:rsid w:val="00BA6052"/>
    <w:rsid w:val="00BA60FB"/>
    <w:rsid w:val="00BA617D"/>
    <w:rsid w:val="00BA62EF"/>
    <w:rsid w:val="00BA6831"/>
    <w:rsid w:val="00BA6A10"/>
    <w:rsid w:val="00BA6BC6"/>
    <w:rsid w:val="00BA6C47"/>
    <w:rsid w:val="00BA6E6B"/>
    <w:rsid w:val="00BA7272"/>
    <w:rsid w:val="00BA73D5"/>
    <w:rsid w:val="00BA7AF4"/>
    <w:rsid w:val="00BA7BAC"/>
    <w:rsid w:val="00BA7E9C"/>
    <w:rsid w:val="00BB0355"/>
    <w:rsid w:val="00BB03AD"/>
    <w:rsid w:val="00BB05EC"/>
    <w:rsid w:val="00BB0723"/>
    <w:rsid w:val="00BB0B31"/>
    <w:rsid w:val="00BB0C41"/>
    <w:rsid w:val="00BB0EC9"/>
    <w:rsid w:val="00BB0F6C"/>
    <w:rsid w:val="00BB107A"/>
    <w:rsid w:val="00BB15C5"/>
    <w:rsid w:val="00BB1886"/>
    <w:rsid w:val="00BB18FD"/>
    <w:rsid w:val="00BB1A30"/>
    <w:rsid w:val="00BB1B21"/>
    <w:rsid w:val="00BB1C03"/>
    <w:rsid w:val="00BB27FB"/>
    <w:rsid w:val="00BB2823"/>
    <w:rsid w:val="00BB2824"/>
    <w:rsid w:val="00BB2A32"/>
    <w:rsid w:val="00BB2CCF"/>
    <w:rsid w:val="00BB3176"/>
    <w:rsid w:val="00BB34B5"/>
    <w:rsid w:val="00BB35EC"/>
    <w:rsid w:val="00BB39BB"/>
    <w:rsid w:val="00BB3C5E"/>
    <w:rsid w:val="00BB41B1"/>
    <w:rsid w:val="00BB42BA"/>
    <w:rsid w:val="00BB43DC"/>
    <w:rsid w:val="00BB50EB"/>
    <w:rsid w:val="00BB52D7"/>
    <w:rsid w:val="00BB54B4"/>
    <w:rsid w:val="00BB59A9"/>
    <w:rsid w:val="00BB59FB"/>
    <w:rsid w:val="00BB5B07"/>
    <w:rsid w:val="00BB5B2A"/>
    <w:rsid w:val="00BB5D4C"/>
    <w:rsid w:val="00BB610A"/>
    <w:rsid w:val="00BB6350"/>
    <w:rsid w:val="00BB66C2"/>
    <w:rsid w:val="00BB6719"/>
    <w:rsid w:val="00BB67BB"/>
    <w:rsid w:val="00BB6AC2"/>
    <w:rsid w:val="00BB6D3B"/>
    <w:rsid w:val="00BB7197"/>
    <w:rsid w:val="00BB71B0"/>
    <w:rsid w:val="00BB71F4"/>
    <w:rsid w:val="00BB74A8"/>
    <w:rsid w:val="00BB7A0D"/>
    <w:rsid w:val="00BB7B11"/>
    <w:rsid w:val="00BB7B8A"/>
    <w:rsid w:val="00BB7BA0"/>
    <w:rsid w:val="00BB7E38"/>
    <w:rsid w:val="00BC0360"/>
    <w:rsid w:val="00BC07D1"/>
    <w:rsid w:val="00BC0896"/>
    <w:rsid w:val="00BC0921"/>
    <w:rsid w:val="00BC094C"/>
    <w:rsid w:val="00BC0B66"/>
    <w:rsid w:val="00BC0C70"/>
    <w:rsid w:val="00BC0E59"/>
    <w:rsid w:val="00BC10C0"/>
    <w:rsid w:val="00BC1961"/>
    <w:rsid w:val="00BC1968"/>
    <w:rsid w:val="00BC1BF9"/>
    <w:rsid w:val="00BC281F"/>
    <w:rsid w:val="00BC2C36"/>
    <w:rsid w:val="00BC2DD3"/>
    <w:rsid w:val="00BC3739"/>
    <w:rsid w:val="00BC3765"/>
    <w:rsid w:val="00BC3ACC"/>
    <w:rsid w:val="00BC3FE7"/>
    <w:rsid w:val="00BC41BA"/>
    <w:rsid w:val="00BC44D2"/>
    <w:rsid w:val="00BC4899"/>
    <w:rsid w:val="00BC4C15"/>
    <w:rsid w:val="00BC4CA8"/>
    <w:rsid w:val="00BC5239"/>
    <w:rsid w:val="00BC54D1"/>
    <w:rsid w:val="00BC5834"/>
    <w:rsid w:val="00BC59FD"/>
    <w:rsid w:val="00BC5AE3"/>
    <w:rsid w:val="00BC5D81"/>
    <w:rsid w:val="00BC68FA"/>
    <w:rsid w:val="00BC6AF1"/>
    <w:rsid w:val="00BC7545"/>
    <w:rsid w:val="00BC7592"/>
    <w:rsid w:val="00BC7688"/>
    <w:rsid w:val="00BC7691"/>
    <w:rsid w:val="00BC7E8D"/>
    <w:rsid w:val="00BC7FE0"/>
    <w:rsid w:val="00BD07CF"/>
    <w:rsid w:val="00BD0A44"/>
    <w:rsid w:val="00BD0A6C"/>
    <w:rsid w:val="00BD0D3E"/>
    <w:rsid w:val="00BD0EFF"/>
    <w:rsid w:val="00BD0F34"/>
    <w:rsid w:val="00BD1090"/>
    <w:rsid w:val="00BD10D9"/>
    <w:rsid w:val="00BD11C8"/>
    <w:rsid w:val="00BD170A"/>
    <w:rsid w:val="00BD17F8"/>
    <w:rsid w:val="00BD1AC6"/>
    <w:rsid w:val="00BD1E0C"/>
    <w:rsid w:val="00BD1ED8"/>
    <w:rsid w:val="00BD1EEB"/>
    <w:rsid w:val="00BD2556"/>
    <w:rsid w:val="00BD27F3"/>
    <w:rsid w:val="00BD2AAA"/>
    <w:rsid w:val="00BD2BDB"/>
    <w:rsid w:val="00BD2D6D"/>
    <w:rsid w:val="00BD2F77"/>
    <w:rsid w:val="00BD3274"/>
    <w:rsid w:val="00BD3345"/>
    <w:rsid w:val="00BD34BC"/>
    <w:rsid w:val="00BD3B66"/>
    <w:rsid w:val="00BD3FEC"/>
    <w:rsid w:val="00BD40ED"/>
    <w:rsid w:val="00BD422C"/>
    <w:rsid w:val="00BD4557"/>
    <w:rsid w:val="00BD4969"/>
    <w:rsid w:val="00BD4A78"/>
    <w:rsid w:val="00BD4D72"/>
    <w:rsid w:val="00BD520C"/>
    <w:rsid w:val="00BD5436"/>
    <w:rsid w:val="00BD56DF"/>
    <w:rsid w:val="00BD57D5"/>
    <w:rsid w:val="00BD5903"/>
    <w:rsid w:val="00BD590A"/>
    <w:rsid w:val="00BD5E33"/>
    <w:rsid w:val="00BD60CB"/>
    <w:rsid w:val="00BD66EC"/>
    <w:rsid w:val="00BD673A"/>
    <w:rsid w:val="00BD6876"/>
    <w:rsid w:val="00BD6A2E"/>
    <w:rsid w:val="00BD6A6A"/>
    <w:rsid w:val="00BD6CFC"/>
    <w:rsid w:val="00BD717B"/>
    <w:rsid w:val="00BD71AB"/>
    <w:rsid w:val="00BD7311"/>
    <w:rsid w:val="00BD73C6"/>
    <w:rsid w:val="00BD7545"/>
    <w:rsid w:val="00BD76C4"/>
    <w:rsid w:val="00BD7E03"/>
    <w:rsid w:val="00BD7E8F"/>
    <w:rsid w:val="00BE02CA"/>
    <w:rsid w:val="00BE08ED"/>
    <w:rsid w:val="00BE09D9"/>
    <w:rsid w:val="00BE0D69"/>
    <w:rsid w:val="00BE13B0"/>
    <w:rsid w:val="00BE13F9"/>
    <w:rsid w:val="00BE15D9"/>
    <w:rsid w:val="00BE16E4"/>
    <w:rsid w:val="00BE1935"/>
    <w:rsid w:val="00BE198F"/>
    <w:rsid w:val="00BE1D6C"/>
    <w:rsid w:val="00BE2167"/>
    <w:rsid w:val="00BE21CD"/>
    <w:rsid w:val="00BE225C"/>
    <w:rsid w:val="00BE26A5"/>
    <w:rsid w:val="00BE2714"/>
    <w:rsid w:val="00BE272A"/>
    <w:rsid w:val="00BE284E"/>
    <w:rsid w:val="00BE2C4D"/>
    <w:rsid w:val="00BE313B"/>
    <w:rsid w:val="00BE341F"/>
    <w:rsid w:val="00BE3503"/>
    <w:rsid w:val="00BE3585"/>
    <w:rsid w:val="00BE3591"/>
    <w:rsid w:val="00BE35DA"/>
    <w:rsid w:val="00BE36D8"/>
    <w:rsid w:val="00BE3C3A"/>
    <w:rsid w:val="00BE3CC9"/>
    <w:rsid w:val="00BE3D15"/>
    <w:rsid w:val="00BE3DD0"/>
    <w:rsid w:val="00BE3E93"/>
    <w:rsid w:val="00BE4031"/>
    <w:rsid w:val="00BE40CB"/>
    <w:rsid w:val="00BE44BF"/>
    <w:rsid w:val="00BE451A"/>
    <w:rsid w:val="00BE4566"/>
    <w:rsid w:val="00BE4728"/>
    <w:rsid w:val="00BE4BF6"/>
    <w:rsid w:val="00BE4D38"/>
    <w:rsid w:val="00BE4DE2"/>
    <w:rsid w:val="00BE5234"/>
    <w:rsid w:val="00BE54F0"/>
    <w:rsid w:val="00BE563F"/>
    <w:rsid w:val="00BE5A1A"/>
    <w:rsid w:val="00BE5AAB"/>
    <w:rsid w:val="00BE5C30"/>
    <w:rsid w:val="00BE5CCB"/>
    <w:rsid w:val="00BE60B5"/>
    <w:rsid w:val="00BE635E"/>
    <w:rsid w:val="00BE66D6"/>
    <w:rsid w:val="00BE68FE"/>
    <w:rsid w:val="00BE6FC3"/>
    <w:rsid w:val="00BE71EF"/>
    <w:rsid w:val="00BE73D5"/>
    <w:rsid w:val="00BE741C"/>
    <w:rsid w:val="00BE755F"/>
    <w:rsid w:val="00BE7604"/>
    <w:rsid w:val="00BE787D"/>
    <w:rsid w:val="00BE79CC"/>
    <w:rsid w:val="00BE7F69"/>
    <w:rsid w:val="00BF0197"/>
    <w:rsid w:val="00BF021F"/>
    <w:rsid w:val="00BF03F2"/>
    <w:rsid w:val="00BF08B5"/>
    <w:rsid w:val="00BF0903"/>
    <w:rsid w:val="00BF0DF4"/>
    <w:rsid w:val="00BF0FAB"/>
    <w:rsid w:val="00BF11A1"/>
    <w:rsid w:val="00BF1265"/>
    <w:rsid w:val="00BF132E"/>
    <w:rsid w:val="00BF1466"/>
    <w:rsid w:val="00BF149B"/>
    <w:rsid w:val="00BF1604"/>
    <w:rsid w:val="00BF1936"/>
    <w:rsid w:val="00BF216F"/>
    <w:rsid w:val="00BF2CA5"/>
    <w:rsid w:val="00BF30E3"/>
    <w:rsid w:val="00BF32A6"/>
    <w:rsid w:val="00BF3354"/>
    <w:rsid w:val="00BF36DD"/>
    <w:rsid w:val="00BF3957"/>
    <w:rsid w:val="00BF3AF8"/>
    <w:rsid w:val="00BF3B38"/>
    <w:rsid w:val="00BF3B5E"/>
    <w:rsid w:val="00BF3F03"/>
    <w:rsid w:val="00BF4096"/>
    <w:rsid w:val="00BF4B8E"/>
    <w:rsid w:val="00BF4C63"/>
    <w:rsid w:val="00BF4CFF"/>
    <w:rsid w:val="00BF4F9D"/>
    <w:rsid w:val="00BF576B"/>
    <w:rsid w:val="00BF5D52"/>
    <w:rsid w:val="00BF5EA2"/>
    <w:rsid w:val="00BF5F25"/>
    <w:rsid w:val="00BF6011"/>
    <w:rsid w:val="00BF60D5"/>
    <w:rsid w:val="00BF61BB"/>
    <w:rsid w:val="00BF622F"/>
    <w:rsid w:val="00BF630A"/>
    <w:rsid w:val="00BF64E0"/>
    <w:rsid w:val="00BF6555"/>
    <w:rsid w:val="00BF6FEF"/>
    <w:rsid w:val="00BF6FFA"/>
    <w:rsid w:val="00BF7665"/>
    <w:rsid w:val="00BF7840"/>
    <w:rsid w:val="00BF7A63"/>
    <w:rsid w:val="00BF7E1B"/>
    <w:rsid w:val="00C00288"/>
    <w:rsid w:val="00C0038C"/>
    <w:rsid w:val="00C006C6"/>
    <w:rsid w:val="00C008FA"/>
    <w:rsid w:val="00C0094C"/>
    <w:rsid w:val="00C00B44"/>
    <w:rsid w:val="00C00C18"/>
    <w:rsid w:val="00C00E2A"/>
    <w:rsid w:val="00C01009"/>
    <w:rsid w:val="00C010EF"/>
    <w:rsid w:val="00C0140F"/>
    <w:rsid w:val="00C01423"/>
    <w:rsid w:val="00C014B1"/>
    <w:rsid w:val="00C01549"/>
    <w:rsid w:val="00C018D3"/>
    <w:rsid w:val="00C01A37"/>
    <w:rsid w:val="00C01A80"/>
    <w:rsid w:val="00C01AE7"/>
    <w:rsid w:val="00C01ECE"/>
    <w:rsid w:val="00C020EC"/>
    <w:rsid w:val="00C022E5"/>
    <w:rsid w:val="00C02394"/>
    <w:rsid w:val="00C027D9"/>
    <w:rsid w:val="00C028A9"/>
    <w:rsid w:val="00C02C5D"/>
    <w:rsid w:val="00C02E05"/>
    <w:rsid w:val="00C02E0E"/>
    <w:rsid w:val="00C02E6E"/>
    <w:rsid w:val="00C0335A"/>
    <w:rsid w:val="00C03503"/>
    <w:rsid w:val="00C0376E"/>
    <w:rsid w:val="00C037EF"/>
    <w:rsid w:val="00C038A8"/>
    <w:rsid w:val="00C03914"/>
    <w:rsid w:val="00C03943"/>
    <w:rsid w:val="00C03A71"/>
    <w:rsid w:val="00C03B48"/>
    <w:rsid w:val="00C03CF1"/>
    <w:rsid w:val="00C03DE9"/>
    <w:rsid w:val="00C03FAB"/>
    <w:rsid w:val="00C040A8"/>
    <w:rsid w:val="00C04107"/>
    <w:rsid w:val="00C044C1"/>
    <w:rsid w:val="00C04611"/>
    <w:rsid w:val="00C04A33"/>
    <w:rsid w:val="00C04A58"/>
    <w:rsid w:val="00C04C7D"/>
    <w:rsid w:val="00C05201"/>
    <w:rsid w:val="00C0534A"/>
    <w:rsid w:val="00C0544F"/>
    <w:rsid w:val="00C054F2"/>
    <w:rsid w:val="00C05D32"/>
    <w:rsid w:val="00C060E9"/>
    <w:rsid w:val="00C06376"/>
    <w:rsid w:val="00C065FA"/>
    <w:rsid w:val="00C066F7"/>
    <w:rsid w:val="00C06808"/>
    <w:rsid w:val="00C0687C"/>
    <w:rsid w:val="00C069AC"/>
    <w:rsid w:val="00C06B58"/>
    <w:rsid w:val="00C06B76"/>
    <w:rsid w:val="00C06D90"/>
    <w:rsid w:val="00C06FC3"/>
    <w:rsid w:val="00C0705D"/>
    <w:rsid w:val="00C07464"/>
    <w:rsid w:val="00C07896"/>
    <w:rsid w:val="00C07AAD"/>
    <w:rsid w:val="00C07B38"/>
    <w:rsid w:val="00C07B4B"/>
    <w:rsid w:val="00C1006E"/>
    <w:rsid w:val="00C10127"/>
    <w:rsid w:val="00C1030D"/>
    <w:rsid w:val="00C1093A"/>
    <w:rsid w:val="00C10B68"/>
    <w:rsid w:val="00C11158"/>
    <w:rsid w:val="00C11192"/>
    <w:rsid w:val="00C11658"/>
    <w:rsid w:val="00C11680"/>
    <w:rsid w:val="00C116AE"/>
    <w:rsid w:val="00C11C3D"/>
    <w:rsid w:val="00C11FF8"/>
    <w:rsid w:val="00C1203D"/>
    <w:rsid w:val="00C12241"/>
    <w:rsid w:val="00C1226E"/>
    <w:rsid w:val="00C12566"/>
    <w:rsid w:val="00C125AE"/>
    <w:rsid w:val="00C128E0"/>
    <w:rsid w:val="00C12946"/>
    <w:rsid w:val="00C12C80"/>
    <w:rsid w:val="00C12CBB"/>
    <w:rsid w:val="00C12FDF"/>
    <w:rsid w:val="00C139F0"/>
    <w:rsid w:val="00C13C66"/>
    <w:rsid w:val="00C13E0C"/>
    <w:rsid w:val="00C13FB4"/>
    <w:rsid w:val="00C14094"/>
    <w:rsid w:val="00C146F9"/>
    <w:rsid w:val="00C14728"/>
    <w:rsid w:val="00C148D7"/>
    <w:rsid w:val="00C14CEA"/>
    <w:rsid w:val="00C14DCE"/>
    <w:rsid w:val="00C14FDC"/>
    <w:rsid w:val="00C15183"/>
    <w:rsid w:val="00C1537A"/>
    <w:rsid w:val="00C157D8"/>
    <w:rsid w:val="00C1582A"/>
    <w:rsid w:val="00C158C7"/>
    <w:rsid w:val="00C15D7E"/>
    <w:rsid w:val="00C160E7"/>
    <w:rsid w:val="00C16114"/>
    <w:rsid w:val="00C162B1"/>
    <w:rsid w:val="00C1664C"/>
    <w:rsid w:val="00C166DE"/>
    <w:rsid w:val="00C167FF"/>
    <w:rsid w:val="00C169FD"/>
    <w:rsid w:val="00C170C9"/>
    <w:rsid w:val="00C170CA"/>
    <w:rsid w:val="00C17312"/>
    <w:rsid w:val="00C1732C"/>
    <w:rsid w:val="00C1748C"/>
    <w:rsid w:val="00C17522"/>
    <w:rsid w:val="00C1759B"/>
    <w:rsid w:val="00C179A1"/>
    <w:rsid w:val="00C179B2"/>
    <w:rsid w:val="00C17B68"/>
    <w:rsid w:val="00C17BB0"/>
    <w:rsid w:val="00C17D9A"/>
    <w:rsid w:val="00C20049"/>
    <w:rsid w:val="00C201EE"/>
    <w:rsid w:val="00C2030E"/>
    <w:rsid w:val="00C20384"/>
    <w:rsid w:val="00C20743"/>
    <w:rsid w:val="00C207C0"/>
    <w:rsid w:val="00C20A29"/>
    <w:rsid w:val="00C2102E"/>
    <w:rsid w:val="00C21124"/>
    <w:rsid w:val="00C2123C"/>
    <w:rsid w:val="00C2151B"/>
    <w:rsid w:val="00C2155C"/>
    <w:rsid w:val="00C21909"/>
    <w:rsid w:val="00C21AD1"/>
    <w:rsid w:val="00C21B24"/>
    <w:rsid w:val="00C220A9"/>
    <w:rsid w:val="00C223DA"/>
    <w:rsid w:val="00C224B2"/>
    <w:rsid w:val="00C22697"/>
    <w:rsid w:val="00C22711"/>
    <w:rsid w:val="00C22742"/>
    <w:rsid w:val="00C22D34"/>
    <w:rsid w:val="00C23408"/>
    <w:rsid w:val="00C23A32"/>
    <w:rsid w:val="00C23A70"/>
    <w:rsid w:val="00C23D5C"/>
    <w:rsid w:val="00C24083"/>
    <w:rsid w:val="00C24224"/>
    <w:rsid w:val="00C2431A"/>
    <w:rsid w:val="00C24E82"/>
    <w:rsid w:val="00C25180"/>
    <w:rsid w:val="00C2528A"/>
    <w:rsid w:val="00C256B0"/>
    <w:rsid w:val="00C25E44"/>
    <w:rsid w:val="00C260D0"/>
    <w:rsid w:val="00C26624"/>
    <w:rsid w:val="00C26639"/>
    <w:rsid w:val="00C26953"/>
    <w:rsid w:val="00C269EE"/>
    <w:rsid w:val="00C26B96"/>
    <w:rsid w:val="00C26C76"/>
    <w:rsid w:val="00C26D39"/>
    <w:rsid w:val="00C26EC1"/>
    <w:rsid w:val="00C271A3"/>
    <w:rsid w:val="00C271E5"/>
    <w:rsid w:val="00C2728E"/>
    <w:rsid w:val="00C273A6"/>
    <w:rsid w:val="00C27496"/>
    <w:rsid w:val="00C275E4"/>
    <w:rsid w:val="00C27765"/>
    <w:rsid w:val="00C27968"/>
    <w:rsid w:val="00C279BF"/>
    <w:rsid w:val="00C27D1C"/>
    <w:rsid w:val="00C27DBE"/>
    <w:rsid w:val="00C27E81"/>
    <w:rsid w:val="00C30590"/>
    <w:rsid w:val="00C305E8"/>
    <w:rsid w:val="00C3071C"/>
    <w:rsid w:val="00C3080C"/>
    <w:rsid w:val="00C30818"/>
    <w:rsid w:val="00C308E4"/>
    <w:rsid w:val="00C30BF8"/>
    <w:rsid w:val="00C30DCD"/>
    <w:rsid w:val="00C30E4D"/>
    <w:rsid w:val="00C31242"/>
    <w:rsid w:val="00C31268"/>
    <w:rsid w:val="00C312AB"/>
    <w:rsid w:val="00C31BB9"/>
    <w:rsid w:val="00C31EEB"/>
    <w:rsid w:val="00C31FCC"/>
    <w:rsid w:val="00C320B0"/>
    <w:rsid w:val="00C323CF"/>
    <w:rsid w:val="00C32675"/>
    <w:rsid w:val="00C32F96"/>
    <w:rsid w:val="00C33627"/>
    <w:rsid w:val="00C33795"/>
    <w:rsid w:val="00C3386B"/>
    <w:rsid w:val="00C339C4"/>
    <w:rsid w:val="00C33F15"/>
    <w:rsid w:val="00C34144"/>
    <w:rsid w:val="00C3480E"/>
    <w:rsid w:val="00C35540"/>
    <w:rsid w:val="00C35605"/>
    <w:rsid w:val="00C35711"/>
    <w:rsid w:val="00C35952"/>
    <w:rsid w:val="00C35C68"/>
    <w:rsid w:val="00C35DF4"/>
    <w:rsid w:val="00C36448"/>
    <w:rsid w:val="00C367E0"/>
    <w:rsid w:val="00C36813"/>
    <w:rsid w:val="00C37359"/>
    <w:rsid w:val="00C377D8"/>
    <w:rsid w:val="00C37A0C"/>
    <w:rsid w:val="00C37A5D"/>
    <w:rsid w:val="00C40273"/>
    <w:rsid w:val="00C4028F"/>
    <w:rsid w:val="00C40668"/>
    <w:rsid w:val="00C40759"/>
    <w:rsid w:val="00C407E9"/>
    <w:rsid w:val="00C40B42"/>
    <w:rsid w:val="00C40D38"/>
    <w:rsid w:val="00C40FBF"/>
    <w:rsid w:val="00C41023"/>
    <w:rsid w:val="00C41124"/>
    <w:rsid w:val="00C411C1"/>
    <w:rsid w:val="00C41283"/>
    <w:rsid w:val="00C413D9"/>
    <w:rsid w:val="00C41515"/>
    <w:rsid w:val="00C4155C"/>
    <w:rsid w:val="00C4155D"/>
    <w:rsid w:val="00C4161D"/>
    <w:rsid w:val="00C41955"/>
    <w:rsid w:val="00C41A15"/>
    <w:rsid w:val="00C41AAA"/>
    <w:rsid w:val="00C423B4"/>
    <w:rsid w:val="00C4245F"/>
    <w:rsid w:val="00C42568"/>
    <w:rsid w:val="00C425B7"/>
    <w:rsid w:val="00C426EF"/>
    <w:rsid w:val="00C427A9"/>
    <w:rsid w:val="00C427B0"/>
    <w:rsid w:val="00C427D0"/>
    <w:rsid w:val="00C428EB"/>
    <w:rsid w:val="00C429BE"/>
    <w:rsid w:val="00C429F1"/>
    <w:rsid w:val="00C42CD8"/>
    <w:rsid w:val="00C42EA5"/>
    <w:rsid w:val="00C42EB1"/>
    <w:rsid w:val="00C42F5F"/>
    <w:rsid w:val="00C42F95"/>
    <w:rsid w:val="00C42FCA"/>
    <w:rsid w:val="00C4328D"/>
    <w:rsid w:val="00C43304"/>
    <w:rsid w:val="00C43A63"/>
    <w:rsid w:val="00C43B74"/>
    <w:rsid w:val="00C43C33"/>
    <w:rsid w:val="00C43D11"/>
    <w:rsid w:val="00C43D29"/>
    <w:rsid w:val="00C43DB8"/>
    <w:rsid w:val="00C43ED2"/>
    <w:rsid w:val="00C4417A"/>
    <w:rsid w:val="00C441C2"/>
    <w:rsid w:val="00C4431C"/>
    <w:rsid w:val="00C4436F"/>
    <w:rsid w:val="00C44412"/>
    <w:rsid w:val="00C44AA7"/>
    <w:rsid w:val="00C4512D"/>
    <w:rsid w:val="00C45352"/>
    <w:rsid w:val="00C45728"/>
    <w:rsid w:val="00C45C3E"/>
    <w:rsid w:val="00C45E19"/>
    <w:rsid w:val="00C45F63"/>
    <w:rsid w:val="00C464F5"/>
    <w:rsid w:val="00C466DA"/>
    <w:rsid w:val="00C46991"/>
    <w:rsid w:val="00C46A61"/>
    <w:rsid w:val="00C46AFE"/>
    <w:rsid w:val="00C46B76"/>
    <w:rsid w:val="00C46FAE"/>
    <w:rsid w:val="00C4734B"/>
    <w:rsid w:val="00C4761A"/>
    <w:rsid w:val="00C47889"/>
    <w:rsid w:val="00C479FE"/>
    <w:rsid w:val="00C47CC8"/>
    <w:rsid w:val="00C47D78"/>
    <w:rsid w:val="00C509C6"/>
    <w:rsid w:val="00C50A3E"/>
    <w:rsid w:val="00C50AD8"/>
    <w:rsid w:val="00C50B25"/>
    <w:rsid w:val="00C50B8D"/>
    <w:rsid w:val="00C50DF5"/>
    <w:rsid w:val="00C51045"/>
    <w:rsid w:val="00C5116E"/>
    <w:rsid w:val="00C51648"/>
    <w:rsid w:val="00C51733"/>
    <w:rsid w:val="00C51C25"/>
    <w:rsid w:val="00C51D5F"/>
    <w:rsid w:val="00C520F6"/>
    <w:rsid w:val="00C52558"/>
    <w:rsid w:val="00C52C23"/>
    <w:rsid w:val="00C52E50"/>
    <w:rsid w:val="00C531B7"/>
    <w:rsid w:val="00C53248"/>
    <w:rsid w:val="00C5331F"/>
    <w:rsid w:val="00C533EA"/>
    <w:rsid w:val="00C53AE8"/>
    <w:rsid w:val="00C53C45"/>
    <w:rsid w:val="00C5412F"/>
    <w:rsid w:val="00C541B7"/>
    <w:rsid w:val="00C54341"/>
    <w:rsid w:val="00C5476E"/>
    <w:rsid w:val="00C5527E"/>
    <w:rsid w:val="00C55696"/>
    <w:rsid w:val="00C557BB"/>
    <w:rsid w:val="00C55A3C"/>
    <w:rsid w:val="00C55E2C"/>
    <w:rsid w:val="00C56053"/>
    <w:rsid w:val="00C5629E"/>
    <w:rsid w:val="00C562D2"/>
    <w:rsid w:val="00C563FE"/>
    <w:rsid w:val="00C56461"/>
    <w:rsid w:val="00C564B3"/>
    <w:rsid w:val="00C564B8"/>
    <w:rsid w:val="00C56BFD"/>
    <w:rsid w:val="00C56EC7"/>
    <w:rsid w:val="00C56F77"/>
    <w:rsid w:val="00C57241"/>
    <w:rsid w:val="00C572A4"/>
    <w:rsid w:val="00C574E9"/>
    <w:rsid w:val="00C57565"/>
    <w:rsid w:val="00C57A77"/>
    <w:rsid w:val="00C57E02"/>
    <w:rsid w:val="00C57FE3"/>
    <w:rsid w:val="00C60107"/>
    <w:rsid w:val="00C6010F"/>
    <w:rsid w:val="00C603F3"/>
    <w:rsid w:val="00C6061A"/>
    <w:rsid w:val="00C6088B"/>
    <w:rsid w:val="00C608B8"/>
    <w:rsid w:val="00C6116B"/>
    <w:rsid w:val="00C6128F"/>
    <w:rsid w:val="00C612F2"/>
    <w:rsid w:val="00C61778"/>
    <w:rsid w:val="00C61790"/>
    <w:rsid w:val="00C617A2"/>
    <w:rsid w:val="00C61A77"/>
    <w:rsid w:val="00C61B3E"/>
    <w:rsid w:val="00C61D59"/>
    <w:rsid w:val="00C62163"/>
    <w:rsid w:val="00C62486"/>
    <w:rsid w:val="00C626B4"/>
    <w:rsid w:val="00C629E6"/>
    <w:rsid w:val="00C62A33"/>
    <w:rsid w:val="00C62C10"/>
    <w:rsid w:val="00C62CAC"/>
    <w:rsid w:val="00C63CB2"/>
    <w:rsid w:val="00C64021"/>
    <w:rsid w:val="00C6402B"/>
    <w:rsid w:val="00C6415B"/>
    <w:rsid w:val="00C641A9"/>
    <w:rsid w:val="00C642A6"/>
    <w:rsid w:val="00C6450A"/>
    <w:rsid w:val="00C64594"/>
    <w:rsid w:val="00C6477C"/>
    <w:rsid w:val="00C649DA"/>
    <w:rsid w:val="00C64A81"/>
    <w:rsid w:val="00C64AE4"/>
    <w:rsid w:val="00C64D8E"/>
    <w:rsid w:val="00C64F57"/>
    <w:rsid w:val="00C64F61"/>
    <w:rsid w:val="00C64F69"/>
    <w:rsid w:val="00C6512D"/>
    <w:rsid w:val="00C6547B"/>
    <w:rsid w:val="00C6558A"/>
    <w:rsid w:val="00C65A0A"/>
    <w:rsid w:val="00C65D1C"/>
    <w:rsid w:val="00C66013"/>
    <w:rsid w:val="00C66507"/>
    <w:rsid w:val="00C665EC"/>
    <w:rsid w:val="00C66665"/>
    <w:rsid w:val="00C66707"/>
    <w:rsid w:val="00C6685C"/>
    <w:rsid w:val="00C66E95"/>
    <w:rsid w:val="00C66F87"/>
    <w:rsid w:val="00C6700D"/>
    <w:rsid w:val="00C6716D"/>
    <w:rsid w:val="00C672A7"/>
    <w:rsid w:val="00C67494"/>
    <w:rsid w:val="00C67671"/>
    <w:rsid w:val="00C679E5"/>
    <w:rsid w:val="00C701C6"/>
    <w:rsid w:val="00C7055D"/>
    <w:rsid w:val="00C70927"/>
    <w:rsid w:val="00C70A99"/>
    <w:rsid w:val="00C70B54"/>
    <w:rsid w:val="00C70B79"/>
    <w:rsid w:val="00C70C14"/>
    <w:rsid w:val="00C70D57"/>
    <w:rsid w:val="00C70F5E"/>
    <w:rsid w:val="00C710BA"/>
    <w:rsid w:val="00C712F6"/>
    <w:rsid w:val="00C7135B"/>
    <w:rsid w:val="00C714F3"/>
    <w:rsid w:val="00C715AC"/>
    <w:rsid w:val="00C715CC"/>
    <w:rsid w:val="00C71642"/>
    <w:rsid w:val="00C71667"/>
    <w:rsid w:val="00C71ACD"/>
    <w:rsid w:val="00C71F70"/>
    <w:rsid w:val="00C72137"/>
    <w:rsid w:val="00C72460"/>
    <w:rsid w:val="00C7256E"/>
    <w:rsid w:val="00C72A0E"/>
    <w:rsid w:val="00C72D7B"/>
    <w:rsid w:val="00C72DA3"/>
    <w:rsid w:val="00C730D6"/>
    <w:rsid w:val="00C732CF"/>
    <w:rsid w:val="00C732DE"/>
    <w:rsid w:val="00C736B5"/>
    <w:rsid w:val="00C737E0"/>
    <w:rsid w:val="00C73895"/>
    <w:rsid w:val="00C73EA5"/>
    <w:rsid w:val="00C73FF9"/>
    <w:rsid w:val="00C7412D"/>
    <w:rsid w:val="00C7419C"/>
    <w:rsid w:val="00C743BE"/>
    <w:rsid w:val="00C745DD"/>
    <w:rsid w:val="00C74641"/>
    <w:rsid w:val="00C746D2"/>
    <w:rsid w:val="00C74707"/>
    <w:rsid w:val="00C748E2"/>
    <w:rsid w:val="00C74D08"/>
    <w:rsid w:val="00C75178"/>
    <w:rsid w:val="00C751B8"/>
    <w:rsid w:val="00C752F4"/>
    <w:rsid w:val="00C75456"/>
    <w:rsid w:val="00C755E3"/>
    <w:rsid w:val="00C757CE"/>
    <w:rsid w:val="00C757F7"/>
    <w:rsid w:val="00C75C68"/>
    <w:rsid w:val="00C75E9A"/>
    <w:rsid w:val="00C75EF9"/>
    <w:rsid w:val="00C7629D"/>
    <w:rsid w:val="00C762A2"/>
    <w:rsid w:val="00C763E6"/>
    <w:rsid w:val="00C76447"/>
    <w:rsid w:val="00C76523"/>
    <w:rsid w:val="00C76B3D"/>
    <w:rsid w:val="00C76BA5"/>
    <w:rsid w:val="00C77024"/>
    <w:rsid w:val="00C77118"/>
    <w:rsid w:val="00C773C2"/>
    <w:rsid w:val="00C774BC"/>
    <w:rsid w:val="00C774CF"/>
    <w:rsid w:val="00C775DF"/>
    <w:rsid w:val="00C77757"/>
    <w:rsid w:val="00C77995"/>
    <w:rsid w:val="00C77CE1"/>
    <w:rsid w:val="00C8013E"/>
    <w:rsid w:val="00C801D7"/>
    <w:rsid w:val="00C804F2"/>
    <w:rsid w:val="00C8061A"/>
    <w:rsid w:val="00C807BC"/>
    <w:rsid w:val="00C8087C"/>
    <w:rsid w:val="00C808BA"/>
    <w:rsid w:val="00C80DA3"/>
    <w:rsid w:val="00C812DA"/>
    <w:rsid w:val="00C81321"/>
    <w:rsid w:val="00C816C1"/>
    <w:rsid w:val="00C81748"/>
    <w:rsid w:val="00C818B0"/>
    <w:rsid w:val="00C8190C"/>
    <w:rsid w:val="00C81F47"/>
    <w:rsid w:val="00C81F53"/>
    <w:rsid w:val="00C8228F"/>
    <w:rsid w:val="00C82401"/>
    <w:rsid w:val="00C82638"/>
    <w:rsid w:val="00C82647"/>
    <w:rsid w:val="00C82D41"/>
    <w:rsid w:val="00C831E0"/>
    <w:rsid w:val="00C832EF"/>
    <w:rsid w:val="00C83463"/>
    <w:rsid w:val="00C8364F"/>
    <w:rsid w:val="00C84112"/>
    <w:rsid w:val="00C84A89"/>
    <w:rsid w:val="00C84AC8"/>
    <w:rsid w:val="00C8524D"/>
    <w:rsid w:val="00C852A3"/>
    <w:rsid w:val="00C8573D"/>
    <w:rsid w:val="00C858A9"/>
    <w:rsid w:val="00C85947"/>
    <w:rsid w:val="00C86344"/>
    <w:rsid w:val="00C8661D"/>
    <w:rsid w:val="00C868E5"/>
    <w:rsid w:val="00C86A88"/>
    <w:rsid w:val="00C86C07"/>
    <w:rsid w:val="00C8745C"/>
    <w:rsid w:val="00C87AC8"/>
    <w:rsid w:val="00C87B29"/>
    <w:rsid w:val="00C87F16"/>
    <w:rsid w:val="00C90045"/>
    <w:rsid w:val="00C90687"/>
    <w:rsid w:val="00C906B9"/>
    <w:rsid w:val="00C90716"/>
    <w:rsid w:val="00C90873"/>
    <w:rsid w:val="00C90BD8"/>
    <w:rsid w:val="00C90DDA"/>
    <w:rsid w:val="00C90FBF"/>
    <w:rsid w:val="00C9135E"/>
    <w:rsid w:val="00C9149E"/>
    <w:rsid w:val="00C914A0"/>
    <w:rsid w:val="00C919EE"/>
    <w:rsid w:val="00C91A3E"/>
    <w:rsid w:val="00C91B3E"/>
    <w:rsid w:val="00C91C98"/>
    <w:rsid w:val="00C922AA"/>
    <w:rsid w:val="00C926E7"/>
    <w:rsid w:val="00C927D2"/>
    <w:rsid w:val="00C92920"/>
    <w:rsid w:val="00C92B95"/>
    <w:rsid w:val="00C92C9F"/>
    <w:rsid w:val="00C93165"/>
    <w:rsid w:val="00C9332E"/>
    <w:rsid w:val="00C93398"/>
    <w:rsid w:val="00C935A0"/>
    <w:rsid w:val="00C935EF"/>
    <w:rsid w:val="00C93793"/>
    <w:rsid w:val="00C938D0"/>
    <w:rsid w:val="00C93EA4"/>
    <w:rsid w:val="00C93FFD"/>
    <w:rsid w:val="00C944DC"/>
    <w:rsid w:val="00C94A5B"/>
    <w:rsid w:val="00C94EF3"/>
    <w:rsid w:val="00C94F77"/>
    <w:rsid w:val="00C95059"/>
    <w:rsid w:val="00C953F4"/>
    <w:rsid w:val="00C95564"/>
    <w:rsid w:val="00C95766"/>
    <w:rsid w:val="00C957F1"/>
    <w:rsid w:val="00C95892"/>
    <w:rsid w:val="00C958D3"/>
    <w:rsid w:val="00C95AC3"/>
    <w:rsid w:val="00C95B5F"/>
    <w:rsid w:val="00C95B76"/>
    <w:rsid w:val="00C95D9B"/>
    <w:rsid w:val="00C96244"/>
    <w:rsid w:val="00C96357"/>
    <w:rsid w:val="00C963E8"/>
    <w:rsid w:val="00C963EB"/>
    <w:rsid w:val="00C966D2"/>
    <w:rsid w:val="00C9688F"/>
    <w:rsid w:val="00C969B7"/>
    <w:rsid w:val="00C96C4B"/>
    <w:rsid w:val="00C96C95"/>
    <w:rsid w:val="00C96D0B"/>
    <w:rsid w:val="00C96DB9"/>
    <w:rsid w:val="00C9703F"/>
    <w:rsid w:val="00C970B1"/>
    <w:rsid w:val="00C974E7"/>
    <w:rsid w:val="00C9769F"/>
    <w:rsid w:val="00C977F4"/>
    <w:rsid w:val="00C97AF3"/>
    <w:rsid w:val="00C97BA2"/>
    <w:rsid w:val="00C97BD1"/>
    <w:rsid w:val="00C97C14"/>
    <w:rsid w:val="00CA065D"/>
    <w:rsid w:val="00CA0AFD"/>
    <w:rsid w:val="00CA0C59"/>
    <w:rsid w:val="00CA16E0"/>
    <w:rsid w:val="00CA16F7"/>
    <w:rsid w:val="00CA19A0"/>
    <w:rsid w:val="00CA1D3A"/>
    <w:rsid w:val="00CA1F38"/>
    <w:rsid w:val="00CA2010"/>
    <w:rsid w:val="00CA210A"/>
    <w:rsid w:val="00CA2450"/>
    <w:rsid w:val="00CA29F9"/>
    <w:rsid w:val="00CA2CCF"/>
    <w:rsid w:val="00CA2E60"/>
    <w:rsid w:val="00CA30C6"/>
    <w:rsid w:val="00CA345C"/>
    <w:rsid w:val="00CA3571"/>
    <w:rsid w:val="00CA35E7"/>
    <w:rsid w:val="00CA3ABF"/>
    <w:rsid w:val="00CA3B3D"/>
    <w:rsid w:val="00CA3E00"/>
    <w:rsid w:val="00CA4883"/>
    <w:rsid w:val="00CA4940"/>
    <w:rsid w:val="00CA4975"/>
    <w:rsid w:val="00CA4D09"/>
    <w:rsid w:val="00CA4F0B"/>
    <w:rsid w:val="00CA4F35"/>
    <w:rsid w:val="00CA5068"/>
    <w:rsid w:val="00CA51A5"/>
    <w:rsid w:val="00CA531B"/>
    <w:rsid w:val="00CA53A8"/>
    <w:rsid w:val="00CA54B6"/>
    <w:rsid w:val="00CA5948"/>
    <w:rsid w:val="00CA5C7C"/>
    <w:rsid w:val="00CA5CAA"/>
    <w:rsid w:val="00CA5DCA"/>
    <w:rsid w:val="00CA5DD8"/>
    <w:rsid w:val="00CA63F8"/>
    <w:rsid w:val="00CA64CF"/>
    <w:rsid w:val="00CA65CB"/>
    <w:rsid w:val="00CA6728"/>
    <w:rsid w:val="00CA6774"/>
    <w:rsid w:val="00CA6A14"/>
    <w:rsid w:val="00CA6D7B"/>
    <w:rsid w:val="00CA6F6C"/>
    <w:rsid w:val="00CA7037"/>
    <w:rsid w:val="00CA7091"/>
    <w:rsid w:val="00CA743D"/>
    <w:rsid w:val="00CA77B5"/>
    <w:rsid w:val="00CA7D2F"/>
    <w:rsid w:val="00CA7FA8"/>
    <w:rsid w:val="00CB01CA"/>
    <w:rsid w:val="00CB024B"/>
    <w:rsid w:val="00CB0565"/>
    <w:rsid w:val="00CB081F"/>
    <w:rsid w:val="00CB0B35"/>
    <w:rsid w:val="00CB0DBE"/>
    <w:rsid w:val="00CB0E57"/>
    <w:rsid w:val="00CB1058"/>
    <w:rsid w:val="00CB1B36"/>
    <w:rsid w:val="00CB1B38"/>
    <w:rsid w:val="00CB20CE"/>
    <w:rsid w:val="00CB22F8"/>
    <w:rsid w:val="00CB244C"/>
    <w:rsid w:val="00CB27A2"/>
    <w:rsid w:val="00CB2F38"/>
    <w:rsid w:val="00CB3141"/>
    <w:rsid w:val="00CB32C2"/>
    <w:rsid w:val="00CB335E"/>
    <w:rsid w:val="00CB3450"/>
    <w:rsid w:val="00CB3903"/>
    <w:rsid w:val="00CB3965"/>
    <w:rsid w:val="00CB3B5D"/>
    <w:rsid w:val="00CB40FD"/>
    <w:rsid w:val="00CB45E5"/>
    <w:rsid w:val="00CB462B"/>
    <w:rsid w:val="00CB46B0"/>
    <w:rsid w:val="00CB4A54"/>
    <w:rsid w:val="00CB4DDD"/>
    <w:rsid w:val="00CB4EFB"/>
    <w:rsid w:val="00CB5009"/>
    <w:rsid w:val="00CB5123"/>
    <w:rsid w:val="00CB56A7"/>
    <w:rsid w:val="00CB56B3"/>
    <w:rsid w:val="00CB5723"/>
    <w:rsid w:val="00CB57D6"/>
    <w:rsid w:val="00CB57E3"/>
    <w:rsid w:val="00CB58C3"/>
    <w:rsid w:val="00CB59A4"/>
    <w:rsid w:val="00CB5BBB"/>
    <w:rsid w:val="00CB5BD9"/>
    <w:rsid w:val="00CB5E4F"/>
    <w:rsid w:val="00CB6343"/>
    <w:rsid w:val="00CB693E"/>
    <w:rsid w:val="00CB701F"/>
    <w:rsid w:val="00CB710B"/>
    <w:rsid w:val="00CB71E8"/>
    <w:rsid w:val="00CB7615"/>
    <w:rsid w:val="00CB761C"/>
    <w:rsid w:val="00CB76EB"/>
    <w:rsid w:val="00CB7CD1"/>
    <w:rsid w:val="00CB7D89"/>
    <w:rsid w:val="00CC0AC9"/>
    <w:rsid w:val="00CC0B56"/>
    <w:rsid w:val="00CC10B9"/>
    <w:rsid w:val="00CC122D"/>
    <w:rsid w:val="00CC16E7"/>
    <w:rsid w:val="00CC16F2"/>
    <w:rsid w:val="00CC1780"/>
    <w:rsid w:val="00CC1910"/>
    <w:rsid w:val="00CC1D0F"/>
    <w:rsid w:val="00CC2075"/>
    <w:rsid w:val="00CC21FD"/>
    <w:rsid w:val="00CC2358"/>
    <w:rsid w:val="00CC236C"/>
    <w:rsid w:val="00CC23BA"/>
    <w:rsid w:val="00CC260F"/>
    <w:rsid w:val="00CC266F"/>
    <w:rsid w:val="00CC2C3E"/>
    <w:rsid w:val="00CC3003"/>
    <w:rsid w:val="00CC3162"/>
    <w:rsid w:val="00CC3275"/>
    <w:rsid w:val="00CC339C"/>
    <w:rsid w:val="00CC3669"/>
    <w:rsid w:val="00CC38DB"/>
    <w:rsid w:val="00CC3AD9"/>
    <w:rsid w:val="00CC3F9D"/>
    <w:rsid w:val="00CC4006"/>
    <w:rsid w:val="00CC455C"/>
    <w:rsid w:val="00CC493E"/>
    <w:rsid w:val="00CC49CE"/>
    <w:rsid w:val="00CC4C95"/>
    <w:rsid w:val="00CC4D0F"/>
    <w:rsid w:val="00CC4DCC"/>
    <w:rsid w:val="00CC4F7B"/>
    <w:rsid w:val="00CC5473"/>
    <w:rsid w:val="00CC55D3"/>
    <w:rsid w:val="00CC5760"/>
    <w:rsid w:val="00CC585A"/>
    <w:rsid w:val="00CC5CEB"/>
    <w:rsid w:val="00CC5EC2"/>
    <w:rsid w:val="00CC605E"/>
    <w:rsid w:val="00CC6622"/>
    <w:rsid w:val="00CC66A1"/>
    <w:rsid w:val="00CC678C"/>
    <w:rsid w:val="00CC69AE"/>
    <w:rsid w:val="00CC6CAC"/>
    <w:rsid w:val="00CC6E60"/>
    <w:rsid w:val="00CC720F"/>
    <w:rsid w:val="00CC747A"/>
    <w:rsid w:val="00CC770A"/>
    <w:rsid w:val="00CC7925"/>
    <w:rsid w:val="00CC7A58"/>
    <w:rsid w:val="00CC7B58"/>
    <w:rsid w:val="00CC7B61"/>
    <w:rsid w:val="00CC7CA5"/>
    <w:rsid w:val="00CC7D21"/>
    <w:rsid w:val="00CD04E4"/>
    <w:rsid w:val="00CD05EB"/>
    <w:rsid w:val="00CD0C14"/>
    <w:rsid w:val="00CD1199"/>
    <w:rsid w:val="00CD1364"/>
    <w:rsid w:val="00CD13D2"/>
    <w:rsid w:val="00CD145E"/>
    <w:rsid w:val="00CD149A"/>
    <w:rsid w:val="00CD15F2"/>
    <w:rsid w:val="00CD1904"/>
    <w:rsid w:val="00CD19EB"/>
    <w:rsid w:val="00CD1ABF"/>
    <w:rsid w:val="00CD1DBB"/>
    <w:rsid w:val="00CD1DBD"/>
    <w:rsid w:val="00CD21CE"/>
    <w:rsid w:val="00CD236B"/>
    <w:rsid w:val="00CD26FC"/>
    <w:rsid w:val="00CD272A"/>
    <w:rsid w:val="00CD2BFF"/>
    <w:rsid w:val="00CD2C19"/>
    <w:rsid w:val="00CD2D7C"/>
    <w:rsid w:val="00CD2DD8"/>
    <w:rsid w:val="00CD2E12"/>
    <w:rsid w:val="00CD3067"/>
    <w:rsid w:val="00CD3081"/>
    <w:rsid w:val="00CD30C1"/>
    <w:rsid w:val="00CD312E"/>
    <w:rsid w:val="00CD3941"/>
    <w:rsid w:val="00CD3A99"/>
    <w:rsid w:val="00CD3A9C"/>
    <w:rsid w:val="00CD4788"/>
    <w:rsid w:val="00CD49A2"/>
    <w:rsid w:val="00CD4FFE"/>
    <w:rsid w:val="00CD5045"/>
    <w:rsid w:val="00CD50C7"/>
    <w:rsid w:val="00CD5176"/>
    <w:rsid w:val="00CD51B2"/>
    <w:rsid w:val="00CD554F"/>
    <w:rsid w:val="00CD5DAA"/>
    <w:rsid w:val="00CD659F"/>
    <w:rsid w:val="00CD6827"/>
    <w:rsid w:val="00CD6D31"/>
    <w:rsid w:val="00CD701A"/>
    <w:rsid w:val="00CD70AF"/>
    <w:rsid w:val="00CD7410"/>
    <w:rsid w:val="00CD7613"/>
    <w:rsid w:val="00CD777D"/>
    <w:rsid w:val="00CD7A25"/>
    <w:rsid w:val="00CD7C74"/>
    <w:rsid w:val="00CD7EC4"/>
    <w:rsid w:val="00CE0020"/>
    <w:rsid w:val="00CE037E"/>
    <w:rsid w:val="00CE03D8"/>
    <w:rsid w:val="00CE04E8"/>
    <w:rsid w:val="00CE088D"/>
    <w:rsid w:val="00CE0E84"/>
    <w:rsid w:val="00CE114F"/>
    <w:rsid w:val="00CE1473"/>
    <w:rsid w:val="00CE1493"/>
    <w:rsid w:val="00CE15A8"/>
    <w:rsid w:val="00CE18EE"/>
    <w:rsid w:val="00CE1AA2"/>
    <w:rsid w:val="00CE20DF"/>
    <w:rsid w:val="00CE20F9"/>
    <w:rsid w:val="00CE247D"/>
    <w:rsid w:val="00CE26A7"/>
    <w:rsid w:val="00CE27EA"/>
    <w:rsid w:val="00CE2A1E"/>
    <w:rsid w:val="00CE2BAE"/>
    <w:rsid w:val="00CE2F9B"/>
    <w:rsid w:val="00CE3073"/>
    <w:rsid w:val="00CE3859"/>
    <w:rsid w:val="00CE3E29"/>
    <w:rsid w:val="00CE4192"/>
    <w:rsid w:val="00CE4456"/>
    <w:rsid w:val="00CE45BB"/>
    <w:rsid w:val="00CE48DE"/>
    <w:rsid w:val="00CE4978"/>
    <w:rsid w:val="00CE4A91"/>
    <w:rsid w:val="00CE4B1A"/>
    <w:rsid w:val="00CE4BEC"/>
    <w:rsid w:val="00CE4EE7"/>
    <w:rsid w:val="00CE4F90"/>
    <w:rsid w:val="00CE50FD"/>
    <w:rsid w:val="00CE51C9"/>
    <w:rsid w:val="00CE53CC"/>
    <w:rsid w:val="00CE55A5"/>
    <w:rsid w:val="00CE55E6"/>
    <w:rsid w:val="00CE57A1"/>
    <w:rsid w:val="00CE5B6B"/>
    <w:rsid w:val="00CE5C84"/>
    <w:rsid w:val="00CE5E58"/>
    <w:rsid w:val="00CE63F7"/>
    <w:rsid w:val="00CE676B"/>
    <w:rsid w:val="00CE698A"/>
    <w:rsid w:val="00CE69FE"/>
    <w:rsid w:val="00CE6C3D"/>
    <w:rsid w:val="00CE70A9"/>
    <w:rsid w:val="00CE743D"/>
    <w:rsid w:val="00CE76D3"/>
    <w:rsid w:val="00CE7822"/>
    <w:rsid w:val="00CE7B2E"/>
    <w:rsid w:val="00CE7C19"/>
    <w:rsid w:val="00CE7EB0"/>
    <w:rsid w:val="00CE7ED2"/>
    <w:rsid w:val="00CE7F42"/>
    <w:rsid w:val="00CF019D"/>
    <w:rsid w:val="00CF0502"/>
    <w:rsid w:val="00CF067C"/>
    <w:rsid w:val="00CF090B"/>
    <w:rsid w:val="00CF0AB8"/>
    <w:rsid w:val="00CF116B"/>
    <w:rsid w:val="00CF117E"/>
    <w:rsid w:val="00CF1367"/>
    <w:rsid w:val="00CF148A"/>
    <w:rsid w:val="00CF156E"/>
    <w:rsid w:val="00CF16A2"/>
    <w:rsid w:val="00CF1919"/>
    <w:rsid w:val="00CF193D"/>
    <w:rsid w:val="00CF1BE9"/>
    <w:rsid w:val="00CF1E05"/>
    <w:rsid w:val="00CF24AB"/>
    <w:rsid w:val="00CF24EB"/>
    <w:rsid w:val="00CF27FB"/>
    <w:rsid w:val="00CF2820"/>
    <w:rsid w:val="00CF2C12"/>
    <w:rsid w:val="00CF3554"/>
    <w:rsid w:val="00CF3612"/>
    <w:rsid w:val="00CF36B9"/>
    <w:rsid w:val="00CF462D"/>
    <w:rsid w:val="00CF47DA"/>
    <w:rsid w:val="00CF5154"/>
    <w:rsid w:val="00CF540C"/>
    <w:rsid w:val="00CF5438"/>
    <w:rsid w:val="00CF587B"/>
    <w:rsid w:val="00CF5890"/>
    <w:rsid w:val="00CF5BAF"/>
    <w:rsid w:val="00CF5E18"/>
    <w:rsid w:val="00CF6340"/>
    <w:rsid w:val="00CF64B1"/>
    <w:rsid w:val="00CF64DB"/>
    <w:rsid w:val="00CF6553"/>
    <w:rsid w:val="00CF65B4"/>
    <w:rsid w:val="00CF67FA"/>
    <w:rsid w:val="00CF689F"/>
    <w:rsid w:val="00CF6AC3"/>
    <w:rsid w:val="00CF6BE7"/>
    <w:rsid w:val="00CF6CAB"/>
    <w:rsid w:val="00CF6CB0"/>
    <w:rsid w:val="00CF6EBA"/>
    <w:rsid w:val="00CF7262"/>
    <w:rsid w:val="00CF76E4"/>
    <w:rsid w:val="00CF7871"/>
    <w:rsid w:val="00CF789D"/>
    <w:rsid w:val="00CF7A5A"/>
    <w:rsid w:val="00CF7DDB"/>
    <w:rsid w:val="00D003B8"/>
    <w:rsid w:val="00D00640"/>
    <w:rsid w:val="00D006B1"/>
    <w:rsid w:val="00D0077E"/>
    <w:rsid w:val="00D00AC7"/>
    <w:rsid w:val="00D00BA4"/>
    <w:rsid w:val="00D011C1"/>
    <w:rsid w:val="00D014AC"/>
    <w:rsid w:val="00D01622"/>
    <w:rsid w:val="00D01AEF"/>
    <w:rsid w:val="00D01ECE"/>
    <w:rsid w:val="00D026C3"/>
    <w:rsid w:val="00D02A38"/>
    <w:rsid w:val="00D03230"/>
    <w:rsid w:val="00D034D5"/>
    <w:rsid w:val="00D036CD"/>
    <w:rsid w:val="00D03DF6"/>
    <w:rsid w:val="00D045E3"/>
    <w:rsid w:val="00D04A2E"/>
    <w:rsid w:val="00D04B5E"/>
    <w:rsid w:val="00D054DB"/>
    <w:rsid w:val="00D05585"/>
    <w:rsid w:val="00D05670"/>
    <w:rsid w:val="00D0591B"/>
    <w:rsid w:val="00D0592B"/>
    <w:rsid w:val="00D05AE2"/>
    <w:rsid w:val="00D06138"/>
    <w:rsid w:val="00D0671F"/>
    <w:rsid w:val="00D067C6"/>
    <w:rsid w:val="00D068E5"/>
    <w:rsid w:val="00D0690C"/>
    <w:rsid w:val="00D06B19"/>
    <w:rsid w:val="00D06C14"/>
    <w:rsid w:val="00D06D37"/>
    <w:rsid w:val="00D06EA5"/>
    <w:rsid w:val="00D07401"/>
    <w:rsid w:val="00D0778D"/>
    <w:rsid w:val="00D07A61"/>
    <w:rsid w:val="00D07B70"/>
    <w:rsid w:val="00D07BC1"/>
    <w:rsid w:val="00D07C87"/>
    <w:rsid w:val="00D07D79"/>
    <w:rsid w:val="00D07FCA"/>
    <w:rsid w:val="00D104DE"/>
    <w:rsid w:val="00D10AC9"/>
    <w:rsid w:val="00D10C68"/>
    <w:rsid w:val="00D10C8A"/>
    <w:rsid w:val="00D10FE2"/>
    <w:rsid w:val="00D1135B"/>
    <w:rsid w:val="00D117C5"/>
    <w:rsid w:val="00D11DA5"/>
    <w:rsid w:val="00D11ED9"/>
    <w:rsid w:val="00D11EFA"/>
    <w:rsid w:val="00D11F18"/>
    <w:rsid w:val="00D1209F"/>
    <w:rsid w:val="00D123C3"/>
    <w:rsid w:val="00D1247C"/>
    <w:rsid w:val="00D12878"/>
    <w:rsid w:val="00D129A2"/>
    <w:rsid w:val="00D12C85"/>
    <w:rsid w:val="00D12EF2"/>
    <w:rsid w:val="00D12EFA"/>
    <w:rsid w:val="00D13175"/>
    <w:rsid w:val="00D139A3"/>
    <w:rsid w:val="00D139C7"/>
    <w:rsid w:val="00D13CC7"/>
    <w:rsid w:val="00D13D0B"/>
    <w:rsid w:val="00D1439E"/>
    <w:rsid w:val="00D143E9"/>
    <w:rsid w:val="00D1445E"/>
    <w:rsid w:val="00D1466E"/>
    <w:rsid w:val="00D14A8E"/>
    <w:rsid w:val="00D14DCB"/>
    <w:rsid w:val="00D1500B"/>
    <w:rsid w:val="00D15431"/>
    <w:rsid w:val="00D159BC"/>
    <w:rsid w:val="00D15E4C"/>
    <w:rsid w:val="00D16098"/>
    <w:rsid w:val="00D16307"/>
    <w:rsid w:val="00D16480"/>
    <w:rsid w:val="00D16FCA"/>
    <w:rsid w:val="00D172C6"/>
    <w:rsid w:val="00D17597"/>
    <w:rsid w:val="00D177B9"/>
    <w:rsid w:val="00D179DD"/>
    <w:rsid w:val="00D17CBF"/>
    <w:rsid w:val="00D17D09"/>
    <w:rsid w:val="00D17F0A"/>
    <w:rsid w:val="00D20305"/>
    <w:rsid w:val="00D2075E"/>
    <w:rsid w:val="00D20AB3"/>
    <w:rsid w:val="00D20AC9"/>
    <w:rsid w:val="00D20E69"/>
    <w:rsid w:val="00D20F81"/>
    <w:rsid w:val="00D210C7"/>
    <w:rsid w:val="00D2114E"/>
    <w:rsid w:val="00D2138F"/>
    <w:rsid w:val="00D21608"/>
    <w:rsid w:val="00D21670"/>
    <w:rsid w:val="00D21A95"/>
    <w:rsid w:val="00D2208B"/>
    <w:rsid w:val="00D22093"/>
    <w:rsid w:val="00D2211F"/>
    <w:rsid w:val="00D22163"/>
    <w:rsid w:val="00D223DB"/>
    <w:rsid w:val="00D22498"/>
    <w:rsid w:val="00D22954"/>
    <w:rsid w:val="00D22DBD"/>
    <w:rsid w:val="00D2305E"/>
    <w:rsid w:val="00D23060"/>
    <w:rsid w:val="00D230CE"/>
    <w:rsid w:val="00D23368"/>
    <w:rsid w:val="00D233FD"/>
    <w:rsid w:val="00D23496"/>
    <w:rsid w:val="00D2369E"/>
    <w:rsid w:val="00D2388B"/>
    <w:rsid w:val="00D2398D"/>
    <w:rsid w:val="00D23F5C"/>
    <w:rsid w:val="00D241C2"/>
    <w:rsid w:val="00D243E8"/>
    <w:rsid w:val="00D2467D"/>
    <w:rsid w:val="00D248FD"/>
    <w:rsid w:val="00D249EF"/>
    <w:rsid w:val="00D24AF9"/>
    <w:rsid w:val="00D24C0A"/>
    <w:rsid w:val="00D2500E"/>
    <w:rsid w:val="00D25467"/>
    <w:rsid w:val="00D25513"/>
    <w:rsid w:val="00D25678"/>
    <w:rsid w:val="00D2587C"/>
    <w:rsid w:val="00D25A9B"/>
    <w:rsid w:val="00D25B23"/>
    <w:rsid w:val="00D25B81"/>
    <w:rsid w:val="00D25C14"/>
    <w:rsid w:val="00D25DB1"/>
    <w:rsid w:val="00D2612A"/>
    <w:rsid w:val="00D262C0"/>
    <w:rsid w:val="00D2643C"/>
    <w:rsid w:val="00D26552"/>
    <w:rsid w:val="00D26612"/>
    <w:rsid w:val="00D26719"/>
    <w:rsid w:val="00D2671E"/>
    <w:rsid w:val="00D26D9F"/>
    <w:rsid w:val="00D2700D"/>
    <w:rsid w:val="00D271A1"/>
    <w:rsid w:val="00D272A4"/>
    <w:rsid w:val="00D272DA"/>
    <w:rsid w:val="00D2731C"/>
    <w:rsid w:val="00D2783D"/>
    <w:rsid w:val="00D27880"/>
    <w:rsid w:val="00D27EFA"/>
    <w:rsid w:val="00D27F9B"/>
    <w:rsid w:val="00D27FA3"/>
    <w:rsid w:val="00D300DA"/>
    <w:rsid w:val="00D3022C"/>
    <w:rsid w:val="00D3057A"/>
    <w:rsid w:val="00D306C1"/>
    <w:rsid w:val="00D3087F"/>
    <w:rsid w:val="00D308F3"/>
    <w:rsid w:val="00D309A6"/>
    <w:rsid w:val="00D30B7E"/>
    <w:rsid w:val="00D30D77"/>
    <w:rsid w:val="00D30E38"/>
    <w:rsid w:val="00D30EDE"/>
    <w:rsid w:val="00D30FB4"/>
    <w:rsid w:val="00D31435"/>
    <w:rsid w:val="00D3148C"/>
    <w:rsid w:val="00D316F2"/>
    <w:rsid w:val="00D31999"/>
    <w:rsid w:val="00D31C1D"/>
    <w:rsid w:val="00D32110"/>
    <w:rsid w:val="00D32178"/>
    <w:rsid w:val="00D32232"/>
    <w:rsid w:val="00D322AB"/>
    <w:rsid w:val="00D325DF"/>
    <w:rsid w:val="00D3313C"/>
    <w:rsid w:val="00D332B0"/>
    <w:rsid w:val="00D332F7"/>
    <w:rsid w:val="00D33517"/>
    <w:rsid w:val="00D337B1"/>
    <w:rsid w:val="00D33B23"/>
    <w:rsid w:val="00D33B6D"/>
    <w:rsid w:val="00D33BD5"/>
    <w:rsid w:val="00D33C79"/>
    <w:rsid w:val="00D33E3C"/>
    <w:rsid w:val="00D33EB0"/>
    <w:rsid w:val="00D342BD"/>
    <w:rsid w:val="00D342F1"/>
    <w:rsid w:val="00D34474"/>
    <w:rsid w:val="00D34988"/>
    <w:rsid w:val="00D34ADA"/>
    <w:rsid w:val="00D34B4A"/>
    <w:rsid w:val="00D34B5C"/>
    <w:rsid w:val="00D353D7"/>
    <w:rsid w:val="00D3610C"/>
    <w:rsid w:val="00D3618E"/>
    <w:rsid w:val="00D3632B"/>
    <w:rsid w:val="00D36567"/>
    <w:rsid w:val="00D36689"/>
    <w:rsid w:val="00D366C1"/>
    <w:rsid w:val="00D368CA"/>
    <w:rsid w:val="00D36DD7"/>
    <w:rsid w:val="00D36F84"/>
    <w:rsid w:val="00D3703B"/>
    <w:rsid w:val="00D37093"/>
    <w:rsid w:val="00D378CA"/>
    <w:rsid w:val="00D378EC"/>
    <w:rsid w:val="00D3795D"/>
    <w:rsid w:val="00D37A4E"/>
    <w:rsid w:val="00D37AD6"/>
    <w:rsid w:val="00D37B50"/>
    <w:rsid w:val="00D40551"/>
    <w:rsid w:val="00D40991"/>
    <w:rsid w:val="00D409BD"/>
    <w:rsid w:val="00D40A49"/>
    <w:rsid w:val="00D40CAB"/>
    <w:rsid w:val="00D40CDC"/>
    <w:rsid w:val="00D40EAC"/>
    <w:rsid w:val="00D416B3"/>
    <w:rsid w:val="00D418ED"/>
    <w:rsid w:val="00D4195D"/>
    <w:rsid w:val="00D41ADC"/>
    <w:rsid w:val="00D421BC"/>
    <w:rsid w:val="00D42829"/>
    <w:rsid w:val="00D42D21"/>
    <w:rsid w:val="00D42FCC"/>
    <w:rsid w:val="00D43007"/>
    <w:rsid w:val="00D43229"/>
    <w:rsid w:val="00D43356"/>
    <w:rsid w:val="00D43427"/>
    <w:rsid w:val="00D43439"/>
    <w:rsid w:val="00D438CC"/>
    <w:rsid w:val="00D438E0"/>
    <w:rsid w:val="00D4394A"/>
    <w:rsid w:val="00D43D1D"/>
    <w:rsid w:val="00D43EC9"/>
    <w:rsid w:val="00D4401C"/>
    <w:rsid w:val="00D441B7"/>
    <w:rsid w:val="00D44278"/>
    <w:rsid w:val="00D444F7"/>
    <w:rsid w:val="00D44861"/>
    <w:rsid w:val="00D448CC"/>
    <w:rsid w:val="00D44A91"/>
    <w:rsid w:val="00D44DBE"/>
    <w:rsid w:val="00D450CC"/>
    <w:rsid w:val="00D453F1"/>
    <w:rsid w:val="00D45474"/>
    <w:rsid w:val="00D4550C"/>
    <w:rsid w:val="00D456A2"/>
    <w:rsid w:val="00D4572A"/>
    <w:rsid w:val="00D45E11"/>
    <w:rsid w:val="00D45F2D"/>
    <w:rsid w:val="00D45FB0"/>
    <w:rsid w:val="00D46161"/>
    <w:rsid w:val="00D467CA"/>
    <w:rsid w:val="00D4685E"/>
    <w:rsid w:val="00D46A31"/>
    <w:rsid w:val="00D46DE1"/>
    <w:rsid w:val="00D46E87"/>
    <w:rsid w:val="00D46F54"/>
    <w:rsid w:val="00D4700C"/>
    <w:rsid w:val="00D47435"/>
    <w:rsid w:val="00D47549"/>
    <w:rsid w:val="00D47593"/>
    <w:rsid w:val="00D476A6"/>
    <w:rsid w:val="00D47742"/>
    <w:rsid w:val="00D47A2B"/>
    <w:rsid w:val="00D47F24"/>
    <w:rsid w:val="00D50339"/>
    <w:rsid w:val="00D507DE"/>
    <w:rsid w:val="00D50B7B"/>
    <w:rsid w:val="00D50E99"/>
    <w:rsid w:val="00D51078"/>
    <w:rsid w:val="00D51146"/>
    <w:rsid w:val="00D512D9"/>
    <w:rsid w:val="00D514E9"/>
    <w:rsid w:val="00D519A6"/>
    <w:rsid w:val="00D51BD7"/>
    <w:rsid w:val="00D51C0E"/>
    <w:rsid w:val="00D52139"/>
    <w:rsid w:val="00D52162"/>
    <w:rsid w:val="00D528A8"/>
    <w:rsid w:val="00D52C40"/>
    <w:rsid w:val="00D52E09"/>
    <w:rsid w:val="00D52FAC"/>
    <w:rsid w:val="00D535BE"/>
    <w:rsid w:val="00D535D4"/>
    <w:rsid w:val="00D536D0"/>
    <w:rsid w:val="00D53C37"/>
    <w:rsid w:val="00D53D22"/>
    <w:rsid w:val="00D53F7A"/>
    <w:rsid w:val="00D53FBD"/>
    <w:rsid w:val="00D54118"/>
    <w:rsid w:val="00D54152"/>
    <w:rsid w:val="00D54153"/>
    <w:rsid w:val="00D5430E"/>
    <w:rsid w:val="00D54708"/>
    <w:rsid w:val="00D54CF9"/>
    <w:rsid w:val="00D54E33"/>
    <w:rsid w:val="00D54F5A"/>
    <w:rsid w:val="00D5500F"/>
    <w:rsid w:val="00D550C0"/>
    <w:rsid w:val="00D5546C"/>
    <w:rsid w:val="00D5570B"/>
    <w:rsid w:val="00D55772"/>
    <w:rsid w:val="00D55C68"/>
    <w:rsid w:val="00D55DD5"/>
    <w:rsid w:val="00D55E0A"/>
    <w:rsid w:val="00D5631C"/>
    <w:rsid w:val="00D56774"/>
    <w:rsid w:val="00D568E3"/>
    <w:rsid w:val="00D56CE7"/>
    <w:rsid w:val="00D56DE0"/>
    <w:rsid w:val="00D572F0"/>
    <w:rsid w:val="00D57BFC"/>
    <w:rsid w:val="00D57C62"/>
    <w:rsid w:val="00D57EA4"/>
    <w:rsid w:val="00D60287"/>
    <w:rsid w:val="00D602B1"/>
    <w:rsid w:val="00D602CC"/>
    <w:rsid w:val="00D602E7"/>
    <w:rsid w:val="00D60445"/>
    <w:rsid w:val="00D60448"/>
    <w:rsid w:val="00D604C9"/>
    <w:rsid w:val="00D60563"/>
    <w:rsid w:val="00D606C0"/>
    <w:rsid w:val="00D60891"/>
    <w:rsid w:val="00D609FB"/>
    <w:rsid w:val="00D60C01"/>
    <w:rsid w:val="00D60CB2"/>
    <w:rsid w:val="00D60D88"/>
    <w:rsid w:val="00D6130A"/>
    <w:rsid w:val="00D618E1"/>
    <w:rsid w:val="00D61E75"/>
    <w:rsid w:val="00D61E84"/>
    <w:rsid w:val="00D61F53"/>
    <w:rsid w:val="00D620A1"/>
    <w:rsid w:val="00D6211D"/>
    <w:rsid w:val="00D623FA"/>
    <w:rsid w:val="00D6240E"/>
    <w:rsid w:val="00D6251B"/>
    <w:rsid w:val="00D6269D"/>
    <w:rsid w:val="00D6311C"/>
    <w:rsid w:val="00D63273"/>
    <w:rsid w:val="00D632AB"/>
    <w:rsid w:val="00D632D5"/>
    <w:rsid w:val="00D63357"/>
    <w:rsid w:val="00D63365"/>
    <w:rsid w:val="00D6354E"/>
    <w:rsid w:val="00D637AF"/>
    <w:rsid w:val="00D63D2E"/>
    <w:rsid w:val="00D63EC4"/>
    <w:rsid w:val="00D63F16"/>
    <w:rsid w:val="00D640B5"/>
    <w:rsid w:val="00D640BD"/>
    <w:rsid w:val="00D64139"/>
    <w:rsid w:val="00D64207"/>
    <w:rsid w:val="00D646CA"/>
    <w:rsid w:val="00D647CF"/>
    <w:rsid w:val="00D6486B"/>
    <w:rsid w:val="00D64B60"/>
    <w:rsid w:val="00D64E80"/>
    <w:rsid w:val="00D64EEA"/>
    <w:rsid w:val="00D64F73"/>
    <w:rsid w:val="00D651CE"/>
    <w:rsid w:val="00D655EE"/>
    <w:rsid w:val="00D6563F"/>
    <w:rsid w:val="00D65A42"/>
    <w:rsid w:val="00D65AD4"/>
    <w:rsid w:val="00D65B72"/>
    <w:rsid w:val="00D65B73"/>
    <w:rsid w:val="00D65E3C"/>
    <w:rsid w:val="00D6624F"/>
    <w:rsid w:val="00D662E2"/>
    <w:rsid w:val="00D66411"/>
    <w:rsid w:val="00D66BD1"/>
    <w:rsid w:val="00D66BDB"/>
    <w:rsid w:val="00D66C68"/>
    <w:rsid w:val="00D67238"/>
    <w:rsid w:val="00D675C7"/>
    <w:rsid w:val="00D676A6"/>
    <w:rsid w:val="00D6787C"/>
    <w:rsid w:val="00D67C3F"/>
    <w:rsid w:val="00D70051"/>
    <w:rsid w:val="00D70137"/>
    <w:rsid w:val="00D7034F"/>
    <w:rsid w:val="00D70439"/>
    <w:rsid w:val="00D70708"/>
    <w:rsid w:val="00D70833"/>
    <w:rsid w:val="00D7091D"/>
    <w:rsid w:val="00D709B6"/>
    <w:rsid w:val="00D70A7D"/>
    <w:rsid w:val="00D70B18"/>
    <w:rsid w:val="00D70BF7"/>
    <w:rsid w:val="00D70CED"/>
    <w:rsid w:val="00D70D98"/>
    <w:rsid w:val="00D70EAD"/>
    <w:rsid w:val="00D713F5"/>
    <w:rsid w:val="00D71838"/>
    <w:rsid w:val="00D7191F"/>
    <w:rsid w:val="00D71F44"/>
    <w:rsid w:val="00D721CB"/>
    <w:rsid w:val="00D72761"/>
    <w:rsid w:val="00D727B9"/>
    <w:rsid w:val="00D72D24"/>
    <w:rsid w:val="00D72E18"/>
    <w:rsid w:val="00D73016"/>
    <w:rsid w:val="00D732B6"/>
    <w:rsid w:val="00D7340B"/>
    <w:rsid w:val="00D73442"/>
    <w:rsid w:val="00D7348B"/>
    <w:rsid w:val="00D7374E"/>
    <w:rsid w:val="00D73824"/>
    <w:rsid w:val="00D73E25"/>
    <w:rsid w:val="00D7402B"/>
    <w:rsid w:val="00D7417C"/>
    <w:rsid w:val="00D7423C"/>
    <w:rsid w:val="00D742C2"/>
    <w:rsid w:val="00D742F1"/>
    <w:rsid w:val="00D743E8"/>
    <w:rsid w:val="00D744A3"/>
    <w:rsid w:val="00D74AB4"/>
    <w:rsid w:val="00D74D5E"/>
    <w:rsid w:val="00D74D71"/>
    <w:rsid w:val="00D74EFD"/>
    <w:rsid w:val="00D75164"/>
    <w:rsid w:val="00D751A3"/>
    <w:rsid w:val="00D754EC"/>
    <w:rsid w:val="00D75551"/>
    <w:rsid w:val="00D75666"/>
    <w:rsid w:val="00D75852"/>
    <w:rsid w:val="00D75B91"/>
    <w:rsid w:val="00D75D3E"/>
    <w:rsid w:val="00D7602C"/>
    <w:rsid w:val="00D7607F"/>
    <w:rsid w:val="00D762F2"/>
    <w:rsid w:val="00D7632B"/>
    <w:rsid w:val="00D763D6"/>
    <w:rsid w:val="00D764C5"/>
    <w:rsid w:val="00D766AF"/>
    <w:rsid w:val="00D7681A"/>
    <w:rsid w:val="00D76BFF"/>
    <w:rsid w:val="00D76EC5"/>
    <w:rsid w:val="00D76ECC"/>
    <w:rsid w:val="00D76F20"/>
    <w:rsid w:val="00D76F3B"/>
    <w:rsid w:val="00D77173"/>
    <w:rsid w:val="00D771A9"/>
    <w:rsid w:val="00D7755F"/>
    <w:rsid w:val="00D77596"/>
    <w:rsid w:val="00D775BD"/>
    <w:rsid w:val="00D77698"/>
    <w:rsid w:val="00D7785B"/>
    <w:rsid w:val="00D7789A"/>
    <w:rsid w:val="00D77B16"/>
    <w:rsid w:val="00D77F22"/>
    <w:rsid w:val="00D77F81"/>
    <w:rsid w:val="00D800C6"/>
    <w:rsid w:val="00D802CC"/>
    <w:rsid w:val="00D8079B"/>
    <w:rsid w:val="00D8092E"/>
    <w:rsid w:val="00D80A79"/>
    <w:rsid w:val="00D80C87"/>
    <w:rsid w:val="00D80C8B"/>
    <w:rsid w:val="00D80EAA"/>
    <w:rsid w:val="00D80EB2"/>
    <w:rsid w:val="00D81158"/>
    <w:rsid w:val="00D81272"/>
    <w:rsid w:val="00D81541"/>
    <w:rsid w:val="00D815D7"/>
    <w:rsid w:val="00D81628"/>
    <w:rsid w:val="00D8169C"/>
    <w:rsid w:val="00D818EA"/>
    <w:rsid w:val="00D81A3A"/>
    <w:rsid w:val="00D81BAD"/>
    <w:rsid w:val="00D81BB7"/>
    <w:rsid w:val="00D81EEA"/>
    <w:rsid w:val="00D81FF8"/>
    <w:rsid w:val="00D821CD"/>
    <w:rsid w:val="00D821E8"/>
    <w:rsid w:val="00D82394"/>
    <w:rsid w:val="00D82960"/>
    <w:rsid w:val="00D82E87"/>
    <w:rsid w:val="00D831F2"/>
    <w:rsid w:val="00D834C0"/>
    <w:rsid w:val="00D8367E"/>
    <w:rsid w:val="00D83684"/>
    <w:rsid w:val="00D83A1A"/>
    <w:rsid w:val="00D83AF4"/>
    <w:rsid w:val="00D83E6E"/>
    <w:rsid w:val="00D84250"/>
    <w:rsid w:val="00D842AD"/>
    <w:rsid w:val="00D842AF"/>
    <w:rsid w:val="00D84831"/>
    <w:rsid w:val="00D84857"/>
    <w:rsid w:val="00D84E08"/>
    <w:rsid w:val="00D85185"/>
    <w:rsid w:val="00D85215"/>
    <w:rsid w:val="00D85536"/>
    <w:rsid w:val="00D85593"/>
    <w:rsid w:val="00D85C45"/>
    <w:rsid w:val="00D85CFB"/>
    <w:rsid w:val="00D8607E"/>
    <w:rsid w:val="00D86292"/>
    <w:rsid w:val="00D862F7"/>
    <w:rsid w:val="00D862FB"/>
    <w:rsid w:val="00D86A8F"/>
    <w:rsid w:val="00D86D8F"/>
    <w:rsid w:val="00D8707F"/>
    <w:rsid w:val="00D871EC"/>
    <w:rsid w:val="00D87483"/>
    <w:rsid w:val="00D875A2"/>
    <w:rsid w:val="00D8784E"/>
    <w:rsid w:val="00D8798C"/>
    <w:rsid w:val="00D87C4A"/>
    <w:rsid w:val="00D87D8F"/>
    <w:rsid w:val="00D87DD8"/>
    <w:rsid w:val="00D9022D"/>
    <w:rsid w:val="00D90429"/>
    <w:rsid w:val="00D90476"/>
    <w:rsid w:val="00D90784"/>
    <w:rsid w:val="00D90C50"/>
    <w:rsid w:val="00D90CCA"/>
    <w:rsid w:val="00D91111"/>
    <w:rsid w:val="00D913F3"/>
    <w:rsid w:val="00D916A6"/>
    <w:rsid w:val="00D9201F"/>
    <w:rsid w:val="00D9204E"/>
    <w:rsid w:val="00D9212E"/>
    <w:rsid w:val="00D92134"/>
    <w:rsid w:val="00D92164"/>
    <w:rsid w:val="00D922C4"/>
    <w:rsid w:val="00D9245D"/>
    <w:rsid w:val="00D926D2"/>
    <w:rsid w:val="00D927FF"/>
    <w:rsid w:val="00D928D2"/>
    <w:rsid w:val="00D92939"/>
    <w:rsid w:val="00D92AE8"/>
    <w:rsid w:val="00D9326A"/>
    <w:rsid w:val="00D93630"/>
    <w:rsid w:val="00D93926"/>
    <w:rsid w:val="00D9444E"/>
    <w:rsid w:val="00D9445B"/>
    <w:rsid w:val="00D9466A"/>
    <w:rsid w:val="00D947DB"/>
    <w:rsid w:val="00D9491E"/>
    <w:rsid w:val="00D94CF7"/>
    <w:rsid w:val="00D94F46"/>
    <w:rsid w:val="00D95483"/>
    <w:rsid w:val="00D95495"/>
    <w:rsid w:val="00D95571"/>
    <w:rsid w:val="00D95AAC"/>
    <w:rsid w:val="00D95CE1"/>
    <w:rsid w:val="00D95CFB"/>
    <w:rsid w:val="00D961C4"/>
    <w:rsid w:val="00D96585"/>
    <w:rsid w:val="00D965D6"/>
    <w:rsid w:val="00D96DE1"/>
    <w:rsid w:val="00D97121"/>
    <w:rsid w:val="00D975A1"/>
    <w:rsid w:val="00D97FC7"/>
    <w:rsid w:val="00DA01E2"/>
    <w:rsid w:val="00DA053C"/>
    <w:rsid w:val="00DA0878"/>
    <w:rsid w:val="00DA0938"/>
    <w:rsid w:val="00DA0F33"/>
    <w:rsid w:val="00DA105C"/>
    <w:rsid w:val="00DA18F0"/>
    <w:rsid w:val="00DA1BBF"/>
    <w:rsid w:val="00DA1BF9"/>
    <w:rsid w:val="00DA23B7"/>
    <w:rsid w:val="00DA26D6"/>
    <w:rsid w:val="00DA2744"/>
    <w:rsid w:val="00DA27CE"/>
    <w:rsid w:val="00DA2A82"/>
    <w:rsid w:val="00DA2B0D"/>
    <w:rsid w:val="00DA2BF2"/>
    <w:rsid w:val="00DA2FE0"/>
    <w:rsid w:val="00DA3002"/>
    <w:rsid w:val="00DA30FC"/>
    <w:rsid w:val="00DA31AB"/>
    <w:rsid w:val="00DA3554"/>
    <w:rsid w:val="00DA3D0D"/>
    <w:rsid w:val="00DA3EF3"/>
    <w:rsid w:val="00DA420E"/>
    <w:rsid w:val="00DA4225"/>
    <w:rsid w:val="00DA4352"/>
    <w:rsid w:val="00DA4581"/>
    <w:rsid w:val="00DA4DEB"/>
    <w:rsid w:val="00DA50E7"/>
    <w:rsid w:val="00DA56FE"/>
    <w:rsid w:val="00DA5782"/>
    <w:rsid w:val="00DA5899"/>
    <w:rsid w:val="00DA58EF"/>
    <w:rsid w:val="00DA5BEF"/>
    <w:rsid w:val="00DA5CDF"/>
    <w:rsid w:val="00DA5E37"/>
    <w:rsid w:val="00DA6027"/>
    <w:rsid w:val="00DA6378"/>
    <w:rsid w:val="00DA6531"/>
    <w:rsid w:val="00DA65A6"/>
    <w:rsid w:val="00DA687C"/>
    <w:rsid w:val="00DA69DF"/>
    <w:rsid w:val="00DA71E0"/>
    <w:rsid w:val="00DA71E5"/>
    <w:rsid w:val="00DA7561"/>
    <w:rsid w:val="00DA79FC"/>
    <w:rsid w:val="00DA7B16"/>
    <w:rsid w:val="00DA7E68"/>
    <w:rsid w:val="00DB0039"/>
    <w:rsid w:val="00DB0155"/>
    <w:rsid w:val="00DB02CC"/>
    <w:rsid w:val="00DB02FA"/>
    <w:rsid w:val="00DB04D5"/>
    <w:rsid w:val="00DB06E5"/>
    <w:rsid w:val="00DB0CA2"/>
    <w:rsid w:val="00DB0EF8"/>
    <w:rsid w:val="00DB112A"/>
    <w:rsid w:val="00DB16A9"/>
    <w:rsid w:val="00DB16CC"/>
    <w:rsid w:val="00DB180A"/>
    <w:rsid w:val="00DB1858"/>
    <w:rsid w:val="00DB19BF"/>
    <w:rsid w:val="00DB1B2E"/>
    <w:rsid w:val="00DB1BC1"/>
    <w:rsid w:val="00DB1D58"/>
    <w:rsid w:val="00DB1EBB"/>
    <w:rsid w:val="00DB22B8"/>
    <w:rsid w:val="00DB24A4"/>
    <w:rsid w:val="00DB2580"/>
    <w:rsid w:val="00DB25A3"/>
    <w:rsid w:val="00DB30C7"/>
    <w:rsid w:val="00DB31A3"/>
    <w:rsid w:val="00DB353D"/>
    <w:rsid w:val="00DB35BA"/>
    <w:rsid w:val="00DB3971"/>
    <w:rsid w:val="00DB39CF"/>
    <w:rsid w:val="00DB3A7C"/>
    <w:rsid w:val="00DB3B82"/>
    <w:rsid w:val="00DB3E97"/>
    <w:rsid w:val="00DB3F46"/>
    <w:rsid w:val="00DB4262"/>
    <w:rsid w:val="00DB4371"/>
    <w:rsid w:val="00DB44A8"/>
    <w:rsid w:val="00DB461B"/>
    <w:rsid w:val="00DB4885"/>
    <w:rsid w:val="00DB498B"/>
    <w:rsid w:val="00DB4B44"/>
    <w:rsid w:val="00DB4C28"/>
    <w:rsid w:val="00DB4CC3"/>
    <w:rsid w:val="00DB5073"/>
    <w:rsid w:val="00DB513E"/>
    <w:rsid w:val="00DB5231"/>
    <w:rsid w:val="00DB54E7"/>
    <w:rsid w:val="00DB5C49"/>
    <w:rsid w:val="00DB5C7D"/>
    <w:rsid w:val="00DB5D11"/>
    <w:rsid w:val="00DB5DF9"/>
    <w:rsid w:val="00DB5F8B"/>
    <w:rsid w:val="00DB5FAA"/>
    <w:rsid w:val="00DB6001"/>
    <w:rsid w:val="00DB6212"/>
    <w:rsid w:val="00DB66DF"/>
    <w:rsid w:val="00DB675A"/>
    <w:rsid w:val="00DB6A6F"/>
    <w:rsid w:val="00DB6A89"/>
    <w:rsid w:val="00DB6AC5"/>
    <w:rsid w:val="00DB6E2D"/>
    <w:rsid w:val="00DB7012"/>
    <w:rsid w:val="00DB713D"/>
    <w:rsid w:val="00DB739C"/>
    <w:rsid w:val="00DB7461"/>
    <w:rsid w:val="00DB75BF"/>
    <w:rsid w:val="00DB770F"/>
    <w:rsid w:val="00DB7985"/>
    <w:rsid w:val="00DB7A73"/>
    <w:rsid w:val="00DC0271"/>
    <w:rsid w:val="00DC0671"/>
    <w:rsid w:val="00DC0676"/>
    <w:rsid w:val="00DC07B3"/>
    <w:rsid w:val="00DC08EB"/>
    <w:rsid w:val="00DC0A4A"/>
    <w:rsid w:val="00DC0A83"/>
    <w:rsid w:val="00DC0D0E"/>
    <w:rsid w:val="00DC10E9"/>
    <w:rsid w:val="00DC11BA"/>
    <w:rsid w:val="00DC1634"/>
    <w:rsid w:val="00DC1967"/>
    <w:rsid w:val="00DC1B7B"/>
    <w:rsid w:val="00DC1CB5"/>
    <w:rsid w:val="00DC1CCA"/>
    <w:rsid w:val="00DC202D"/>
    <w:rsid w:val="00DC2073"/>
    <w:rsid w:val="00DC2157"/>
    <w:rsid w:val="00DC2196"/>
    <w:rsid w:val="00DC2333"/>
    <w:rsid w:val="00DC2358"/>
    <w:rsid w:val="00DC23F9"/>
    <w:rsid w:val="00DC2404"/>
    <w:rsid w:val="00DC272F"/>
    <w:rsid w:val="00DC2873"/>
    <w:rsid w:val="00DC2906"/>
    <w:rsid w:val="00DC297C"/>
    <w:rsid w:val="00DC2E32"/>
    <w:rsid w:val="00DC2E56"/>
    <w:rsid w:val="00DC300C"/>
    <w:rsid w:val="00DC3131"/>
    <w:rsid w:val="00DC3695"/>
    <w:rsid w:val="00DC3FFA"/>
    <w:rsid w:val="00DC407C"/>
    <w:rsid w:val="00DC4577"/>
    <w:rsid w:val="00DC4A59"/>
    <w:rsid w:val="00DC5264"/>
    <w:rsid w:val="00DC54F2"/>
    <w:rsid w:val="00DC5AB8"/>
    <w:rsid w:val="00DC5B40"/>
    <w:rsid w:val="00DC5B8E"/>
    <w:rsid w:val="00DC635A"/>
    <w:rsid w:val="00DC6424"/>
    <w:rsid w:val="00DC6B57"/>
    <w:rsid w:val="00DC6B58"/>
    <w:rsid w:val="00DC6CE4"/>
    <w:rsid w:val="00DC6E7A"/>
    <w:rsid w:val="00DC6ED2"/>
    <w:rsid w:val="00DC701E"/>
    <w:rsid w:val="00DC7518"/>
    <w:rsid w:val="00DC7995"/>
    <w:rsid w:val="00DC7AA3"/>
    <w:rsid w:val="00DC7C85"/>
    <w:rsid w:val="00DC7F62"/>
    <w:rsid w:val="00DC7FE9"/>
    <w:rsid w:val="00DD014E"/>
    <w:rsid w:val="00DD0186"/>
    <w:rsid w:val="00DD02D1"/>
    <w:rsid w:val="00DD0633"/>
    <w:rsid w:val="00DD0846"/>
    <w:rsid w:val="00DD088C"/>
    <w:rsid w:val="00DD098B"/>
    <w:rsid w:val="00DD09B1"/>
    <w:rsid w:val="00DD0DD9"/>
    <w:rsid w:val="00DD10A9"/>
    <w:rsid w:val="00DD15F5"/>
    <w:rsid w:val="00DD1774"/>
    <w:rsid w:val="00DD1786"/>
    <w:rsid w:val="00DD17C4"/>
    <w:rsid w:val="00DD1A13"/>
    <w:rsid w:val="00DD1AF0"/>
    <w:rsid w:val="00DD1B97"/>
    <w:rsid w:val="00DD1C09"/>
    <w:rsid w:val="00DD1C52"/>
    <w:rsid w:val="00DD1E24"/>
    <w:rsid w:val="00DD224B"/>
    <w:rsid w:val="00DD2418"/>
    <w:rsid w:val="00DD246A"/>
    <w:rsid w:val="00DD2A9B"/>
    <w:rsid w:val="00DD317F"/>
    <w:rsid w:val="00DD342E"/>
    <w:rsid w:val="00DD34BF"/>
    <w:rsid w:val="00DD35C9"/>
    <w:rsid w:val="00DD3865"/>
    <w:rsid w:val="00DD3A00"/>
    <w:rsid w:val="00DD3F55"/>
    <w:rsid w:val="00DD40C7"/>
    <w:rsid w:val="00DD4342"/>
    <w:rsid w:val="00DD45BF"/>
    <w:rsid w:val="00DD460A"/>
    <w:rsid w:val="00DD461C"/>
    <w:rsid w:val="00DD46A0"/>
    <w:rsid w:val="00DD480B"/>
    <w:rsid w:val="00DD4AC6"/>
    <w:rsid w:val="00DD4D64"/>
    <w:rsid w:val="00DD5059"/>
    <w:rsid w:val="00DD50E4"/>
    <w:rsid w:val="00DD535D"/>
    <w:rsid w:val="00DD54CD"/>
    <w:rsid w:val="00DD5932"/>
    <w:rsid w:val="00DD59AA"/>
    <w:rsid w:val="00DD5EE3"/>
    <w:rsid w:val="00DD6128"/>
    <w:rsid w:val="00DD6149"/>
    <w:rsid w:val="00DD61AD"/>
    <w:rsid w:val="00DD61D1"/>
    <w:rsid w:val="00DD6414"/>
    <w:rsid w:val="00DD6478"/>
    <w:rsid w:val="00DD6553"/>
    <w:rsid w:val="00DD680A"/>
    <w:rsid w:val="00DD6BF6"/>
    <w:rsid w:val="00DD7328"/>
    <w:rsid w:val="00DD74CF"/>
    <w:rsid w:val="00DD794B"/>
    <w:rsid w:val="00DD7A80"/>
    <w:rsid w:val="00DE0BAE"/>
    <w:rsid w:val="00DE1240"/>
    <w:rsid w:val="00DE1845"/>
    <w:rsid w:val="00DE1849"/>
    <w:rsid w:val="00DE1968"/>
    <w:rsid w:val="00DE1B84"/>
    <w:rsid w:val="00DE1CCB"/>
    <w:rsid w:val="00DE1D14"/>
    <w:rsid w:val="00DE1FF8"/>
    <w:rsid w:val="00DE233C"/>
    <w:rsid w:val="00DE235D"/>
    <w:rsid w:val="00DE248A"/>
    <w:rsid w:val="00DE2557"/>
    <w:rsid w:val="00DE27EC"/>
    <w:rsid w:val="00DE2C0C"/>
    <w:rsid w:val="00DE2DB2"/>
    <w:rsid w:val="00DE3597"/>
    <w:rsid w:val="00DE3AA2"/>
    <w:rsid w:val="00DE3ADE"/>
    <w:rsid w:val="00DE3BAA"/>
    <w:rsid w:val="00DE3F4B"/>
    <w:rsid w:val="00DE4020"/>
    <w:rsid w:val="00DE40DC"/>
    <w:rsid w:val="00DE43F4"/>
    <w:rsid w:val="00DE472C"/>
    <w:rsid w:val="00DE4736"/>
    <w:rsid w:val="00DE47B9"/>
    <w:rsid w:val="00DE4BD8"/>
    <w:rsid w:val="00DE4BF8"/>
    <w:rsid w:val="00DE51DB"/>
    <w:rsid w:val="00DE5253"/>
    <w:rsid w:val="00DE52C4"/>
    <w:rsid w:val="00DE530C"/>
    <w:rsid w:val="00DE53C3"/>
    <w:rsid w:val="00DE53E6"/>
    <w:rsid w:val="00DE5513"/>
    <w:rsid w:val="00DE5720"/>
    <w:rsid w:val="00DE585B"/>
    <w:rsid w:val="00DE59DC"/>
    <w:rsid w:val="00DE5C93"/>
    <w:rsid w:val="00DE5D8A"/>
    <w:rsid w:val="00DE5F88"/>
    <w:rsid w:val="00DE5FE7"/>
    <w:rsid w:val="00DE6241"/>
    <w:rsid w:val="00DE64D1"/>
    <w:rsid w:val="00DE652A"/>
    <w:rsid w:val="00DE68F0"/>
    <w:rsid w:val="00DE6917"/>
    <w:rsid w:val="00DE6B28"/>
    <w:rsid w:val="00DE6DC0"/>
    <w:rsid w:val="00DE716F"/>
    <w:rsid w:val="00DE72A6"/>
    <w:rsid w:val="00DE7525"/>
    <w:rsid w:val="00DE7608"/>
    <w:rsid w:val="00DE7C44"/>
    <w:rsid w:val="00DE7E1E"/>
    <w:rsid w:val="00DF0076"/>
    <w:rsid w:val="00DF026D"/>
    <w:rsid w:val="00DF07D4"/>
    <w:rsid w:val="00DF07E4"/>
    <w:rsid w:val="00DF0DB8"/>
    <w:rsid w:val="00DF0E1C"/>
    <w:rsid w:val="00DF0E2D"/>
    <w:rsid w:val="00DF0F24"/>
    <w:rsid w:val="00DF10B9"/>
    <w:rsid w:val="00DF1137"/>
    <w:rsid w:val="00DF138D"/>
    <w:rsid w:val="00DF17D0"/>
    <w:rsid w:val="00DF1804"/>
    <w:rsid w:val="00DF1A9E"/>
    <w:rsid w:val="00DF1B98"/>
    <w:rsid w:val="00DF1C9C"/>
    <w:rsid w:val="00DF1EE5"/>
    <w:rsid w:val="00DF20CB"/>
    <w:rsid w:val="00DF21B5"/>
    <w:rsid w:val="00DF24EB"/>
    <w:rsid w:val="00DF2904"/>
    <w:rsid w:val="00DF291A"/>
    <w:rsid w:val="00DF29BB"/>
    <w:rsid w:val="00DF2D14"/>
    <w:rsid w:val="00DF2D46"/>
    <w:rsid w:val="00DF300C"/>
    <w:rsid w:val="00DF3355"/>
    <w:rsid w:val="00DF33D2"/>
    <w:rsid w:val="00DF3441"/>
    <w:rsid w:val="00DF352A"/>
    <w:rsid w:val="00DF3878"/>
    <w:rsid w:val="00DF3B72"/>
    <w:rsid w:val="00DF3E40"/>
    <w:rsid w:val="00DF4044"/>
    <w:rsid w:val="00DF41D1"/>
    <w:rsid w:val="00DF42B3"/>
    <w:rsid w:val="00DF4414"/>
    <w:rsid w:val="00DF44BE"/>
    <w:rsid w:val="00DF44E6"/>
    <w:rsid w:val="00DF4819"/>
    <w:rsid w:val="00DF4B26"/>
    <w:rsid w:val="00DF4B2A"/>
    <w:rsid w:val="00DF549C"/>
    <w:rsid w:val="00DF562F"/>
    <w:rsid w:val="00DF567A"/>
    <w:rsid w:val="00DF5690"/>
    <w:rsid w:val="00DF5729"/>
    <w:rsid w:val="00DF5868"/>
    <w:rsid w:val="00DF5A18"/>
    <w:rsid w:val="00DF5CA6"/>
    <w:rsid w:val="00DF5D3C"/>
    <w:rsid w:val="00DF5E40"/>
    <w:rsid w:val="00DF60E3"/>
    <w:rsid w:val="00DF65F6"/>
    <w:rsid w:val="00DF67E0"/>
    <w:rsid w:val="00DF6C25"/>
    <w:rsid w:val="00DF6ED9"/>
    <w:rsid w:val="00DF71D1"/>
    <w:rsid w:val="00DF72C5"/>
    <w:rsid w:val="00DF7308"/>
    <w:rsid w:val="00DF79E8"/>
    <w:rsid w:val="00DF7E6C"/>
    <w:rsid w:val="00DF7F5D"/>
    <w:rsid w:val="00E00382"/>
    <w:rsid w:val="00E00514"/>
    <w:rsid w:val="00E006D7"/>
    <w:rsid w:val="00E008AA"/>
    <w:rsid w:val="00E00AD1"/>
    <w:rsid w:val="00E00FE3"/>
    <w:rsid w:val="00E01088"/>
    <w:rsid w:val="00E011A1"/>
    <w:rsid w:val="00E011D5"/>
    <w:rsid w:val="00E01225"/>
    <w:rsid w:val="00E0126B"/>
    <w:rsid w:val="00E0129A"/>
    <w:rsid w:val="00E01397"/>
    <w:rsid w:val="00E01875"/>
    <w:rsid w:val="00E01CE0"/>
    <w:rsid w:val="00E021E8"/>
    <w:rsid w:val="00E023A7"/>
    <w:rsid w:val="00E02464"/>
    <w:rsid w:val="00E025AE"/>
    <w:rsid w:val="00E029AD"/>
    <w:rsid w:val="00E02AC7"/>
    <w:rsid w:val="00E02ADB"/>
    <w:rsid w:val="00E02BF1"/>
    <w:rsid w:val="00E030DB"/>
    <w:rsid w:val="00E0317A"/>
    <w:rsid w:val="00E034DC"/>
    <w:rsid w:val="00E03765"/>
    <w:rsid w:val="00E0393A"/>
    <w:rsid w:val="00E03A14"/>
    <w:rsid w:val="00E03B77"/>
    <w:rsid w:val="00E041F4"/>
    <w:rsid w:val="00E04314"/>
    <w:rsid w:val="00E046E2"/>
    <w:rsid w:val="00E04880"/>
    <w:rsid w:val="00E04953"/>
    <w:rsid w:val="00E04D14"/>
    <w:rsid w:val="00E0504A"/>
    <w:rsid w:val="00E05175"/>
    <w:rsid w:val="00E05373"/>
    <w:rsid w:val="00E05702"/>
    <w:rsid w:val="00E058AF"/>
    <w:rsid w:val="00E05926"/>
    <w:rsid w:val="00E05C46"/>
    <w:rsid w:val="00E064BD"/>
    <w:rsid w:val="00E06596"/>
    <w:rsid w:val="00E06808"/>
    <w:rsid w:val="00E075D9"/>
    <w:rsid w:val="00E07778"/>
    <w:rsid w:val="00E07784"/>
    <w:rsid w:val="00E07B6B"/>
    <w:rsid w:val="00E07C99"/>
    <w:rsid w:val="00E07CD1"/>
    <w:rsid w:val="00E07D95"/>
    <w:rsid w:val="00E07F19"/>
    <w:rsid w:val="00E07FF2"/>
    <w:rsid w:val="00E100B3"/>
    <w:rsid w:val="00E1026B"/>
    <w:rsid w:val="00E10649"/>
    <w:rsid w:val="00E10874"/>
    <w:rsid w:val="00E10886"/>
    <w:rsid w:val="00E10F85"/>
    <w:rsid w:val="00E10FB8"/>
    <w:rsid w:val="00E11374"/>
    <w:rsid w:val="00E1145B"/>
    <w:rsid w:val="00E116BB"/>
    <w:rsid w:val="00E118A1"/>
    <w:rsid w:val="00E11A99"/>
    <w:rsid w:val="00E11F4F"/>
    <w:rsid w:val="00E12324"/>
    <w:rsid w:val="00E1232A"/>
    <w:rsid w:val="00E12494"/>
    <w:rsid w:val="00E124AD"/>
    <w:rsid w:val="00E125BD"/>
    <w:rsid w:val="00E128E2"/>
    <w:rsid w:val="00E1297C"/>
    <w:rsid w:val="00E12AA7"/>
    <w:rsid w:val="00E12B39"/>
    <w:rsid w:val="00E12C79"/>
    <w:rsid w:val="00E132D1"/>
    <w:rsid w:val="00E13436"/>
    <w:rsid w:val="00E13463"/>
    <w:rsid w:val="00E134A4"/>
    <w:rsid w:val="00E1371F"/>
    <w:rsid w:val="00E139AD"/>
    <w:rsid w:val="00E13CFC"/>
    <w:rsid w:val="00E1456B"/>
    <w:rsid w:val="00E1468A"/>
    <w:rsid w:val="00E14C43"/>
    <w:rsid w:val="00E1506E"/>
    <w:rsid w:val="00E1508E"/>
    <w:rsid w:val="00E1525D"/>
    <w:rsid w:val="00E15416"/>
    <w:rsid w:val="00E15545"/>
    <w:rsid w:val="00E155A2"/>
    <w:rsid w:val="00E1562B"/>
    <w:rsid w:val="00E156ED"/>
    <w:rsid w:val="00E15B3B"/>
    <w:rsid w:val="00E15B98"/>
    <w:rsid w:val="00E15D73"/>
    <w:rsid w:val="00E15E84"/>
    <w:rsid w:val="00E15EC6"/>
    <w:rsid w:val="00E1616D"/>
    <w:rsid w:val="00E166AA"/>
    <w:rsid w:val="00E16867"/>
    <w:rsid w:val="00E16B63"/>
    <w:rsid w:val="00E16C19"/>
    <w:rsid w:val="00E16C2E"/>
    <w:rsid w:val="00E16D2A"/>
    <w:rsid w:val="00E16E33"/>
    <w:rsid w:val="00E1712D"/>
    <w:rsid w:val="00E1718D"/>
    <w:rsid w:val="00E17666"/>
    <w:rsid w:val="00E1769E"/>
    <w:rsid w:val="00E179A0"/>
    <w:rsid w:val="00E179AD"/>
    <w:rsid w:val="00E17A46"/>
    <w:rsid w:val="00E17C21"/>
    <w:rsid w:val="00E17F0C"/>
    <w:rsid w:val="00E20231"/>
    <w:rsid w:val="00E20313"/>
    <w:rsid w:val="00E204D4"/>
    <w:rsid w:val="00E206D1"/>
    <w:rsid w:val="00E207B5"/>
    <w:rsid w:val="00E2080E"/>
    <w:rsid w:val="00E20C6D"/>
    <w:rsid w:val="00E20F35"/>
    <w:rsid w:val="00E212AB"/>
    <w:rsid w:val="00E2137E"/>
    <w:rsid w:val="00E2153D"/>
    <w:rsid w:val="00E21A57"/>
    <w:rsid w:val="00E21A8F"/>
    <w:rsid w:val="00E21D50"/>
    <w:rsid w:val="00E22745"/>
    <w:rsid w:val="00E228A3"/>
    <w:rsid w:val="00E22A1F"/>
    <w:rsid w:val="00E22AAC"/>
    <w:rsid w:val="00E22BB2"/>
    <w:rsid w:val="00E22C77"/>
    <w:rsid w:val="00E2388B"/>
    <w:rsid w:val="00E238F1"/>
    <w:rsid w:val="00E238FD"/>
    <w:rsid w:val="00E23A96"/>
    <w:rsid w:val="00E23A97"/>
    <w:rsid w:val="00E240D0"/>
    <w:rsid w:val="00E24212"/>
    <w:rsid w:val="00E24395"/>
    <w:rsid w:val="00E245D6"/>
    <w:rsid w:val="00E246D5"/>
    <w:rsid w:val="00E247D3"/>
    <w:rsid w:val="00E24A60"/>
    <w:rsid w:val="00E25084"/>
    <w:rsid w:val="00E25131"/>
    <w:rsid w:val="00E25333"/>
    <w:rsid w:val="00E25420"/>
    <w:rsid w:val="00E25442"/>
    <w:rsid w:val="00E2580D"/>
    <w:rsid w:val="00E259A9"/>
    <w:rsid w:val="00E25CC6"/>
    <w:rsid w:val="00E25EBB"/>
    <w:rsid w:val="00E2618B"/>
    <w:rsid w:val="00E2624F"/>
    <w:rsid w:val="00E2667A"/>
    <w:rsid w:val="00E26AFA"/>
    <w:rsid w:val="00E26ECE"/>
    <w:rsid w:val="00E26F3E"/>
    <w:rsid w:val="00E27102"/>
    <w:rsid w:val="00E27553"/>
    <w:rsid w:val="00E27711"/>
    <w:rsid w:val="00E27869"/>
    <w:rsid w:val="00E27A5D"/>
    <w:rsid w:val="00E27BB3"/>
    <w:rsid w:val="00E27CE1"/>
    <w:rsid w:val="00E301F8"/>
    <w:rsid w:val="00E30205"/>
    <w:rsid w:val="00E30251"/>
    <w:rsid w:val="00E30364"/>
    <w:rsid w:val="00E3046F"/>
    <w:rsid w:val="00E30501"/>
    <w:rsid w:val="00E30534"/>
    <w:rsid w:val="00E31210"/>
    <w:rsid w:val="00E31240"/>
    <w:rsid w:val="00E3194C"/>
    <w:rsid w:val="00E31A15"/>
    <w:rsid w:val="00E31B21"/>
    <w:rsid w:val="00E31EE5"/>
    <w:rsid w:val="00E31F57"/>
    <w:rsid w:val="00E32033"/>
    <w:rsid w:val="00E32080"/>
    <w:rsid w:val="00E323B1"/>
    <w:rsid w:val="00E32685"/>
    <w:rsid w:val="00E32D0F"/>
    <w:rsid w:val="00E32D72"/>
    <w:rsid w:val="00E330F1"/>
    <w:rsid w:val="00E3329F"/>
    <w:rsid w:val="00E333E1"/>
    <w:rsid w:val="00E33B96"/>
    <w:rsid w:val="00E34152"/>
    <w:rsid w:val="00E34171"/>
    <w:rsid w:val="00E34490"/>
    <w:rsid w:val="00E3469A"/>
    <w:rsid w:val="00E347D5"/>
    <w:rsid w:val="00E34C5C"/>
    <w:rsid w:val="00E3557F"/>
    <w:rsid w:val="00E35600"/>
    <w:rsid w:val="00E35782"/>
    <w:rsid w:val="00E358E9"/>
    <w:rsid w:val="00E35BEB"/>
    <w:rsid w:val="00E36117"/>
    <w:rsid w:val="00E36235"/>
    <w:rsid w:val="00E363A5"/>
    <w:rsid w:val="00E363C7"/>
    <w:rsid w:val="00E36598"/>
    <w:rsid w:val="00E3666F"/>
    <w:rsid w:val="00E366F4"/>
    <w:rsid w:val="00E3676A"/>
    <w:rsid w:val="00E367CF"/>
    <w:rsid w:val="00E36C8F"/>
    <w:rsid w:val="00E37398"/>
    <w:rsid w:val="00E37606"/>
    <w:rsid w:val="00E40200"/>
    <w:rsid w:val="00E40305"/>
    <w:rsid w:val="00E405AF"/>
    <w:rsid w:val="00E40B5D"/>
    <w:rsid w:val="00E410E9"/>
    <w:rsid w:val="00E41379"/>
    <w:rsid w:val="00E4157E"/>
    <w:rsid w:val="00E416ED"/>
    <w:rsid w:val="00E41D01"/>
    <w:rsid w:val="00E41D87"/>
    <w:rsid w:val="00E41E56"/>
    <w:rsid w:val="00E42038"/>
    <w:rsid w:val="00E420B6"/>
    <w:rsid w:val="00E42116"/>
    <w:rsid w:val="00E4216A"/>
    <w:rsid w:val="00E42342"/>
    <w:rsid w:val="00E424B3"/>
    <w:rsid w:val="00E4263B"/>
    <w:rsid w:val="00E42C5A"/>
    <w:rsid w:val="00E42D23"/>
    <w:rsid w:val="00E42F9D"/>
    <w:rsid w:val="00E43837"/>
    <w:rsid w:val="00E43B38"/>
    <w:rsid w:val="00E43B9A"/>
    <w:rsid w:val="00E43E5D"/>
    <w:rsid w:val="00E43E5E"/>
    <w:rsid w:val="00E43FA5"/>
    <w:rsid w:val="00E443F2"/>
    <w:rsid w:val="00E44636"/>
    <w:rsid w:val="00E446F6"/>
    <w:rsid w:val="00E44814"/>
    <w:rsid w:val="00E44884"/>
    <w:rsid w:val="00E448B8"/>
    <w:rsid w:val="00E4490D"/>
    <w:rsid w:val="00E44920"/>
    <w:rsid w:val="00E44AD9"/>
    <w:rsid w:val="00E44CA6"/>
    <w:rsid w:val="00E452A6"/>
    <w:rsid w:val="00E45367"/>
    <w:rsid w:val="00E45443"/>
    <w:rsid w:val="00E45446"/>
    <w:rsid w:val="00E4554F"/>
    <w:rsid w:val="00E456A1"/>
    <w:rsid w:val="00E45896"/>
    <w:rsid w:val="00E45924"/>
    <w:rsid w:val="00E45DC4"/>
    <w:rsid w:val="00E46025"/>
    <w:rsid w:val="00E46106"/>
    <w:rsid w:val="00E463FB"/>
    <w:rsid w:val="00E466CA"/>
    <w:rsid w:val="00E46702"/>
    <w:rsid w:val="00E46C41"/>
    <w:rsid w:val="00E46D43"/>
    <w:rsid w:val="00E46DED"/>
    <w:rsid w:val="00E4741A"/>
    <w:rsid w:val="00E4744C"/>
    <w:rsid w:val="00E476F3"/>
    <w:rsid w:val="00E479A3"/>
    <w:rsid w:val="00E47BC7"/>
    <w:rsid w:val="00E47D35"/>
    <w:rsid w:val="00E47F78"/>
    <w:rsid w:val="00E505DC"/>
    <w:rsid w:val="00E5072E"/>
    <w:rsid w:val="00E50C6B"/>
    <w:rsid w:val="00E51439"/>
    <w:rsid w:val="00E516D4"/>
    <w:rsid w:val="00E516D5"/>
    <w:rsid w:val="00E517BB"/>
    <w:rsid w:val="00E518C6"/>
    <w:rsid w:val="00E51DF9"/>
    <w:rsid w:val="00E52325"/>
    <w:rsid w:val="00E52627"/>
    <w:rsid w:val="00E528F7"/>
    <w:rsid w:val="00E52F1F"/>
    <w:rsid w:val="00E53344"/>
    <w:rsid w:val="00E5356E"/>
    <w:rsid w:val="00E536EE"/>
    <w:rsid w:val="00E537D7"/>
    <w:rsid w:val="00E53810"/>
    <w:rsid w:val="00E53A18"/>
    <w:rsid w:val="00E53AF5"/>
    <w:rsid w:val="00E53D89"/>
    <w:rsid w:val="00E53F61"/>
    <w:rsid w:val="00E53FCE"/>
    <w:rsid w:val="00E54163"/>
    <w:rsid w:val="00E54217"/>
    <w:rsid w:val="00E543D2"/>
    <w:rsid w:val="00E54673"/>
    <w:rsid w:val="00E548BC"/>
    <w:rsid w:val="00E54972"/>
    <w:rsid w:val="00E54A10"/>
    <w:rsid w:val="00E54A5F"/>
    <w:rsid w:val="00E54D68"/>
    <w:rsid w:val="00E54DC4"/>
    <w:rsid w:val="00E55050"/>
    <w:rsid w:val="00E554E4"/>
    <w:rsid w:val="00E556AC"/>
    <w:rsid w:val="00E556CC"/>
    <w:rsid w:val="00E557A2"/>
    <w:rsid w:val="00E55A86"/>
    <w:rsid w:val="00E55CF2"/>
    <w:rsid w:val="00E55E1A"/>
    <w:rsid w:val="00E55F62"/>
    <w:rsid w:val="00E55F9A"/>
    <w:rsid w:val="00E560A6"/>
    <w:rsid w:val="00E562EF"/>
    <w:rsid w:val="00E56313"/>
    <w:rsid w:val="00E56774"/>
    <w:rsid w:val="00E56C4D"/>
    <w:rsid w:val="00E56D99"/>
    <w:rsid w:val="00E57102"/>
    <w:rsid w:val="00E57168"/>
    <w:rsid w:val="00E57492"/>
    <w:rsid w:val="00E57505"/>
    <w:rsid w:val="00E575B2"/>
    <w:rsid w:val="00E575CE"/>
    <w:rsid w:val="00E57B6A"/>
    <w:rsid w:val="00E60139"/>
    <w:rsid w:val="00E6069F"/>
    <w:rsid w:val="00E60812"/>
    <w:rsid w:val="00E609EF"/>
    <w:rsid w:val="00E60AAE"/>
    <w:rsid w:val="00E60C8F"/>
    <w:rsid w:val="00E60CB0"/>
    <w:rsid w:val="00E60D76"/>
    <w:rsid w:val="00E60E91"/>
    <w:rsid w:val="00E61595"/>
    <w:rsid w:val="00E61796"/>
    <w:rsid w:val="00E61857"/>
    <w:rsid w:val="00E61873"/>
    <w:rsid w:val="00E61906"/>
    <w:rsid w:val="00E61D25"/>
    <w:rsid w:val="00E61D33"/>
    <w:rsid w:val="00E61EDE"/>
    <w:rsid w:val="00E620A5"/>
    <w:rsid w:val="00E621F6"/>
    <w:rsid w:val="00E622C1"/>
    <w:rsid w:val="00E626DE"/>
    <w:rsid w:val="00E6290B"/>
    <w:rsid w:val="00E6292D"/>
    <w:rsid w:val="00E62E37"/>
    <w:rsid w:val="00E630B8"/>
    <w:rsid w:val="00E6327B"/>
    <w:rsid w:val="00E63350"/>
    <w:rsid w:val="00E634C6"/>
    <w:rsid w:val="00E634DE"/>
    <w:rsid w:val="00E6354A"/>
    <w:rsid w:val="00E635C5"/>
    <w:rsid w:val="00E63F38"/>
    <w:rsid w:val="00E63FB0"/>
    <w:rsid w:val="00E64013"/>
    <w:rsid w:val="00E6451D"/>
    <w:rsid w:val="00E645FA"/>
    <w:rsid w:val="00E6469F"/>
    <w:rsid w:val="00E646AE"/>
    <w:rsid w:val="00E6496B"/>
    <w:rsid w:val="00E649CD"/>
    <w:rsid w:val="00E64AF5"/>
    <w:rsid w:val="00E64D7D"/>
    <w:rsid w:val="00E64E33"/>
    <w:rsid w:val="00E64F93"/>
    <w:rsid w:val="00E656DC"/>
    <w:rsid w:val="00E65803"/>
    <w:rsid w:val="00E65959"/>
    <w:rsid w:val="00E659C4"/>
    <w:rsid w:val="00E65E52"/>
    <w:rsid w:val="00E65FC1"/>
    <w:rsid w:val="00E667E1"/>
    <w:rsid w:val="00E669B2"/>
    <w:rsid w:val="00E6747A"/>
    <w:rsid w:val="00E67871"/>
    <w:rsid w:val="00E67955"/>
    <w:rsid w:val="00E67C39"/>
    <w:rsid w:val="00E67D8E"/>
    <w:rsid w:val="00E7004D"/>
    <w:rsid w:val="00E70285"/>
    <w:rsid w:val="00E703F7"/>
    <w:rsid w:val="00E708DD"/>
    <w:rsid w:val="00E70AA1"/>
    <w:rsid w:val="00E70BA3"/>
    <w:rsid w:val="00E70E88"/>
    <w:rsid w:val="00E70EFA"/>
    <w:rsid w:val="00E70F6E"/>
    <w:rsid w:val="00E7102E"/>
    <w:rsid w:val="00E712DE"/>
    <w:rsid w:val="00E71478"/>
    <w:rsid w:val="00E716D1"/>
    <w:rsid w:val="00E717D5"/>
    <w:rsid w:val="00E719F0"/>
    <w:rsid w:val="00E71A1E"/>
    <w:rsid w:val="00E71D8B"/>
    <w:rsid w:val="00E71E97"/>
    <w:rsid w:val="00E71F3F"/>
    <w:rsid w:val="00E721B8"/>
    <w:rsid w:val="00E72254"/>
    <w:rsid w:val="00E723F2"/>
    <w:rsid w:val="00E727EE"/>
    <w:rsid w:val="00E72858"/>
    <w:rsid w:val="00E729C2"/>
    <w:rsid w:val="00E72AE4"/>
    <w:rsid w:val="00E72DF8"/>
    <w:rsid w:val="00E72F92"/>
    <w:rsid w:val="00E73021"/>
    <w:rsid w:val="00E73248"/>
    <w:rsid w:val="00E736DC"/>
    <w:rsid w:val="00E73724"/>
    <w:rsid w:val="00E73943"/>
    <w:rsid w:val="00E73DC7"/>
    <w:rsid w:val="00E73F34"/>
    <w:rsid w:val="00E7404F"/>
    <w:rsid w:val="00E74071"/>
    <w:rsid w:val="00E74333"/>
    <w:rsid w:val="00E743B4"/>
    <w:rsid w:val="00E74429"/>
    <w:rsid w:val="00E74B9D"/>
    <w:rsid w:val="00E74BD9"/>
    <w:rsid w:val="00E74CDB"/>
    <w:rsid w:val="00E74D14"/>
    <w:rsid w:val="00E74D80"/>
    <w:rsid w:val="00E74E63"/>
    <w:rsid w:val="00E7506D"/>
    <w:rsid w:val="00E751DE"/>
    <w:rsid w:val="00E753B8"/>
    <w:rsid w:val="00E7546C"/>
    <w:rsid w:val="00E756BE"/>
    <w:rsid w:val="00E75E30"/>
    <w:rsid w:val="00E762F8"/>
    <w:rsid w:val="00E768FC"/>
    <w:rsid w:val="00E76A3C"/>
    <w:rsid w:val="00E770C1"/>
    <w:rsid w:val="00E770DC"/>
    <w:rsid w:val="00E771D6"/>
    <w:rsid w:val="00E77307"/>
    <w:rsid w:val="00E77B99"/>
    <w:rsid w:val="00E77D91"/>
    <w:rsid w:val="00E77F7A"/>
    <w:rsid w:val="00E80386"/>
    <w:rsid w:val="00E8038A"/>
    <w:rsid w:val="00E803A9"/>
    <w:rsid w:val="00E80483"/>
    <w:rsid w:val="00E8062C"/>
    <w:rsid w:val="00E8098F"/>
    <w:rsid w:val="00E80CAC"/>
    <w:rsid w:val="00E80CE5"/>
    <w:rsid w:val="00E81368"/>
    <w:rsid w:val="00E81483"/>
    <w:rsid w:val="00E817F4"/>
    <w:rsid w:val="00E820D3"/>
    <w:rsid w:val="00E821E6"/>
    <w:rsid w:val="00E82589"/>
    <w:rsid w:val="00E8286B"/>
    <w:rsid w:val="00E8286D"/>
    <w:rsid w:val="00E829FA"/>
    <w:rsid w:val="00E82C27"/>
    <w:rsid w:val="00E82C6F"/>
    <w:rsid w:val="00E82CCC"/>
    <w:rsid w:val="00E833BE"/>
    <w:rsid w:val="00E833FB"/>
    <w:rsid w:val="00E8357D"/>
    <w:rsid w:val="00E83A0D"/>
    <w:rsid w:val="00E83B71"/>
    <w:rsid w:val="00E83CC0"/>
    <w:rsid w:val="00E83CD0"/>
    <w:rsid w:val="00E83D6D"/>
    <w:rsid w:val="00E83E49"/>
    <w:rsid w:val="00E83E8A"/>
    <w:rsid w:val="00E83F09"/>
    <w:rsid w:val="00E840F7"/>
    <w:rsid w:val="00E84179"/>
    <w:rsid w:val="00E8498A"/>
    <w:rsid w:val="00E849B0"/>
    <w:rsid w:val="00E84BEC"/>
    <w:rsid w:val="00E84C04"/>
    <w:rsid w:val="00E851F2"/>
    <w:rsid w:val="00E853CB"/>
    <w:rsid w:val="00E856C1"/>
    <w:rsid w:val="00E8576D"/>
    <w:rsid w:val="00E85B2A"/>
    <w:rsid w:val="00E85D0C"/>
    <w:rsid w:val="00E85F84"/>
    <w:rsid w:val="00E86266"/>
    <w:rsid w:val="00E86429"/>
    <w:rsid w:val="00E86673"/>
    <w:rsid w:val="00E86682"/>
    <w:rsid w:val="00E866C1"/>
    <w:rsid w:val="00E866C5"/>
    <w:rsid w:val="00E86D2D"/>
    <w:rsid w:val="00E86DA4"/>
    <w:rsid w:val="00E87134"/>
    <w:rsid w:val="00E8721B"/>
    <w:rsid w:val="00E8730D"/>
    <w:rsid w:val="00E875B1"/>
    <w:rsid w:val="00E8795F"/>
    <w:rsid w:val="00E87989"/>
    <w:rsid w:val="00E87C1C"/>
    <w:rsid w:val="00E90135"/>
    <w:rsid w:val="00E90281"/>
    <w:rsid w:val="00E90397"/>
    <w:rsid w:val="00E9068D"/>
    <w:rsid w:val="00E90784"/>
    <w:rsid w:val="00E907D5"/>
    <w:rsid w:val="00E90F6F"/>
    <w:rsid w:val="00E91009"/>
    <w:rsid w:val="00E91248"/>
    <w:rsid w:val="00E9153A"/>
    <w:rsid w:val="00E915E2"/>
    <w:rsid w:val="00E918C9"/>
    <w:rsid w:val="00E919B2"/>
    <w:rsid w:val="00E922DA"/>
    <w:rsid w:val="00E923EB"/>
    <w:rsid w:val="00E92697"/>
    <w:rsid w:val="00E928FB"/>
    <w:rsid w:val="00E9297F"/>
    <w:rsid w:val="00E92CAB"/>
    <w:rsid w:val="00E9307E"/>
    <w:rsid w:val="00E9310C"/>
    <w:rsid w:val="00E93386"/>
    <w:rsid w:val="00E933C0"/>
    <w:rsid w:val="00E93457"/>
    <w:rsid w:val="00E9345F"/>
    <w:rsid w:val="00E9366F"/>
    <w:rsid w:val="00E93A4C"/>
    <w:rsid w:val="00E93B76"/>
    <w:rsid w:val="00E940BB"/>
    <w:rsid w:val="00E94279"/>
    <w:rsid w:val="00E942F1"/>
    <w:rsid w:val="00E94325"/>
    <w:rsid w:val="00E94448"/>
    <w:rsid w:val="00E94CAB"/>
    <w:rsid w:val="00E94D2F"/>
    <w:rsid w:val="00E94E8E"/>
    <w:rsid w:val="00E94EDA"/>
    <w:rsid w:val="00E95224"/>
    <w:rsid w:val="00E9565D"/>
    <w:rsid w:val="00E95677"/>
    <w:rsid w:val="00E95679"/>
    <w:rsid w:val="00E9575F"/>
    <w:rsid w:val="00E95815"/>
    <w:rsid w:val="00E9589A"/>
    <w:rsid w:val="00E9618F"/>
    <w:rsid w:val="00E961CE"/>
    <w:rsid w:val="00E967CE"/>
    <w:rsid w:val="00E96A21"/>
    <w:rsid w:val="00E96ABA"/>
    <w:rsid w:val="00E96BF2"/>
    <w:rsid w:val="00E96F47"/>
    <w:rsid w:val="00E96FB4"/>
    <w:rsid w:val="00E97135"/>
    <w:rsid w:val="00E97156"/>
    <w:rsid w:val="00E971E6"/>
    <w:rsid w:val="00E97516"/>
    <w:rsid w:val="00E97531"/>
    <w:rsid w:val="00E97944"/>
    <w:rsid w:val="00E9797C"/>
    <w:rsid w:val="00E97C3A"/>
    <w:rsid w:val="00E97DA4"/>
    <w:rsid w:val="00E97E8B"/>
    <w:rsid w:val="00EA036C"/>
    <w:rsid w:val="00EA0378"/>
    <w:rsid w:val="00EA0455"/>
    <w:rsid w:val="00EA05D5"/>
    <w:rsid w:val="00EA09AA"/>
    <w:rsid w:val="00EA1071"/>
    <w:rsid w:val="00EA1076"/>
    <w:rsid w:val="00EA10C8"/>
    <w:rsid w:val="00EA1137"/>
    <w:rsid w:val="00EA12E3"/>
    <w:rsid w:val="00EA147C"/>
    <w:rsid w:val="00EA170E"/>
    <w:rsid w:val="00EA19F7"/>
    <w:rsid w:val="00EA1C19"/>
    <w:rsid w:val="00EA1FB5"/>
    <w:rsid w:val="00EA2499"/>
    <w:rsid w:val="00EA2844"/>
    <w:rsid w:val="00EA2972"/>
    <w:rsid w:val="00EA2B57"/>
    <w:rsid w:val="00EA2C32"/>
    <w:rsid w:val="00EA2DE5"/>
    <w:rsid w:val="00EA2E69"/>
    <w:rsid w:val="00EA3345"/>
    <w:rsid w:val="00EA3795"/>
    <w:rsid w:val="00EA382A"/>
    <w:rsid w:val="00EA3836"/>
    <w:rsid w:val="00EA3ADE"/>
    <w:rsid w:val="00EA3C40"/>
    <w:rsid w:val="00EA41EE"/>
    <w:rsid w:val="00EA4449"/>
    <w:rsid w:val="00EA48EF"/>
    <w:rsid w:val="00EA4C46"/>
    <w:rsid w:val="00EA4D02"/>
    <w:rsid w:val="00EA4E08"/>
    <w:rsid w:val="00EA5079"/>
    <w:rsid w:val="00EA50DF"/>
    <w:rsid w:val="00EA51B1"/>
    <w:rsid w:val="00EA51DC"/>
    <w:rsid w:val="00EA520E"/>
    <w:rsid w:val="00EA522C"/>
    <w:rsid w:val="00EA52A1"/>
    <w:rsid w:val="00EA5335"/>
    <w:rsid w:val="00EA539B"/>
    <w:rsid w:val="00EA58F9"/>
    <w:rsid w:val="00EA5911"/>
    <w:rsid w:val="00EA59FD"/>
    <w:rsid w:val="00EA5AB8"/>
    <w:rsid w:val="00EA5CE4"/>
    <w:rsid w:val="00EA5FB7"/>
    <w:rsid w:val="00EA616F"/>
    <w:rsid w:val="00EA62F5"/>
    <w:rsid w:val="00EA65CE"/>
    <w:rsid w:val="00EA6AB4"/>
    <w:rsid w:val="00EA7132"/>
    <w:rsid w:val="00EA7360"/>
    <w:rsid w:val="00EA7644"/>
    <w:rsid w:val="00EA77CC"/>
    <w:rsid w:val="00EA7B77"/>
    <w:rsid w:val="00EA7E43"/>
    <w:rsid w:val="00EA7ECE"/>
    <w:rsid w:val="00EB0313"/>
    <w:rsid w:val="00EB0D6F"/>
    <w:rsid w:val="00EB0DE2"/>
    <w:rsid w:val="00EB0E5A"/>
    <w:rsid w:val="00EB10EE"/>
    <w:rsid w:val="00EB168A"/>
    <w:rsid w:val="00EB1760"/>
    <w:rsid w:val="00EB17C7"/>
    <w:rsid w:val="00EB1BAF"/>
    <w:rsid w:val="00EB1BF3"/>
    <w:rsid w:val="00EB1FE7"/>
    <w:rsid w:val="00EB21B4"/>
    <w:rsid w:val="00EB2310"/>
    <w:rsid w:val="00EB23F4"/>
    <w:rsid w:val="00EB2644"/>
    <w:rsid w:val="00EB2769"/>
    <w:rsid w:val="00EB2AAA"/>
    <w:rsid w:val="00EB2AC1"/>
    <w:rsid w:val="00EB2C01"/>
    <w:rsid w:val="00EB2C99"/>
    <w:rsid w:val="00EB2FF3"/>
    <w:rsid w:val="00EB316E"/>
    <w:rsid w:val="00EB33FE"/>
    <w:rsid w:val="00EB3456"/>
    <w:rsid w:val="00EB36C2"/>
    <w:rsid w:val="00EB36C4"/>
    <w:rsid w:val="00EB3EC3"/>
    <w:rsid w:val="00EB3F02"/>
    <w:rsid w:val="00EB536B"/>
    <w:rsid w:val="00EB5802"/>
    <w:rsid w:val="00EB58D8"/>
    <w:rsid w:val="00EB5E8E"/>
    <w:rsid w:val="00EB6323"/>
    <w:rsid w:val="00EB6683"/>
    <w:rsid w:val="00EB66A4"/>
    <w:rsid w:val="00EB68B2"/>
    <w:rsid w:val="00EB6BE6"/>
    <w:rsid w:val="00EB7085"/>
    <w:rsid w:val="00EB7260"/>
    <w:rsid w:val="00EB7892"/>
    <w:rsid w:val="00EB7ABF"/>
    <w:rsid w:val="00EC0288"/>
    <w:rsid w:val="00EC046B"/>
    <w:rsid w:val="00EC077B"/>
    <w:rsid w:val="00EC0855"/>
    <w:rsid w:val="00EC0D0C"/>
    <w:rsid w:val="00EC0EE8"/>
    <w:rsid w:val="00EC0F56"/>
    <w:rsid w:val="00EC14AB"/>
    <w:rsid w:val="00EC19F6"/>
    <w:rsid w:val="00EC1B5D"/>
    <w:rsid w:val="00EC2333"/>
    <w:rsid w:val="00EC2753"/>
    <w:rsid w:val="00EC275D"/>
    <w:rsid w:val="00EC2A4A"/>
    <w:rsid w:val="00EC2CF9"/>
    <w:rsid w:val="00EC3007"/>
    <w:rsid w:val="00EC32A2"/>
    <w:rsid w:val="00EC381F"/>
    <w:rsid w:val="00EC398A"/>
    <w:rsid w:val="00EC3B16"/>
    <w:rsid w:val="00EC3BE4"/>
    <w:rsid w:val="00EC3F2D"/>
    <w:rsid w:val="00EC4265"/>
    <w:rsid w:val="00EC4407"/>
    <w:rsid w:val="00EC471B"/>
    <w:rsid w:val="00EC48D0"/>
    <w:rsid w:val="00EC4E55"/>
    <w:rsid w:val="00EC50DD"/>
    <w:rsid w:val="00EC5178"/>
    <w:rsid w:val="00EC51B3"/>
    <w:rsid w:val="00EC52C0"/>
    <w:rsid w:val="00EC55D8"/>
    <w:rsid w:val="00EC56D9"/>
    <w:rsid w:val="00EC5961"/>
    <w:rsid w:val="00EC5A34"/>
    <w:rsid w:val="00EC5B4B"/>
    <w:rsid w:val="00EC5DF7"/>
    <w:rsid w:val="00EC5F9C"/>
    <w:rsid w:val="00EC5FF9"/>
    <w:rsid w:val="00EC609C"/>
    <w:rsid w:val="00EC6D8E"/>
    <w:rsid w:val="00EC6DE0"/>
    <w:rsid w:val="00EC6E40"/>
    <w:rsid w:val="00EC6FEF"/>
    <w:rsid w:val="00EC7652"/>
    <w:rsid w:val="00EC76B8"/>
    <w:rsid w:val="00EC76FC"/>
    <w:rsid w:val="00EC77BF"/>
    <w:rsid w:val="00EC7AC3"/>
    <w:rsid w:val="00EC7C2A"/>
    <w:rsid w:val="00EC7D04"/>
    <w:rsid w:val="00EC7E08"/>
    <w:rsid w:val="00EC7E5E"/>
    <w:rsid w:val="00EC7EBC"/>
    <w:rsid w:val="00ED00F5"/>
    <w:rsid w:val="00ED01A3"/>
    <w:rsid w:val="00ED0300"/>
    <w:rsid w:val="00ED049F"/>
    <w:rsid w:val="00ED087A"/>
    <w:rsid w:val="00ED1511"/>
    <w:rsid w:val="00ED164D"/>
    <w:rsid w:val="00ED1A2F"/>
    <w:rsid w:val="00ED1BB0"/>
    <w:rsid w:val="00ED1D52"/>
    <w:rsid w:val="00ED1EEA"/>
    <w:rsid w:val="00ED22DC"/>
    <w:rsid w:val="00ED22EE"/>
    <w:rsid w:val="00ED22EF"/>
    <w:rsid w:val="00ED2859"/>
    <w:rsid w:val="00ED2929"/>
    <w:rsid w:val="00ED2ABB"/>
    <w:rsid w:val="00ED2ABD"/>
    <w:rsid w:val="00ED2BD9"/>
    <w:rsid w:val="00ED2CDD"/>
    <w:rsid w:val="00ED2F32"/>
    <w:rsid w:val="00ED3042"/>
    <w:rsid w:val="00ED30E7"/>
    <w:rsid w:val="00ED31AB"/>
    <w:rsid w:val="00ED3295"/>
    <w:rsid w:val="00ED395A"/>
    <w:rsid w:val="00ED410E"/>
    <w:rsid w:val="00ED4196"/>
    <w:rsid w:val="00ED43A2"/>
    <w:rsid w:val="00ED45F0"/>
    <w:rsid w:val="00ED46B2"/>
    <w:rsid w:val="00ED487E"/>
    <w:rsid w:val="00ED4C1F"/>
    <w:rsid w:val="00ED4D33"/>
    <w:rsid w:val="00ED5023"/>
    <w:rsid w:val="00ED51D8"/>
    <w:rsid w:val="00ED5305"/>
    <w:rsid w:val="00ED544D"/>
    <w:rsid w:val="00ED545B"/>
    <w:rsid w:val="00ED5B02"/>
    <w:rsid w:val="00ED5B0C"/>
    <w:rsid w:val="00ED5DB8"/>
    <w:rsid w:val="00ED5DF5"/>
    <w:rsid w:val="00ED61E1"/>
    <w:rsid w:val="00ED674A"/>
    <w:rsid w:val="00ED67AE"/>
    <w:rsid w:val="00ED68D2"/>
    <w:rsid w:val="00ED6AD4"/>
    <w:rsid w:val="00ED6D55"/>
    <w:rsid w:val="00ED774C"/>
    <w:rsid w:val="00ED7788"/>
    <w:rsid w:val="00ED78BE"/>
    <w:rsid w:val="00ED798C"/>
    <w:rsid w:val="00ED7A2D"/>
    <w:rsid w:val="00ED7A57"/>
    <w:rsid w:val="00ED7B2F"/>
    <w:rsid w:val="00ED7E0E"/>
    <w:rsid w:val="00ED7EAB"/>
    <w:rsid w:val="00EE0100"/>
    <w:rsid w:val="00EE04E3"/>
    <w:rsid w:val="00EE086B"/>
    <w:rsid w:val="00EE09B8"/>
    <w:rsid w:val="00EE09E5"/>
    <w:rsid w:val="00EE0A85"/>
    <w:rsid w:val="00EE0B9C"/>
    <w:rsid w:val="00EE0CB4"/>
    <w:rsid w:val="00EE145B"/>
    <w:rsid w:val="00EE14BB"/>
    <w:rsid w:val="00EE1559"/>
    <w:rsid w:val="00EE157B"/>
    <w:rsid w:val="00EE1632"/>
    <w:rsid w:val="00EE16A6"/>
    <w:rsid w:val="00EE1BF9"/>
    <w:rsid w:val="00EE1CDC"/>
    <w:rsid w:val="00EE1E37"/>
    <w:rsid w:val="00EE21DF"/>
    <w:rsid w:val="00EE241D"/>
    <w:rsid w:val="00EE246E"/>
    <w:rsid w:val="00EE2624"/>
    <w:rsid w:val="00EE2751"/>
    <w:rsid w:val="00EE2ADC"/>
    <w:rsid w:val="00EE2D9A"/>
    <w:rsid w:val="00EE3441"/>
    <w:rsid w:val="00EE35A8"/>
    <w:rsid w:val="00EE35F7"/>
    <w:rsid w:val="00EE36C2"/>
    <w:rsid w:val="00EE3876"/>
    <w:rsid w:val="00EE3BC5"/>
    <w:rsid w:val="00EE4021"/>
    <w:rsid w:val="00EE4062"/>
    <w:rsid w:val="00EE43E0"/>
    <w:rsid w:val="00EE45B3"/>
    <w:rsid w:val="00EE4FCA"/>
    <w:rsid w:val="00EE554D"/>
    <w:rsid w:val="00EE5902"/>
    <w:rsid w:val="00EE5A2D"/>
    <w:rsid w:val="00EE5DB6"/>
    <w:rsid w:val="00EE5EDF"/>
    <w:rsid w:val="00EE5F9F"/>
    <w:rsid w:val="00EE64EF"/>
    <w:rsid w:val="00EE688C"/>
    <w:rsid w:val="00EE692F"/>
    <w:rsid w:val="00EE6A0A"/>
    <w:rsid w:val="00EE6A65"/>
    <w:rsid w:val="00EE6D90"/>
    <w:rsid w:val="00EE6DC8"/>
    <w:rsid w:val="00EE6DF7"/>
    <w:rsid w:val="00EE6F83"/>
    <w:rsid w:val="00EE7777"/>
    <w:rsid w:val="00EE7AAC"/>
    <w:rsid w:val="00EE7D2D"/>
    <w:rsid w:val="00EE7FD1"/>
    <w:rsid w:val="00EF002F"/>
    <w:rsid w:val="00EF0267"/>
    <w:rsid w:val="00EF125D"/>
    <w:rsid w:val="00EF1568"/>
    <w:rsid w:val="00EF166A"/>
    <w:rsid w:val="00EF17D5"/>
    <w:rsid w:val="00EF1921"/>
    <w:rsid w:val="00EF1BB3"/>
    <w:rsid w:val="00EF1C9E"/>
    <w:rsid w:val="00EF1F42"/>
    <w:rsid w:val="00EF2361"/>
    <w:rsid w:val="00EF238B"/>
    <w:rsid w:val="00EF2576"/>
    <w:rsid w:val="00EF29DC"/>
    <w:rsid w:val="00EF2A78"/>
    <w:rsid w:val="00EF2C05"/>
    <w:rsid w:val="00EF2C7C"/>
    <w:rsid w:val="00EF2CA4"/>
    <w:rsid w:val="00EF2F67"/>
    <w:rsid w:val="00EF2F70"/>
    <w:rsid w:val="00EF2FC9"/>
    <w:rsid w:val="00EF34BC"/>
    <w:rsid w:val="00EF38EF"/>
    <w:rsid w:val="00EF3A0B"/>
    <w:rsid w:val="00EF3AD6"/>
    <w:rsid w:val="00EF3C6B"/>
    <w:rsid w:val="00EF3F0A"/>
    <w:rsid w:val="00EF3F79"/>
    <w:rsid w:val="00EF4047"/>
    <w:rsid w:val="00EF4170"/>
    <w:rsid w:val="00EF4554"/>
    <w:rsid w:val="00EF45D1"/>
    <w:rsid w:val="00EF4B17"/>
    <w:rsid w:val="00EF4E29"/>
    <w:rsid w:val="00EF5018"/>
    <w:rsid w:val="00EF5093"/>
    <w:rsid w:val="00EF5380"/>
    <w:rsid w:val="00EF5718"/>
    <w:rsid w:val="00EF598D"/>
    <w:rsid w:val="00EF6135"/>
    <w:rsid w:val="00EF6208"/>
    <w:rsid w:val="00EF6C93"/>
    <w:rsid w:val="00EF6D8F"/>
    <w:rsid w:val="00EF7264"/>
    <w:rsid w:val="00EF750B"/>
    <w:rsid w:val="00EF75E1"/>
    <w:rsid w:val="00EF7BC2"/>
    <w:rsid w:val="00EF7D26"/>
    <w:rsid w:val="00EF7EC9"/>
    <w:rsid w:val="00F0000E"/>
    <w:rsid w:val="00F00618"/>
    <w:rsid w:val="00F006F5"/>
    <w:rsid w:val="00F009BD"/>
    <w:rsid w:val="00F009C0"/>
    <w:rsid w:val="00F00BBF"/>
    <w:rsid w:val="00F00ED9"/>
    <w:rsid w:val="00F01522"/>
    <w:rsid w:val="00F01A32"/>
    <w:rsid w:val="00F01EB4"/>
    <w:rsid w:val="00F02427"/>
    <w:rsid w:val="00F02497"/>
    <w:rsid w:val="00F024EF"/>
    <w:rsid w:val="00F028CA"/>
    <w:rsid w:val="00F02CDA"/>
    <w:rsid w:val="00F02F9F"/>
    <w:rsid w:val="00F02FFB"/>
    <w:rsid w:val="00F03045"/>
    <w:rsid w:val="00F038BD"/>
    <w:rsid w:val="00F03B7A"/>
    <w:rsid w:val="00F0406C"/>
    <w:rsid w:val="00F04136"/>
    <w:rsid w:val="00F0425A"/>
    <w:rsid w:val="00F044FF"/>
    <w:rsid w:val="00F046DD"/>
    <w:rsid w:val="00F04748"/>
    <w:rsid w:val="00F04A02"/>
    <w:rsid w:val="00F04DE7"/>
    <w:rsid w:val="00F04EA1"/>
    <w:rsid w:val="00F0512F"/>
    <w:rsid w:val="00F0518A"/>
    <w:rsid w:val="00F05326"/>
    <w:rsid w:val="00F053A8"/>
    <w:rsid w:val="00F05838"/>
    <w:rsid w:val="00F05CD6"/>
    <w:rsid w:val="00F0601D"/>
    <w:rsid w:val="00F066F9"/>
    <w:rsid w:val="00F06839"/>
    <w:rsid w:val="00F06AA2"/>
    <w:rsid w:val="00F06D3D"/>
    <w:rsid w:val="00F070C3"/>
    <w:rsid w:val="00F07163"/>
    <w:rsid w:val="00F07304"/>
    <w:rsid w:val="00F077B5"/>
    <w:rsid w:val="00F07810"/>
    <w:rsid w:val="00F07F32"/>
    <w:rsid w:val="00F07FB3"/>
    <w:rsid w:val="00F102FB"/>
    <w:rsid w:val="00F10466"/>
    <w:rsid w:val="00F10904"/>
    <w:rsid w:val="00F10CF8"/>
    <w:rsid w:val="00F10E69"/>
    <w:rsid w:val="00F10EF7"/>
    <w:rsid w:val="00F113F7"/>
    <w:rsid w:val="00F115A6"/>
    <w:rsid w:val="00F118D4"/>
    <w:rsid w:val="00F11A8C"/>
    <w:rsid w:val="00F11CBF"/>
    <w:rsid w:val="00F11DB3"/>
    <w:rsid w:val="00F123BD"/>
    <w:rsid w:val="00F12794"/>
    <w:rsid w:val="00F129A8"/>
    <w:rsid w:val="00F12B92"/>
    <w:rsid w:val="00F12DBA"/>
    <w:rsid w:val="00F13053"/>
    <w:rsid w:val="00F13069"/>
    <w:rsid w:val="00F137A9"/>
    <w:rsid w:val="00F139C1"/>
    <w:rsid w:val="00F13C39"/>
    <w:rsid w:val="00F13CD6"/>
    <w:rsid w:val="00F13DAA"/>
    <w:rsid w:val="00F14002"/>
    <w:rsid w:val="00F146F8"/>
    <w:rsid w:val="00F1476C"/>
    <w:rsid w:val="00F14A54"/>
    <w:rsid w:val="00F14B85"/>
    <w:rsid w:val="00F14E7C"/>
    <w:rsid w:val="00F14E99"/>
    <w:rsid w:val="00F14EA0"/>
    <w:rsid w:val="00F1551F"/>
    <w:rsid w:val="00F156C7"/>
    <w:rsid w:val="00F15D7B"/>
    <w:rsid w:val="00F15F4E"/>
    <w:rsid w:val="00F15FA0"/>
    <w:rsid w:val="00F15FBD"/>
    <w:rsid w:val="00F16033"/>
    <w:rsid w:val="00F160D6"/>
    <w:rsid w:val="00F1634D"/>
    <w:rsid w:val="00F16357"/>
    <w:rsid w:val="00F165AD"/>
    <w:rsid w:val="00F166AD"/>
    <w:rsid w:val="00F16882"/>
    <w:rsid w:val="00F169F6"/>
    <w:rsid w:val="00F16CD3"/>
    <w:rsid w:val="00F16F6B"/>
    <w:rsid w:val="00F173E2"/>
    <w:rsid w:val="00F17412"/>
    <w:rsid w:val="00F1748C"/>
    <w:rsid w:val="00F179D8"/>
    <w:rsid w:val="00F17D6D"/>
    <w:rsid w:val="00F17DD1"/>
    <w:rsid w:val="00F17F36"/>
    <w:rsid w:val="00F17F78"/>
    <w:rsid w:val="00F201B1"/>
    <w:rsid w:val="00F2030F"/>
    <w:rsid w:val="00F20522"/>
    <w:rsid w:val="00F20565"/>
    <w:rsid w:val="00F208FF"/>
    <w:rsid w:val="00F20BA2"/>
    <w:rsid w:val="00F20EC3"/>
    <w:rsid w:val="00F211EE"/>
    <w:rsid w:val="00F2122E"/>
    <w:rsid w:val="00F2131B"/>
    <w:rsid w:val="00F21393"/>
    <w:rsid w:val="00F216D8"/>
    <w:rsid w:val="00F2190F"/>
    <w:rsid w:val="00F219DF"/>
    <w:rsid w:val="00F21C4A"/>
    <w:rsid w:val="00F223CE"/>
    <w:rsid w:val="00F224A8"/>
    <w:rsid w:val="00F224C0"/>
    <w:rsid w:val="00F224DA"/>
    <w:rsid w:val="00F225FC"/>
    <w:rsid w:val="00F22730"/>
    <w:rsid w:val="00F2287B"/>
    <w:rsid w:val="00F2295B"/>
    <w:rsid w:val="00F2385E"/>
    <w:rsid w:val="00F23A82"/>
    <w:rsid w:val="00F23C6D"/>
    <w:rsid w:val="00F23D9E"/>
    <w:rsid w:val="00F23E41"/>
    <w:rsid w:val="00F2401D"/>
    <w:rsid w:val="00F2432C"/>
    <w:rsid w:val="00F2446D"/>
    <w:rsid w:val="00F248F7"/>
    <w:rsid w:val="00F248F9"/>
    <w:rsid w:val="00F24AD4"/>
    <w:rsid w:val="00F25374"/>
    <w:rsid w:val="00F25791"/>
    <w:rsid w:val="00F25C80"/>
    <w:rsid w:val="00F25CB8"/>
    <w:rsid w:val="00F25E64"/>
    <w:rsid w:val="00F26255"/>
    <w:rsid w:val="00F26776"/>
    <w:rsid w:val="00F26A89"/>
    <w:rsid w:val="00F26B43"/>
    <w:rsid w:val="00F26EA9"/>
    <w:rsid w:val="00F26F1C"/>
    <w:rsid w:val="00F27065"/>
    <w:rsid w:val="00F27477"/>
    <w:rsid w:val="00F27746"/>
    <w:rsid w:val="00F2776C"/>
    <w:rsid w:val="00F27780"/>
    <w:rsid w:val="00F27961"/>
    <w:rsid w:val="00F27DB0"/>
    <w:rsid w:val="00F301C6"/>
    <w:rsid w:val="00F305D4"/>
    <w:rsid w:val="00F308A1"/>
    <w:rsid w:val="00F30AFE"/>
    <w:rsid w:val="00F30CAB"/>
    <w:rsid w:val="00F31187"/>
    <w:rsid w:val="00F3152F"/>
    <w:rsid w:val="00F322FD"/>
    <w:rsid w:val="00F3246E"/>
    <w:rsid w:val="00F329A6"/>
    <w:rsid w:val="00F32D9A"/>
    <w:rsid w:val="00F32FAE"/>
    <w:rsid w:val="00F33259"/>
    <w:rsid w:val="00F33607"/>
    <w:rsid w:val="00F3366B"/>
    <w:rsid w:val="00F33728"/>
    <w:rsid w:val="00F339BB"/>
    <w:rsid w:val="00F339C8"/>
    <w:rsid w:val="00F33A9C"/>
    <w:rsid w:val="00F3409F"/>
    <w:rsid w:val="00F3438C"/>
    <w:rsid w:val="00F34DEA"/>
    <w:rsid w:val="00F352DB"/>
    <w:rsid w:val="00F353AE"/>
    <w:rsid w:val="00F354E7"/>
    <w:rsid w:val="00F357CA"/>
    <w:rsid w:val="00F359F4"/>
    <w:rsid w:val="00F35B61"/>
    <w:rsid w:val="00F3627B"/>
    <w:rsid w:val="00F36588"/>
    <w:rsid w:val="00F368F9"/>
    <w:rsid w:val="00F369F8"/>
    <w:rsid w:val="00F36D4A"/>
    <w:rsid w:val="00F37089"/>
    <w:rsid w:val="00F3714C"/>
    <w:rsid w:val="00F372B2"/>
    <w:rsid w:val="00F373E0"/>
    <w:rsid w:val="00F3762E"/>
    <w:rsid w:val="00F37851"/>
    <w:rsid w:val="00F37A34"/>
    <w:rsid w:val="00F37A4D"/>
    <w:rsid w:val="00F37C42"/>
    <w:rsid w:val="00F402BE"/>
    <w:rsid w:val="00F4060A"/>
    <w:rsid w:val="00F406FD"/>
    <w:rsid w:val="00F40769"/>
    <w:rsid w:val="00F40922"/>
    <w:rsid w:val="00F40A6D"/>
    <w:rsid w:val="00F40C3A"/>
    <w:rsid w:val="00F40D3E"/>
    <w:rsid w:val="00F40DAD"/>
    <w:rsid w:val="00F4103C"/>
    <w:rsid w:val="00F4119F"/>
    <w:rsid w:val="00F4125C"/>
    <w:rsid w:val="00F412F4"/>
    <w:rsid w:val="00F4134B"/>
    <w:rsid w:val="00F41859"/>
    <w:rsid w:val="00F41871"/>
    <w:rsid w:val="00F420C2"/>
    <w:rsid w:val="00F4218D"/>
    <w:rsid w:val="00F424FA"/>
    <w:rsid w:val="00F425ED"/>
    <w:rsid w:val="00F42996"/>
    <w:rsid w:val="00F429F8"/>
    <w:rsid w:val="00F42D04"/>
    <w:rsid w:val="00F42F1F"/>
    <w:rsid w:val="00F43071"/>
    <w:rsid w:val="00F43A09"/>
    <w:rsid w:val="00F43A87"/>
    <w:rsid w:val="00F43BB0"/>
    <w:rsid w:val="00F43C66"/>
    <w:rsid w:val="00F43D21"/>
    <w:rsid w:val="00F43F0B"/>
    <w:rsid w:val="00F443F0"/>
    <w:rsid w:val="00F444E6"/>
    <w:rsid w:val="00F44728"/>
    <w:rsid w:val="00F44F9E"/>
    <w:rsid w:val="00F451A8"/>
    <w:rsid w:val="00F454FF"/>
    <w:rsid w:val="00F455B0"/>
    <w:rsid w:val="00F45735"/>
    <w:rsid w:val="00F45844"/>
    <w:rsid w:val="00F45A88"/>
    <w:rsid w:val="00F45F89"/>
    <w:rsid w:val="00F464B5"/>
    <w:rsid w:val="00F46BEE"/>
    <w:rsid w:val="00F46F8D"/>
    <w:rsid w:val="00F471E7"/>
    <w:rsid w:val="00F472A5"/>
    <w:rsid w:val="00F474B5"/>
    <w:rsid w:val="00F475FD"/>
    <w:rsid w:val="00F4763D"/>
    <w:rsid w:val="00F50067"/>
    <w:rsid w:val="00F50142"/>
    <w:rsid w:val="00F50281"/>
    <w:rsid w:val="00F5040F"/>
    <w:rsid w:val="00F50412"/>
    <w:rsid w:val="00F5052A"/>
    <w:rsid w:val="00F505FB"/>
    <w:rsid w:val="00F50778"/>
    <w:rsid w:val="00F509DA"/>
    <w:rsid w:val="00F50CFC"/>
    <w:rsid w:val="00F50DDB"/>
    <w:rsid w:val="00F50E2E"/>
    <w:rsid w:val="00F50E9F"/>
    <w:rsid w:val="00F5124D"/>
    <w:rsid w:val="00F512D6"/>
    <w:rsid w:val="00F51527"/>
    <w:rsid w:val="00F522D6"/>
    <w:rsid w:val="00F52389"/>
    <w:rsid w:val="00F524C7"/>
    <w:rsid w:val="00F526E3"/>
    <w:rsid w:val="00F52950"/>
    <w:rsid w:val="00F52B38"/>
    <w:rsid w:val="00F52C68"/>
    <w:rsid w:val="00F52E30"/>
    <w:rsid w:val="00F52E78"/>
    <w:rsid w:val="00F5334E"/>
    <w:rsid w:val="00F5339E"/>
    <w:rsid w:val="00F53648"/>
    <w:rsid w:val="00F53BF3"/>
    <w:rsid w:val="00F53EC3"/>
    <w:rsid w:val="00F53EE2"/>
    <w:rsid w:val="00F54268"/>
    <w:rsid w:val="00F54645"/>
    <w:rsid w:val="00F5466F"/>
    <w:rsid w:val="00F549B6"/>
    <w:rsid w:val="00F55160"/>
    <w:rsid w:val="00F5520B"/>
    <w:rsid w:val="00F553FF"/>
    <w:rsid w:val="00F55632"/>
    <w:rsid w:val="00F55830"/>
    <w:rsid w:val="00F55B02"/>
    <w:rsid w:val="00F55B2F"/>
    <w:rsid w:val="00F55C64"/>
    <w:rsid w:val="00F55D43"/>
    <w:rsid w:val="00F55DDA"/>
    <w:rsid w:val="00F55F37"/>
    <w:rsid w:val="00F56108"/>
    <w:rsid w:val="00F562DD"/>
    <w:rsid w:val="00F565EA"/>
    <w:rsid w:val="00F5666A"/>
    <w:rsid w:val="00F569DB"/>
    <w:rsid w:val="00F56E5E"/>
    <w:rsid w:val="00F57100"/>
    <w:rsid w:val="00F57172"/>
    <w:rsid w:val="00F5720D"/>
    <w:rsid w:val="00F5728D"/>
    <w:rsid w:val="00F5752D"/>
    <w:rsid w:val="00F577A0"/>
    <w:rsid w:val="00F60031"/>
    <w:rsid w:val="00F60107"/>
    <w:rsid w:val="00F601EC"/>
    <w:rsid w:val="00F60754"/>
    <w:rsid w:val="00F60C0B"/>
    <w:rsid w:val="00F60DC8"/>
    <w:rsid w:val="00F60DF6"/>
    <w:rsid w:val="00F610AE"/>
    <w:rsid w:val="00F612D4"/>
    <w:rsid w:val="00F612D7"/>
    <w:rsid w:val="00F6134A"/>
    <w:rsid w:val="00F617E0"/>
    <w:rsid w:val="00F61B6C"/>
    <w:rsid w:val="00F61BAA"/>
    <w:rsid w:val="00F61D2B"/>
    <w:rsid w:val="00F61F15"/>
    <w:rsid w:val="00F61F7D"/>
    <w:rsid w:val="00F62191"/>
    <w:rsid w:val="00F62280"/>
    <w:rsid w:val="00F624D1"/>
    <w:rsid w:val="00F62606"/>
    <w:rsid w:val="00F62C39"/>
    <w:rsid w:val="00F62C6B"/>
    <w:rsid w:val="00F63076"/>
    <w:rsid w:val="00F636EB"/>
    <w:rsid w:val="00F637C7"/>
    <w:rsid w:val="00F639D4"/>
    <w:rsid w:val="00F63CA9"/>
    <w:rsid w:val="00F63D30"/>
    <w:rsid w:val="00F640AF"/>
    <w:rsid w:val="00F64715"/>
    <w:rsid w:val="00F64771"/>
    <w:rsid w:val="00F647ED"/>
    <w:rsid w:val="00F64B2F"/>
    <w:rsid w:val="00F64BA2"/>
    <w:rsid w:val="00F64CAB"/>
    <w:rsid w:val="00F64CAF"/>
    <w:rsid w:val="00F64E87"/>
    <w:rsid w:val="00F64FFA"/>
    <w:rsid w:val="00F652FE"/>
    <w:rsid w:val="00F65784"/>
    <w:rsid w:val="00F65BC7"/>
    <w:rsid w:val="00F65DAA"/>
    <w:rsid w:val="00F6623D"/>
    <w:rsid w:val="00F66D99"/>
    <w:rsid w:val="00F66E06"/>
    <w:rsid w:val="00F67294"/>
    <w:rsid w:val="00F672AC"/>
    <w:rsid w:val="00F67A27"/>
    <w:rsid w:val="00F67AA5"/>
    <w:rsid w:val="00F67AF7"/>
    <w:rsid w:val="00F67B8E"/>
    <w:rsid w:val="00F67C71"/>
    <w:rsid w:val="00F67CE0"/>
    <w:rsid w:val="00F67D06"/>
    <w:rsid w:val="00F67DEC"/>
    <w:rsid w:val="00F67FBD"/>
    <w:rsid w:val="00F70168"/>
    <w:rsid w:val="00F702B3"/>
    <w:rsid w:val="00F70A62"/>
    <w:rsid w:val="00F70ACD"/>
    <w:rsid w:val="00F713E6"/>
    <w:rsid w:val="00F715DB"/>
    <w:rsid w:val="00F7173E"/>
    <w:rsid w:val="00F7189D"/>
    <w:rsid w:val="00F718A9"/>
    <w:rsid w:val="00F71908"/>
    <w:rsid w:val="00F71BF9"/>
    <w:rsid w:val="00F71C47"/>
    <w:rsid w:val="00F71C6D"/>
    <w:rsid w:val="00F71CD1"/>
    <w:rsid w:val="00F72042"/>
    <w:rsid w:val="00F72270"/>
    <w:rsid w:val="00F7282E"/>
    <w:rsid w:val="00F72C7F"/>
    <w:rsid w:val="00F72E8F"/>
    <w:rsid w:val="00F7305D"/>
    <w:rsid w:val="00F73297"/>
    <w:rsid w:val="00F7332B"/>
    <w:rsid w:val="00F7384E"/>
    <w:rsid w:val="00F73901"/>
    <w:rsid w:val="00F73AFE"/>
    <w:rsid w:val="00F73FCC"/>
    <w:rsid w:val="00F74219"/>
    <w:rsid w:val="00F742EC"/>
    <w:rsid w:val="00F74730"/>
    <w:rsid w:val="00F7495E"/>
    <w:rsid w:val="00F74B39"/>
    <w:rsid w:val="00F74BB5"/>
    <w:rsid w:val="00F74E59"/>
    <w:rsid w:val="00F74F65"/>
    <w:rsid w:val="00F74FE7"/>
    <w:rsid w:val="00F7509D"/>
    <w:rsid w:val="00F75152"/>
    <w:rsid w:val="00F75381"/>
    <w:rsid w:val="00F7544C"/>
    <w:rsid w:val="00F754F9"/>
    <w:rsid w:val="00F75643"/>
    <w:rsid w:val="00F75A66"/>
    <w:rsid w:val="00F75E53"/>
    <w:rsid w:val="00F75F31"/>
    <w:rsid w:val="00F765A6"/>
    <w:rsid w:val="00F766F0"/>
    <w:rsid w:val="00F76718"/>
    <w:rsid w:val="00F7678B"/>
    <w:rsid w:val="00F76E3B"/>
    <w:rsid w:val="00F76E45"/>
    <w:rsid w:val="00F7710C"/>
    <w:rsid w:val="00F77112"/>
    <w:rsid w:val="00F778AF"/>
    <w:rsid w:val="00F779AB"/>
    <w:rsid w:val="00F77AA1"/>
    <w:rsid w:val="00F77D37"/>
    <w:rsid w:val="00F77E1E"/>
    <w:rsid w:val="00F80059"/>
    <w:rsid w:val="00F80687"/>
    <w:rsid w:val="00F80875"/>
    <w:rsid w:val="00F808FF"/>
    <w:rsid w:val="00F80B87"/>
    <w:rsid w:val="00F80C80"/>
    <w:rsid w:val="00F813F4"/>
    <w:rsid w:val="00F817BD"/>
    <w:rsid w:val="00F81C7A"/>
    <w:rsid w:val="00F81CE8"/>
    <w:rsid w:val="00F81F2B"/>
    <w:rsid w:val="00F81FED"/>
    <w:rsid w:val="00F821AF"/>
    <w:rsid w:val="00F82474"/>
    <w:rsid w:val="00F82488"/>
    <w:rsid w:val="00F82793"/>
    <w:rsid w:val="00F82C29"/>
    <w:rsid w:val="00F82E75"/>
    <w:rsid w:val="00F83173"/>
    <w:rsid w:val="00F83327"/>
    <w:rsid w:val="00F8340E"/>
    <w:rsid w:val="00F835BE"/>
    <w:rsid w:val="00F83654"/>
    <w:rsid w:val="00F83667"/>
    <w:rsid w:val="00F83A69"/>
    <w:rsid w:val="00F83C52"/>
    <w:rsid w:val="00F83D82"/>
    <w:rsid w:val="00F843AA"/>
    <w:rsid w:val="00F843B7"/>
    <w:rsid w:val="00F84DA7"/>
    <w:rsid w:val="00F853E7"/>
    <w:rsid w:val="00F85677"/>
    <w:rsid w:val="00F85768"/>
    <w:rsid w:val="00F858EB"/>
    <w:rsid w:val="00F86579"/>
    <w:rsid w:val="00F865FA"/>
    <w:rsid w:val="00F866A3"/>
    <w:rsid w:val="00F86D00"/>
    <w:rsid w:val="00F86F4A"/>
    <w:rsid w:val="00F8726E"/>
    <w:rsid w:val="00F87839"/>
    <w:rsid w:val="00F87C0E"/>
    <w:rsid w:val="00F87E5B"/>
    <w:rsid w:val="00F87EC2"/>
    <w:rsid w:val="00F9038E"/>
    <w:rsid w:val="00F907C5"/>
    <w:rsid w:val="00F908DC"/>
    <w:rsid w:val="00F9090E"/>
    <w:rsid w:val="00F909DE"/>
    <w:rsid w:val="00F90C62"/>
    <w:rsid w:val="00F90D6D"/>
    <w:rsid w:val="00F90E17"/>
    <w:rsid w:val="00F912E0"/>
    <w:rsid w:val="00F914CD"/>
    <w:rsid w:val="00F9181A"/>
    <w:rsid w:val="00F91879"/>
    <w:rsid w:val="00F91905"/>
    <w:rsid w:val="00F91BB6"/>
    <w:rsid w:val="00F920F2"/>
    <w:rsid w:val="00F923CE"/>
    <w:rsid w:val="00F926A9"/>
    <w:rsid w:val="00F92978"/>
    <w:rsid w:val="00F92B92"/>
    <w:rsid w:val="00F92C7D"/>
    <w:rsid w:val="00F92E0D"/>
    <w:rsid w:val="00F9307F"/>
    <w:rsid w:val="00F931C0"/>
    <w:rsid w:val="00F93262"/>
    <w:rsid w:val="00F93669"/>
    <w:rsid w:val="00F9378A"/>
    <w:rsid w:val="00F93989"/>
    <w:rsid w:val="00F939B4"/>
    <w:rsid w:val="00F93E66"/>
    <w:rsid w:val="00F94396"/>
    <w:rsid w:val="00F943BD"/>
    <w:rsid w:val="00F9461A"/>
    <w:rsid w:val="00F9471D"/>
    <w:rsid w:val="00F94B5C"/>
    <w:rsid w:val="00F94BF1"/>
    <w:rsid w:val="00F94E27"/>
    <w:rsid w:val="00F94EA4"/>
    <w:rsid w:val="00F94EEA"/>
    <w:rsid w:val="00F951C4"/>
    <w:rsid w:val="00F954A6"/>
    <w:rsid w:val="00F955E8"/>
    <w:rsid w:val="00F95A3B"/>
    <w:rsid w:val="00F95AEB"/>
    <w:rsid w:val="00F95BB8"/>
    <w:rsid w:val="00F95DFF"/>
    <w:rsid w:val="00F961C3"/>
    <w:rsid w:val="00F961EF"/>
    <w:rsid w:val="00F96232"/>
    <w:rsid w:val="00F9651D"/>
    <w:rsid w:val="00F9665C"/>
    <w:rsid w:val="00F96955"/>
    <w:rsid w:val="00F969D0"/>
    <w:rsid w:val="00F96A1A"/>
    <w:rsid w:val="00F96C83"/>
    <w:rsid w:val="00F97211"/>
    <w:rsid w:val="00F97261"/>
    <w:rsid w:val="00F972E9"/>
    <w:rsid w:val="00F9754B"/>
    <w:rsid w:val="00F9773A"/>
    <w:rsid w:val="00F977AE"/>
    <w:rsid w:val="00F97B6D"/>
    <w:rsid w:val="00F97D5E"/>
    <w:rsid w:val="00F97EA4"/>
    <w:rsid w:val="00FA008B"/>
    <w:rsid w:val="00FA01BE"/>
    <w:rsid w:val="00FA032B"/>
    <w:rsid w:val="00FA070E"/>
    <w:rsid w:val="00FA0988"/>
    <w:rsid w:val="00FA09EE"/>
    <w:rsid w:val="00FA0A8F"/>
    <w:rsid w:val="00FA133B"/>
    <w:rsid w:val="00FA171B"/>
    <w:rsid w:val="00FA173A"/>
    <w:rsid w:val="00FA1CD1"/>
    <w:rsid w:val="00FA233C"/>
    <w:rsid w:val="00FA242A"/>
    <w:rsid w:val="00FA2892"/>
    <w:rsid w:val="00FA2FE3"/>
    <w:rsid w:val="00FA340B"/>
    <w:rsid w:val="00FA3438"/>
    <w:rsid w:val="00FA3537"/>
    <w:rsid w:val="00FA36D7"/>
    <w:rsid w:val="00FA3760"/>
    <w:rsid w:val="00FA396C"/>
    <w:rsid w:val="00FA3A31"/>
    <w:rsid w:val="00FA3B36"/>
    <w:rsid w:val="00FA3F10"/>
    <w:rsid w:val="00FA4097"/>
    <w:rsid w:val="00FA43C3"/>
    <w:rsid w:val="00FA485B"/>
    <w:rsid w:val="00FA4885"/>
    <w:rsid w:val="00FA4CC1"/>
    <w:rsid w:val="00FA4F2B"/>
    <w:rsid w:val="00FA4FCA"/>
    <w:rsid w:val="00FA54CB"/>
    <w:rsid w:val="00FA5C5F"/>
    <w:rsid w:val="00FA5E71"/>
    <w:rsid w:val="00FA5FF0"/>
    <w:rsid w:val="00FA6080"/>
    <w:rsid w:val="00FA6237"/>
    <w:rsid w:val="00FA623F"/>
    <w:rsid w:val="00FA6532"/>
    <w:rsid w:val="00FA6628"/>
    <w:rsid w:val="00FA6694"/>
    <w:rsid w:val="00FA66E4"/>
    <w:rsid w:val="00FA6DB7"/>
    <w:rsid w:val="00FA6E01"/>
    <w:rsid w:val="00FA70E7"/>
    <w:rsid w:val="00FA75D1"/>
    <w:rsid w:val="00FA76F1"/>
    <w:rsid w:val="00FA78FD"/>
    <w:rsid w:val="00FA7973"/>
    <w:rsid w:val="00FA7A45"/>
    <w:rsid w:val="00FA7DA2"/>
    <w:rsid w:val="00FB0176"/>
    <w:rsid w:val="00FB0483"/>
    <w:rsid w:val="00FB0559"/>
    <w:rsid w:val="00FB0612"/>
    <w:rsid w:val="00FB069E"/>
    <w:rsid w:val="00FB0837"/>
    <w:rsid w:val="00FB09FB"/>
    <w:rsid w:val="00FB0A00"/>
    <w:rsid w:val="00FB105D"/>
    <w:rsid w:val="00FB12E0"/>
    <w:rsid w:val="00FB1499"/>
    <w:rsid w:val="00FB14BC"/>
    <w:rsid w:val="00FB154D"/>
    <w:rsid w:val="00FB1A39"/>
    <w:rsid w:val="00FB1B2A"/>
    <w:rsid w:val="00FB1C35"/>
    <w:rsid w:val="00FB1E17"/>
    <w:rsid w:val="00FB21D6"/>
    <w:rsid w:val="00FB2336"/>
    <w:rsid w:val="00FB234D"/>
    <w:rsid w:val="00FB2480"/>
    <w:rsid w:val="00FB2826"/>
    <w:rsid w:val="00FB29B8"/>
    <w:rsid w:val="00FB2A7A"/>
    <w:rsid w:val="00FB2CB8"/>
    <w:rsid w:val="00FB2CD6"/>
    <w:rsid w:val="00FB2E6B"/>
    <w:rsid w:val="00FB2E95"/>
    <w:rsid w:val="00FB2F9E"/>
    <w:rsid w:val="00FB31CE"/>
    <w:rsid w:val="00FB33A6"/>
    <w:rsid w:val="00FB3809"/>
    <w:rsid w:val="00FB4067"/>
    <w:rsid w:val="00FB41AA"/>
    <w:rsid w:val="00FB44C0"/>
    <w:rsid w:val="00FB486D"/>
    <w:rsid w:val="00FB4C3A"/>
    <w:rsid w:val="00FB4FC2"/>
    <w:rsid w:val="00FB57A8"/>
    <w:rsid w:val="00FB57B7"/>
    <w:rsid w:val="00FB57E9"/>
    <w:rsid w:val="00FB5887"/>
    <w:rsid w:val="00FB6266"/>
    <w:rsid w:val="00FB626D"/>
    <w:rsid w:val="00FB65A6"/>
    <w:rsid w:val="00FB661D"/>
    <w:rsid w:val="00FB68AC"/>
    <w:rsid w:val="00FB6C1D"/>
    <w:rsid w:val="00FB6D05"/>
    <w:rsid w:val="00FB7002"/>
    <w:rsid w:val="00FB7251"/>
    <w:rsid w:val="00FB7547"/>
    <w:rsid w:val="00FB78EB"/>
    <w:rsid w:val="00FB794E"/>
    <w:rsid w:val="00FB7AC1"/>
    <w:rsid w:val="00FB7AC8"/>
    <w:rsid w:val="00FB7C05"/>
    <w:rsid w:val="00FB7C23"/>
    <w:rsid w:val="00FB7D4A"/>
    <w:rsid w:val="00FC003C"/>
    <w:rsid w:val="00FC006D"/>
    <w:rsid w:val="00FC0400"/>
    <w:rsid w:val="00FC0629"/>
    <w:rsid w:val="00FC07D8"/>
    <w:rsid w:val="00FC0A27"/>
    <w:rsid w:val="00FC0C1C"/>
    <w:rsid w:val="00FC0D56"/>
    <w:rsid w:val="00FC0E39"/>
    <w:rsid w:val="00FC1000"/>
    <w:rsid w:val="00FC1222"/>
    <w:rsid w:val="00FC152A"/>
    <w:rsid w:val="00FC16F0"/>
    <w:rsid w:val="00FC1A24"/>
    <w:rsid w:val="00FC1B6F"/>
    <w:rsid w:val="00FC1B80"/>
    <w:rsid w:val="00FC1BB2"/>
    <w:rsid w:val="00FC1FA9"/>
    <w:rsid w:val="00FC1FF0"/>
    <w:rsid w:val="00FC20A6"/>
    <w:rsid w:val="00FC2251"/>
    <w:rsid w:val="00FC24CB"/>
    <w:rsid w:val="00FC2515"/>
    <w:rsid w:val="00FC2936"/>
    <w:rsid w:val="00FC2B82"/>
    <w:rsid w:val="00FC33E7"/>
    <w:rsid w:val="00FC3491"/>
    <w:rsid w:val="00FC3909"/>
    <w:rsid w:val="00FC395D"/>
    <w:rsid w:val="00FC3BEA"/>
    <w:rsid w:val="00FC3E20"/>
    <w:rsid w:val="00FC3E69"/>
    <w:rsid w:val="00FC4057"/>
    <w:rsid w:val="00FC40B8"/>
    <w:rsid w:val="00FC40D6"/>
    <w:rsid w:val="00FC4135"/>
    <w:rsid w:val="00FC41C9"/>
    <w:rsid w:val="00FC496D"/>
    <w:rsid w:val="00FC4EAF"/>
    <w:rsid w:val="00FC4F02"/>
    <w:rsid w:val="00FC5500"/>
    <w:rsid w:val="00FC553D"/>
    <w:rsid w:val="00FC5858"/>
    <w:rsid w:val="00FC5CE3"/>
    <w:rsid w:val="00FC5D7E"/>
    <w:rsid w:val="00FC5EB1"/>
    <w:rsid w:val="00FC6445"/>
    <w:rsid w:val="00FC682D"/>
    <w:rsid w:val="00FC686B"/>
    <w:rsid w:val="00FC69E5"/>
    <w:rsid w:val="00FC6A5A"/>
    <w:rsid w:val="00FC734C"/>
    <w:rsid w:val="00FC74F9"/>
    <w:rsid w:val="00FC75E1"/>
    <w:rsid w:val="00FC77F1"/>
    <w:rsid w:val="00FC780C"/>
    <w:rsid w:val="00FC79DC"/>
    <w:rsid w:val="00FC7A0C"/>
    <w:rsid w:val="00FC7C4D"/>
    <w:rsid w:val="00FC7E2A"/>
    <w:rsid w:val="00FC7E99"/>
    <w:rsid w:val="00FD0364"/>
    <w:rsid w:val="00FD08EC"/>
    <w:rsid w:val="00FD0A83"/>
    <w:rsid w:val="00FD0DF7"/>
    <w:rsid w:val="00FD0F54"/>
    <w:rsid w:val="00FD0FD3"/>
    <w:rsid w:val="00FD11C2"/>
    <w:rsid w:val="00FD133D"/>
    <w:rsid w:val="00FD13CE"/>
    <w:rsid w:val="00FD1455"/>
    <w:rsid w:val="00FD14F1"/>
    <w:rsid w:val="00FD1C75"/>
    <w:rsid w:val="00FD1D80"/>
    <w:rsid w:val="00FD1F8D"/>
    <w:rsid w:val="00FD21DC"/>
    <w:rsid w:val="00FD23AD"/>
    <w:rsid w:val="00FD2415"/>
    <w:rsid w:val="00FD24E5"/>
    <w:rsid w:val="00FD291C"/>
    <w:rsid w:val="00FD2A47"/>
    <w:rsid w:val="00FD2B8E"/>
    <w:rsid w:val="00FD2C50"/>
    <w:rsid w:val="00FD2D00"/>
    <w:rsid w:val="00FD2D18"/>
    <w:rsid w:val="00FD2F4E"/>
    <w:rsid w:val="00FD2F81"/>
    <w:rsid w:val="00FD3403"/>
    <w:rsid w:val="00FD3875"/>
    <w:rsid w:val="00FD39AA"/>
    <w:rsid w:val="00FD3C9D"/>
    <w:rsid w:val="00FD3E52"/>
    <w:rsid w:val="00FD420B"/>
    <w:rsid w:val="00FD4681"/>
    <w:rsid w:val="00FD46E4"/>
    <w:rsid w:val="00FD4DEF"/>
    <w:rsid w:val="00FD4EF3"/>
    <w:rsid w:val="00FD4F33"/>
    <w:rsid w:val="00FD50CC"/>
    <w:rsid w:val="00FD53B5"/>
    <w:rsid w:val="00FD5434"/>
    <w:rsid w:val="00FD5485"/>
    <w:rsid w:val="00FD55B5"/>
    <w:rsid w:val="00FD5729"/>
    <w:rsid w:val="00FD59AB"/>
    <w:rsid w:val="00FD5CB6"/>
    <w:rsid w:val="00FD625C"/>
    <w:rsid w:val="00FD62B8"/>
    <w:rsid w:val="00FD641A"/>
    <w:rsid w:val="00FD6480"/>
    <w:rsid w:val="00FD6A1B"/>
    <w:rsid w:val="00FD6AE4"/>
    <w:rsid w:val="00FD6CD7"/>
    <w:rsid w:val="00FD7035"/>
    <w:rsid w:val="00FD74B6"/>
    <w:rsid w:val="00FD758B"/>
    <w:rsid w:val="00FD7B3F"/>
    <w:rsid w:val="00FE0048"/>
    <w:rsid w:val="00FE062A"/>
    <w:rsid w:val="00FE07F7"/>
    <w:rsid w:val="00FE0A15"/>
    <w:rsid w:val="00FE0C0B"/>
    <w:rsid w:val="00FE1136"/>
    <w:rsid w:val="00FE1413"/>
    <w:rsid w:val="00FE1501"/>
    <w:rsid w:val="00FE16E9"/>
    <w:rsid w:val="00FE19A6"/>
    <w:rsid w:val="00FE1B59"/>
    <w:rsid w:val="00FE1EED"/>
    <w:rsid w:val="00FE2076"/>
    <w:rsid w:val="00FE234C"/>
    <w:rsid w:val="00FE266B"/>
    <w:rsid w:val="00FE2840"/>
    <w:rsid w:val="00FE2AE0"/>
    <w:rsid w:val="00FE2C13"/>
    <w:rsid w:val="00FE3275"/>
    <w:rsid w:val="00FE38DD"/>
    <w:rsid w:val="00FE3941"/>
    <w:rsid w:val="00FE3CD9"/>
    <w:rsid w:val="00FE3CF7"/>
    <w:rsid w:val="00FE3FB2"/>
    <w:rsid w:val="00FE4586"/>
    <w:rsid w:val="00FE4822"/>
    <w:rsid w:val="00FE4BBD"/>
    <w:rsid w:val="00FE4DBA"/>
    <w:rsid w:val="00FE51DC"/>
    <w:rsid w:val="00FE54BA"/>
    <w:rsid w:val="00FE5835"/>
    <w:rsid w:val="00FE5986"/>
    <w:rsid w:val="00FE6235"/>
    <w:rsid w:val="00FE6374"/>
    <w:rsid w:val="00FE6A6E"/>
    <w:rsid w:val="00FE6AE4"/>
    <w:rsid w:val="00FE6B79"/>
    <w:rsid w:val="00FE6CD6"/>
    <w:rsid w:val="00FE6E65"/>
    <w:rsid w:val="00FE7176"/>
    <w:rsid w:val="00FE726F"/>
    <w:rsid w:val="00FE72E0"/>
    <w:rsid w:val="00FE751D"/>
    <w:rsid w:val="00FE7B37"/>
    <w:rsid w:val="00FE7C92"/>
    <w:rsid w:val="00FE7C98"/>
    <w:rsid w:val="00FF0011"/>
    <w:rsid w:val="00FF017A"/>
    <w:rsid w:val="00FF02B6"/>
    <w:rsid w:val="00FF02F5"/>
    <w:rsid w:val="00FF032F"/>
    <w:rsid w:val="00FF07DC"/>
    <w:rsid w:val="00FF07FF"/>
    <w:rsid w:val="00FF0922"/>
    <w:rsid w:val="00FF0F58"/>
    <w:rsid w:val="00FF1108"/>
    <w:rsid w:val="00FF122E"/>
    <w:rsid w:val="00FF1408"/>
    <w:rsid w:val="00FF1461"/>
    <w:rsid w:val="00FF19E8"/>
    <w:rsid w:val="00FF1E4C"/>
    <w:rsid w:val="00FF1E6F"/>
    <w:rsid w:val="00FF21FB"/>
    <w:rsid w:val="00FF23AD"/>
    <w:rsid w:val="00FF2606"/>
    <w:rsid w:val="00FF296C"/>
    <w:rsid w:val="00FF29FE"/>
    <w:rsid w:val="00FF2ADB"/>
    <w:rsid w:val="00FF2B20"/>
    <w:rsid w:val="00FF2EDF"/>
    <w:rsid w:val="00FF3273"/>
    <w:rsid w:val="00FF378D"/>
    <w:rsid w:val="00FF3B5A"/>
    <w:rsid w:val="00FF41DF"/>
    <w:rsid w:val="00FF48A0"/>
    <w:rsid w:val="00FF4966"/>
    <w:rsid w:val="00FF4B17"/>
    <w:rsid w:val="00FF4C02"/>
    <w:rsid w:val="00FF4C64"/>
    <w:rsid w:val="00FF4E44"/>
    <w:rsid w:val="00FF4F7C"/>
    <w:rsid w:val="00FF4F80"/>
    <w:rsid w:val="00FF52D6"/>
    <w:rsid w:val="00FF5733"/>
    <w:rsid w:val="00FF576E"/>
    <w:rsid w:val="00FF5773"/>
    <w:rsid w:val="00FF57F1"/>
    <w:rsid w:val="00FF5C8C"/>
    <w:rsid w:val="00FF5D26"/>
    <w:rsid w:val="00FF5E92"/>
    <w:rsid w:val="00FF5EB6"/>
    <w:rsid w:val="00FF5EC7"/>
    <w:rsid w:val="00FF6039"/>
    <w:rsid w:val="00FF65EE"/>
    <w:rsid w:val="00FF6948"/>
    <w:rsid w:val="00FF69CD"/>
    <w:rsid w:val="00FF723E"/>
    <w:rsid w:val="00FF75FC"/>
    <w:rsid w:val="00FF7829"/>
    <w:rsid w:val="00FF783C"/>
    <w:rsid w:val="00FF79AA"/>
    <w:rsid w:val="00FF7C3C"/>
    <w:rsid w:val="010D6029"/>
    <w:rsid w:val="01294748"/>
    <w:rsid w:val="014852B3"/>
    <w:rsid w:val="015B5CC6"/>
    <w:rsid w:val="017041E0"/>
    <w:rsid w:val="01807AF1"/>
    <w:rsid w:val="01A71FD9"/>
    <w:rsid w:val="01AF5DA4"/>
    <w:rsid w:val="01B354EA"/>
    <w:rsid w:val="01C56903"/>
    <w:rsid w:val="01C9092F"/>
    <w:rsid w:val="01CB0F78"/>
    <w:rsid w:val="01CB1F98"/>
    <w:rsid w:val="022B2C0A"/>
    <w:rsid w:val="023870D5"/>
    <w:rsid w:val="024535A0"/>
    <w:rsid w:val="028B18FB"/>
    <w:rsid w:val="028B5457"/>
    <w:rsid w:val="02A66735"/>
    <w:rsid w:val="02BA21E0"/>
    <w:rsid w:val="02CC3DD3"/>
    <w:rsid w:val="02D06700"/>
    <w:rsid w:val="02ED4929"/>
    <w:rsid w:val="02ED6112"/>
    <w:rsid w:val="030A6CC4"/>
    <w:rsid w:val="031A4A2D"/>
    <w:rsid w:val="0346596A"/>
    <w:rsid w:val="034F46D6"/>
    <w:rsid w:val="035A2277"/>
    <w:rsid w:val="03681C3C"/>
    <w:rsid w:val="038E286B"/>
    <w:rsid w:val="03922815"/>
    <w:rsid w:val="03A57FB3"/>
    <w:rsid w:val="03D352CC"/>
    <w:rsid w:val="03D746CC"/>
    <w:rsid w:val="03DE3CAC"/>
    <w:rsid w:val="03E84FE9"/>
    <w:rsid w:val="03F60FF6"/>
    <w:rsid w:val="041154EF"/>
    <w:rsid w:val="04180853"/>
    <w:rsid w:val="041D42E4"/>
    <w:rsid w:val="04243DB5"/>
    <w:rsid w:val="0439161D"/>
    <w:rsid w:val="04610B65"/>
    <w:rsid w:val="046E7B40"/>
    <w:rsid w:val="04787C5D"/>
    <w:rsid w:val="04826D2E"/>
    <w:rsid w:val="04B862AB"/>
    <w:rsid w:val="04BC5CE3"/>
    <w:rsid w:val="04D550AF"/>
    <w:rsid w:val="04D70A40"/>
    <w:rsid w:val="050E411D"/>
    <w:rsid w:val="052102F4"/>
    <w:rsid w:val="05322502"/>
    <w:rsid w:val="053F69CD"/>
    <w:rsid w:val="056C26DE"/>
    <w:rsid w:val="057B5C57"/>
    <w:rsid w:val="057F4A56"/>
    <w:rsid w:val="0597162A"/>
    <w:rsid w:val="05A36F5B"/>
    <w:rsid w:val="05B04764"/>
    <w:rsid w:val="05B50C43"/>
    <w:rsid w:val="05CD1C2A"/>
    <w:rsid w:val="05D47115"/>
    <w:rsid w:val="06043E9E"/>
    <w:rsid w:val="063240BA"/>
    <w:rsid w:val="065D35AE"/>
    <w:rsid w:val="066C31F2"/>
    <w:rsid w:val="06952D48"/>
    <w:rsid w:val="069E34B0"/>
    <w:rsid w:val="06B17456"/>
    <w:rsid w:val="06D86D1B"/>
    <w:rsid w:val="06F07F7E"/>
    <w:rsid w:val="07023325"/>
    <w:rsid w:val="070361EF"/>
    <w:rsid w:val="070A5AED"/>
    <w:rsid w:val="073F0F06"/>
    <w:rsid w:val="073F4A62"/>
    <w:rsid w:val="07442078"/>
    <w:rsid w:val="074D717F"/>
    <w:rsid w:val="07610759"/>
    <w:rsid w:val="077D2EC5"/>
    <w:rsid w:val="07A1571D"/>
    <w:rsid w:val="07A87E47"/>
    <w:rsid w:val="07F12200"/>
    <w:rsid w:val="07FF390C"/>
    <w:rsid w:val="08074D9A"/>
    <w:rsid w:val="08080695"/>
    <w:rsid w:val="080A5070"/>
    <w:rsid w:val="080D4B60"/>
    <w:rsid w:val="081465CD"/>
    <w:rsid w:val="082B6D36"/>
    <w:rsid w:val="08381BDD"/>
    <w:rsid w:val="08414560"/>
    <w:rsid w:val="08752E31"/>
    <w:rsid w:val="087C5256"/>
    <w:rsid w:val="087E15BA"/>
    <w:rsid w:val="088035D5"/>
    <w:rsid w:val="088A0D17"/>
    <w:rsid w:val="08A70B11"/>
    <w:rsid w:val="08A90D2D"/>
    <w:rsid w:val="08C9772A"/>
    <w:rsid w:val="08D004EB"/>
    <w:rsid w:val="08D6249A"/>
    <w:rsid w:val="08D70618"/>
    <w:rsid w:val="08D746FD"/>
    <w:rsid w:val="08DF2F83"/>
    <w:rsid w:val="08F31FA8"/>
    <w:rsid w:val="08FF26FB"/>
    <w:rsid w:val="09057A46"/>
    <w:rsid w:val="090D4716"/>
    <w:rsid w:val="09196147"/>
    <w:rsid w:val="091A7535"/>
    <w:rsid w:val="09344FF2"/>
    <w:rsid w:val="093525C0"/>
    <w:rsid w:val="09436A8B"/>
    <w:rsid w:val="09524F20"/>
    <w:rsid w:val="09566674"/>
    <w:rsid w:val="0969226A"/>
    <w:rsid w:val="096D58B6"/>
    <w:rsid w:val="098E5B9C"/>
    <w:rsid w:val="099A4BEC"/>
    <w:rsid w:val="09AA6B0A"/>
    <w:rsid w:val="09B74D83"/>
    <w:rsid w:val="09E4535D"/>
    <w:rsid w:val="09E55D95"/>
    <w:rsid w:val="09E666C9"/>
    <w:rsid w:val="0A38511A"/>
    <w:rsid w:val="0A5A1C12"/>
    <w:rsid w:val="0A5C46AC"/>
    <w:rsid w:val="0A603DC2"/>
    <w:rsid w:val="0A820DD9"/>
    <w:rsid w:val="0A851326"/>
    <w:rsid w:val="0A8530D4"/>
    <w:rsid w:val="0A892D35"/>
    <w:rsid w:val="0A911A78"/>
    <w:rsid w:val="0AA5353C"/>
    <w:rsid w:val="0AB45767"/>
    <w:rsid w:val="0AB539B9"/>
    <w:rsid w:val="0AB614DF"/>
    <w:rsid w:val="0ADE4913"/>
    <w:rsid w:val="0AF45FD1"/>
    <w:rsid w:val="0B0A4392"/>
    <w:rsid w:val="0B2529AE"/>
    <w:rsid w:val="0B350656"/>
    <w:rsid w:val="0B3B3792"/>
    <w:rsid w:val="0B52745A"/>
    <w:rsid w:val="0B557268"/>
    <w:rsid w:val="0B7218AA"/>
    <w:rsid w:val="0B763EE4"/>
    <w:rsid w:val="0B873C40"/>
    <w:rsid w:val="0B89625E"/>
    <w:rsid w:val="0B9C2483"/>
    <w:rsid w:val="0BB27EF8"/>
    <w:rsid w:val="0BC0519A"/>
    <w:rsid w:val="0BE76017"/>
    <w:rsid w:val="0C1E10EA"/>
    <w:rsid w:val="0C233CB3"/>
    <w:rsid w:val="0C277FF1"/>
    <w:rsid w:val="0C2972BF"/>
    <w:rsid w:val="0C4D5E73"/>
    <w:rsid w:val="0C5E65EE"/>
    <w:rsid w:val="0C607954"/>
    <w:rsid w:val="0C7043B9"/>
    <w:rsid w:val="0C7927C4"/>
    <w:rsid w:val="0C7E602C"/>
    <w:rsid w:val="0C8A16A9"/>
    <w:rsid w:val="0CAA3075"/>
    <w:rsid w:val="0CB97065"/>
    <w:rsid w:val="0CC2164E"/>
    <w:rsid w:val="0CCE485A"/>
    <w:rsid w:val="0CCF6888"/>
    <w:rsid w:val="0CE42333"/>
    <w:rsid w:val="0CE51EE5"/>
    <w:rsid w:val="0CF14A50"/>
    <w:rsid w:val="0D315E36"/>
    <w:rsid w:val="0D37631D"/>
    <w:rsid w:val="0D3A0435"/>
    <w:rsid w:val="0D6D057B"/>
    <w:rsid w:val="0D8A571F"/>
    <w:rsid w:val="0D951880"/>
    <w:rsid w:val="0D98311E"/>
    <w:rsid w:val="0DAD6BC9"/>
    <w:rsid w:val="0DB60FFE"/>
    <w:rsid w:val="0DC814D4"/>
    <w:rsid w:val="0DD028B8"/>
    <w:rsid w:val="0DE87C01"/>
    <w:rsid w:val="0DFA7935"/>
    <w:rsid w:val="0E09759B"/>
    <w:rsid w:val="0E2B5D40"/>
    <w:rsid w:val="0E372937"/>
    <w:rsid w:val="0E511E22"/>
    <w:rsid w:val="0E5E1C72"/>
    <w:rsid w:val="0E67321C"/>
    <w:rsid w:val="0E8D44A6"/>
    <w:rsid w:val="0E8F62CF"/>
    <w:rsid w:val="0E9E4764"/>
    <w:rsid w:val="0ED2440E"/>
    <w:rsid w:val="0EEC0056"/>
    <w:rsid w:val="0EF7229B"/>
    <w:rsid w:val="0EF82120"/>
    <w:rsid w:val="0F2432E4"/>
    <w:rsid w:val="0F452E31"/>
    <w:rsid w:val="0F476BAA"/>
    <w:rsid w:val="0F4B48EC"/>
    <w:rsid w:val="0F720802"/>
    <w:rsid w:val="0F876B0D"/>
    <w:rsid w:val="0F883B32"/>
    <w:rsid w:val="0F8B118C"/>
    <w:rsid w:val="0FB6523A"/>
    <w:rsid w:val="0FC35B5B"/>
    <w:rsid w:val="0FE663C2"/>
    <w:rsid w:val="0FF74205"/>
    <w:rsid w:val="0FFA735C"/>
    <w:rsid w:val="0FFD0E0F"/>
    <w:rsid w:val="100920B1"/>
    <w:rsid w:val="102962AF"/>
    <w:rsid w:val="10433815"/>
    <w:rsid w:val="104942F3"/>
    <w:rsid w:val="10557D70"/>
    <w:rsid w:val="105B5F13"/>
    <w:rsid w:val="10616682"/>
    <w:rsid w:val="107472AF"/>
    <w:rsid w:val="109345E1"/>
    <w:rsid w:val="109C57D8"/>
    <w:rsid w:val="10CF6E57"/>
    <w:rsid w:val="10D426BF"/>
    <w:rsid w:val="10E548CC"/>
    <w:rsid w:val="10F07890"/>
    <w:rsid w:val="10F259CB"/>
    <w:rsid w:val="110D797F"/>
    <w:rsid w:val="111359CB"/>
    <w:rsid w:val="11323006"/>
    <w:rsid w:val="11423ACC"/>
    <w:rsid w:val="11560BAC"/>
    <w:rsid w:val="115A0E16"/>
    <w:rsid w:val="11627CCB"/>
    <w:rsid w:val="116B1392"/>
    <w:rsid w:val="11850C4E"/>
    <w:rsid w:val="118916FB"/>
    <w:rsid w:val="119D6F55"/>
    <w:rsid w:val="11AE1162"/>
    <w:rsid w:val="11CB1987"/>
    <w:rsid w:val="12086AC4"/>
    <w:rsid w:val="121A5DE7"/>
    <w:rsid w:val="1224683B"/>
    <w:rsid w:val="123E23E3"/>
    <w:rsid w:val="123F625E"/>
    <w:rsid w:val="12696E37"/>
    <w:rsid w:val="12706417"/>
    <w:rsid w:val="12AD31C8"/>
    <w:rsid w:val="12BA11FB"/>
    <w:rsid w:val="12BB3B36"/>
    <w:rsid w:val="12D9220E"/>
    <w:rsid w:val="12D9250B"/>
    <w:rsid w:val="12E0359D"/>
    <w:rsid w:val="132E255A"/>
    <w:rsid w:val="133A6A13"/>
    <w:rsid w:val="13503262"/>
    <w:rsid w:val="13594F70"/>
    <w:rsid w:val="13655850"/>
    <w:rsid w:val="139454AD"/>
    <w:rsid w:val="13992F0A"/>
    <w:rsid w:val="13A1169C"/>
    <w:rsid w:val="13AF13FA"/>
    <w:rsid w:val="13B526E3"/>
    <w:rsid w:val="13BB1914"/>
    <w:rsid w:val="13C5033C"/>
    <w:rsid w:val="13CE33F5"/>
    <w:rsid w:val="13FD6D4A"/>
    <w:rsid w:val="140137CB"/>
    <w:rsid w:val="14060EC2"/>
    <w:rsid w:val="140E5EE8"/>
    <w:rsid w:val="143E3DC9"/>
    <w:rsid w:val="1446797A"/>
    <w:rsid w:val="14510602"/>
    <w:rsid w:val="145C0341"/>
    <w:rsid w:val="14665D24"/>
    <w:rsid w:val="14757D15"/>
    <w:rsid w:val="14847F58"/>
    <w:rsid w:val="14861F22"/>
    <w:rsid w:val="14B950C8"/>
    <w:rsid w:val="14F7697C"/>
    <w:rsid w:val="150A2B53"/>
    <w:rsid w:val="151B11DC"/>
    <w:rsid w:val="153320AA"/>
    <w:rsid w:val="156D10F1"/>
    <w:rsid w:val="15703044"/>
    <w:rsid w:val="158B25E5"/>
    <w:rsid w:val="15D22960"/>
    <w:rsid w:val="15D54F0F"/>
    <w:rsid w:val="15E038B4"/>
    <w:rsid w:val="160D72EC"/>
    <w:rsid w:val="16232CE1"/>
    <w:rsid w:val="163C048F"/>
    <w:rsid w:val="166C5148"/>
    <w:rsid w:val="1670737F"/>
    <w:rsid w:val="1693559F"/>
    <w:rsid w:val="16C44F84"/>
    <w:rsid w:val="16DB6809"/>
    <w:rsid w:val="16F40336"/>
    <w:rsid w:val="172D2B29"/>
    <w:rsid w:val="17570EF3"/>
    <w:rsid w:val="17643773"/>
    <w:rsid w:val="1770666F"/>
    <w:rsid w:val="17771379"/>
    <w:rsid w:val="1788002A"/>
    <w:rsid w:val="179E57D5"/>
    <w:rsid w:val="17A032FB"/>
    <w:rsid w:val="17B31280"/>
    <w:rsid w:val="17B33B8E"/>
    <w:rsid w:val="17BA399B"/>
    <w:rsid w:val="17C42121"/>
    <w:rsid w:val="17DD62FD"/>
    <w:rsid w:val="181A30AD"/>
    <w:rsid w:val="18266606"/>
    <w:rsid w:val="182C1032"/>
    <w:rsid w:val="183F48C2"/>
    <w:rsid w:val="18470C21"/>
    <w:rsid w:val="1863338A"/>
    <w:rsid w:val="187F73B4"/>
    <w:rsid w:val="18842C1C"/>
    <w:rsid w:val="18876B71"/>
    <w:rsid w:val="188A3223"/>
    <w:rsid w:val="18AE1A47"/>
    <w:rsid w:val="18D55226"/>
    <w:rsid w:val="18D72D4C"/>
    <w:rsid w:val="18D92F68"/>
    <w:rsid w:val="18F002B2"/>
    <w:rsid w:val="18F51424"/>
    <w:rsid w:val="18FF22A3"/>
    <w:rsid w:val="19080E56"/>
    <w:rsid w:val="190B6E9A"/>
    <w:rsid w:val="191F64A1"/>
    <w:rsid w:val="193E726F"/>
    <w:rsid w:val="195E6FCA"/>
    <w:rsid w:val="19653077"/>
    <w:rsid w:val="19792055"/>
    <w:rsid w:val="198C07E7"/>
    <w:rsid w:val="19E03E83"/>
    <w:rsid w:val="19F5465C"/>
    <w:rsid w:val="19F636A6"/>
    <w:rsid w:val="19FB2A6A"/>
    <w:rsid w:val="1A0C2EC9"/>
    <w:rsid w:val="1A182F95"/>
    <w:rsid w:val="1A1D0C33"/>
    <w:rsid w:val="1A2521DD"/>
    <w:rsid w:val="1A471538"/>
    <w:rsid w:val="1A564145"/>
    <w:rsid w:val="1A5B79AD"/>
    <w:rsid w:val="1A642D06"/>
    <w:rsid w:val="1AA310E8"/>
    <w:rsid w:val="1ABF53FD"/>
    <w:rsid w:val="1AD25EC1"/>
    <w:rsid w:val="1AD61526"/>
    <w:rsid w:val="1AD75407"/>
    <w:rsid w:val="1ADF05DE"/>
    <w:rsid w:val="1AF75E81"/>
    <w:rsid w:val="1B106DCC"/>
    <w:rsid w:val="1B171B26"/>
    <w:rsid w:val="1B1C6A25"/>
    <w:rsid w:val="1B2D759B"/>
    <w:rsid w:val="1B3B0802"/>
    <w:rsid w:val="1B542D7A"/>
    <w:rsid w:val="1B682381"/>
    <w:rsid w:val="1B787F45"/>
    <w:rsid w:val="1BB235FD"/>
    <w:rsid w:val="1BB630ED"/>
    <w:rsid w:val="1BBA7140"/>
    <w:rsid w:val="1BC33557"/>
    <w:rsid w:val="1BC872C4"/>
    <w:rsid w:val="1BC9004E"/>
    <w:rsid w:val="1BDF4A08"/>
    <w:rsid w:val="1BE240CC"/>
    <w:rsid w:val="1BF03704"/>
    <w:rsid w:val="1BFD51C0"/>
    <w:rsid w:val="1C0B5290"/>
    <w:rsid w:val="1C170489"/>
    <w:rsid w:val="1C171B4F"/>
    <w:rsid w:val="1C222AC8"/>
    <w:rsid w:val="1C441279"/>
    <w:rsid w:val="1CA7347B"/>
    <w:rsid w:val="1CAA4BB2"/>
    <w:rsid w:val="1CB3587E"/>
    <w:rsid w:val="1CB97944"/>
    <w:rsid w:val="1CC07ED6"/>
    <w:rsid w:val="1CC655B2"/>
    <w:rsid w:val="1CCC4B92"/>
    <w:rsid w:val="1CED6FE2"/>
    <w:rsid w:val="1D0E51AB"/>
    <w:rsid w:val="1D1125A5"/>
    <w:rsid w:val="1D1C3424"/>
    <w:rsid w:val="1D271DC8"/>
    <w:rsid w:val="1D3C3AC6"/>
    <w:rsid w:val="1D526E45"/>
    <w:rsid w:val="1D556936"/>
    <w:rsid w:val="1D6E4BC9"/>
    <w:rsid w:val="1D877B61"/>
    <w:rsid w:val="1D8A4831"/>
    <w:rsid w:val="1D921938"/>
    <w:rsid w:val="1DAB29F9"/>
    <w:rsid w:val="1DC13FCB"/>
    <w:rsid w:val="1DDE4B7D"/>
    <w:rsid w:val="1DED652F"/>
    <w:rsid w:val="1DFF3391"/>
    <w:rsid w:val="1E025AFC"/>
    <w:rsid w:val="1E047C52"/>
    <w:rsid w:val="1E1265D5"/>
    <w:rsid w:val="1E2766A0"/>
    <w:rsid w:val="1E685ACF"/>
    <w:rsid w:val="1E8D504B"/>
    <w:rsid w:val="1E8E0744"/>
    <w:rsid w:val="1EA77665"/>
    <w:rsid w:val="1ED815CC"/>
    <w:rsid w:val="1EEC631C"/>
    <w:rsid w:val="1EF06916"/>
    <w:rsid w:val="1EFA1543"/>
    <w:rsid w:val="1F0335AF"/>
    <w:rsid w:val="1F0D396C"/>
    <w:rsid w:val="1F5100CD"/>
    <w:rsid w:val="1F572631"/>
    <w:rsid w:val="1F5C3FAB"/>
    <w:rsid w:val="1F5F3A9B"/>
    <w:rsid w:val="1F6669AD"/>
    <w:rsid w:val="1F7A6B27"/>
    <w:rsid w:val="1F7E03C6"/>
    <w:rsid w:val="1F996FAD"/>
    <w:rsid w:val="1FA26A52"/>
    <w:rsid w:val="1FB45B95"/>
    <w:rsid w:val="1FDF78A6"/>
    <w:rsid w:val="201C373B"/>
    <w:rsid w:val="20242EE3"/>
    <w:rsid w:val="203171E6"/>
    <w:rsid w:val="205B4263"/>
    <w:rsid w:val="207E61A3"/>
    <w:rsid w:val="208408C7"/>
    <w:rsid w:val="20CA1D87"/>
    <w:rsid w:val="20CF69FF"/>
    <w:rsid w:val="20DF664B"/>
    <w:rsid w:val="20E406FC"/>
    <w:rsid w:val="20E643A0"/>
    <w:rsid w:val="20FD4E75"/>
    <w:rsid w:val="210A4734"/>
    <w:rsid w:val="212154AC"/>
    <w:rsid w:val="21254871"/>
    <w:rsid w:val="212C5752"/>
    <w:rsid w:val="212F12B7"/>
    <w:rsid w:val="21310388"/>
    <w:rsid w:val="21357E35"/>
    <w:rsid w:val="215A77B7"/>
    <w:rsid w:val="217E28FF"/>
    <w:rsid w:val="218B0B78"/>
    <w:rsid w:val="218E68BA"/>
    <w:rsid w:val="21B17FE2"/>
    <w:rsid w:val="21B856E5"/>
    <w:rsid w:val="21CB76A1"/>
    <w:rsid w:val="21DC5877"/>
    <w:rsid w:val="21EA7F94"/>
    <w:rsid w:val="21EF4232"/>
    <w:rsid w:val="21EF529B"/>
    <w:rsid w:val="21F259FA"/>
    <w:rsid w:val="220A7DFC"/>
    <w:rsid w:val="22295B25"/>
    <w:rsid w:val="22515740"/>
    <w:rsid w:val="22664562"/>
    <w:rsid w:val="226F0499"/>
    <w:rsid w:val="22745AB0"/>
    <w:rsid w:val="22765384"/>
    <w:rsid w:val="22973313"/>
    <w:rsid w:val="229972C4"/>
    <w:rsid w:val="229C4BB4"/>
    <w:rsid w:val="22A131F9"/>
    <w:rsid w:val="22A7378F"/>
    <w:rsid w:val="22BA0462"/>
    <w:rsid w:val="22C51B93"/>
    <w:rsid w:val="22C72083"/>
    <w:rsid w:val="22CB1654"/>
    <w:rsid w:val="23051A6C"/>
    <w:rsid w:val="231F5A1C"/>
    <w:rsid w:val="23243032"/>
    <w:rsid w:val="232F7A34"/>
    <w:rsid w:val="23652F67"/>
    <w:rsid w:val="23751ADF"/>
    <w:rsid w:val="2378680C"/>
    <w:rsid w:val="23A61C99"/>
    <w:rsid w:val="23A67B69"/>
    <w:rsid w:val="23C72304"/>
    <w:rsid w:val="23C860B3"/>
    <w:rsid w:val="23C977F5"/>
    <w:rsid w:val="23D033B6"/>
    <w:rsid w:val="23E822B1"/>
    <w:rsid w:val="23EB3B50"/>
    <w:rsid w:val="23F23130"/>
    <w:rsid w:val="23F92711"/>
    <w:rsid w:val="23FF22F1"/>
    <w:rsid w:val="24042E63"/>
    <w:rsid w:val="2405635C"/>
    <w:rsid w:val="24184DA3"/>
    <w:rsid w:val="242332EA"/>
    <w:rsid w:val="2423778D"/>
    <w:rsid w:val="242B6BF4"/>
    <w:rsid w:val="24480FA2"/>
    <w:rsid w:val="244A2F6C"/>
    <w:rsid w:val="244D480A"/>
    <w:rsid w:val="245142FB"/>
    <w:rsid w:val="24594F5D"/>
    <w:rsid w:val="24737C5E"/>
    <w:rsid w:val="247A404C"/>
    <w:rsid w:val="249661B1"/>
    <w:rsid w:val="24992818"/>
    <w:rsid w:val="24AE27A9"/>
    <w:rsid w:val="24C745BD"/>
    <w:rsid w:val="24D740D4"/>
    <w:rsid w:val="25053949"/>
    <w:rsid w:val="252214A4"/>
    <w:rsid w:val="252235A1"/>
    <w:rsid w:val="252A06A8"/>
    <w:rsid w:val="253D03DB"/>
    <w:rsid w:val="255A45B0"/>
    <w:rsid w:val="257B169F"/>
    <w:rsid w:val="258F46FA"/>
    <w:rsid w:val="259D0E7A"/>
    <w:rsid w:val="25C1100C"/>
    <w:rsid w:val="25EB7E37"/>
    <w:rsid w:val="25F969F8"/>
    <w:rsid w:val="261849A4"/>
    <w:rsid w:val="263537A8"/>
    <w:rsid w:val="263631A5"/>
    <w:rsid w:val="2645048E"/>
    <w:rsid w:val="26497962"/>
    <w:rsid w:val="266B4C8D"/>
    <w:rsid w:val="26793695"/>
    <w:rsid w:val="26795443"/>
    <w:rsid w:val="269B185D"/>
    <w:rsid w:val="26A10E3D"/>
    <w:rsid w:val="26AF3988"/>
    <w:rsid w:val="26B1325B"/>
    <w:rsid w:val="26D0702D"/>
    <w:rsid w:val="26D22DA5"/>
    <w:rsid w:val="26DA3D9D"/>
    <w:rsid w:val="26E73118"/>
    <w:rsid w:val="26FE3B9A"/>
    <w:rsid w:val="27137FB6"/>
    <w:rsid w:val="271635D9"/>
    <w:rsid w:val="27170840"/>
    <w:rsid w:val="271B299E"/>
    <w:rsid w:val="2729330D"/>
    <w:rsid w:val="272D447F"/>
    <w:rsid w:val="272F1FA5"/>
    <w:rsid w:val="273870AC"/>
    <w:rsid w:val="27425501"/>
    <w:rsid w:val="27466863"/>
    <w:rsid w:val="275411F6"/>
    <w:rsid w:val="275B6DE6"/>
    <w:rsid w:val="276205CD"/>
    <w:rsid w:val="278160A5"/>
    <w:rsid w:val="279E4159"/>
    <w:rsid w:val="27C14002"/>
    <w:rsid w:val="27CC5901"/>
    <w:rsid w:val="27D66E7A"/>
    <w:rsid w:val="27E014F2"/>
    <w:rsid w:val="27EA7A37"/>
    <w:rsid w:val="27EE00B2"/>
    <w:rsid w:val="28461C9C"/>
    <w:rsid w:val="28573B25"/>
    <w:rsid w:val="285A614A"/>
    <w:rsid w:val="286627D0"/>
    <w:rsid w:val="2895052E"/>
    <w:rsid w:val="289B1727"/>
    <w:rsid w:val="28D23530"/>
    <w:rsid w:val="28D42E04"/>
    <w:rsid w:val="28F65471"/>
    <w:rsid w:val="29065712"/>
    <w:rsid w:val="290A766E"/>
    <w:rsid w:val="291A711F"/>
    <w:rsid w:val="29293E76"/>
    <w:rsid w:val="293146FB"/>
    <w:rsid w:val="29332221"/>
    <w:rsid w:val="29534671"/>
    <w:rsid w:val="29536EF1"/>
    <w:rsid w:val="295D354B"/>
    <w:rsid w:val="297B3BC8"/>
    <w:rsid w:val="29890093"/>
    <w:rsid w:val="2992471C"/>
    <w:rsid w:val="299E5458"/>
    <w:rsid w:val="29E277A3"/>
    <w:rsid w:val="2A0C65CE"/>
    <w:rsid w:val="2A116215"/>
    <w:rsid w:val="2A5E151F"/>
    <w:rsid w:val="2A5F5FEF"/>
    <w:rsid w:val="2A6F342B"/>
    <w:rsid w:val="2A750012"/>
    <w:rsid w:val="2A7E3970"/>
    <w:rsid w:val="2ABB3014"/>
    <w:rsid w:val="2AC944BF"/>
    <w:rsid w:val="2ACE4132"/>
    <w:rsid w:val="2AE17A5A"/>
    <w:rsid w:val="2AF83194"/>
    <w:rsid w:val="2B08148B"/>
    <w:rsid w:val="2B2112CD"/>
    <w:rsid w:val="2B345DDC"/>
    <w:rsid w:val="2B373B1E"/>
    <w:rsid w:val="2B4F2C16"/>
    <w:rsid w:val="2B606BD1"/>
    <w:rsid w:val="2B667F60"/>
    <w:rsid w:val="2B77369A"/>
    <w:rsid w:val="2B8D0C77"/>
    <w:rsid w:val="2B942D1F"/>
    <w:rsid w:val="2B956B57"/>
    <w:rsid w:val="2BA016C4"/>
    <w:rsid w:val="2BCE7EB7"/>
    <w:rsid w:val="2BE123B4"/>
    <w:rsid w:val="2BFD2672"/>
    <w:rsid w:val="2C053112"/>
    <w:rsid w:val="2C0B2FE1"/>
    <w:rsid w:val="2C1354E0"/>
    <w:rsid w:val="2C365B84"/>
    <w:rsid w:val="2C386E53"/>
    <w:rsid w:val="2C4B7881"/>
    <w:rsid w:val="2C4F3075"/>
    <w:rsid w:val="2C640943"/>
    <w:rsid w:val="2C646BB5"/>
    <w:rsid w:val="2C6B4037"/>
    <w:rsid w:val="2C6C77F8"/>
    <w:rsid w:val="2C7768C8"/>
    <w:rsid w:val="2C7F39CF"/>
    <w:rsid w:val="2C875551"/>
    <w:rsid w:val="2C8E77D0"/>
    <w:rsid w:val="2C972AC7"/>
    <w:rsid w:val="2C9F3729"/>
    <w:rsid w:val="2C9F7BCD"/>
    <w:rsid w:val="2CA13945"/>
    <w:rsid w:val="2CA60F5C"/>
    <w:rsid w:val="2CBF5B79"/>
    <w:rsid w:val="2CDD487B"/>
    <w:rsid w:val="2CF55A3F"/>
    <w:rsid w:val="2CF75313"/>
    <w:rsid w:val="2D0A3299"/>
    <w:rsid w:val="2D121B9C"/>
    <w:rsid w:val="2D214A86"/>
    <w:rsid w:val="2D267D82"/>
    <w:rsid w:val="2D3B78F6"/>
    <w:rsid w:val="2D3E7EA1"/>
    <w:rsid w:val="2D4B565F"/>
    <w:rsid w:val="2D4D7629"/>
    <w:rsid w:val="2D630BFB"/>
    <w:rsid w:val="2D7256F4"/>
    <w:rsid w:val="2D765371"/>
    <w:rsid w:val="2D94061C"/>
    <w:rsid w:val="2DA42760"/>
    <w:rsid w:val="2DA71752"/>
    <w:rsid w:val="2DB73DD3"/>
    <w:rsid w:val="2E0221C2"/>
    <w:rsid w:val="2E250A7D"/>
    <w:rsid w:val="2E2C723F"/>
    <w:rsid w:val="2E49168A"/>
    <w:rsid w:val="2E556795"/>
    <w:rsid w:val="2E5D1AEE"/>
    <w:rsid w:val="2E5D564A"/>
    <w:rsid w:val="2E8928E3"/>
    <w:rsid w:val="2EB94C40"/>
    <w:rsid w:val="2ECA37FB"/>
    <w:rsid w:val="2EE1150A"/>
    <w:rsid w:val="2EF7784D"/>
    <w:rsid w:val="2EFE35E8"/>
    <w:rsid w:val="2F1A79DF"/>
    <w:rsid w:val="2F204FF5"/>
    <w:rsid w:val="2F2720EA"/>
    <w:rsid w:val="2F2B2ABE"/>
    <w:rsid w:val="2F5B427F"/>
    <w:rsid w:val="2F5C6DF5"/>
    <w:rsid w:val="2F666780"/>
    <w:rsid w:val="2F940B9B"/>
    <w:rsid w:val="2F9A5FCC"/>
    <w:rsid w:val="2F9C5934"/>
    <w:rsid w:val="2F9E36DF"/>
    <w:rsid w:val="2FBB4D1E"/>
    <w:rsid w:val="2FFD70E5"/>
    <w:rsid w:val="2FFE52CC"/>
    <w:rsid w:val="30010850"/>
    <w:rsid w:val="300734A0"/>
    <w:rsid w:val="30422304"/>
    <w:rsid w:val="30652C14"/>
    <w:rsid w:val="306B5DA3"/>
    <w:rsid w:val="3071362F"/>
    <w:rsid w:val="3076603D"/>
    <w:rsid w:val="30A13F55"/>
    <w:rsid w:val="30A367D5"/>
    <w:rsid w:val="30C41A60"/>
    <w:rsid w:val="30F2476F"/>
    <w:rsid w:val="30F85AFE"/>
    <w:rsid w:val="31003A4B"/>
    <w:rsid w:val="311A0623"/>
    <w:rsid w:val="312D25D6"/>
    <w:rsid w:val="315C7E3B"/>
    <w:rsid w:val="315F5C65"/>
    <w:rsid w:val="31741628"/>
    <w:rsid w:val="31794E91"/>
    <w:rsid w:val="31C0661C"/>
    <w:rsid w:val="31DB16FB"/>
    <w:rsid w:val="31E16592"/>
    <w:rsid w:val="31EA18EB"/>
    <w:rsid w:val="31EC2DDB"/>
    <w:rsid w:val="321421A0"/>
    <w:rsid w:val="32171FB4"/>
    <w:rsid w:val="321921D0"/>
    <w:rsid w:val="321B1187"/>
    <w:rsid w:val="322748ED"/>
    <w:rsid w:val="3236068C"/>
    <w:rsid w:val="324C089B"/>
    <w:rsid w:val="324F3EE7"/>
    <w:rsid w:val="32513718"/>
    <w:rsid w:val="32562ADC"/>
    <w:rsid w:val="32810EF2"/>
    <w:rsid w:val="328313AB"/>
    <w:rsid w:val="32B819E9"/>
    <w:rsid w:val="32C575FD"/>
    <w:rsid w:val="32CF3C28"/>
    <w:rsid w:val="32D508F5"/>
    <w:rsid w:val="32EC3150"/>
    <w:rsid w:val="33087F73"/>
    <w:rsid w:val="332117FB"/>
    <w:rsid w:val="33223266"/>
    <w:rsid w:val="333077D1"/>
    <w:rsid w:val="33323549"/>
    <w:rsid w:val="3341378C"/>
    <w:rsid w:val="33561EFC"/>
    <w:rsid w:val="335A2AA0"/>
    <w:rsid w:val="336A2CE3"/>
    <w:rsid w:val="337879BA"/>
    <w:rsid w:val="33813B89"/>
    <w:rsid w:val="33A238CF"/>
    <w:rsid w:val="33AF7CF4"/>
    <w:rsid w:val="33BF2903"/>
    <w:rsid w:val="33C14F2F"/>
    <w:rsid w:val="33C30645"/>
    <w:rsid w:val="33D04B10"/>
    <w:rsid w:val="33F24A86"/>
    <w:rsid w:val="340225C1"/>
    <w:rsid w:val="34086058"/>
    <w:rsid w:val="341542BD"/>
    <w:rsid w:val="343054E5"/>
    <w:rsid w:val="34515C51"/>
    <w:rsid w:val="3463198D"/>
    <w:rsid w:val="3464452F"/>
    <w:rsid w:val="34692F9B"/>
    <w:rsid w:val="346F2601"/>
    <w:rsid w:val="34814B30"/>
    <w:rsid w:val="34AA5967"/>
    <w:rsid w:val="34CF054E"/>
    <w:rsid w:val="34E42621"/>
    <w:rsid w:val="34FA7E17"/>
    <w:rsid w:val="35357321"/>
    <w:rsid w:val="354E2190"/>
    <w:rsid w:val="355C665B"/>
    <w:rsid w:val="356953CF"/>
    <w:rsid w:val="35A973C7"/>
    <w:rsid w:val="35AF5AAB"/>
    <w:rsid w:val="35B20971"/>
    <w:rsid w:val="35C81F43"/>
    <w:rsid w:val="35D64007"/>
    <w:rsid w:val="35E813B2"/>
    <w:rsid w:val="36105698"/>
    <w:rsid w:val="36781311"/>
    <w:rsid w:val="367E6394"/>
    <w:rsid w:val="369D4959"/>
    <w:rsid w:val="36A302BA"/>
    <w:rsid w:val="36BE6EA2"/>
    <w:rsid w:val="36E42DAC"/>
    <w:rsid w:val="36E7464B"/>
    <w:rsid w:val="36EF52AD"/>
    <w:rsid w:val="36FA4102"/>
    <w:rsid w:val="37171F2F"/>
    <w:rsid w:val="3721200E"/>
    <w:rsid w:val="37294C63"/>
    <w:rsid w:val="373A012F"/>
    <w:rsid w:val="375A306E"/>
    <w:rsid w:val="379B566D"/>
    <w:rsid w:val="37C3031A"/>
    <w:rsid w:val="37C434C2"/>
    <w:rsid w:val="37CB2F5F"/>
    <w:rsid w:val="37D526F5"/>
    <w:rsid w:val="37E455AA"/>
    <w:rsid w:val="37E56DDC"/>
    <w:rsid w:val="37F039D3"/>
    <w:rsid w:val="380B6117"/>
    <w:rsid w:val="38174ABC"/>
    <w:rsid w:val="381E5E4A"/>
    <w:rsid w:val="384F06F9"/>
    <w:rsid w:val="3873781E"/>
    <w:rsid w:val="388861A3"/>
    <w:rsid w:val="388A771C"/>
    <w:rsid w:val="38923A79"/>
    <w:rsid w:val="38C22C79"/>
    <w:rsid w:val="38C2711D"/>
    <w:rsid w:val="38D1110E"/>
    <w:rsid w:val="38E946AA"/>
    <w:rsid w:val="39062DE1"/>
    <w:rsid w:val="390A2872"/>
    <w:rsid w:val="391334D5"/>
    <w:rsid w:val="39224840"/>
    <w:rsid w:val="39335925"/>
    <w:rsid w:val="393731E6"/>
    <w:rsid w:val="393C103B"/>
    <w:rsid w:val="39754190"/>
    <w:rsid w:val="397E6F3C"/>
    <w:rsid w:val="398301D2"/>
    <w:rsid w:val="3995213C"/>
    <w:rsid w:val="399A4315"/>
    <w:rsid w:val="39B90520"/>
    <w:rsid w:val="39BD13BD"/>
    <w:rsid w:val="39CC2FA3"/>
    <w:rsid w:val="39D00128"/>
    <w:rsid w:val="39D10532"/>
    <w:rsid w:val="39F552D0"/>
    <w:rsid w:val="3A1E4827"/>
    <w:rsid w:val="3A2F57D5"/>
    <w:rsid w:val="3A405BBE"/>
    <w:rsid w:val="3A4B6C9E"/>
    <w:rsid w:val="3A6164C2"/>
    <w:rsid w:val="3A704D37"/>
    <w:rsid w:val="3A9F4AF9"/>
    <w:rsid w:val="3AC75726"/>
    <w:rsid w:val="3AFF372F"/>
    <w:rsid w:val="3B2032FA"/>
    <w:rsid w:val="3B312338"/>
    <w:rsid w:val="3B403CC6"/>
    <w:rsid w:val="3B451022"/>
    <w:rsid w:val="3B596336"/>
    <w:rsid w:val="3B5B2830"/>
    <w:rsid w:val="3B6049CB"/>
    <w:rsid w:val="3B7333E5"/>
    <w:rsid w:val="3B7F12F6"/>
    <w:rsid w:val="3B89264E"/>
    <w:rsid w:val="3B8A323C"/>
    <w:rsid w:val="3BCB44F6"/>
    <w:rsid w:val="3BDD601C"/>
    <w:rsid w:val="3BDD7DCA"/>
    <w:rsid w:val="3BEB3F0C"/>
    <w:rsid w:val="3C02602D"/>
    <w:rsid w:val="3C2679C3"/>
    <w:rsid w:val="3C2E5D9B"/>
    <w:rsid w:val="3C3245BA"/>
    <w:rsid w:val="3C563F2F"/>
    <w:rsid w:val="3C836BC3"/>
    <w:rsid w:val="3C9C64EF"/>
    <w:rsid w:val="3C9D5708"/>
    <w:rsid w:val="3CA11B80"/>
    <w:rsid w:val="3CAF396F"/>
    <w:rsid w:val="3CEA4D9C"/>
    <w:rsid w:val="3CEE591F"/>
    <w:rsid w:val="3CF96B37"/>
    <w:rsid w:val="3CFD2E65"/>
    <w:rsid w:val="3CFE624A"/>
    <w:rsid w:val="3D073351"/>
    <w:rsid w:val="3D4F4CF8"/>
    <w:rsid w:val="3D5642D8"/>
    <w:rsid w:val="3D7B789B"/>
    <w:rsid w:val="3D7D2741"/>
    <w:rsid w:val="3D872B79"/>
    <w:rsid w:val="3D9557FB"/>
    <w:rsid w:val="3DB72FC9"/>
    <w:rsid w:val="3DE24C6F"/>
    <w:rsid w:val="3DF10BFE"/>
    <w:rsid w:val="3DF516BF"/>
    <w:rsid w:val="3E03671E"/>
    <w:rsid w:val="3E2B12C1"/>
    <w:rsid w:val="3E2B3BAC"/>
    <w:rsid w:val="3E2D3353"/>
    <w:rsid w:val="3E375EB7"/>
    <w:rsid w:val="3E774506"/>
    <w:rsid w:val="3E7A3FF6"/>
    <w:rsid w:val="3E7C78DB"/>
    <w:rsid w:val="3E9A617D"/>
    <w:rsid w:val="3EAF3CA0"/>
    <w:rsid w:val="3EB32D81"/>
    <w:rsid w:val="3EB5502E"/>
    <w:rsid w:val="3EC314F9"/>
    <w:rsid w:val="3ECD05CA"/>
    <w:rsid w:val="3EEF22EE"/>
    <w:rsid w:val="3EF30A49"/>
    <w:rsid w:val="3F002960"/>
    <w:rsid w:val="3F03223E"/>
    <w:rsid w:val="3F3574AF"/>
    <w:rsid w:val="3F382309"/>
    <w:rsid w:val="3F407AB1"/>
    <w:rsid w:val="3F474FAC"/>
    <w:rsid w:val="3F6031EC"/>
    <w:rsid w:val="3F7171A7"/>
    <w:rsid w:val="3F830C89"/>
    <w:rsid w:val="3F841CFC"/>
    <w:rsid w:val="3FB377C3"/>
    <w:rsid w:val="3FBB501D"/>
    <w:rsid w:val="3FCD0C8D"/>
    <w:rsid w:val="3FF43FD3"/>
    <w:rsid w:val="3FFE3A57"/>
    <w:rsid w:val="40062655"/>
    <w:rsid w:val="40073668"/>
    <w:rsid w:val="400C2AA0"/>
    <w:rsid w:val="401A527D"/>
    <w:rsid w:val="401B6DF0"/>
    <w:rsid w:val="40204729"/>
    <w:rsid w:val="40384C9A"/>
    <w:rsid w:val="40387CC5"/>
    <w:rsid w:val="404228F2"/>
    <w:rsid w:val="4053216B"/>
    <w:rsid w:val="40763B34"/>
    <w:rsid w:val="409F5F96"/>
    <w:rsid w:val="40AB51BD"/>
    <w:rsid w:val="40BC26A4"/>
    <w:rsid w:val="40ED4114"/>
    <w:rsid w:val="40FE2CBD"/>
    <w:rsid w:val="410E46E1"/>
    <w:rsid w:val="410F480F"/>
    <w:rsid w:val="411912D2"/>
    <w:rsid w:val="41410DFB"/>
    <w:rsid w:val="415316D4"/>
    <w:rsid w:val="416F3BBA"/>
    <w:rsid w:val="418607E7"/>
    <w:rsid w:val="41D40C2D"/>
    <w:rsid w:val="41E719A3"/>
    <w:rsid w:val="41F85FC5"/>
    <w:rsid w:val="41FF4F3E"/>
    <w:rsid w:val="42120775"/>
    <w:rsid w:val="42227637"/>
    <w:rsid w:val="423E57C2"/>
    <w:rsid w:val="426E5C20"/>
    <w:rsid w:val="42881AA6"/>
    <w:rsid w:val="428D1BAE"/>
    <w:rsid w:val="429708BC"/>
    <w:rsid w:val="42D263AC"/>
    <w:rsid w:val="42D53EF1"/>
    <w:rsid w:val="42E278BB"/>
    <w:rsid w:val="42FE57D8"/>
    <w:rsid w:val="43056B91"/>
    <w:rsid w:val="430C3285"/>
    <w:rsid w:val="430D33FA"/>
    <w:rsid w:val="431A4224"/>
    <w:rsid w:val="431E235B"/>
    <w:rsid w:val="431F0CC7"/>
    <w:rsid w:val="433B14DC"/>
    <w:rsid w:val="435B55A5"/>
    <w:rsid w:val="435D6CE3"/>
    <w:rsid w:val="43670FED"/>
    <w:rsid w:val="43747266"/>
    <w:rsid w:val="43754D8C"/>
    <w:rsid w:val="43790D20"/>
    <w:rsid w:val="437B05F4"/>
    <w:rsid w:val="43A03188"/>
    <w:rsid w:val="43A46290"/>
    <w:rsid w:val="43E75C8A"/>
    <w:rsid w:val="43F13073"/>
    <w:rsid w:val="44044A8E"/>
    <w:rsid w:val="44384737"/>
    <w:rsid w:val="444067A8"/>
    <w:rsid w:val="444E3F5B"/>
    <w:rsid w:val="4455528C"/>
    <w:rsid w:val="445826E4"/>
    <w:rsid w:val="447D214A"/>
    <w:rsid w:val="448E0C96"/>
    <w:rsid w:val="44ED5522"/>
    <w:rsid w:val="450E7246"/>
    <w:rsid w:val="45196317"/>
    <w:rsid w:val="451F1453"/>
    <w:rsid w:val="452B24C8"/>
    <w:rsid w:val="453A628D"/>
    <w:rsid w:val="45997458"/>
    <w:rsid w:val="459E05CA"/>
    <w:rsid w:val="45BF6B58"/>
    <w:rsid w:val="45C1250B"/>
    <w:rsid w:val="45CF4C28"/>
    <w:rsid w:val="45E5377C"/>
    <w:rsid w:val="45ED6E40"/>
    <w:rsid w:val="45F12DF0"/>
    <w:rsid w:val="46003033"/>
    <w:rsid w:val="46013E71"/>
    <w:rsid w:val="46023456"/>
    <w:rsid w:val="461963DC"/>
    <w:rsid w:val="46257E3F"/>
    <w:rsid w:val="462E5DF2"/>
    <w:rsid w:val="46342CDD"/>
    <w:rsid w:val="464A1051"/>
    <w:rsid w:val="465515D1"/>
    <w:rsid w:val="46641814"/>
    <w:rsid w:val="4665733A"/>
    <w:rsid w:val="4671257C"/>
    <w:rsid w:val="467B090B"/>
    <w:rsid w:val="46AE7B45"/>
    <w:rsid w:val="46B02CAB"/>
    <w:rsid w:val="46C42DB6"/>
    <w:rsid w:val="46E66EF6"/>
    <w:rsid w:val="46F73741"/>
    <w:rsid w:val="470B6133"/>
    <w:rsid w:val="471A1ED2"/>
    <w:rsid w:val="471F46C0"/>
    <w:rsid w:val="474451A1"/>
    <w:rsid w:val="4746716B"/>
    <w:rsid w:val="475E7C40"/>
    <w:rsid w:val="47602337"/>
    <w:rsid w:val="477F13E1"/>
    <w:rsid w:val="478B0EA5"/>
    <w:rsid w:val="4791488A"/>
    <w:rsid w:val="47B406DC"/>
    <w:rsid w:val="47C762E2"/>
    <w:rsid w:val="47FE15B1"/>
    <w:rsid w:val="481F6480"/>
    <w:rsid w:val="483671E0"/>
    <w:rsid w:val="4851130F"/>
    <w:rsid w:val="48541414"/>
    <w:rsid w:val="487335D5"/>
    <w:rsid w:val="487675DC"/>
    <w:rsid w:val="487B1A21"/>
    <w:rsid w:val="488520C4"/>
    <w:rsid w:val="48855A71"/>
    <w:rsid w:val="488A5257"/>
    <w:rsid w:val="48952158"/>
    <w:rsid w:val="489839F7"/>
    <w:rsid w:val="48BC712F"/>
    <w:rsid w:val="48DE3668"/>
    <w:rsid w:val="48F6071D"/>
    <w:rsid w:val="48F92F5B"/>
    <w:rsid w:val="490B5F77"/>
    <w:rsid w:val="49206844"/>
    <w:rsid w:val="49746212"/>
    <w:rsid w:val="498B151E"/>
    <w:rsid w:val="498E0956"/>
    <w:rsid w:val="49A46B7D"/>
    <w:rsid w:val="49A563CB"/>
    <w:rsid w:val="49B45646"/>
    <w:rsid w:val="49B87CE2"/>
    <w:rsid w:val="49C10D2B"/>
    <w:rsid w:val="49D96075"/>
    <w:rsid w:val="49F92273"/>
    <w:rsid w:val="49FB2AE7"/>
    <w:rsid w:val="4A192915"/>
    <w:rsid w:val="4A1F7E04"/>
    <w:rsid w:val="4A2320D7"/>
    <w:rsid w:val="4A2E7CBC"/>
    <w:rsid w:val="4A657908"/>
    <w:rsid w:val="4A7C6065"/>
    <w:rsid w:val="4A873D23"/>
    <w:rsid w:val="4A9326C8"/>
    <w:rsid w:val="4AAC7812"/>
    <w:rsid w:val="4AE03433"/>
    <w:rsid w:val="4AE47A91"/>
    <w:rsid w:val="4AE47C47"/>
    <w:rsid w:val="4AE56B2F"/>
    <w:rsid w:val="4AE83716"/>
    <w:rsid w:val="4B0E5EB1"/>
    <w:rsid w:val="4B1825C5"/>
    <w:rsid w:val="4B3043BA"/>
    <w:rsid w:val="4B34391F"/>
    <w:rsid w:val="4B357284"/>
    <w:rsid w:val="4B3D3B99"/>
    <w:rsid w:val="4B4F167B"/>
    <w:rsid w:val="4B603D34"/>
    <w:rsid w:val="4B863FDA"/>
    <w:rsid w:val="4B923002"/>
    <w:rsid w:val="4BA92BA5"/>
    <w:rsid w:val="4BB02E05"/>
    <w:rsid w:val="4BD01F0F"/>
    <w:rsid w:val="4BD061D0"/>
    <w:rsid w:val="4BE807F1"/>
    <w:rsid w:val="4BEA27BB"/>
    <w:rsid w:val="4BF21670"/>
    <w:rsid w:val="4BF90C50"/>
    <w:rsid w:val="4BFC48C9"/>
    <w:rsid w:val="4C0A2450"/>
    <w:rsid w:val="4C0F0C59"/>
    <w:rsid w:val="4C3106A7"/>
    <w:rsid w:val="4C6D6F48"/>
    <w:rsid w:val="4C724EDE"/>
    <w:rsid w:val="4C7958ED"/>
    <w:rsid w:val="4C800A2A"/>
    <w:rsid w:val="4C87000A"/>
    <w:rsid w:val="4C88556D"/>
    <w:rsid w:val="4CBB4158"/>
    <w:rsid w:val="4CE23492"/>
    <w:rsid w:val="4CFD02CC"/>
    <w:rsid w:val="4D001B6A"/>
    <w:rsid w:val="4D280D19"/>
    <w:rsid w:val="4D2C295F"/>
    <w:rsid w:val="4D471771"/>
    <w:rsid w:val="4D6363BA"/>
    <w:rsid w:val="4D6A36BC"/>
    <w:rsid w:val="4D6D36A4"/>
    <w:rsid w:val="4D730311"/>
    <w:rsid w:val="4D8421D9"/>
    <w:rsid w:val="4D8C4B13"/>
    <w:rsid w:val="4D903FFE"/>
    <w:rsid w:val="4D9626D8"/>
    <w:rsid w:val="4DB03590"/>
    <w:rsid w:val="4DBE51FB"/>
    <w:rsid w:val="4DC25072"/>
    <w:rsid w:val="4DC476BF"/>
    <w:rsid w:val="4DC820E9"/>
    <w:rsid w:val="4DC85818"/>
    <w:rsid w:val="4DCF7B07"/>
    <w:rsid w:val="4DE84AD8"/>
    <w:rsid w:val="4DFC0584"/>
    <w:rsid w:val="4DFF0074"/>
    <w:rsid w:val="4E027E18"/>
    <w:rsid w:val="4E1753BE"/>
    <w:rsid w:val="4E3160E5"/>
    <w:rsid w:val="4E557C94"/>
    <w:rsid w:val="4E61488B"/>
    <w:rsid w:val="4E6F6FA8"/>
    <w:rsid w:val="4E8F1391"/>
    <w:rsid w:val="4EAE3EAF"/>
    <w:rsid w:val="4ECA270D"/>
    <w:rsid w:val="4EE80B08"/>
    <w:rsid w:val="4EF61477"/>
    <w:rsid w:val="4F343D4D"/>
    <w:rsid w:val="4F376DC8"/>
    <w:rsid w:val="4F3A5808"/>
    <w:rsid w:val="4F4C1097"/>
    <w:rsid w:val="4F7A20A8"/>
    <w:rsid w:val="4F831051"/>
    <w:rsid w:val="4F8922EB"/>
    <w:rsid w:val="4F8C5937"/>
    <w:rsid w:val="4F9672A2"/>
    <w:rsid w:val="4FA64C4B"/>
    <w:rsid w:val="4FC450D1"/>
    <w:rsid w:val="4FD247A7"/>
    <w:rsid w:val="4FD35314"/>
    <w:rsid w:val="4FFA6D45"/>
    <w:rsid w:val="50214D51"/>
    <w:rsid w:val="502E45F6"/>
    <w:rsid w:val="50302767"/>
    <w:rsid w:val="50772C8C"/>
    <w:rsid w:val="50854860"/>
    <w:rsid w:val="50AA0095"/>
    <w:rsid w:val="50AD2009"/>
    <w:rsid w:val="50B11AF9"/>
    <w:rsid w:val="50D154FD"/>
    <w:rsid w:val="50D2381E"/>
    <w:rsid w:val="50F73284"/>
    <w:rsid w:val="50FA2CEF"/>
    <w:rsid w:val="5119144D"/>
    <w:rsid w:val="512C2DE9"/>
    <w:rsid w:val="513B7615"/>
    <w:rsid w:val="514C1822"/>
    <w:rsid w:val="5198191D"/>
    <w:rsid w:val="519A448E"/>
    <w:rsid w:val="51BF3DA2"/>
    <w:rsid w:val="51E101BC"/>
    <w:rsid w:val="51E13CB1"/>
    <w:rsid w:val="51E1640E"/>
    <w:rsid w:val="51F36142"/>
    <w:rsid w:val="51FA74D0"/>
    <w:rsid w:val="520E3420"/>
    <w:rsid w:val="520E4D2A"/>
    <w:rsid w:val="52234D72"/>
    <w:rsid w:val="525E35BB"/>
    <w:rsid w:val="527E61D2"/>
    <w:rsid w:val="52814409"/>
    <w:rsid w:val="529A16D5"/>
    <w:rsid w:val="52AC6214"/>
    <w:rsid w:val="52AC71E6"/>
    <w:rsid w:val="52B256B5"/>
    <w:rsid w:val="52B96A43"/>
    <w:rsid w:val="52D27B05"/>
    <w:rsid w:val="52D40070"/>
    <w:rsid w:val="52D9353C"/>
    <w:rsid w:val="52DE46FC"/>
    <w:rsid w:val="52FE4D9E"/>
    <w:rsid w:val="5314477D"/>
    <w:rsid w:val="531609B9"/>
    <w:rsid w:val="531E6325"/>
    <w:rsid w:val="53232554"/>
    <w:rsid w:val="533C30F0"/>
    <w:rsid w:val="536B75FD"/>
    <w:rsid w:val="5398169E"/>
    <w:rsid w:val="53983A49"/>
    <w:rsid w:val="53A45630"/>
    <w:rsid w:val="53D13EEB"/>
    <w:rsid w:val="53DF56E0"/>
    <w:rsid w:val="53FC12DE"/>
    <w:rsid w:val="540D3E2D"/>
    <w:rsid w:val="54120B01"/>
    <w:rsid w:val="542F62F9"/>
    <w:rsid w:val="54547399"/>
    <w:rsid w:val="5472078A"/>
    <w:rsid w:val="54754BEC"/>
    <w:rsid w:val="54971006"/>
    <w:rsid w:val="54992993"/>
    <w:rsid w:val="549C03CB"/>
    <w:rsid w:val="54AB077C"/>
    <w:rsid w:val="54AE2EBB"/>
    <w:rsid w:val="54B31F33"/>
    <w:rsid w:val="54C93FA5"/>
    <w:rsid w:val="54CF07A0"/>
    <w:rsid w:val="54D77655"/>
    <w:rsid w:val="54D97871"/>
    <w:rsid w:val="54F93A6F"/>
    <w:rsid w:val="54FE2508"/>
    <w:rsid w:val="5507618C"/>
    <w:rsid w:val="55097753"/>
    <w:rsid w:val="551441D2"/>
    <w:rsid w:val="551E5284"/>
    <w:rsid w:val="553B4087"/>
    <w:rsid w:val="554051FA"/>
    <w:rsid w:val="554618F6"/>
    <w:rsid w:val="55487546"/>
    <w:rsid w:val="555812F1"/>
    <w:rsid w:val="55772043"/>
    <w:rsid w:val="558743BD"/>
    <w:rsid w:val="559B337F"/>
    <w:rsid w:val="559B4861"/>
    <w:rsid w:val="55A21A11"/>
    <w:rsid w:val="55A33019"/>
    <w:rsid w:val="55A82D9F"/>
    <w:rsid w:val="55AF2380"/>
    <w:rsid w:val="55D42011"/>
    <w:rsid w:val="55D911AB"/>
    <w:rsid w:val="55E0078B"/>
    <w:rsid w:val="55E97640"/>
    <w:rsid w:val="55F304BE"/>
    <w:rsid w:val="55F668FC"/>
    <w:rsid w:val="55FB150F"/>
    <w:rsid w:val="56066443"/>
    <w:rsid w:val="5629004A"/>
    <w:rsid w:val="562C39D0"/>
    <w:rsid w:val="56365D51"/>
    <w:rsid w:val="56384123"/>
    <w:rsid w:val="56400843"/>
    <w:rsid w:val="564451BE"/>
    <w:rsid w:val="564560E1"/>
    <w:rsid w:val="56551179"/>
    <w:rsid w:val="565F5B54"/>
    <w:rsid w:val="5668147B"/>
    <w:rsid w:val="566B44F9"/>
    <w:rsid w:val="566E223B"/>
    <w:rsid w:val="567333AD"/>
    <w:rsid w:val="567677CB"/>
    <w:rsid w:val="569E1568"/>
    <w:rsid w:val="56A96DCF"/>
    <w:rsid w:val="56B87E83"/>
    <w:rsid w:val="56BF20BE"/>
    <w:rsid w:val="56C02A99"/>
    <w:rsid w:val="56C447B8"/>
    <w:rsid w:val="56C61E97"/>
    <w:rsid w:val="56E509B4"/>
    <w:rsid w:val="570B439D"/>
    <w:rsid w:val="570E267B"/>
    <w:rsid w:val="57203EAC"/>
    <w:rsid w:val="573E7E5F"/>
    <w:rsid w:val="574436DA"/>
    <w:rsid w:val="575977B6"/>
    <w:rsid w:val="57750CCB"/>
    <w:rsid w:val="57945CD1"/>
    <w:rsid w:val="57B12A6A"/>
    <w:rsid w:val="57BF2D4E"/>
    <w:rsid w:val="57C447C2"/>
    <w:rsid w:val="57F44ABA"/>
    <w:rsid w:val="57F55EB3"/>
    <w:rsid w:val="580B1E7F"/>
    <w:rsid w:val="5811229E"/>
    <w:rsid w:val="583640C7"/>
    <w:rsid w:val="58496EF9"/>
    <w:rsid w:val="58533496"/>
    <w:rsid w:val="5858676E"/>
    <w:rsid w:val="586806F0"/>
    <w:rsid w:val="586E6236"/>
    <w:rsid w:val="5889510A"/>
    <w:rsid w:val="58CC30F9"/>
    <w:rsid w:val="58D93C33"/>
    <w:rsid w:val="58DF4266"/>
    <w:rsid w:val="58DF4D2A"/>
    <w:rsid w:val="58E32A6C"/>
    <w:rsid w:val="58FB7C62"/>
    <w:rsid w:val="590034D9"/>
    <w:rsid w:val="591C41D0"/>
    <w:rsid w:val="592F3F03"/>
    <w:rsid w:val="59394AFA"/>
    <w:rsid w:val="59417793"/>
    <w:rsid w:val="594E4928"/>
    <w:rsid w:val="5958305D"/>
    <w:rsid w:val="59605E6B"/>
    <w:rsid w:val="59752DF4"/>
    <w:rsid w:val="59762F6D"/>
    <w:rsid w:val="598E7CA7"/>
    <w:rsid w:val="59A65848"/>
    <w:rsid w:val="59A96C7F"/>
    <w:rsid w:val="59C7413C"/>
    <w:rsid w:val="59C77C98"/>
    <w:rsid w:val="59F56F6B"/>
    <w:rsid w:val="5A296BA4"/>
    <w:rsid w:val="5A3E02F5"/>
    <w:rsid w:val="5A3F00FB"/>
    <w:rsid w:val="5A47527D"/>
    <w:rsid w:val="5A5A108A"/>
    <w:rsid w:val="5A6D2D52"/>
    <w:rsid w:val="5A6E0A5B"/>
    <w:rsid w:val="5A700229"/>
    <w:rsid w:val="5A772246"/>
    <w:rsid w:val="5A84202D"/>
    <w:rsid w:val="5A957753"/>
    <w:rsid w:val="5A9866CB"/>
    <w:rsid w:val="5AAA319B"/>
    <w:rsid w:val="5AC14616"/>
    <w:rsid w:val="5AD07755"/>
    <w:rsid w:val="5AE1122D"/>
    <w:rsid w:val="5AEB5C08"/>
    <w:rsid w:val="5AF076C2"/>
    <w:rsid w:val="5B01542B"/>
    <w:rsid w:val="5B0D5B7E"/>
    <w:rsid w:val="5B172EA1"/>
    <w:rsid w:val="5B2F1959"/>
    <w:rsid w:val="5B3E042E"/>
    <w:rsid w:val="5B5E1421"/>
    <w:rsid w:val="5B5E2F0C"/>
    <w:rsid w:val="5B782556"/>
    <w:rsid w:val="5B8B7528"/>
    <w:rsid w:val="5B9444F1"/>
    <w:rsid w:val="5BB57FC4"/>
    <w:rsid w:val="5BC1147D"/>
    <w:rsid w:val="5C0C48C3"/>
    <w:rsid w:val="5C2C00C5"/>
    <w:rsid w:val="5C2C0286"/>
    <w:rsid w:val="5C2C472A"/>
    <w:rsid w:val="5C441F61"/>
    <w:rsid w:val="5C563555"/>
    <w:rsid w:val="5C583771"/>
    <w:rsid w:val="5C62639E"/>
    <w:rsid w:val="5C642116"/>
    <w:rsid w:val="5C6B34A4"/>
    <w:rsid w:val="5C7D4C93"/>
    <w:rsid w:val="5C882160"/>
    <w:rsid w:val="5C891B7C"/>
    <w:rsid w:val="5C8A1451"/>
    <w:rsid w:val="5C8B4021"/>
    <w:rsid w:val="5C8E0F41"/>
    <w:rsid w:val="5C961787"/>
    <w:rsid w:val="5CA00C74"/>
    <w:rsid w:val="5CAF704B"/>
    <w:rsid w:val="5CB06EB5"/>
    <w:rsid w:val="5CBD35D4"/>
    <w:rsid w:val="5CCE7ABC"/>
    <w:rsid w:val="5CD64696"/>
    <w:rsid w:val="5D3870FE"/>
    <w:rsid w:val="5D4A2A18"/>
    <w:rsid w:val="5D69550A"/>
    <w:rsid w:val="5D8772F7"/>
    <w:rsid w:val="5D960009"/>
    <w:rsid w:val="5D9B7449"/>
    <w:rsid w:val="5DB25043"/>
    <w:rsid w:val="5DD45079"/>
    <w:rsid w:val="5DE54B90"/>
    <w:rsid w:val="5DEF5A0F"/>
    <w:rsid w:val="5E082F75"/>
    <w:rsid w:val="5E0963CE"/>
    <w:rsid w:val="5E1436C8"/>
    <w:rsid w:val="5E154EEA"/>
    <w:rsid w:val="5E413D91"/>
    <w:rsid w:val="5E421185"/>
    <w:rsid w:val="5E483371"/>
    <w:rsid w:val="5E5A37D0"/>
    <w:rsid w:val="5E624433"/>
    <w:rsid w:val="5E761C8C"/>
    <w:rsid w:val="5E7E6D93"/>
    <w:rsid w:val="5E841E57"/>
    <w:rsid w:val="5E900373"/>
    <w:rsid w:val="5E9640DD"/>
    <w:rsid w:val="5EA7453C"/>
    <w:rsid w:val="5EAF7A90"/>
    <w:rsid w:val="5EC7073A"/>
    <w:rsid w:val="5ED15115"/>
    <w:rsid w:val="5F1050AE"/>
    <w:rsid w:val="5F5703B8"/>
    <w:rsid w:val="5F824661"/>
    <w:rsid w:val="5F866165"/>
    <w:rsid w:val="5F93061C"/>
    <w:rsid w:val="5F984D27"/>
    <w:rsid w:val="5FBE2964"/>
    <w:rsid w:val="5FBF2E48"/>
    <w:rsid w:val="5FC52ECB"/>
    <w:rsid w:val="5FD70E51"/>
    <w:rsid w:val="5FDF3861"/>
    <w:rsid w:val="5FF53085"/>
    <w:rsid w:val="60031C46"/>
    <w:rsid w:val="60086756"/>
    <w:rsid w:val="60275934"/>
    <w:rsid w:val="602776E2"/>
    <w:rsid w:val="605129B1"/>
    <w:rsid w:val="6062071A"/>
    <w:rsid w:val="606D31C1"/>
    <w:rsid w:val="607D04A5"/>
    <w:rsid w:val="608A66C7"/>
    <w:rsid w:val="60953A2C"/>
    <w:rsid w:val="60C633C1"/>
    <w:rsid w:val="60E04F7C"/>
    <w:rsid w:val="60EA2C67"/>
    <w:rsid w:val="60EF513B"/>
    <w:rsid w:val="61291238"/>
    <w:rsid w:val="613100ED"/>
    <w:rsid w:val="61477910"/>
    <w:rsid w:val="6162299C"/>
    <w:rsid w:val="616D55C9"/>
    <w:rsid w:val="618A288D"/>
    <w:rsid w:val="61C6707F"/>
    <w:rsid w:val="61DC6C34"/>
    <w:rsid w:val="61E810F3"/>
    <w:rsid w:val="61EA6C19"/>
    <w:rsid w:val="61F01D56"/>
    <w:rsid w:val="61FB296E"/>
    <w:rsid w:val="61FC06FB"/>
    <w:rsid w:val="620A0821"/>
    <w:rsid w:val="621E78AA"/>
    <w:rsid w:val="62215262"/>
    <w:rsid w:val="622A5F87"/>
    <w:rsid w:val="623C30E9"/>
    <w:rsid w:val="62634C1E"/>
    <w:rsid w:val="62724E61"/>
    <w:rsid w:val="62735116"/>
    <w:rsid w:val="62A019CE"/>
    <w:rsid w:val="62AF1C11"/>
    <w:rsid w:val="62C16B88"/>
    <w:rsid w:val="62D60F4C"/>
    <w:rsid w:val="62D711BE"/>
    <w:rsid w:val="62E93375"/>
    <w:rsid w:val="62EF6FEC"/>
    <w:rsid w:val="630A6E47"/>
    <w:rsid w:val="631A1780"/>
    <w:rsid w:val="631D301E"/>
    <w:rsid w:val="63365E8E"/>
    <w:rsid w:val="633914DA"/>
    <w:rsid w:val="634520A2"/>
    <w:rsid w:val="63454D6C"/>
    <w:rsid w:val="634B625C"/>
    <w:rsid w:val="63584057"/>
    <w:rsid w:val="635B58F5"/>
    <w:rsid w:val="636E41A3"/>
    <w:rsid w:val="636F2A29"/>
    <w:rsid w:val="63701B9A"/>
    <w:rsid w:val="63974B7F"/>
    <w:rsid w:val="63A00324"/>
    <w:rsid w:val="63AD3C6B"/>
    <w:rsid w:val="63CB5574"/>
    <w:rsid w:val="63D062E3"/>
    <w:rsid w:val="63E61662"/>
    <w:rsid w:val="640970FF"/>
    <w:rsid w:val="64405216"/>
    <w:rsid w:val="6441217E"/>
    <w:rsid w:val="6449399F"/>
    <w:rsid w:val="645A5BAC"/>
    <w:rsid w:val="646B024A"/>
    <w:rsid w:val="648C220A"/>
    <w:rsid w:val="6493527C"/>
    <w:rsid w:val="649E7A03"/>
    <w:rsid w:val="64A21A2D"/>
    <w:rsid w:val="64A84B6A"/>
    <w:rsid w:val="64B17048"/>
    <w:rsid w:val="64C86FBA"/>
    <w:rsid w:val="64CA2D32"/>
    <w:rsid w:val="64D67929"/>
    <w:rsid w:val="64D802A4"/>
    <w:rsid w:val="64DC4783"/>
    <w:rsid w:val="65155EBB"/>
    <w:rsid w:val="652507F9"/>
    <w:rsid w:val="65624D19"/>
    <w:rsid w:val="65765906"/>
    <w:rsid w:val="65A215B9"/>
    <w:rsid w:val="65B06352"/>
    <w:rsid w:val="65EB4803"/>
    <w:rsid w:val="65F25578"/>
    <w:rsid w:val="66327BF7"/>
    <w:rsid w:val="663C37BC"/>
    <w:rsid w:val="66430FEE"/>
    <w:rsid w:val="664726D9"/>
    <w:rsid w:val="664F5A97"/>
    <w:rsid w:val="667473F9"/>
    <w:rsid w:val="6681781C"/>
    <w:rsid w:val="66AF3F8D"/>
    <w:rsid w:val="66E2751B"/>
    <w:rsid w:val="66F932EC"/>
    <w:rsid w:val="67112E9A"/>
    <w:rsid w:val="672B78DD"/>
    <w:rsid w:val="67351044"/>
    <w:rsid w:val="67446DCC"/>
    <w:rsid w:val="67683A33"/>
    <w:rsid w:val="677376B1"/>
    <w:rsid w:val="677A0A3F"/>
    <w:rsid w:val="6787315C"/>
    <w:rsid w:val="679338AF"/>
    <w:rsid w:val="67AE693B"/>
    <w:rsid w:val="67B13D35"/>
    <w:rsid w:val="67C473FE"/>
    <w:rsid w:val="67D13936"/>
    <w:rsid w:val="67D16185"/>
    <w:rsid w:val="67DD4B2A"/>
    <w:rsid w:val="67E20393"/>
    <w:rsid w:val="67E46C83"/>
    <w:rsid w:val="67ED1140"/>
    <w:rsid w:val="68073211"/>
    <w:rsid w:val="6808604B"/>
    <w:rsid w:val="6817628E"/>
    <w:rsid w:val="682664D1"/>
    <w:rsid w:val="684B23DC"/>
    <w:rsid w:val="685A1D39"/>
    <w:rsid w:val="686607F9"/>
    <w:rsid w:val="68731FE2"/>
    <w:rsid w:val="6894168D"/>
    <w:rsid w:val="6894601C"/>
    <w:rsid w:val="68A157B1"/>
    <w:rsid w:val="68A35D74"/>
    <w:rsid w:val="68AF31CE"/>
    <w:rsid w:val="68B270E9"/>
    <w:rsid w:val="68B336C4"/>
    <w:rsid w:val="68C53F3C"/>
    <w:rsid w:val="690F6F65"/>
    <w:rsid w:val="692013F5"/>
    <w:rsid w:val="692769A5"/>
    <w:rsid w:val="692D1EC0"/>
    <w:rsid w:val="693115D2"/>
    <w:rsid w:val="695207A7"/>
    <w:rsid w:val="69706493"/>
    <w:rsid w:val="69944F9A"/>
    <w:rsid w:val="69A37EEA"/>
    <w:rsid w:val="69CB37D4"/>
    <w:rsid w:val="69F30635"/>
    <w:rsid w:val="6A05470F"/>
    <w:rsid w:val="6A0C175E"/>
    <w:rsid w:val="6A0D65B7"/>
    <w:rsid w:val="6A1D52F2"/>
    <w:rsid w:val="6A537326"/>
    <w:rsid w:val="6A563751"/>
    <w:rsid w:val="6A590DE0"/>
    <w:rsid w:val="6A5E5639"/>
    <w:rsid w:val="6A6E23B2"/>
    <w:rsid w:val="6A793230"/>
    <w:rsid w:val="6A815C41"/>
    <w:rsid w:val="6A81688D"/>
    <w:rsid w:val="6AA17D67"/>
    <w:rsid w:val="6AA20999"/>
    <w:rsid w:val="6ACA583A"/>
    <w:rsid w:val="6ADD4AB5"/>
    <w:rsid w:val="6AF64881"/>
    <w:rsid w:val="6B0845B4"/>
    <w:rsid w:val="6B261EF7"/>
    <w:rsid w:val="6B470F23"/>
    <w:rsid w:val="6B5B46E4"/>
    <w:rsid w:val="6B5F7DE8"/>
    <w:rsid w:val="6B6317EA"/>
    <w:rsid w:val="6B8A321B"/>
    <w:rsid w:val="6BBA26E8"/>
    <w:rsid w:val="6BC02799"/>
    <w:rsid w:val="6BF863D7"/>
    <w:rsid w:val="6BF97D99"/>
    <w:rsid w:val="6C1F71D5"/>
    <w:rsid w:val="6C2D4E30"/>
    <w:rsid w:val="6C3A69EF"/>
    <w:rsid w:val="6C553829"/>
    <w:rsid w:val="6C861D70"/>
    <w:rsid w:val="6CA4030D"/>
    <w:rsid w:val="6CAA1F3D"/>
    <w:rsid w:val="6CAB169B"/>
    <w:rsid w:val="6CAD5413"/>
    <w:rsid w:val="6CB30550"/>
    <w:rsid w:val="6CB93DB8"/>
    <w:rsid w:val="6CBE13CE"/>
    <w:rsid w:val="6CEB7CE9"/>
    <w:rsid w:val="6D060CCA"/>
    <w:rsid w:val="6D080949"/>
    <w:rsid w:val="6D25144D"/>
    <w:rsid w:val="6D2A6A64"/>
    <w:rsid w:val="6D4530D8"/>
    <w:rsid w:val="6D453443"/>
    <w:rsid w:val="6DA856A8"/>
    <w:rsid w:val="6DC01176"/>
    <w:rsid w:val="6DCD73EF"/>
    <w:rsid w:val="6DD34E17"/>
    <w:rsid w:val="6DDB0350"/>
    <w:rsid w:val="6DF332FA"/>
    <w:rsid w:val="6E05302D"/>
    <w:rsid w:val="6E316D0B"/>
    <w:rsid w:val="6E4A0A40"/>
    <w:rsid w:val="6E5F1847"/>
    <w:rsid w:val="6E851A78"/>
    <w:rsid w:val="6E92348B"/>
    <w:rsid w:val="6EA25D30"/>
    <w:rsid w:val="6EA75E92"/>
    <w:rsid w:val="6EAD34A8"/>
    <w:rsid w:val="6ECA2F1D"/>
    <w:rsid w:val="6EED63B8"/>
    <w:rsid w:val="6EFA1A61"/>
    <w:rsid w:val="6EFE2F7A"/>
    <w:rsid w:val="6F0A08FB"/>
    <w:rsid w:val="6F0C245F"/>
    <w:rsid w:val="6F1057E5"/>
    <w:rsid w:val="6F215C44"/>
    <w:rsid w:val="6F240AD7"/>
    <w:rsid w:val="6F343BA3"/>
    <w:rsid w:val="6F415726"/>
    <w:rsid w:val="6F683679"/>
    <w:rsid w:val="6F6E3519"/>
    <w:rsid w:val="6F7A7103"/>
    <w:rsid w:val="6F7C731F"/>
    <w:rsid w:val="6FA475BA"/>
    <w:rsid w:val="6FB11BBE"/>
    <w:rsid w:val="6FBA62FD"/>
    <w:rsid w:val="6FCD7766"/>
    <w:rsid w:val="6FD455D0"/>
    <w:rsid w:val="6FDD7DBD"/>
    <w:rsid w:val="700215D2"/>
    <w:rsid w:val="703379DD"/>
    <w:rsid w:val="703718F0"/>
    <w:rsid w:val="70381498"/>
    <w:rsid w:val="70451219"/>
    <w:rsid w:val="705A36F0"/>
    <w:rsid w:val="7062271B"/>
    <w:rsid w:val="70763705"/>
    <w:rsid w:val="70797CE7"/>
    <w:rsid w:val="707E57A0"/>
    <w:rsid w:val="707F70C6"/>
    <w:rsid w:val="70A83187"/>
    <w:rsid w:val="70AA22AB"/>
    <w:rsid w:val="70D71396"/>
    <w:rsid w:val="70E605BB"/>
    <w:rsid w:val="70E909E4"/>
    <w:rsid w:val="711F4406"/>
    <w:rsid w:val="71566079"/>
    <w:rsid w:val="715A58D2"/>
    <w:rsid w:val="715F1BA2"/>
    <w:rsid w:val="71775FF0"/>
    <w:rsid w:val="71866233"/>
    <w:rsid w:val="718F3339"/>
    <w:rsid w:val="71963B10"/>
    <w:rsid w:val="71BC7EA6"/>
    <w:rsid w:val="71C730E1"/>
    <w:rsid w:val="71CB732D"/>
    <w:rsid w:val="71DB657E"/>
    <w:rsid w:val="71F87699"/>
    <w:rsid w:val="72136023"/>
    <w:rsid w:val="72203F91"/>
    <w:rsid w:val="722E2B52"/>
    <w:rsid w:val="723E2669"/>
    <w:rsid w:val="723E589A"/>
    <w:rsid w:val="72457E60"/>
    <w:rsid w:val="7260622C"/>
    <w:rsid w:val="727F515C"/>
    <w:rsid w:val="729843E7"/>
    <w:rsid w:val="72B84300"/>
    <w:rsid w:val="72CC5EC7"/>
    <w:rsid w:val="72CC741B"/>
    <w:rsid w:val="72CE42A3"/>
    <w:rsid w:val="72FA2A34"/>
    <w:rsid w:val="731A30D6"/>
    <w:rsid w:val="733817AF"/>
    <w:rsid w:val="734737A0"/>
    <w:rsid w:val="73520AC2"/>
    <w:rsid w:val="736236E7"/>
    <w:rsid w:val="739015EB"/>
    <w:rsid w:val="739169EA"/>
    <w:rsid w:val="739B0D6D"/>
    <w:rsid w:val="73AF7CC3"/>
    <w:rsid w:val="73CD0982"/>
    <w:rsid w:val="73D2750D"/>
    <w:rsid w:val="73DE2356"/>
    <w:rsid w:val="73E90689"/>
    <w:rsid w:val="73F73418"/>
    <w:rsid w:val="73FA09CF"/>
    <w:rsid w:val="73FE4F2A"/>
    <w:rsid w:val="74044652"/>
    <w:rsid w:val="74081892"/>
    <w:rsid w:val="742A559B"/>
    <w:rsid w:val="74620891"/>
    <w:rsid w:val="74640AAD"/>
    <w:rsid w:val="74687C44"/>
    <w:rsid w:val="747A37DF"/>
    <w:rsid w:val="74B3797D"/>
    <w:rsid w:val="74C652C4"/>
    <w:rsid w:val="74DB3097"/>
    <w:rsid w:val="7521568D"/>
    <w:rsid w:val="753007A1"/>
    <w:rsid w:val="753A2EE2"/>
    <w:rsid w:val="756972B0"/>
    <w:rsid w:val="756D5926"/>
    <w:rsid w:val="75722D56"/>
    <w:rsid w:val="757B7FD5"/>
    <w:rsid w:val="7580150C"/>
    <w:rsid w:val="75A90742"/>
    <w:rsid w:val="75BF3E9C"/>
    <w:rsid w:val="75E01633"/>
    <w:rsid w:val="762027B2"/>
    <w:rsid w:val="76216307"/>
    <w:rsid w:val="76797FEA"/>
    <w:rsid w:val="767E397C"/>
    <w:rsid w:val="76901C2B"/>
    <w:rsid w:val="76A24662"/>
    <w:rsid w:val="76A96C4B"/>
    <w:rsid w:val="76AC6A07"/>
    <w:rsid w:val="76BD688B"/>
    <w:rsid w:val="77094221"/>
    <w:rsid w:val="770E0AD4"/>
    <w:rsid w:val="771A3308"/>
    <w:rsid w:val="77426434"/>
    <w:rsid w:val="774921DC"/>
    <w:rsid w:val="77504549"/>
    <w:rsid w:val="77561DDD"/>
    <w:rsid w:val="777A2396"/>
    <w:rsid w:val="777B7DFA"/>
    <w:rsid w:val="777D1E86"/>
    <w:rsid w:val="778154D2"/>
    <w:rsid w:val="77BB7DFC"/>
    <w:rsid w:val="77C17FC5"/>
    <w:rsid w:val="77C875A5"/>
    <w:rsid w:val="77DA1306"/>
    <w:rsid w:val="77DC42BF"/>
    <w:rsid w:val="77E66DCA"/>
    <w:rsid w:val="77EB6DF0"/>
    <w:rsid w:val="77F9775E"/>
    <w:rsid w:val="77FE6B23"/>
    <w:rsid w:val="78063C29"/>
    <w:rsid w:val="783469E8"/>
    <w:rsid w:val="78646FCD"/>
    <w:rsid w:val="786E1943"/>
    <w:rsid w:val="78A43B6E"/>
    <w:rsid w:val="78AD79D8"/>
    <w:rsid w:val="78D45AD6"/>
    <w:rsid w:val="78E71CAD"/>
    <w:rsid w:val="78E977D3"/>
    <w:rsid w:val="78EA0F9F"/>
    <w:rsid w:val="79294D66"/>
    <w:rsid w:val="79556326"/>
    <w:rsid w:val="79560123"/>
    <w:rsid w:val="795D31F5"/>
    <w:rsid w:val="795D5ACB"/>
    <w:rsid w:val="795F169C"/>
    <w:rsid w:val="796A766E"/>
    <w:rsid w:val="797057FE"/>
    <w:rsid w:val="7973709D"/>
    <w:rsid w:val="79807812"/>
    <w:rsid w:val="798A42B2"/>
    <w:rsid w:val="79AD6A52"/>
    <w:rsid w:val="79B325B0"/>
    <w:rsid w:val="79CD67A5"/>
    <w:rsid w:val="79D833A4"/>
    <w:rsid w:val="79ED6E4F"/>
    <w:rsid w:val="79FE6DB9"/>
    <w:rsid w:val="7A0423EA"/>
    <w:rsid w:val="7A13262E"/>
    <w:rsid w:val="7A1528E7"/>
    <w:rsid w:val="7A293A71"/>
    <w:rsid w:val="7A756E44"/>
    <w:rsid w:val="7A831561"/>
    <w:rsid w:val="7A8B0908"/>
    <w:rsid w:val="7A8C48BA"/>
    <w:rsid w:val="7A9A26CA"/>
    <w:rsid w:val="7AC10876"/>
    <w:rsid w:val="7B144872"/>
    <w:rsid w:val="7B234AF2"/>
    <w:rsid w:val="7B2D3022"/>
    <w:rsid w:val="7B3052E9"/>
    <w:rsid w:val="7B3A4316"/>
    <w:rsid w:val="7B3D01B3"/>
    <w:rsid w:val="7B481280"/>
    <w:rsid w:val="7B503B39"/>
    <w:rsid w:val="7B6E0F52"/>
    <w:rsid w:val="7B871525"/>
    <w:rsid w:val="7BA7127F"/>
    <w:rsid w:val="7BAE567E"/>
    <w:rsid w:val="7BC14493"/>
    <w:rsid w:val="7BCB0583"/>
    <w:rsid w:val="7BCB27A1"/>
    <w:rsid w:val="7BE81FC4"/>
    <w:rsid w:val="7BFF2E69"/>
    <w:rsid w:val="7C22059A"/>
    <w:rsid w:val="7C352C27"/>
    <w:rsid w:val="7C8810B1"/>
    <w:rsid w:val="7C8B1F44"/>
    <w:rsid w:val="7CA431AC"/>
    <w:rsid w:val="7CBC01C6"/>
    <w:rsid w:val="7CE87DA1"/>
    <w:rsid w:val="7CF25884"/>
    <w:rsid w:val="7D0270B5"/>
    <w:rsid w:val="7D254B52"/>
    <w:rsid w:val="7D3B6123"/>
    <w:rsid w:val="7D5B3117"/>
    <w:rsid w:val="7D5E0064"/>
    <w:rsid w:val="7D6873BE"/>
    <w:rsid w:val="7D6A6A08"/>
    <w:rsid w:val="7D80447E"/>
    <w:rsid w:val="7DFB1059"/>
    <w:rsid w:val="7E0B3D48"/>
    <w:rsid w:val="7E3111DC"/>
    <w:rsid w:val="7E344F9D"/>
    <w:rsid w:val="7E8D0C00"/>
    <w:rsid w:val="7E952BC4"/>
    <w:rsid w:val="7EBC562D"/>
    <w:rsid w:val="7EC30004"/>
    <w:rsid w:val="7EF2624D"/>
    <w:rsid w:val="7F0A7EBE"/>
    <w:rsid w:val="7F0B0898"/>
    <w:rsid w:val="7F144E7E"/>
    <w:rsid w:val="7F1715F4"/>
    <w:rsid w:val="7F234754"/>
    <w:rsid w:val="7F27588B"/>
    <w:rsid w:val="7F471C5D"/>
    <w:rsid w:val="7F6341BF"/>
    <w:rsid w:val="7F703475"/>
    <w:rsid w:val="7FA36202"/>
    <w:rsid w:val="7FBC1522"/>
    <w:rsid w:val="7FC05006"/>
    <w:rsid w:val="7FDF723A"/>
    <w:rsid w:val="7FF411D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weight="1pt" color="#FFFFFF"/>
    </o:shapedefaults>
    <o:shapelayout v:ext="edit">
      <o:idmap v:ext="edit" data="2,3,70"/>
      <o:rules v:ext="edit">
        <o:r id="V:Rule1" type="connector" idref="#_x0000_s2509"/>
        <o:r id="V:Rule2" type="connector" idref="#_x0000_s3787"/>
        <o:r id="V:Rule3" type="connector" idref="#_x0000_s3801"/>
        <o:r id="V:Rule4" type="connector" idref="#_x0000_s3802"/>
        <o:r id="V:Rule5" type="connector" idref="#_x0000_s3803"/>
        <o:r id="V:Rule6" type="connector" idref="#_x0000_s3804"/>
        <o:r id="V:Rule7" type="connector" idref="#_x0000_s3805"/>
        <o:r id="V:Rule8" type="connector" idref="#_x0000_s3806"/>
        <o:r id="V:Rule9" type="connector" idref="#_x0000_s3807"/>
        <o:r id="V:Rule10" type="connector" idref="#_x0000_s3808"/>
        <o:r id="V:Rule11" type="connector" idref="#_x0000_s3809"/>
        <o:r id="V:Rule12" type="connector" idref="#_x0000_s3811"/>
        <o:r id="V:Rule13" type="connector" idref="#_x0000_s3812"/>
        <o:r id="V:Rule14" type="connector" idref="#_x0000_s3813"/>
        <o:r id="V:Rule15" type="connector" idref="#_x0000_s3816"/>
        <o:r id="V:Rule16" type="connector" idref="#_x0000_s3819"/>
        <o:r id="V:Rule17" type="connector" idref="#_x0000_s3820"/>
        <o:r id="V:Rule18" type="connector" idref="#_x0000_s3823"/>
        <o:r id="V:Rule19" type="connector" idref="#_x0000_s3824"/>
        <o:r id="V:Rule20" type="connector" idref="#_x0000_s3827"/>
        <o:r id="V:Rule21" type="connector" idref="#_x0000_s3828"/>
        <o:r id="V:Rule22" type="connector" idref="#_x0000_s3831"/>
        <o:r id="V:Rule23" type="connector" idref="#_x0000_s3832"/>
        <o:r id="V:Rule24" type="connector" idref="#_x0000_s3834"/>
        <o:r id="V:Rule25" type="connector" idref="#_x0000_s3835"/>
        <o:r id="V:Rule26" type="connector" idref="#_x0000_s3838"/>
        <o:r id="V:Rule27" type="connector" idref="#_x0000_s3840"/>
        <o:r id="V:Rule28" type="connector" idref="#_x0000_s3842"/>
        <o:r id="V:Rule29" type="connector" idref="#_x0000_s3843"/>
        <o:r id="V:Rule30" type="connector" idref="#_x0000_s3847"/>
        <o:r id="V:Rule31" type="connector" idref="#_x0000_s3848"/>
        <o:r id="V:Rule32" type="connector" idref="#_x0000_s3850"/>
        <o:r id="V:Rule33" type="connector" idref="#_x0000_s3852"/>
        <o:r id="V:Rule34" type="connector" idref="#_x0000_s3855"/>
        <o:r id="V:Rule35" type="connector" idref="#_x0000_s3868"/>
        <o:r id="V:Rule36" type="connector" idref="#_x0000_s3916"/>
        <o:r id="V:Rule37" type="connector" idref="#_x0000_s3917"/>
        <o:r id="V:Rule38" type="connector" idref="#_x0000_s3918"/>
        <o:r id="V:Rule39" type="connector" idref="#_x0000_s3919"/>
        <o:r id="V:Rule40" type="connector" idref="#_x0000_s3920"/>
        <o:r id="V:Rule41" type="connector" idref="#_x0000_s3921"/>
        <o:r id="V:Rule42" type="connector" idref="#_x0000_s3922"/>
        <o:r id="V:Rule43" type="connector" idref="#_x0000_s3923"/>
        <o:r id="V:Rule44" type="connector" idref="#_x0000_s3928"/>
        <o:r id="V:Rule45" type="connector" idref="#_x0000_s3929"/>
        <o:r id="V:Rule46" type="connector" idref="#_x0000_s3931"/>
        <o:r id="V:Rule47" type="connector" idref="#_x0000_s3934"/>
        <o:r id="V:Rule48" type="connector" idref="#_x0000_s3982"/>
        <o:r id="V:Rule49" type="connector" idref="#_x0000_s3984"/>
        <o:r id="V:Rule50" type="connector" idref="#_x0000_s3987"/>
        <o:r id="V:Rule51" type="connector" idref="#_x0000_s3990"/>
        <o:r id="V:Rule52" type="connector" idref="#_x0000_s3992"/>
        <o:r id="V:Rule53" type="connector" idref="#_x0000_s3995"/>
        <o:r id="V:Rule54" type="connector" idref="#_x0000_s3997"/>
        <o:r id="V:Rule55" type="connector" idref="#_x0000_s3998"/>
        <o:r id="V:Rule56" type="connector" idref="#_x0000_s3999"/>
        <o:r id="V:Rule57" type="connector" idref="#_x0000_s4001"/>
        <o:r id="V:Rule58" type="connector" idref="#_x0000_s4002"/>
        <o:r id="V:Rule59" type="connector" idref="#_x0000_s4006"/>
        <o:r id="V:Rule60" type="connector" idref="#_x0000_s4008"/>
        <o:r id="V:Rule61" type="connector" idref="#_x0000_s4010"/>
        <o:r id="V:Rule62" type="connector" idref="#_x0000_s4013"/>
        <o:r id="V:Rule63" type="connector" idref="#_x0000_s4021"/>
        <o:r id="V:Rule64" type="connector" idref="#_x0000_s4023"/>
        <o:r id="V:Rule65" type="connector" idref="#_x0000_s4025"/>
        <o:r id="V:Rule66" type="connector" idref="#_x0000_s4028"/>
        <o:r id="V:Rule67" type="connector" idref="#_x0000_s4044"/>
        <o:r id="V:Rule68" type="connector" idref="#_x0000_s4045"/>
        <o:r id="V:Rule69" type="connector" idref="#_x0000_s4046"/>
        <o:r id="V:Rule70" type="connector" idref="#_x0000_s4047"/>
        <o:r id="V:Rule71" type="connector" idref="#_x0000_s4048"/>
        <o:r id="V:Rule72" type="connector" idref="#_x0000_s71685"/>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99" w:name="heading 7"/>
    <w:lsdException w:qFormat="1" w:uiPriority="99" w:name="heading 8"/>
    <w:lsdException w:qFormat="1" w:uiPriority="9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0" w:semiHidden="0" w:name="Normal Indent"/>
    <w:lsdException w:uiPriority="99" w:name="footnote text"/>
    <w:lsdException w:qFormat="1" w:uiPriority="99" w:name="annotation text"/>
    <w:lsdException w:qFormat="1" w:uiPriority="0"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0" w:name="annotation reference"/>
    <w:lsdException w:uiPriority="99" w:name="line number"/>
    <w:lsdException w:uiPriority="99" w:name="page number"/>
    <w:lsdException w:qFormat="1" w:uiPriority="99" w:name="endnote reference"/>
    <w:lsdException w:qFormat="1" w:uiPriority="99" w:name="endnote text"/>
    <w:lsdException w:qFormat="1" w:unhideWhenUsed="0" w:uiPriority="0" w:semiHidden="0" w:name="table of authorities"/>
    <w:lsdException w:uiPriority="99" w:name="macro"/>
    <w:lsdException w:uiPriority="99" w:name="toa heading"/>
    <w:lsdException w:qFormat="1" w:uiPriority="0" w:name="List"/>
    <w:lsdException w:uiPriority="99" w:name="List Bullet"/>
    <w:lsdException w:uiPriority="99" w:name="List Number"/>
    <w:lsdException w:qFormat="1" w:uiPriority="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qFormat="1"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0" w:semiHidden="0" w:name="Body Text"/>
    <w:lsdException w:qFormat="1" w:uiPriority="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iPriority="0" w:semiHidden="0" w:name="Body Text First Indent"/>
    <w:lsdException w:qFormat="1" w:uiPriority="0" w:name="Body Text First Indent 2"/>
    <w:lsdException w:qFormat="1" w:uiPriority="0" w:name="Note Heading"/>
    <w:lsdException w:qFormat="1" w:uiPriority="99" w:semiHidden="0" w:name="Body Text 2"/>
    <w:lsdException w:qFormat="1" w:uiPriority="0" w:name="Body Text 3"/>
    <w:lsdException w:qFormat="1" w:uiPriority="0" w:name="Body Text Indent 2"/>
    <w:lsdException w:qFormat="1" w:uiPriority="0" w:name="Body Text Indent 3"/>
    <w:lsdException w:qFormat="1" w:uiPriority="0"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qFormat="1" w:uiPriority="0" w:name="Document Map"/>
    <w:lsdException w:qFormat="1" w:uiPriority="0" w:semiHidden="0" w:name="Plain Text"/>
    <w:lsdException w:uiPriority="99" w:name="E-mail Signature"/>
    <w:lsdException w:qFormat="1" w:uiPriority="34"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qFormat="1" w:uiPriority="0" w:name="HTML Typewriter"/>
    <w:lsdException w:uiPriority="99" w:name="HTML Variable"/>
    <w:lsdException w:qFormat="1" w:uiPriority="99" w:name="Normal Table"/>
    <w:lsdException w:qFormat="1"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qFormat="1" w:uiPriority="0" w:name="Table Grid 1"/>
    <w:lsdException w:uiPriority="99" w:name="Table Grid 2"/>
    <w:lsdException w:uiPriority="99" w:name="Table Grid 3"/>
    <w:lsdException w:uiPriority="99" w:name="Table Grid 4"/>
    <w:lsdException w:uiPriority="99" w:name="Table Grid 5"/>
    <w:lsdException w:qFormat="1" w:uiPriority="0"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iPriority="0"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name="Balloon Text"/>
    <w:lsdException w:qFormat="1" w:unhideWhenUsed="0" w:uiPriority="0" w:semiHidden="0" w:name="Table Grid"/>
    <w:lsdException w:uiPriority="99" w:name="Table Theme"/>
    <w:lsdException w:qFormat="1" w:unhideWhenUsed="0" w:uiPriority="99"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240" w:lineRule="auto"/>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60"/>
    <w:autoRedefine/>
    <w:qFormat/>
    <w:uiPriority w:val="0"/>
    <w:pPr>
      <w:keepNext/>
      <w:keepLines/>
      <w:spacing w:before="340" w:after="330" w:line="578" w:lineRule="auto"/>
      <w:outlineLvl w:val="0"/>
    </w:pPr>
    <w:rPr>
      <w:b/>
      <w:bCs/>
      <w:kern w:val="44"/>
      <w:sz w:val="44"/>
      <w:szCs w:val="44"/>
    </w:rPr>
  </w:style>
  <w:style w:type="paragraph" w:styleId="4">
    <w:name w:val="heading 2"/>
    <w:basedOn w:val="1"/>
    <w:next w:val="1"/>
    <w:link w:val="61"/>
    <w:autoRedefine/>
    <w:unhideWhenUsed/>
    <w:qFormat/>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5">
    <w:name w:val="heading 3"/>
    <w:basedOn w:val="1"/>
    <w:next w:val="1"/>
    <w:link w:val="62"/>
    <w:autoRedefine/>
    <w:unhideWhenUsed/>
    <w:qFormat/>
    <w:uiPriority w:val="0"/>
    <w:pPr>
      <w:keepNext/>
      <w:keepLines/>
      <w:spacing w:before="260" w:after="260" w:line="416" w:lineRule="atLeast"/>
      <w:ind w:firstLine="425" w:firstLineChars="177"/>
      <w:outlineLvl w:val="2"/>
    </w:pPr>
    <w:rPr>
      <w:rFonts w:ascii="宋体" w:hAnsi="宋体" w:cs="宋体"/>
      <w:sz w:val="32"/>
      <w:szCs w:val="32"/>
    </w:rPr>
  </w:style>
  <w:style w:type="paragraph" w:styleId="6">
    <w:name w:val="heading 4"/>
    <w:basedOn w:val="1"/>
    <w:next w:val="1"/>
    <w:link w:val="63"/>
    <w:autoRedefine/>
    <w:semiHidden/>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7">
    <w:name w:val="heading 5"/>
    <w:basedOn w:val="1"/>
    <w:next w:val="1"/>
    <w:link w:val="64"/>
    <w:autoRedefine/>
    <w:semiHidden/>
    <w:unhideWhenUsed/>
    <w:qFormat/>
    <w:uiPriority w:val="0"/>
    <w:pPr>
      <w:keepNext/>
      <w:keepLines/>
      <w:widowControl/>
      <w:spacing w:before="280" w:after="290" w:line="372" w:lineRule="auto"/>
      <w:ind w:firstLine="425" w:firstLineChars="177"/>
      <w:outlineLvl w:val="4"/>
    </w:pPr>
    <w:rPr>
      <w:color w:val="000000"/>
      <w:kern w:val="0"/>
      <w:sz w:val="28"/>
      <w:szCs w:val="28"/>
    </w:rPr>
  </w:style>
  <w:style w:type="paragraph" w:styleId="8">
    <w:name w:val="heading 6"/>
    <w:basedOn w:val="1"/>
    <w:next w:val="1"/>
    <w:link w:val="65"/>
    <w:autoRedefine/>
    <w:semiHidden/>
    <w:unhideWhenUsed/>
    <w:qFormat/>
    <w:uiPriority w:val="0"/>
    <w:pPr>
      <w:keepNext/>
      <w:keepLines/>
      <w:widowControl/>
      <w:spacing w:before="240" w:after="64" w:line="316" w:lineRule="auto"/>
      <w:ind w:firstLine="425" w:firstLineChars="177"/>
      <w:outlineLvl w:val="5"/>
    </w:pPr>
    <w:rPr>
      <w:rFonts w:ascii="Arial" w:hAnsi="Arial" w:eastAsia="黑体"/>
      <w:color w:val="000000"/>
      <w:kern w:val="0"/>
      <w:sz w:val="24"/>
    </w:rPr>
  </w:style>
  <w:style w:type="paragraph" w:styleId="9">
    <w:name w:val="heading 7"/>
    <w:basedOn w:val="3"/>
    <w:next w:val="1"/>
    <w:link w:val="66"/>
    <w:autoRedefine/>
    <w:semiHidden/>
    <w:unhideWhenUsed/>
    <w:qFormat/>
    <w:uiPriority w:val="99"/>
    <w:pPr>
      <w:widowControl/>
      <w:spacing w:before="240" w:after="64" w:line="316" w:lineRule="auto"/>
      <w:ind w:firstLine="425" w:firstLineChars="177"/>
      <w:outlineLvl w:val="6"/>
    </w:pPr>
    <w:rPr>
      <w:color w:val="000000"/>
      <w:kern w:val="0"/>
      <w:sz w:val="24"/>
      <w:szCs w:val="24"/>
    </w:rPr>
  </w:style>
  <w:style w:type="paragraph" w:styleId="10">
    <w:name w:val="heading 8"/>
    <w:basedOn w:val="3"/>
    <w:next w:val="1"/>
    <w:link w:val="67"/>
    <w:autoRedefine/>
    <w:semiHidden/>
    <w:unhideWhenUsed/>
    <w:qFormat/>
    <w:uiPriority w:val="99"/>
    <w:pPr>
      <w:widowControl/>
      <w:spacing w:before="240" w:after="64" w:line="316" w:lineRule="auto"/>
      <w:ind w:firstLine="425" w:firstLineChars="177"/>
      <w:outlineLvl w:val="7"/>
    </w:pPr>
    <w:rPr>
      <w:rFonts w:ascii="Arial" w:hAnsi="Arial" w:eastAsia="黑体"/>
      <w:b w:val="0"/>
      <w:bCs w:val="0"/>
      <w:color w:val="000000"/>
      <w:kern w:val="0"/>
      <w:sz w:val="24"/>
      <w:szCs w:val="24"/>
    </w:rPr>
  </w:style>
  <w:style w:type="paragraph" w:styleId="11">
    <w:name w:val="heading 9"/>
    <w:basedOn w:val="3"/>
    <w:next w:val="1"/>
    <w:link w:val="68"/>
    <w:autoRedefine/>
    <w:semiHidden/>
    <w:unhideWhenUsed/>
    <w:qFormat/>
    <w:uiPriority w:val="99"/>
    <w:pPr>
      <w:widowControl/>
      <w:spacing w:beforeLines="50" w:after="64" w:line="400" w:lineRule="exact"/>
      <w:ind w:firstLine="425" w:firstLineChars="177"/>
      <w:jc w:val="center"/>
      <w:outlineLvl w:val="8"/>
    </w:pPr>
    <w:rPr>
      <w:b w:val="0"/>
      <w:bCs w:val="0"/>
      <w:color w:val="000000"/>
      <w:kern w:val="0"/>
      <w:sz w:val="24"/>
      <w:szCs w:val="21"/>
    </w:rPr>
  </w:style>
  <w:style w:type="character" w:default="1" w:styleId="51">
    <w:name w:val="Default Paragraph Font"/>
    <w:autoRedefine/>
    <w:semiHidden/>
    <w:unhideWhenUsed/>
    <w:qFormat/>
    <w:uiPriority w:val="1"/>
  </w:style>
  <w:style w:type="table" w:default="1" w:styleId="46">
    <w:name w:val="Normal Table"/>
    <w:autoRedefine/>
    <w:semiHidden/>
    <w:unhideWhenUsed/>
    <w:qFormat/>
    <w:uiPriority w:val="99"/>
    <w:tblPr>
      <w:tblCellMar>
        <w:top w:w="0" w:type="dxa"/>
        <w:left w:w="108" w:type="dxa"/>
        <w:bottom w:w="0" w:type="dxa"/>
        <w:right w:w="108" w:type="dxa"/>
      </w:tblCellMar>
    </w:tblPr>
  </w:style>
  <w:style w:type="paragraph" w:customStyle="1" w:styleId="2">
    <w:name w:val="11111"/>
    <w:basedOn w:val="1"/>
    <w:next w:val="1"/>
    <w:autoRedefine/>
    <w:qFormat/>
    <w:uiPriority w:val="0"/>
    <w:pPr>
      <w:spacing w:line="360" w:lineRule="auto"/>
      <w:ind w:firstLine="200" w:firstLineChars="200"/>
    </w:pPr>
    <w:rPr>
      <w:rFonts w:ascii="宋体" w:hAnsi="宋体" w:cs="宋体"/>
      <w:sz w:val="24"/>
    </w:rPr>
  </w:style>
  <w:style w:type="paragraph" w:styleId="12">
    <w:name w:val="table of authorities"/>
    <w:basedOn w:val="1"/>
    <w:next w:val="1"/>
    <w:autoRedefine/>
    <w:qFormat/>
    <w:uiPriority w:val="0"/>
    <w:pPr>
      <w:ind w:left="420" w:leftChars="200" w:firstLine="0"/>
    </w:pPr>
  </w:style>
  <w:style w:type="paragraph" w:styleId="13">
    <w:name w:val="Note Heading"/>
    <w:basedOn w:val="3"/>
    <w:next w:val="1"/>
    <w:link w:val="121"/>
    <w:autoRedefine/>
    <w:semiHidden/>
    <w:unhideWhenUsed/>
    <w:qFormat/>
    <w:uiPriority w:val="0"/>
    <w:pPr>
      <w:keepNext w:val="0"/>
      <w:keepLines w:val="0"/>
      <w:spacing w:before="0" w:after="0" w:line="500" w:lineRule="atLeast"/>
      <w:ind w:firstLine="425" w:firstLineChars="177"/>
      <w:jc w:val="center"/>
      <w:outlineLvl w:val="9"/>
    </w:pPr>
    <w:rPr>
      <w:rFonts w:asciiTheme="minorHAnsi" w:hAnsiTheme="minorHAnsi" w:eastAsiaTheme="minorEastAsia" w:cstheme="minorBidi"/>
      <w:b w:val="0"/>
      <w:bCs w:val="0"/>
      <w:kern w:val="2"/>
      <w:sz w:val="24"/>
      <w:szCs w:val="22"/>
    </w:rPr>
  </w:style>
  <w:style w:type="paragraph" w:styleId="14">
    <w:name w:val="Normal Indent"/>
    <w:basedOn w:val="1"/>
    <w:link w:val="110"/>
    <w:autoRedefine/>
    <w:unhideWhenUsed/>
    <w:qFormat/>
    <w:uiPriority w:val="0"/>
    <w:pPr>
      <w:keepNext w:val="0"/>
      <w:keepLines w:val="0"/>
      <w:adjustRightInd w:val="0"/>
      <w:snapToGrid w:val="0"/>
      <w:spacing w:before="0" w:after="0" w:line="300" w:lineRule="auto"/>
      <w:ind w:firstLine="200" w:firstLineChars="200"/>
      <w:outlineLvl w:val="9"/>
    </w:pPr>
    <w:rPr>
      <w:rFonts w:ascii="FangSong_GB2312" w:eastAsia="FangSong_GB2312" w:hAnsiTheme="minorHAnsi" w:cstheme="minorBidi"/>
      <w:kern w:val="2"/>
      <w:sz w:val="28"/>
      <w:szCs w:val="24"/>
    </w:rPr>
  </w:style>
  <w:style w:type="paragraph" w:styleId="15">
    <w:name w:val="caption"/>
    <w:basedOn w:val="3"/>
    <w:next w:val="1"/>
    <w:link w:val="113"/>
    <w:autoRedefine/>
    <w:semiHidden/>
    <w:unhideWhenUsed/>
    <w:qFormat/>
    <w:uiPriority w:val="35"/>
    <w:pPr>
      <w:keepNext w:val="0"/>
      <w:keepLines w:val="0"/>
      <w:spacing w:before="0" w:after="0" w:line="500" w:lineRule="atLeast"/>
      <w:ind w:firstLine="521" w:firstLineChars="200"/>
      <w:outlineLvl w:val="9"/>
    </w:pPr>
    <w:rPr>
      <w:rFonts w:asciiTheme="minorHAnsi" w:hAnsiTheme="minorHAnsi" w:eastAsiaTheme="minorEastAsia" w:cstheme="minorBidi"/>
      <w:b w:val="0"/>
      <w:bCs w:val="0"/>
      <w:color w:val="000000"/>
      <w:kern w:val="2"/>
      <w:sz w:val="28"/>
      <w:szCs w:val="22"/>
    </w:rPr>
  </w:style>
  <w:style w:type="paragraph" w:styleId="16">
    <w:name w:val="Document Map"/>
    <w:basedOn w:val="1"/>
    <w:link w:val="78"/>
    <w:autoRedefine/>
    <w:semiHidden/>
    <w:unhideWhenUsed/>
    <w:qFormat/>
    <w:uiPriority w:val="0"/>
    <w:rPr>
      <w:rFonts w:ascii="宋体"/>
      <w:sz w:val="18"/>
      <w:szCs w:val="18"/>
    </w:rPr>
  </w:style>
  <w:style w:type="paragraph" w:styleId="17">
    <w:name w:val="annotation text"/>
    <w:basedOn w:val="1"/>
    <w:link w:val="111"/>
    <w:autoRedefine/>
    <w:semiHidden/>
    <w:unhideWhenUsed/>
    <w:qFormat/>
    <w:uiPriority w:val="99"/>
    <w:pPr>
      <w:jc w:val="left"/>
    </w:pPr>
    <w:rPr>
      <w:rFonts w:ascii="Calibri" w:hAnsi="Calibri" w:eastAsiaTheme="minorEastAsia" w:cstheme="minorBidi"/>
      <w:color w:val="000000"/>
      <w:sz w:val="24"/>
    </w:rPr>
  </w:style>
  <w:style w:type="paragraph" w:styleId="18">
    <w:name w:val="Body Text 3"/>
    <w:basedOn w:val="1"/>
    <w:link w:val="124"/>
    <w:autoRedefine/>
    <w:semiHidden/>
    <w:unhideWhenUsed/>
    <w:qFormat/>
    <w:uiPriority w:val="0"/>
    <w:pPr>
      <w:spacing w:after="120"/>
    </w:pPr>
    <w:rPr>
      <w:rFonts w:ascii="Calibri" w:hAnsi="Calibri" w:eastAsiaTheme="minorEastAsia" w:cstheme="minorBidi"/>
      <w:color w:val="000000"/>
      <w:sz w:val="16"/>
      <w:szCs w:val="16"/>
    </w:rPr>
  </w:style>
  <w:style w:type="paragraph" w:styleId="19">
    <w:name w:val="Body Text"/>
    <w:basedOn w:val="1"/>
    <w:next w:val="20"/>
    <w:link w:val="90"/>
    <w:autoRedefine/>
    <w:unhideWhenUsed/>
    <w:qFormat/>
    <w:uiPriority w:val="0"/>
    <w:pPr>
      <w:spacing w:after="120"/>
    </w:pPr>
  </w:style>
  <w:style w:type="paragraph" w:customStyle="1" w:styleId="20">
    <w:name w:val="Normal (Web)1"/>
    <w:basedOn w:val="1"/>
    <w:next w:val="21"/>
    <w:autoRedefine/>
    <w:qFormat/>
    <w:uiPriority w:val="0"/>
    <w:pPr>
      <w:widowControl/>
      <w:jc w:val="left"/>
    </w:pPr>
    <w:rPr>
      <w:rFonts w:ascii="宋体"/>
      <w:kern w:val="0"/>
      <w:sz w:val="24"/>
      <w:szCs w:val="21"/>
    </w:rPr>
  </w:style>
  <w:style w:type="paragraph" w:customStyle="1" w:styleId="21">
    <w:name w:val="Date1"/>
    <w:basedOn w:val="3"/>
    <w:next w:val="1"/>
    <w:autoRedefine/>
    <w:qFormat/>
    <w:uiPriority w:val="99"/>
    <w:pPr>
      <w:keepNext w:val="0"/>
      <w:keepLines w:val="0"/>
      <w:adjustRightInd w:val="0"/>
      <w:spacing w:before="0" w:after="0" w:line="500" w:lineRule="atLeast"/>
      <w:ind w:firstLine="425" w:firstLineChars="177"/>
      <w:outlineLvl w:val="9"/>
    </w:pPr>
    <w:rPr>
      <w:b w:val="0"/>
      <w:bCs w:val="0"/>
      <w:kern w:val="2"/>
      <w:sz w:val="24"/>
      <w:szCs w:val="20"/>
    </w:rPr>
  </w:style>
  <w:style w:type="paragraph" w:styleId="22">
    <w:name w:val="Body Text Indent"/>
    <w:basedOn w:val="1"/>
    <w:next w:val="23"/>
    <w:link w:val="115"/>
    <w:autoRedefine/>
    <w:semiHidden/>
    <w:unhideWhenUsed/>
    <w:qFormat/>
    <w:uiPriority w:val="0"/>
    <w:pPr>
      <w:keepNext w:val="0"/>
      <w:keepLines w:val="0"/>
      <w:spacing w:before="0" w:after="0" w:line="240" w:lineRule="auto"/>
      <w:ind w:firstLine="480" w:firstLineChars="200"/>
      <w:outlineLvl w:val="9"/>
    </w:pPr>
    <w:rPr>
      <w:rFonts w:asciiTheme="minorHAnsi" w:hAnsiTheme="minorHAnsi" w:eastAsiaTheme="minorEastAsia" w:cstheme="minorBidi"/>
      <w:kern w:val="2"/>
      <w:sz w:val="24"/>
      <w:szCs w:val="24"/>
    </w:rPr>
  </w:style>
  <w:style w:type="paragraph" w:customStyle="1" w:styleId="23">
    <w:name w:val="样式 正文文本缩进 + 行距: 1.5 倍行距"/>
    <w:basedOn w:val="22"/>
    <w:autoRedefine/>
    <w:qFormat/>
    <w:uiPriority w:val="0"/>
    <w:pPr>
      <w:spacing w:after="120"/>
      <w:ind w:left="90" w:leftChars="32" w:firstLine="560" w:firstLineChars="200"/>
    </w:pPr>
    <w:rPr>
      <w:rFonts w:cs="宋体"/>
    </w:rPr>
  </w:style>
  <w:style w:type="paragraph" w:styleId="24">
    <w:name w:val="List 2"/>
    <w:basedOn w:val="1"/>
    <w:link w:val="114"/>
    <w:autoRedefine/>
    <w:semiHidden/>
    <w:unhideWhenUsed/>
    <w:qFormat/>
    <w:uiPriority w:val="0"/>
    <w:pPr>
      <w:ind w:left="100" w:leftChars="200" w:hanging="200" w:hangingChars="200"/>
      <w:contextualSpacing/>
    </w:pPr>
    <w:rPr>
      <w:rFonts w:ascii="楷体_GB2312" w:hAnsi="宋体" w:eastAsia="楷体_GB2312" w:cstheme="minorBidi"/>
      <w:color w:val="000000"/>
      <w:sz w:val="24"/>
      <w:szCs w:val="28"/>
    </w:rPr>
  </w:style>
  <w:style w:type="paragraph" w:styleId="25">
    <w:name w:val="Block Text"/>
    <w:basedOn w:val="1"/>
    <w:autoRedefine/>
    <w:semiHidden/>
    <w:unhideWhenUsed/>
    <w:qFormat/>
    <w:uiPriority w:val="0"/>
    <w:pPr>
      <w:spacing w:after="120"/>
      <w:ind w:left="1440" w:leftChars="700" w:right="1440" w:rightChars="700"/>
    </w:pPr>
  </w:style>
  <w:style w:type="paragraph" w:styleId="26">
    <w:name w:val="Plain Text"/>
    <w:basedOn w:val="3"/>
    <w:next w:val="1"/>
    <w:link w:val="128"/>
    <w:autoRedefine/>
    <w:unhideWhenUsed/>
    <w:qFormat/>
    <w:uiPriority w:val="0"/>
    <w:pPr>
      <w:keepNext w:val="0"/>
      <w:keepLines w:val="0"/>
      <w:spacing w:before="0" w:after="0" w:line="360" w:lineRule="auto"/>
      <w:ind w:firstLine="480" w:firstLineChars="200"/>
      <w:outlineLvl w:val="9"/>
    </w:pPr>
    <w:rPr>
      <w:b w:val="0"/>
      <w:bCs w:val="0"/>
      <w:color w:val="000000" w:themeColor="text1"/>
      <w:kern w:val="2"/>
      <w:sz w:val="24"/>
      <w:szCs w:val="24"/>
    </w:rPr>
  </w:style>
  <w:style w:type="paragraph" w:styleId="27">
    <w:name w:val="List Bullet 5"/>
    <w:basedOn w:val="1"/>
    <w:autoRedefine/>
    <w:semiHidden/>
    <w:unhideWhenUsed/>
    <w:qFormat/>
    <w:uiPriority w:val="99"/>
    <w:pPr>
      <w:numPr>
        <w:ilvl w:val="0"/>
        <w:numId w:val="1"/>
      </w:numPr>
    </w:pPr>
  </w:style>
  <w:style w:type="paragraph" w:styleId="28">
    <w:name w:val="Date"/>
    <w:basedOn w:val="1"/>
    <w:next w:val="1"/>
    <w:link w:val="117"/>
    <w:autoRedefine/>
    <w:semiHidden/>
    <w:unhideWhenUsed/>
    <w:qFormat/>
    <w:uiPriority w:val="99"/>
    <w:pPr>
      <w:ind w:left="100" w:leftChars="2500"/>
    </w:pPr>
    <w:rPr>
      <w:rFonts w:asciiTheme="minorHAnsi" w:hAnsiTheme="minorHAnsi" w:eastAsiaTheme="minorEastAsia" w:cstheme="minorBidi"/>
    </w:rPr>
  </w:style>
  <w:style w:type="paragraph" w:styleId="29">
    <w:name w:val="Body Text Indent 2"/>
    <w:basedOn w:val="3"/>
    <w:next w:val="1"/>
    <w:link w:val="125"/>
    <w:autoRedefine/>
    <w:semiHidden/>
    <w:unhideWhenUsed/>
    <w:qFormat/>
    <w:uiPriority w:val="0"/>
    <w:pPr>
      <w:keepNext w:val="0"/>
      <w:keepLines w:val="0"/>
      <w:spacing w:before="0" w:after="120" w:line="480" w:lineRule="auto"/>
      <w:ind w:left="420" w:leftChars="200" w:firstLine="425" w:firstLineChars="177"/>
      <w:outlineLvl w:val="9"/>
    </w:pPr>
    <w:rPr>
      <w:rFonts w:ascii="Calibri" w:hAnsi="Calibri" w:eastAsiaTheme="minorEastAsia" w:cstheme="minorBidi"/>
      <w:b w:val="0"/>
      <w:bCs w:val="0"/>
      <w:color w:val="000000"/>
      <w:kern w:val="2"/>
      <w:sz w:val="21"/>
      <w:szCs w:val="22"/>
    </w:rPr>
  </w:style>
  <w:style w:type="paragraph" w:styleId="30">
    <w:name w:val="endnote text"/>
    <w:basedOn w:val="1"/>
    <w:link w:val="712"/>
    <w:autoRedefine/>
    <w:semiHidden/>
    <w:unhideWhenUsed/>
    <w:qFormat/>
    <w:uiPriority w:val="99"/>
    <w:pPr>
      <w:snapToGrid w:val="0"/>
      <w:jc w:val="left"/>
    </w:pPr>
  </w:style>
  <w:style w:type="paragraph" w:styleId="31">
    <w:name w:val="Balloon Text"/>
    <w:basedOn w:val="1"/>
    <w:link w:val="79"/>
    <w:autoRedefine/>
    <w:semiHidden/>
    <w:unhideWhenUsed/>
    <w:qFormat/>
    <w:uiPriority w:val="0"/>
    <w:rPr>
      <w:sz w:val="18"/>
      <w:szCs w:val="18"/>
    </w:rPr>
  </w:style>
  <w:style w:type="paragraph" w:styleId="32">
    <w:name w:val="footer"/>
    <w:basedOn w:val="1"/>
    <w:link w:val="69"/>
    <w:autoRedefine/>
    <w:unhideWhenUsed/>
    <w:qFormat/>
    <w:uiPriority w:val="99"/>
    <w:pPr>
      <w:tabs>
        <w:tab w:val="center" w:pos="4153"/>
        <w:tab w:val="right" w:pos="8306"/>
      </w:tabs>
      <w:snapToGrid w:val="0"/>
      <w:jc w:val="left"/>
    </w:pPr>
    <w:rPr>
      <w:sz w:val="18"/>
      <w:szCs w:val="18"/>
    </w:rPr>
  </w:style>
  <w:style w:type="paragraph" w:styleId="33">
    <w:name w:val="header"/>
    <w:basedOn w:val="1"/>
    <w:link w:val="80"/>
    <w:autoRedefine/>
    <w:unhideWhenUsed/>
    <w:qFormat/>
    <w:uiPriority w:val="0"/>
    <w:pPr>
      <w:pBdr>
        <w:bottom w:val="single" w:color="auto" w:sz="6" w:space="1"/>
      </w:pBdr>
      <w:tabs>
        <w:tab w:val="center" w:pos="4153"/>
        <w:tab w:val="right" w:pos="8306"/>
      </w:tabs>
      <w:snapToGrid w:val="0"/>
      <w:jc w:val="center"/>
    </w:pPr>
    <w:rPr>
      <w:sz w:val="18"/>
      <w:szCs w:val="18"/>
    </w:rPr>
  </w:style>
  <w:style w:type="paragraph" w:styleId="34">
    <w:name w:val="toc 1"/>
    <w:basedOn w:val="1"/>
    <w:next w:val="1"/>
    <w:autoRedefine/>
    <w:unhideWhenUsed/>
    <w:qFormat/>
    <w:uiPriority w:val="39"/>
    <w:pPr>
      <w:tabs>
        <w:tab w:val="right" w:leader="dot" w:pos="8302"/>
      </w:tabs>
      <w:spacing w:line="360" w:lineRule="auto"/>
      <w:contextualSpacing/>
      <w:jc w:val="center"/>
    </w:pPr>
    <w:rPr>
      <w:rFonts w:hAnsiTheme="minorEastAsia" w:eastAsiaTheme="minorEastAsia"/>
      <w:b/>
      <w:bCs/>
      <w:iCs/>
      <w:kern w:val="0"/>
      <w:sz w:val="32"/>
      <w:szCs w:val="32"/>
    </w:rPr>
  </w:style>
  <w:style w:type="paragraph" w:styleId="35">
    <w:name w:val="Subtitle"/>
    <w:basedOn w:val="1"/>
    <w:next w:val="1"/>
    <w:link w:val="72"/>
    <w:autoRedefine/>
    <w:qFormat/>
    <w:uiPriority w:val="11"/>
    <w:pPr>
      <w:spacing w:before="200" w:after="200" w:line="360" w:lineRule="auto"/>
      <w:ind w:firstLine="496" w:firstLineChars="177"/>
      <w:jc w:val="left"/>
      <w:outlineLvl w:val="1"/>
    </w:pPr>
    <w:rPr>
      <w:rFonts w:ascii="黑体" w:hAnsi="黑体" w:eastAsia="黑体"/>
      <w:bCs/>
      <w:kern w:val="44"/>
      <w:sz w:val="28"/>
      <w:szCs w:val="28"/>
    </w:rPr>
  </w:style>
  <w:style w:type="paragraph" w:styleId="36">
    <w:name w:val="List"/>
    <w:basedOn w:val="1"/>
    <w:autoRedefine/>
    <w:semiHidden/>
    <w:unhideWhenUsed/>
    <w:qFormat/>
    <w:uiPriority w:val="0"/>
    <w:pPr>
      <w:ind w:left="200" w:hanging="200" w:hangingChars="200"/>
      <w:contextualSpacing/>
    </w:pPr>
  </w:style>
  <w:style w:type="paragraph" w:styleId="37">
    <w:name w:val="Body Text Indent 3"/>
    <w:basedOn w:val="1"/>
    <w:link w:val="127"/>
    <w:autoRedefine/>
    <w:semiHidden/>
    <w:unhideWhenUsed/>
    <w:qFormat/>
    <w:uiPriority w:val="0"/>
    <w:pPr>
      <w:spacing w:after="120"/>
      <w:ind w:left="420" w:leftChars="200"/>
    </w:pPr>
    <w:rPr>
      <w:rFonts w:ascii="Calibri" w:hAnsi="Calibri" w:eastAsiaTheme="minorEastAsia" w:cstheme="minorBidi"/>
      <w:color w:val="000000"/>
      <w:sz w:val="16"/>
      <w:szCs w:val="16"/>
    </w:rPr>
  </w:style>
  <w:style w:type="paragraph" w:styleId="38">
    <w:name w:val="toc 2"/>
    <w:basedOn w:val="1"/>
    <w:next w:val="1"/>
    <w:autoRedefine/>
    <w:unhideWhenUsed/>
    <w:qFormat/>
    <w:uiPriority w:val="39"/>
    <w:pPr>
      <w:spacing w:before="120" w:line="500" w:lineRule="atLeast"/>
      <w:ind w:left="210" w:firstLine="425" w:firstLineChars="177"/>
      <w:jc w:val="left"/>
    </w:pPr>
    <w:rPr>
      <w:b/>
      <w:bCs/>
      <w:color w:val="000000"/>
      <w:sz w:val="24"/>
    </w:rPr>
  </w:style>
  <w:style w:type="paragraph" w:styleId="39">
    <w:name w:val="Body Text 2"/>
    <w:basedOn w:val="1"/>
    <w:link w:val="123"/>
    <w:autoRedefine/>
    <w:unhideWhenUsed/>
    <w:qFormat/>
    <w:uiPriority w:val="99"/>
    <w:pPr>
      <w:spacing w:after="120" w:line="480" w:lineRule="auto"/>
    </w:pPr>
    <w:rPr>
      <w:rFonts w:asciiTheme="minorHAnsi" w:hAnsiTheme="minorHAnsi" w:eastAsiaTheme="minorEastAsia" w:cstheme="minorBidi"/>
      <w:sz w:val="24"/>
    </w:rPr>
  </w:style>
  <w:style w:type="paragraph" w:styleId="40">
    <w:name w:val="HTML Preformatted"/>
    <w:basedOn w:val="1"/>
    <w:link w:val="105"/>
    <w:autoRedefine/>
    <w:semiHidden/>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atLeast"/>
      <w:ind w:firstLine="425" w:firstLineChars="177"/>
      <w:jc w:val="left"/>
    </w:pPr>
    <w:rPr>
      <w:rFonts w:ascii="宋体" w:hAnsi="宋体" w:cs="宋体"/>
      <w:sz w:val="24"/>
    </w:rPr>
  </w:style>
  <w:style w:type="paragraph" w:styleId="41">
    <w:name w:val="Normal (Web)"/>
    <w:basedOn w:val="1"/>
    <w:autoRedefine/>
    <w:semiHidden/>
    <w:unhideWhenUsed/>
    <w:qFormat/>
    <w:uiPriority w:val="34"/>
    <w:pPr>
      <w:keepNext w:val="0"/>
      <w:keepLines w:val="0"/>
      <w:spacing w:before="0" w:after="0" w:line="240" w:lineRule="auto"/>
      <w:ind w:firstLine="420" w:firstLineChars="200"/>
      <w:outlineLvl w:val="9"/>
    </w:pPr>
    <w:rPr>
      <w:rFonts w:ascii="Calibri" w:hAnsi="Calibri"/>
      <w:kern w:val="2"/>
      <w:sz w:val="21"/>
      <w:szCs w:val="22"/>
    </w:rPr>
  </w:style>
  <w:style w:type="paragraph" w:styleId="42">
    <w:name w:val="Title"/>
    <w:basedOn w:val="1"/>
    <w:link w:val="70"/>
    <w:autoRedefine/>
    <w:qFormat/>
    <w:uiPriority w:val="10"/>
    <w:pPr>
      <w:tabs>
        <w:tab w:val="left" w:pos="5400"/>
      </w:tabs>
      <w:snapToGrid w:val="0"/>
      <w:spacing w:before="200" w:after="200" w:line="360" w:lineRule="auto"/>
      <w:ind w:firstLine="581" w:firstLineChars="177"/>
      <w:jc w:val="left"/>
      <w:outlineLvl w:val="0"/>
    </w:pPr>
    <w:rPr>
      <w:rFonts w:ascii="黑体" w:hAnsi="黑体" w:eastAsia="黑体"/>
      <w:color w:val="000000"/>
      <w:spacing w:val="4"/>
      <w:kern w:val="44"/>
      <w:sz w:val="32"/>
      <w:szCs w:val="32"/>
    </w:rPr>
  </w:style>
  <w:style w:type="paragraph" w:styleId="43">
    <w:name w:val="annotation subject"/>
    <w:basedOn w:val="17"/>
    <w:next w:val="17"/>
    <w:link w:val="131"/>
    <w:autoRedefine/>
    <w:semiHidden/>
    <w:unhideWhenUsed/>
    <w:qFormat/>
    <w:uiPriority w:val="0"/>
    <w:rPr>
      <w:b/>
      <w:bCs/>
    </w:rPr>
  </w:style>
  <w:style w:type="paragraph" w:styleId="44">
    <w:name w:val="Body Text First Indent"/>
    <w:basedOn w:val="19"/>
    <w:next w:val="1"/>
    <w:link w:val="118"/>
    <w:autoRedefine/>
    <w:unhideWhenUsed/>
    <w:qFormat/>
    <w:uiPriority w:val="0"/>
    <w:pPr>
      <w:spacing w:after="0" w:line="360" w:lineRule="auto"/>
      <w:jc w:val="center"/>
    </w:pPr>
    <w:rPr>
      <w:b/>
      <w:bCs/>
      <w:color w:val="FF0000"/>
      <w:sz w:val="24"/>
    </w:rPr>
  </w:style>
  <w:style w:type="paragraph" w:styleId="45">
    <w:name w:val="Body Text First Indent 2"/>
    <w:basedOn w:val="22"/>
    <w:next w:val="44"/>
    <w:link w:val="120"/>
    <w:autoRedefine/>
    <w:semiHidden/>
    <w:unhideWhenUsed/>
    <w:qFormat/>
    <w:uiPriority w:val="0"/>
    <w:pPr>
      <w:spacing w:after="120"/>
      <w:ind w:left="420" w:leftChars="200" w:firstLine="420"/>
    </w:pPr>
    <w:rPr>
      <w:sz w:val="28"/>
    </w:rPr>
  </w:style>
  <w:style w:type="table" w:styleId="47">
    <w:name w:val="Table Grid"/>
    <w:basedOn w:val="46"/>
    <w:autoRedefine/>
    <w:qFormat/>
    <w:uiPriority w:val="0"/>
    <w:pPr>
      <w:widowControl w:val="0"/>
      <w:spacing w:line="240" w:lineRule="auto"/>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48">
    <w:name w:val="Table Elegant"/>
    <w:basedOn w:val="46"/>
    <w:autoRedefine/>
    <w:semiHidden/>
    <w:unhideWhenUsed/>
    <w:qFormat/>
    <w:uiPriority w:val="0"/>
    <w:pPr>
      <w:widowControl w:val="0"/>
      <w:spacing w:line="240" w:lineRule="auto"/>
    </w:pPr>
    <w:rPr>
      <w:rFonts w:ascii="Times New Roman" w:hAnsi="Times New Roman" w:eastAsia="宋体" w:cs="Times New Roman"/>
      <w:kern w:val="0"/>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blPr/>
      <w:tcPr>
        <w:tcBorders>
          <w:top w:val="nil"/>
          <w:left w:val="nil"/>
          <w:bottom w:val="nil"/>
          <w:right w:val="nil"/>
          <w:insideH w:val="nil"/>
          <w:insideV w:val="nil"/>
          <w:tl2br w:val="nil"/>
          <w:tr2bl w:val="nil"/>
        </w:tcBorders>
      </w:tcPr>
    </w:tblStylePr>
  </w:style>
  <w:style w:type="table" w:styleId="49">
    <w:name w:val="Table Grid 1"/>
    <w:basedOn w:val="46"/>
    <w:autoRedefine/>
    <w:semiHidden/>
    <w:unhideWhenUsed/>
    <w:qFormat/>
    <w:uiPriority w:val="0"/>
    <w:pPr>
      <w:widowControl w:val="0"/>
    </w:pPr>
    <w:rPr>
      <w:rFonts w:ascii="Times New Roman" w:hAnsi="Times New Roman" w:eastAsia="宋体" w:cs="Times New Roman"/>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50">
    <w:name w:val="Table Grid 6"/>
    <w:basedOn w:val="46"/>
    <w:autoRedefine/>
    <w:semiHidden/>
    <w:unhideWhenUsed/>
    <w:qFormat/>
    <w:uiPriority w:val="0"/>
    <w:pPr>
      <w:widowControl w:val="0"/>
      <w:spacing w:line="440" w:lineRule="exact"/>
      <w:ind w:firstLine="496" w:firstLineChars="200"/>
    </w:pPr>
    <w:rPr>
      <w:rFonts w:ascii="Times New Roman" w:hAnsi="Times New Roman" w:eastAsia="宋体" w:cs="Times New Roman"/>
      <w:kern w:val="0"/>
      <w:sz w:val="20"/>
      <w:szCs w:val="20"/>
    </w:rPr>
    <w:tblPr>
      <w:tblBorders>
        <w:top w:val="single" w:color="000000" w:sz="12" w:space="0"/>
        <w:left w:val="single" w:color="000000" w:sz="12" w:space="0"/>
        <w:bottom w:val="single" w:color="000000" w:sz="12" w:space="0"/>
        <w:right w:val="single" w:color="000000" w:sz="12" w:space="0"/>
        <w:insideV w:val="single" w:color="000000" w:sz="6" w:space="0"/>
      </w:tblBorders>
      <w:tblCellMar>
        <w:top w:w="0" w:type="dxa"/>
        <w:left w:w="108" w:type="dxa"/>
        <w:bottom w:w="0" w:type="dxa"/>
        <w:right w:w="108" w:type="dxa"/>
      </w:tblCellMar>
    </w:tblPr>
    <w:tblStylePr w:type="firstRow">
      <w:rPr>
        <w:b/>
        <w:bCs/>
      </w:rPr>
      <w:tblPr/>
      <w:tcPr>
        <w:tcBorders>
          <w:top w:val="nil"/>
          <w:left w:val="nil"/>
          <w:bottom w:val="single" w:color="000000" w:sz="6" w:space="0"/>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52">
    <w:name w:val="Strong"/>
    <w:basedOn w:val="51"/>
    <w:autoRedefine/>
    <w:qFormat/>
    <w:uiPriority w:val="22"/>
    <w:rPr>
      <w:b/>
      <w:bCs/>
    </w:rPr>
  </w:style>
  <w:style w:type="character" w:styleId="53">
    <w:name w:val="endnote reference"/>
    <w:basedOn w:val="51"/>
    <w:autoRedefine/>
    <w:semiHidden/>
    <w:unhideWhenUsed/>
    <w:qFormat/>
    <w:uiPriority w:val="99"/>
    <w:rPr>
      <w:vertAlign w:val="superscript"/>
    </w:rPr>
  </w:style>
  <w:style w:type="character" w:styleId="54">
    <w:name w:val="FollowedHyperlink"/>
    <w:basedOn w:val="51"/>
    <w:autoRedefine/>
    <w:semiHidden/>
    <w:unhideWhenUsed/>
    <w:qFormat/>
    <w:uiPriority w:val="99"/>
    <w:rPr>
      <w:color w:val="800080" w:themeColor="followedHyperlink"/>
      <w:u w:val="single"/>
    </w:rPr>
  </w:style>
  <w:style w:type="character" w:styleId="55">
    <w:name w:val="HTML Typewriter"/>
    <w:autoRedefine/>
    <w:semiHidden/>
    <w:unhideWhenUsed/>
    <w:qFormat/>
    <w:uiPriority w:val="0"/>
    <w:rPr>
      <w:rFonts w:hint="eastAsia" w:ascii="宋体" w:hAnsi="宋体" w:eastAsia="宋体" w:cs="宋体"/>
      <w:sz w:val="24"/>
      <w:szCs w:val="24"/>
    </w:rPr>
  </w:style>
  <w:style w:type="character" w:styleId="56">
    <w:name w:val="Hyperlink"/>
    <w:autoRedefine/>
    <w:unhideWhenUsed/>
    <w:qFormat/>
    <w:uiPriority w:val="99"/>
    <w:rPr>
      <w:color w:val="0000FF"/>
      <w:u w:val="single"/>
    </w:rPr>
  </w:style>
  <w:style w:type="character" w:styleId="57">
    <w:name w:val="annotation reference"/>
    <w:autoRedefine/>
    <w:semiHidden/>
    <w:unhideWhenUsed/>
    <w:qFormat/>
    <w:uiPriority w:val="0"/>
    <w:rPr>
      <w:sz w:val="21"/>
      <w:szCs w:val="21"/>
    </w:rPr>
  </w:style>
  <w:style w:type="paragraph" w:customStyle="1" w:styleId="58">
    <w:name w:val="Default"/>
    <w:basedOn w:val="59"/>
    <w:next w:val="1"/>
    <w:link w:val="217"/>
    <w:autoRedefine/>
    <w:qFormat/>
    <w:uiPriority w:val="0"/>
    <w:pPr>
      <w:widowControl w:val="0"/>
      <w:autoSpaceDE w:val="0"/>
      <w:autoSpaceDN w:val="0"/>
      <w:adjustRightInd w:val="0"/>
      <w:spacing w:line="240" w:lineRule="auto"/>
      <w:jc w:val="left"/>
    </w:pPr>
    <w:rPr>
      <w:rFonts w:ascii="宋体" w:hAnsi="宋体" w:eastAsia="宋体" w:cs="宋体"/>
      <w:color w:val="000000"/>
      <w:kern w:val="2"/>
      <w:sz w:val="24"/>
      <w:szCs w:val="24"/>
      <w:lang w:val="en-US" w:eastAsia="zh-CN" w:bidi="ar-SA"/>
    </w:rPr>
  </w:style>
  <w:style w:type="paragraph" w:customStyle="1" w:styleId="59">
    <w:name w:val="纯文本1"/>
    <w:basedOn w:val="3"/>
    <w:autoRedefine/>
    <w:qFormat/>
    <w:uiPriority w:val="99"/>
    <w:pPr>
      <w:keepNext w:val="0"/>
      <w:keepLines w:val="0"/>
      <w:adjustRightInd w:val="0"/>
      <w:spacing w:before="0" w:after="0" w:line="500" w:lineRule="atLeast"/>
      <w:ind w:firstLine="425" w:firstLineChars="177"/>
      <w:outlineLvl w:val="9"/>
    </w:pPr>
    <w:rPr>
      <w:rFonts w:ascii="宋体" w:hAnsi="Courier New"/>
      <w:b w:val="0"/>
      <w:bCs w:val="0"/>
      <w:color w:val="000000"/>
      <w:kern w:val="2"/>
      <w:sz w:val="24"/>
      <w:szCs w:val="20"/>
    </w:rPr>
  </w:style>
  <w:style w:type="character" w:customStyle="1" w:styleId="60">
    <w:name w:val="标题 1 Char"/>
    <w:basedOn w:val="51"/>
    <w:link w:val="3"/>
    <w:autoRedefine/>
    <w:qFormat/>
    <w:uiPriority w:val="0"/>
    <w:rPr>
      <w:rFonts w:ascii="Times New Roman" w:hAnsi="Times New Roman" w:eastAsia="宋体" w:cs="Times New Roman"/>
      <w:b/>
      <w:bCs/>
      <w:kern w:val="44"/>
      <w:sz w:val="44"/>
      <w:szCs w:val="44"/>
    </w:rPr>
  </w:style>
  <w:style w:type="character" w:customStyle="1" w:styleId="61">
    <w:name w:val="标题 2 Char"/>
    <w:basedOn w:val="51"/>
    <w:link w:val="4"/>
    <w:autoRedefine/>
    <w:semiHidden/>
    <w:qFormat/>
    <w:uiPriority w:val="0"/>
    <w:rPr>
      <w:rFonts w:asciiTheme="majorHAnsi" w:hAnsiTheme="majorHAnsi" w:eastAsiaTheme="majorEastAsia" w:cstheme="majorBidi"/>
      <w:b/>
      <w:bCs/>
      <w:sz w:val="32"/>
      <w:szCs w:val="32"/>
    </w:rPr>
  </w:style>
  <w:style w:type="character" w:customStyle="1" w:styleId="62">
    <w:name w:val="标题 3 Char"/>
    <w:basedOn w:val="51"/>
    <w:link w:val="5"/>
    <w:autoRedefine/>
    <w:qFormat/>
    <w:uiPriority w:val="0"/>
    <w:rPr>
      <w:rFonts w:ascii="宋体" w:hAnsi="宋体" w:eastAsia="宋体" w:cs="宋体"/>
      <w:sz w:val="32"/>
      <w:szCs w:val="32"/>
    </w:rPr>
  </w:style>
  <w:style w:type="character" w:customStyle="1" w:styleId="63">
    <w:name w:val="标题 4 Char"/>
    <w:basedOn w:val="51"/>
    <w:link w:val="6"/>
    <w:autoRedefine/>
    <w:semiHidden/>
    <w:qFormat/>
    <w:uiPriority w:val="0"/>
    <w:rPr>
      <w:rFonts w:asciiTheme="majorHAnsi" w:hAnsiTheme="majorHAnsi" w:eastAsiaTheme="majorEastAsia" w:cstheme="majorBidi"/>
      <w:b/>
      <w:bCs/>
      <w:sz w:val="28"/>
      <w:szCs w:val="28"/>
    </w:rPr>
  </w:style>
  <w:style w:type="character" w:customStyle="1" w:styleId="64">
    <w:name w:val="标题 5 Char"/>
    <w:basedOn w:val="51"/>
    <w:link w:val="7"/>
    <w:autoRedefine/>
    <w:semiHidden/>
    <w:qFormat/>
    <w:uiPriority w:val="0"/>
    <w:rPr>
      <w:rFonts w:ascii="Times New Roman" w:hAnsi="Times New Roman" w:eastAsia="宋体" w:cs="Times New Roman"/>
      <w:color w:val="000000"/>
      <w:kern w:val="0"/>
      <w:sz w:val="28"/>
      <w:szCs w:val="28"/>
    </w:rPr>
  </w:style>
  <w:style w:type="character" w:customStyle="1" w:styleId="65">
    <w:name w:val="标题 6 Char"/>
    <w:basedOn w:val="51"/>
    <w:link w:val="8"/>
    <w:autoRedefine/>
    <w:semiHidden/>
    <w:qFormat/>
    <w:uiPriority w:val="0"/>
    <w:rPr>
      <w:rFonts w:ascii="Arial" w:hAnsi="Arial" w:eastAsia="黑体" w:cs="Times New Roman"/>
      <w:color w:val="000000"/>
      <w:kern w:val="0"/>
      <w:sz w:val="24"/>
      <w:szCs w:val="24"/>
    </w:rPr>
  </w:style>
  <w:style w:type="character" w:customStyle="1" w:styleId="66">
    <w:name w:val="标题 7 Char"/>
    <w:basedOn w:val="51"/>
    <w:link w:val="9"/>
    <w:autoRedefine/>
    <w:semiHidden/>
    <w:qFormat/>
    <w:uiPriority w:val="99"/>
    <w:rPr>
      <w:rFonts w:ascii="Times New Roman" w:hAnsi="Times New Roman" w:eastAsia="宋体" w:cs="Times New Roman"/>
      <w:b/>
      <w:bCs/>
      <w:color w:val="000000"/>
      <w:kern w:val="0"/>
      <w:sz w:val="24"/>
      <w:szCs w:val="24"/>
    </w:rPr>
  </w:style>
  <w:style w:type="character" w:customStyle="1" w:styleId="67">
    <w:name w:val="标题 8 Char"/>
    <w:basedOn w:val="51"/>
    <w:link w:val="10"/>
    <w:autoRedefine/>
    <w:semiHidden/>
    <w:qFormat/>
    <w:uiPriority w:val="99"/>
    <w:rPr>
      <w:rFonts w:ascii="Arial" w:hAnsi="Arial" w:eastAsia="黑体" w:cs="Times New Roman"/>
      <w:color w:val="000000"/>
      <w:kern w:val="0"/>
      <w:sz w:val="24"/>
      <w:szCs w:val="24"/>
    </w:rPr>
  </w:style>
  <w:style w:type="character" w:customStyle="1" w:styleId="68">
    <w:name w:val="标题 9 Char"/>
    <w:basedOn w:val="51"/>
    <w:link w:val="11"/>
    <w:autoRedefine/>
    <w:semiHidden/>
    <w:qFormat/>
    <w:uiPriority w:val="99"/>
    <w:rPr>
      <w:rFonts w:ascii="Times New Roman" w:hAnsi="Times New Roman" w:eastAsia="宋体" w:cs="Times New Roman"/>
      <w:color w:val="000000"/>
      <w:kern w:val="0"/>
      <w:sz w:val="24"/>
      <w:szCs w:val="21"/>
    </w:rPr>
  </w:style>
  <w:style w:type="character" w:customStyle="1" w:styleId="69">
    <w:name w:val="页脚 Char"/>
    <w:basedOn w:val="51"/>
    <w:link w:val="32"/>
    <w:autoRedefine/>
    <w:qFormat/>
    <w:uiPriority w:val="99"/>
    <w:rPr>
      <w:rFonts w:ascii="Times New Roman" w:hAnsi="Times New Roman" w:eastAsia="宋体" w:cs="Times New Roman"/>
      <w:sz w:val="18"/>
      <w:szCs w:val="18"/>
    </w:rPr>
  </w:style>
  <w:style w:type="character" w:customStyle="1" w:styleId="70">
    <w:name w:val="标题 Char1"/>
    <w:basedOn w:val="51"/>
    <w:link w:val="42"/>
    <w:autoRedefine/>
    <w:qFormat/>
    <w:uiPriority w:val="10"/>
    <w:rPr>
      <w:rFonts w:ascii="黑体" w:hAnsi="黑体" w:eastAsia="黑体" w:cs="Times New Roman"/>
      <w:color w:val="000000"/>
      <w:spacing w:val="4"/>
      <w:kern w:val="44"/>
      <w:sz w:val="32"/>
      <w:szCs w:val="32"/>
    </w:rPr>
  </w:style>
  <w:style w:type="character" w:customStyle="1" w:styleId="71">
    <w:name w:val="标题 Char"/>
    <w:basedOn w:val="51"/>
    <w:autoRedefine/>
    <w:qFormat/>
    <w:uiPriority w:val="10"/>
    <w:rPr>
      <w:rFonts w:eastAsia="宋体" w:asciiTheme="majorHAnsi" w:hAnsiTheme="majorHAnsi" w:cstheme="majorBidi"/>
      <w:b/>
      <w:bCs/>
      <w:sz w:val="32"/>
      <w:szCs w:val="32"/>
    </w:rPr>
  </w:style>
  <w:style w:type="character" w:customStyle="1" w:styleId="72">
    <w:name w:val="副标题 Char"/>
    <w:basedOn w:val="51"/>
    <w:link w:val="35"/>
    <w:autoRedefine/>
    <w:qFormat/>
    <w:uiPriority w:val="11"/>
    <w:rPr>
      <w:rFonts w:ascii="黑体" w:hAnsi="黑体" w:eastAsia="黑体" w:cs="Times New Roman"/>
      <w:bCs/>
      <w:kern w:val="44"/>
      <w:sz w:val="28"/>
      <w:szCs w:val="28"/>
    </w:rPr>
  </w:style>
  <w:style w:type="character" w:customStyle="1" w:styleId="73">
    <w:name w:val="【正文】 Char"/>
    <w:basedOn w:val="51"/>
    <w:link w:val="74"/>
    <w:autoRedefine/>
    <w:qFormat/>
    <w:uiPriority w:val="0"/>
    <w:rPr>
      <w:sz w:val="24"/>
      <w:szCs w:val="24"/>
    </w:rPr>
  </w:style>
  <w:style w:type="paragraph" w:customStyle="1" w:styleId="74">
    <w:name w:val="【正文】"/>
    <w:basedOn w:val="1"/>
    <w:link w:val="73"/>
    <w:autoRedefine/>
    <w:qFormat/>
    <w:uiPriority w:val="0"/>
    <w:pPr>
      <w:widowControl/>
      <w:adjustRightInd w:val="0"/>
      <w:snapToGrid w:val="0"/>
      <w:spacing w:line="360" w:lineRule="auto"/>
      <w:ind w:firstLine="480" w:firstLineChars="200"/>
      <w:jc w:val="left"/>
    </w:pPr>
    <w:rPr>
      <w:rFonts w:asciiTheme="minorHAnsi" w:hAnsiTheme="minorHAnsi" w:eastAsiaTheme="minorEastAsia" w:cstheme="minorBidi"/>
      <w:sz w:val="24"/>
    </w:rPr>
  </w:style>
  <w:style w:type="character" w:customStyle="1" w:styleId="75">
    <w:name w:val="【表头】 Char"/>
    <w:link w:val="76"/>
    <w:autoRedefine/>
    <w:qFormat/>
    <w:uiPriority w:val="0"/>
    <w:rPr>
      <w:rFonts w:ascii="宋体" w:hAnsi="宋体" w:eastAsia="宋体"/>
      <w:b/>
      <w:szCs w:val="21"/>
    </w:rPr>
  </w:style>
  <w:style w:type="paragraph" w:customStyle="1" w:styleId="76">
    <w:name w:val="【表头】"/>
    <w:basedOn w:val="1"/>
    <w:link w:val="75"/>
    <w:autoRedefine/>
    <w:qFormat/>
    <w:uiPriority w:val="0"/>
    <w:pPr>
      <w:spacing w:line="500" w:lineRule="atLeast"/>
      <w:ind w:firstLine="425" w:firstLineChars="177"/>
      <w:jc w:val="center"/>
    </w:pPr>
    <w:rPr>
      <w:rFonts w:ascii="宋体" w:hAnsi="宋体" w:cstheme="minorBidi"/>
      <w:b/>
      <w:szCs w:val="21"/>
    </w:rPr>
  </w:style>
  <w:style w:type="table" w:customStyle="1" w:styleId="77">
    <w:name w:val="环评表格"/>
    <w:basedOn w:val="46"/>
    <w:autoRedefine/>
    <w:qFormat/>
    <w:uiPriority w:val="0"/>
    <w:pPr>
      <w:snapToGrid w:val="0"/>
      <w:jc w:val="center"/>
    </w:pPr>
    <w:rPr>
      <w:rFonts w:ascii="Times New Roman" w:hAnsi="Times New Roman" w:eastAsia="宋体" w:cs="Times New Roman"/>
      <w:kern w:val="0"/>
      <w:szCs w:val="2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character" w:customStyle="1" w:styleId="78">
    <w:name w:val="文档结构图 Char"/>
    <w:basedOn w:val="51"/>
    <w:link w:val="16"/>
    <w:autoRedefine/>
    <w:semiHidden/>
    <w:qFormat/>
    <w:uiPriority w:val="0"/>
    <w:rPr>
      <w:rFonts w:ascii="宋体" w:hAnsi="Times New Roman" w:eastAsia="宋体" w:cs="Times New Roman"/>
      <w:sz w:val="18"/>
      <w:szCs w:val="18"/>
    </w:rPr>
  </w:style>
  <w:style w:type="character" w:customStyle="1" w:styleId="79">
    <w:name w:val="批注框文本 Char"/>
    <w:basedOn w:val="51"/>
    <w:link w:val="31"/>
    <w:autoRedefine/>
    <w:semiHidden/>
    <w:qFormat/>
    <w:uiPriority w:val="0"/>
    <w:rPr>
      <w:rFonts w:ascii="Times New Roman" w:hAnsi="Times New Roman" w:eastAsia="宋体" w:cs="Times New Roman"/>
      <w:sz w:val="18"/>
      <w:szCs w:val="18"/>
    </w:rPr>
  </w:style>
  <w:style w:type="character" w:customStyle="1" w:styleId="80">
    <w:name w:val="页眉 Char"/>
    <w:basedOn w:val="51"/>
    <w:link w:val="33"/>
    <w:autoRedefine/>
    <w:qFormat/>
    <w:uiPriority w:val="0"/>
    <w:rPr>
      <w:rFonts w:ascii="Times New Roman" w:hAnsi="Times New Roman" w:eastAsia="宋体" w:cs="Times New Roman"/>
      <w:sz w:val="18"/>
      <w:szCs w:val="18"/>
    </w:rPr>
  </w:style>
  <w:style w:type="character" w:customStyle="1" w:styleId="81">
    <w:name w:val="fontstyle01"/>
    <w:basedOn w:val="51"/>
    <w:autoRedefine/>
    <w:qFormat/>
    <w:uiPriority w:val="0"/>
    <w:rPr>
      <w:rFonts w:hint="eastAsia" w:ascii="宋体" w:hAnsi="宋体" w:eastAsia="宋体"/>
      <w:color w:val="000000"/>
      <w:sz w:val="24"/>
      <w:szCs w:val="24"/>
    </w:rPr>
  </w:style>
  <w:style w:type="character" w:customStyle="1" w:styleId="82">
    <w:name w:val="fontstyle11"/>
    <w:basedOn w:val="51"/>
    <w:autoRedefine/>
    <w:qFormat/>
    <w:uiPriority w:val="0"/>
    <w:rPr>
      <w:rFonts w:hint="default" w:ascii="TimesNewRomanPSMT" w:hAnsi="TimesNewRomanPSMT"/>
      <w:color w:val="000000"/>
      <w:sz w:val="24"/>
      <w:szCs w:val="24"/>
    </w:rPr>
  </w:style>
  <w:style w:type="character" w:customStyle="1" w:styleId="83">
    <w:name w:val="【表中文字】 Char Char"/>
    <w:link w:val="84"/>
    <w:autoRedefine/>
    <w:qFormat/>
    <w:uiPriority w:val="0"/>
    <w:rPr>
      <w:rFonts w:ascii="Times New Roman" w:eastAsia="宋体" w:cs="Times New Roman" w:hAnsiTheme="minorEastAsia"/>
      <w:szCs w:val="21"/>
    </w:rPr>
  </w:style>
  <w:style w:type="paragraph" w:customStyle="1" w:styleId="84">
    <w:name w:val="【表中文字】"/>
    <w:basedOn w:val="1"/>
    <w:link w:val="83"/>
    <w:autoRedefine/>
    <w:qFormat/>
    <w:uiPriority w:val="0"/>
    <w:pPr>
      <w:jc w:val="center"/>
    </w:pPr>
    <w:rPr>
      <w:rFonts w:hAnsiTheme="minorEastAsia"/>
      <w:szCs w:val="21"/>
    </w:rPr>
  </w:style>
  <w:style w:type="paragraph" w:customStyle="1" w:styleId="85">
    <w:name w:val="p17"/>
    <w:basedOn w:val="1"/>
    <w:autoRedefine/>
    <w:qFormat/>
    <w:uiPriority w:val="0"/>
    <w:pPr>
      <w:widowControl/>
      <w:spacing w:line="560" w:lineRule="atLeast"/>
    </w:pPr>
    <w:rPr>
      <w:rFonts w:ascii="Arial" w:hAnsi="Arial"/>
      <w:b/>
      <w:kern w:val="0"/>
      <w:sz w:val="36"/>
      <w:szCs w:val="20"/>
    </w:rPr>
  </w:style>
  <w:style w:type="table" w:customStyle="1" w:styleId="86">
    <w:name w:val="&gt;&gt; 表格样式 &lt;&lt;"/>
    <w:basedOn w:val="46"/>
    <w:autoRedefine/>
    <w:qFormat/>
    <w:uiPriority w:val="0"/>
    <w:pPr>
      <w:keepLines/>
      <w:spacing w:line="240" w:lineRule="auto"/>
      <w:jc w:val="center"/>
    </w:pPr>
    <w:rPr>
      <w:rFonts w:ascii="Times New Roman" w:hAnsi="Times New Roman" w:eastAsia="宋体" w:cs="Times New Roman"/>
      <w:kern w:val="0"/>
      <w:szCs w:val="21"/>
    </w:rPr>
    <w:tblPr>
      <w:tblBorders>
        <w:top w:val="single" w:color="auto" w:sz="12" w:space="0"/>
        <w:bottom w:val="single" w:color="auto" w:sz="12" w:space="0"/>
        <w:insideH w:val="single" w:color="auto" w:sz="8" w:space="0"/>
        <w:insideV w:val="single" w:color="auto" w:sz="8" w:space="0"/>
      </w:tblBorders>
      <w:tblCellMar>
        <w:top w:w="0" w:type="dxa"/>
        <w:left w:w="108" w:type="dxa"/>
        <w:bottom w:w="0" w:type="dxa"/>
        <w:right w:w="108" w:type="dxa"/>
      </w:tblCellMar>
    </w:tblPr>
    <w:tcPr>
      <w:vAlign w:val="center"/>
    </w:tcPr>
    <w:tblStylePr w:type="firstRow">
      <w:rPr>
        <w:rFonts w:hint="eastAsia" w:ascii="宋体" w:hAnsi="宋体" w:eastAsia="宋体"/>
        <w:b w:val="0"/>
        <w:sz w:val="21"/>
        <w:szCs w:val="21"/>
      </w:rPr>
      <w:tcPr>
        <w:tcBorders>
          <w:top w:val="single" w:color="auto" w:sz="12" w:space="0"/>
          <w:left w:val="nil"/>
          <w:bottom w:val="single" w:color="auto" w:sz="8" w:space="0"/>
          <w:right w:val="nil"/>
          <w:insideH w:val="nil"/>
          <w:insideV w:val="single" w:sz="8" w:space="0"/>
          <w:tl2br w:val="nil"/>
          <w:tr2bl w:val="nil"/>
        </w:tcBorders>
      </w:tcPr>
    </w:tblStylePr>
    <w:tblStylePr w:type="lastRow">
      <w:tcPr>
        <w:tcBorders>
          <w:top w:val="single" w:color="auto" w:sz="8" w:space="0"/>
          <w:left w:val="nil"/>
          <w:bottom w:val="single" w:color="auto" w:sz="12" w:space="0"/>
          <w:right w:val="nil"/>
          <w:insideH w:val="nil"/>
          <w:insideV w:val="single" w:sz="8" w:space="0"/>
          <w:tl2br w:val="nil"/>
          <w:tr2bl w:val="nil"/>
        </w:tcBorders>
      </w:tcPr>
    </w:tblStylePr>
    <w:tblStylePr w:type="firstCol">
      <w:pPr>
        <w:jc w:val="center"/>
      </w:pPr>
      <w:rPr>
        <w:rFonts w:hint="eastAsia" w:ascii="宋体" w:hAnsi="宋体" w:eastAsia="宋体"/>
        <w:b w:val="0"/>
        <w:sz w:val="21"/>
        <w:szCs w:val="21"/>
      </w:rPr>
      <w:tcPr>
        <w:tcBorders>
          <w:top w:val="single" w:color="auto" w:sz="12" w:space="0"/>
          <w:left w:val="nil"/>
          <w:bottom w:val="single" w:color="auto" w:sz="12" w:space="0"/>
          <w:right w:val="single" w:color="auto" w:sz="8" w:space="0"/>
          <w:insideH w:val="nil"/>
          <w:insideV w:val="nil"/>
          <w:tl2br w:val="nil"/>
          <w:tr2bl w:val="nil"/>
        </w:tcBorders>
      </w:tcPr>
    </w:tblStylePr>
    <w:tblStylePr w:type="lastCol">
      <w:tcPr>
        <w:tcBorders>
          <w:top w:val="single" w:color="auto" w:sz="12" w:space="0"/>
          <w:left w:val="single" w:color="auto" w:sz="8" w:space="0"/>
          <w:bottom w:val="single" w:color="auto" w:sz="12" w:space="0"/>
          <w:right w:val="nil"/>
          <w:insideH w:val="nil"/>
          <w:insideV w:val="nil"/>
          <w:tl2br w:val="nil"/>
          <w:tr2bl w:val="nil"/>
        </w:tcBorders>
      </w:tcPr>
    </w:tblStylePr>
  </w:style>
  <w:style w:type="character" w:customStyle="1" w:styleId="87">
    <w:name w:val="【表中文字】 Char"/>
    <w:autoRedefine/>
    <w:qFormat/>
    <w:uiPriority w:val="0"/>
    <w:rPr>
      <w:rFonts w:ascii="Times New Roman" w:hAnsi="Times New Roman" w:cs="Times New Roman"/>
    </w:rPr>
  </w:style>
  <w:style w:type="character" w:customStyle="1" w:styleId="88">
    <w:name w:val="3级标题 Char"/>
    <w:basedOn w:val="51"/>
    <w:link w:val="89"/>
    <w:autoRedefine/>
    <w:qFormat/>
    <w:uiPriority w:val="0"/>
    <w:rPr>
      <w:rFonts w:ascii="黑体" w:hAnsi="黑体" w:eastAsia="黑体"/>
      <w:sz w:val="24"/>
      <w:szCs w:val="24"/>
    </w:rPr>
  </w:style>
  <w:style w:type="paragraph" w:customStyle="1" w:styleId="89">
    <w:name w:val="3级标题"/>
    <w:basedOn w:val="1"/>
    <w:link w:val="88"/>
    <w:autoRedefine/>
    <w:qFormat/>
    <w:uiPriority w:val="0"/>
    <w:pPr>
      <w:spacing w:before="160" w:after="160" w:line="360" w:lineRule="auto"/>
      <w:ind w:firstLine="425" w:firstLineChars="177"/>
    </w:pPr>
    <w:rPr>
      <w:rFonts w:ascii="黑体" w:hAnsi="黑体" w:eastAsia="黑体" w:cstheme="minorBidi"/>
      <w:sz w:val="24"/>
    </w:rPr>
  </w:style>
  <w:style w:type="character" w:customStyle="1" w:styleId="90">
    <w:name w:val="正文文本 Char"/>
    <w:basedOn w:val="51"/>
    <w:link w:val="19"/>
    <w:autoRedefine/>
    <w:qFormat/>
    <w:uiPriority w:val="0"/>
    <w:rPr>
      <w:rFonts w:ascii="Times New Roman" w:hAnsi="Times New Roman" w:eastAsia="宋体" w:cs="Times New Roman"/>
      <w:szCs w:val="24"/>
    </w:rPr>
  </w:style>
  <w:style w:type="character" w:customStyle="1" w:styleId="91">
    <w:name w:val="正文文本 Char1"/>
    <w:basedOn w:val="51"/>
    <w:autoRedefine/>
    <w:semiHidden/>
    <w:qFormat/>
    <w:uiPriority w:val="99"/>
    <w:rPr>
      <w:rFonts w:ascii="Times New Roman" w:hAnsi="Times New Roman" w:eastAsia="宋体" w:cs="Times New Roman"/>
      <w:szCs w:val="24"/>
    </w:rPr>
  </w:style>
  <w:style w:type="table" w:customStyle="1" w:styleId="92">
    <w:name w:val="&gt;&gt; 表格样式 &lt;&lt;1"/>
    <w:basedOn w:val="46"/>
    <w:autoRedefine/>
    <w:qFormat/>
    <w:uiPriority w:val="0"/>
    <w:pPr>
      <w:keepLines/>
      <w:spacing w:line="240" w:lineRule="auto"/>
      <w:jc w:val="center"/>
    </w:pPr>
    <w:rPr>
      <w:rFonts w:ascii="Times New Roman" w:hAnsi="Times New Roman" w:eastAsia="宋体" w:cs="Times New Roman"/>
      <w:kern w:val="0"/>
      <w:szCs w:val="21"/>
    </w:rPr>
    <w:tblPr>
      <w:tblBorders>
        <w:top w:val="single" w:color="auto" w:sz="12" w:space="0"/>
        <w:bottom w:val="single" w:color="auto" w:sz="12" w:space="0"/>
        <w:insideH w:val="single" w:color="auto" w:sz="8" w:space="0"/>
        <w:insideV w:val="single" w:color="auto" w:sz="8" w:space="0"/>
      </w:tblBorders>
      <w:tblCellMar>
        <w:top w:w="0" w:type="dxa"/>
        <w:left w:w="108" w:type="dxa"/>
        <w:bottom w:w="0" w:type="dxa"/>
        <w:right w:w="108" w:type="dxa"/>
      </w:tblCellMar>
    </w:tblPr>
    <w:tcPr>
      <w:vAlign w:val="center"/>
    </w:tcPr>
    <w:tblStylePr w:type="firstRow">
      <w:rPr>
        <w:rFonts w:hint="eastAsia" w:ascii="宋体" w:hAnsi="宋体" w:eastAsia="宋体"/>
        <w:b w:val="0"/>
        <w:sz w:val="21"/>
        <w:szCs w:val="21"/>
      </w:rPr>
      <w:tcPr>
        <w:tcBorders>
          <w:top w:val="single" w:color="auto" w:sz="12" w:space="0"/>
          <w:left w:val="nil"/>
          <w:bottom w:val="single" w:color="auto" w:sz="8" w:space="0"/>
          <w:right w:val="nil"/>
          <w:insideH w:val="nil"/>
          <w:insideV w:val="single" w:sz="8" w:space="0"/>
          <w:tl2br w:val="nil"/>
          <w:tr2bl w:val="nil"/>
        </w:tcBorders>
      </w:tcPr>
    </w:tblStylePr>
    <w:tblStylePr w:type="lastRow">
      <w:tcPr>
        <w:tcBorders>
          <w:top w:val="single" w:color="auto" w:sz="8" w:space="0"/>
          <w:left w:val="nil"/>
          <w:bottom w:val="single" w:color="auto" w:sz="12" w:space="0"/>
          <w:right w:val="nil"/>
          <w:insideH w:val="nil"/>
          <w:insideV w:val="single" w:sz="8" w:space="0"/>
          <w:tl2br w:val="nil"/>
          <w:tr2bl w:val="nil"/>
        </w:tcBorders>
      </w:tcPr>
    </w:tblStylePr>
    <w:tblStylePr w:type="firstCol">
      <w:pPr>
        <w:jc w:val="center"/>
      </w:pPr>
      <w:rPr>
        <w:rFonts w:hint="eastAsia" w:ascii="宋体" w:hAnsi="宋体" w:eastAsia="宋体"/>
        <w:b w:val="0"/>
        <w:sz w:val="21"/>
        <w:szCs w:val="21"/>
      </w:rPr>
      <w:tcPr>
        <w:tcBorders>
          <w:top w:val="single" w:color="auto" w:sz="12" w:space="0"/>
          <w:left w:val="nil"/>
          <w:bottom w:val="single" w:color="auto" w:sz="12" w:space="0"/>
          <w:right w:val="single" w:color="auto" w:sz="8" w:space="0"/>
          <w:insideH w:val="nil"/>
          <w:insideV w:val="nil"/>
          <w:tl2br w:val="nil"/>
          <w:tr2bl w:val="nil"/>
        </w:tcBorders>
      </w:tcPr>
    </w:tblStylePr>
    <w:tblStylePr w:type="lastCol">
      <w:tcPr>
        <w:tcBorders>
          <w:top w:val="single" w:color="auto" w:sz="12" w:space="0"/>
          <w:left w:val="single" w:color="auto" w:sz="8" w:space="0"/>
          <w:bottom w:val="single" w:color="auto" w:sz="12" w:space="0"/>
          <w:right w:val="nil"/>
          <w:insideH w:val="nil"/>
          <w:insideV w:val="nil"/>
          <w:tl2br w:val="nil"/>
          <w:tr2bl w:val="nil"/>
        </w:tcBorders>
      </w:tcPr>
    </w:tblStylePr>
  </w:style>
  <w:style w:type="paragraph" w:customStyle="1" w:styleId="93">
    <w:name w:val="表格"/>
    <w:basedOn w:val="1"/>
    <w:link w:val="94"/>
    <w:autoRedefine/>
    <w:qFormat/>
    <w:uiPriority w:val="0"/>
    <w:pPr>
      <w:adjustRightInd w:val="0"/>
      <w:spacing w:before="40" w:after="40"/>
    </w:pPr>
    <w:rPr>
      <w:rFonts w:ascii="昆仑仿宋" w:eastAsia="昆仑仿宋"/>
      <w:kern w:val="0"/>
      <w:sz w:val="24"/>
      <w:szCs w:val="20"/>
    </w:rPr>
  </w:style>
  <w:style w:type="character" w:customStyle="1" w:styleId="94">
    <w:name w:val="表格 Char"/>
    <w:link w:val="93"/>
    <w:autoRedefine/>
    <w:qFormat/>
    <w:uiPriority w:val="0"/>
    <w:rPr>
      <w:rFonts w:ascii="昆仑仿宋" w:hAnsi="Times New Roman" w:eastAsia="昆仑仿宋" w:cs="Times New Roman"/>
      <w:kern w:val="0"/>
      <w:sz w:val="24"/>
      <w:szCs w:val="20"/>
    </w:rPr>
  </w:style>
  <w:style w:type="character" w:customStyle="1" w:styleId="95">
    <w:name w:val="Char Char2"/>
    <w:autoRedefine/>
    <w:qFormat/>
    <w:uiPriority w:val="0"/>
    <w:rPr>
      <w:rFonts w:hint="eastAsia" w:ascii="黑体" w:hAnsi="黑体" w:eastAsia="黑体"/>
      <w:bCs/>
      <w:kern w:val="44"/>
      <w:sz w:val="28"/>
      <w:szCs w:val="44"/>
      <w:lang w:val="en-US" w:eastAsia="zh-CN" w:bidi="ar-SA"/>
    </w:rPr>
  </w:style>
  <w:style w:type="table" w:customStyle="1" w:styleId="96">
    <w:name w:val="环评表格1"/>
    <w:basedOn w:val="46"/>
    <w:autoRedefine/>
    <w:qFormat/>
    <w:uiPriority w:val="0"/>
    <w:pPr>
      <w:snapToGrid w:val="0"/>
      <w:spacing w:line="240" w:lineRule="auto"/>
      <w:jc w:val="center"/>
    </w:pPr>
    <w:rPr>
      <w:rFonts w:ascii="Times New Roman" w:hAnsi="Times New Roman" w:eastAsia="宋体" w:cs="Times New Roman"/>
      <w:kern w:val="0"/>
      <w:szCs w:val="2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character" w:customStyle="1" w:styleId="97">
    <w:name w:val="内容 Char"/>
    <w:link w:val="98"/>
    <w:autoRedefine/>
    <w:qFormat/>
    <w:uiPriority w:val="0"/>
    <w:rPr>
      <w:rFonts w:ascii="Calibri" w:hAnsi="Calibri"/>
      <w:color w:val="000000"/>
      <w:sz w:val="24"/>
      <w:szCs w:val="24"/>
    </w:rPr>
  </w:style>
  <w:style w:type="paragraph" w:customStyle="1" w:styleId="98">
    <w:name w:val="内容"/>
    <w:basedOn w:val="1"/>
    <w:link w:val="97"/>
    <w:autoRedefine/>
    <w:qFormat/>
    <w:uiPriority w:val="0"/>
    <w:pPr>
      <w:spacing w:beforeLines="50"/>
      <w:ind w:firstLine="200" w:firstLineChars="200"/>
    </w:pPr>
    <w:rPr>
      <w:rFonts w:ascii="Calibri" w:hAnsi="Calibri" w:eastAsiaTheme="minorEastAsia" w:cstheme="minorBidi"/>
      <w:color w:val="000000"/>
      <w:sz w:val="24"/>
    </w:rPr>
  </w:style>
  <w:style w:type="character" w:customStyle="1" w:styleId="99">
    <w:name w:val="标题 1 Char1"/>
    <w:autoRedefine/>
    <w:qFormat/>
    <w:uiPriority w:val="0"/>
    <w:rPr>
      <w:rFonts w:hint="default" w:ascii="Times New Roman" w:hAnsi="Times New Roman" w:eastAsia="宋体" w:cs="Times New Roman"/>
      <w:b/>
      <w:kern w:val="0"/>
      <w:sz w:val="24"/>
      <w:szCs w:val="24"/>
    </w:rPr>
  </w:style>
  <w:style w:type="character" w:customStyle="1" w:styleId="100">
    <w:name w:val="标题 2 Char1"/>
    <w:basedOn w:val="51"/>
    <w:autoRedefine/>
    <w:semiHidden/>
    <w:qFormat/>
    <w:uiPriority w:val="0"/>
    <w:rPr>
      <w:rFonts w:hint="default" w:asciiTheme="majorHAnsi" w:hAnsiTheme="majorHAnsi" w:eastAsiaTheme="majorEastAsia" w:cstheme="majorBidi"/>
      <w:b/>
      <w:bCs/>
      <w:kern w:val="2"/>
      <w:sz w:val="32"/>
      <w:szCs w:val="32"/>
    </w:rPr>
  </w:style>
  <w:style w:type="character" w:customStyle="1" w:styleId="101">
    <w:name w:val="标题 3 Char1"/>
    <w:basedOn w:val="51"/>
    <w:autoRedefine/>
    <w:semiHidden/>
    <w:qFormat/>
    <w:uiPriority w:val="0"/>
    <w:rPr>
      <w:b/>
      <w:bCs/>
      <w:kern w:val="2"/>
      <w:sz w:val="32"/>
      <w:szCs w:val="32"/>
    </w:rPr>
  </w:style>
  <w:style w:type="character" w:customStyle="1" w:styleId="102">
    <w:name w:val="标题 4 Char1"/>
    <w:basedOn w:val="51"/>
    <w:autoRedefine/>
    <w:semiHidden/>
    <w:qFormat/>
    <w:uiPriority w:val="0"/>
    <w:rPr>
      <w:rFonts w:hint="default" w:asciiTheme="majorHAnsi" w:hAnsiTheme="majorHAnsi" w:eastAsiaTheme="majorEastAsia" w:cstheme="majorBidi"/>
      <w:b/>
      <w:bCs/>
      <w:kern w:val="2"/>
      <w:sz w:val="28"/>
      <w:szCs w:val="28"/>
    </w:rPr>
  </w:style>
  <w:style w:type="character" w:customStyle="1" w:styleId="103">
    <w:name w:val="标题 5 Char1"/>
    <w:basedOn w:val="51"/>
    <w:autoRedefine/>
    <w:semiHidden/>
    <w:qFormat/>
    <w:uiPriority w:val="0"/>
    <w:rPr>
      <w:rFonts w:hint="eastAsia" w:asciiTheme="minorEastAsia" w:hAnsiTheme="minorEastAsia" w:eastAsiaTheme="minorEastAsia"/>
      <w:b/>
      <w:bCs/>
      <w:kern w:val="2"/>
      <w:sz w:val="28"/>
      <w:szCs w:val="28"/>
    </w:rPr>
  </w:style>
  <w:style w:type="character" w:customStyle="1" w:styleId="104">
    <w:name w:val="标题 6 Char1"/>
    <w:basedOn w:val="51"/>
    <w:autoRedefine/>
    <w:semiHidden/>
    <w:qFormat/>
    <w:uiPriority w:val="0"/>
    <w:rPr>
      <w:rFonts w:hint="default" w:asciiTheme="majorHAnsi" w:hAnsiTheme="majorHAnsi" w:eastAsiaTheme="majorEastAsia" w:cstheme="majorBidi"/>
      <w:b/>
      <w:bCs/>
      <w:kern w:val="2"/>
      <w:sz w:val="24"/>
      <w:szCs w:val="24"/>
    </w:rPr>
  </w:style>
  <w:style w:type="character" w:customStyle="1" w:styleId="105">
    <w:name w:val="HTML 预设格式 Char1"/>
    <w:basedOn w:val="51"/>
    <w:link w:val="40"/>
    <w:autoRedefine/>
    <w:semiHidden/>
    <w:qFormat/>
    <w:uiPriority w:val="99"/>
    <w:rPr>
      <w:rFonts w:ascii="宋体" w:hAnsi="宋体" w:eastAsia="宋体" w:cs="宋体"/>
      <w:sz w:val="24"/>
      <w:szCs w:val="24"/>
    </w:rPr>
  </w:style>
  <w:style w:type="character" w:customStyle="1" w:styleId="106">
    <w:name w:val="HTML 预设格式 Char"/>
    <w:basedOn w:val="51"/>
    <w:autoRedefine/>
    <w:semiHidden/>
    <w:qFormat/>
    <w:uiPriority w:val="99"/>
    <w:rPr>
      <w:rFonts w:ascii="Courier New" w:hAnsi="Courier New" w:eastAsia="宋体" w:cs="Courier New"/>
      <w:sz w:val="20"/>
      <w:szCs w:val="20"/>
    </w:rPr>
  </w:style>
  <w:style w:type="character" w:customStyle="1" w:styleId="107">
    <w:name w:val="标题 7 Char1"/>
    <w:basedOn w:val="51"/>
    <w:autoRedefine/>
    <w:semiHidden/>
    <w:qFormat/>
    <w:uiPriority w:val="99"/>
    <w:rPr>
      <w:rFonts w:hint="eastAsia" w:asciiTheme="minorEastAsia" w:hAnsiTheme="minorEastAsia" w:eastAsiaTheme="minorEastAsia"/>
      <w:b/>
      <w:bCs/>
      <w:kern w:val="2"/>
      <w:sz w:val="24"/>
      <w:szCs w:val="24"/>
    </w:rPr>
  </w:style>
  <w:style w:type="character" w:customStyle="1" w:styleId="108">
    <w:name w:val="标题 8 Char1"/>
    <w:basedOn w:val="51"/>
    <w:autoRedefine/>
    <w:semiHidden/>
    <w:qFormat/>
    <w:uiPriority w:val="99"/>
    <w:rPr>
      <w:rFonts w:hint="default" w:asciiTheme="majorHAnsi" w:hAnsiTheme="majorHAnsi" w:eastAsiaTheme="majorEastAsia" w:cstheme="majorBidi"/>
      <w:kern w:val="2"/>
      <w:sz w:val="24"/>
      <w:szCs w:val="24"/>
    </w:rPr>
  </w:style>
  <w:style w:type="character" w:customStyle="1" w:styleId="109">
    <w:name w:val="标题 9 Char1"/>
    <w:basedOn w:val="51"/>
    <w:autoRedefine/>
    <w:semiHidden/>
    <w:qFormat/>
    <w:uiPriority w:val="99"/>
    <w:rPr>
      <w:rFonts w:hint="default" w:asciiTheme="majorHAnsi" w:hAnsiTheme="majorHAnsi" w:eastAsiaTheme="majorEastAsia" w:cstheme="majorBidi"/>
      <w:kern w:val="2"/>
      <w:sz w:val="21"/>
      <w:szCs w:val="21"/>
    </w:rPr>
  </w:style>
  <w:style w:type="character" w:customStyle="1" w:styleId="110">
    <w:name w:val="正文缩进 Char"/>
    <w:basedOn w:val="51"/>
    <w:link w:val="14"/>
    <w:autoRedefine/>
    <w:semiHidden/>
    <w:qFormat/>
    <w:uiPriority w:val="0"/>
    <w:rPr>
      <w:rFonts w:ascii="FangSong_GB2312" w:eastAsia="FangSong_GB2312"/>
      <w:sz w:val="28"/>
      <w:szCs w:val="24"/>
    </w:rPr>
  </w:style>
  <w:style w:type="character" w:customStyle="1" w:styleId="111">
    <w:name w:val="批注文字 Char"/>
    <w:basedOn w:val="51"/>
    <w:link w:val="17"/>
    <w:autoRedefine/>
    <w:semiHidden/>
    <w:qFormat/>
    <w:uiPriority w:val="99"/>
    <w:rPr>
      <w:rFonts w:ascii="Calibri" w:hAnsi="Calibri"/>
      <w:color w:val="000000"/>
      <w:sz w:val="24"/>
      <w:szCs w:val="24"/>
    </w:rPr>
  </w:style>
  <w:style w:type="character" w:customStyle="1" w:styleId="112">
    <w:name w:val="页眉 Char1"/>
    <w:basedOn w:val="51"/>
    <w:autoRedefine/>
    <w:semiHidden/>
    <w:qFormat/>
    <w:uiPriority w:val="99"/>
    <w:rPr>
      <w:rFonts w:ascii="Times New Roman" w:hAnsi="Times New Roman" w:eastAsia="宋体" w:cs="Times New Roman"/>
      <w:sz w:val="18"/>
      <w:szCs w:val="18"/>
    </w:rPr>
  </w:style>
  <w:style w:type="character" w:customStyle="1" w:styleId="113">
    <w:name w:val="题注 Char"/>
    <w:basedOn w:val="51"/>
    <w:link w:val="15"/>
    <w:autoRedefine/>
    <w:semiHidden/>
    <w:qFormat/>
    <w:uiPriority w:val="35"/>
    <w:rPr>
      <w:color w:val="000000"/>
      <w:sz w:val="28"/>
    </w:rPr>
  </w:style>
  <w:style w:type="character" w:customStyle="1" w:styleId="114">
    <w:name w:val="列表 2 Char"/>
    <w:link w:val="24"/>
    <w:autoRedefine/>
    <w:semiHidden/>
    <w:qFormat/>
    <w:uiPriority w:val="0"/>
    <w:rPr>
      <w:rFonts w:ascii="楷体_GB2312" w:hAnsi="宋体" w:eastAsia="楷体_GB2312"/>
      <w:color w:val="000000"/>
      <w:sz w:val="24"/>
      <w:szCs w:val="28"/>
    </w:rPr>
  </w:style>
  <w:style w:type="character" w:customStyle="1" w:styleId="115">
    <w:name w:val="正文文本缩进 Char"/>
    <w:basedOn w:val="51"/>
    <w:link w:val="22"/>
    <w:autoRedefine/>
    <w:semiHidden/>
    <w:qFormat/>
    <w:uiPriority w:val="0"/>
    <w:rPr>
      <w:sz w:val="24"/>
      <w:szCs w:val="24"/>
    </w:rPr>
  </w:style>
  <w:style w:type="character" w:customStyle="1" w:styleId="116">
    <w:name w:val="正文文本缩进 Char1"/>
    <w:basedOn w:val="51"/>
    <w:autoRedefine/>
    <w:semiHidden/>
    <w:qFormat/>
    <w:uiPriority w:val="99"/>
    <w:rPr>
      <w:rFonts w:ascii="Times New Roman" w:hAnsi="Times New Roman" w:eastAsia="宋体" w:cs="Times New Roman"/>
      <w:szCs w:val="24"/>
    </w:rPr>
  </w:style>
  <w:style w:type="character" w:customStyle="1" w:styleId="117">
    <w:name w:val="日期 Char"/>
    <w:basedOn w:val="51"/>
    <w:link w:val="28"/>
    <w:autoRedefine/>
    <w:semiHidden/>
    <w:qFormat/>
    <w:uiPriority w:val="99"/>
    <w:rPr>
      <w:szCs w:val="24"/>
    </w:rPr>
  </w:style>
  <w:style w:type="character" w:customStyle="1" w:styleId="118">
    <w:name w:val="正文首行缩进 Char"/>
    <w:basedOn w:val="51"/>
    <w:link w:val="44"/>
    <w:autoRedefine/>
    <w:qFormat/>
    <w:uiPriority w:val="0"/>
    <w:rPr>
      <w:rFonts w:ascii="Times New Roman" w:hAnsi="Times New Roman" w:eastAsia="宋体" w:cs="Times New Roman"/>
      <w:b/>
      <w:bCs/>
      <w:color w:val="FF0000"/>
      <w:sz w:val="24"/>
      <w:szCs w:val="24"/>
    </w:rPr>
  </w:style>
  <w:style w:type="character" w:customStyle="1" w:styleId="119">
    <w:name w:val="正文首行缩进 Char1"/>
    <w:basedOn w:val="90"/>
    <w:autoRedefine/>
    <w:semiHidden/>
    <w:qFormat/>
    <w:uiPriority w:val="0"/>
    <w:rPr>
      <w:rFonts w:ascii="Times New Roman" w:hAnsi="Times New Roman" w:eastAsia="宋体" w:cs="Times New Roman"/>
      <w:szCs w:val="24"/>
    </w:rPr>
  </w:style>
  <w:style w:type="character" w:customStyle="1" w:styleId="120">
    <w:name w:val="正文首行缩进 2 Char"/>
    <w:basedOn w:val="115"/>
    <w:link w:val="45"/>
    <w:autoRedefine/>
    <w:semiHidden/>
    <w:qFormat/>
    <w:uiPriority w:val="0"/>
    <w:rPr>
      <w:sz w:val="28"/>
      <w:szCs w:val="24"/>
    </w:rPr>
  </w:style>
  <w:style w:type="character" w:customStyle="1" w:styleId="121">
    <w:name w:val="注释标题 Char"/>
    <w:basedOn w:val="51"/>
    <w:link w:val="13"/>
    <w:autoRedefine/>
    <w:semiHidden/>
    <w:qFormat/>
    <w:uiPriority w:val="0"/>
    <w:rPr>
      <w:sz w:val="24"/>
    </w:rPr>
  </w:style>
  <w:style w:type="character" w:customStyle="1" w:styleId="122">
    <w:name w:val="注释标题 Char1"/>
    <w:basedOn w:val="51"/>
    <w:autoRedefine/>
    <w:semiHidden/>
    <w:qFormat/>
    <w:uiPriority w:val="0"/>
    <w:rPr>
      <w:rFonts w:ascii="Times New Roman" w:hAnsi="Times New Roman" w:eastAsia="宋体" w:cs="Times New Roman"/>
      <w:szCs w:val="24"/>
    </w:rPr>
  </w:style>
  <w:style w:type="character" w:customStyle="1" w:styleId="123">
    <w:name w:val="正文文本 2 Char"/>
    <w:link w:val="39"/>
    <w:autoRedefine/>
    <w:qFormat/>
    <w:uiPriority w:val="99"/>
    <w:rPr>
      <w:sz w:val="24"/>
      <w:szCs w:val="24"/>
    </w:rPr>
  </w:style>
  <w:style w:type="character" w:customStyle="1" w:styleId="124">
    <w:name w:val="正文文本 3 Char"/>
    <w:basedOn w:val="51"/>
    <w:link w:val="18"/>
    <w:autoRedefine/>
    <w:qFormat/>
    <w:uiPriority w:val="0"/>
    <w:rPr>
      <w:rFonts w:ascii="Calibri" w:hAnsi="Calibri"/>
      <w:color w:val="000000"/>
      <w:sz w:val="16"/>
      <w:szCs w:val="16"/>
    </w:rPr>
  </w:style>
  <w:style w:type="character" w:customStyle="1" w:styleId="125">
    <w:name w:val="正文文本缩进 2 Char"/>
    <w:basedOn w:val="51"/>
    <w:link w:val="29"/>
    <w:autoRedefine/>
    <w:semiHidden/>
    <w:qFormat/>
    <w:uiPriority w:val="0"/>
    <w:rPr>
      <w:rFonts w:ascii="Calibri" w:hAnsi="Calibri"/>
      <w:color w:val="000000"/>
    </w:rPr>
  </w:style>
  <w:style w:type="character" w:customStyle="1" w:styleId="126">
    <w:name w:val="正文文本缩进 2 Char1"/>
    <w:basedOn w:val="51"/>
    <w:autoRedefine/>
    <w:semiHidden/>
    <w:qFormat/>
    <w:uiPriority w:val="99"/>
    <w:rPr>
      <w:rFonts w:ascii="Times New Roman" w:hAnsi="Times New Roman" w:eastAsia="宋体" w:cs="Times New Roman"/>
      <w:szCs w:val="24"/>
    </w:rPr>
  </w:style>
  <w:style w:type="character" w:customStyle="1" w:styleId="127">
    <w:name w:val="正文文本缩进 3 Char"/>
    <w:basedOn w:val="51"/>
    <w:link w:val="37"/>
    <w:autoRedefine/>
    <w:semiHidden/>
    <w:qFormat/>
    <w:uiPriority w:val="0"/>
    <w:rPr>
      <w:rFonts w:ascii="Calibri" w:hAnsi="Calibri"/>
      <w:color w:val="000000"/>
      <w:sz w:val="16"/>
      <w:szCs w:val="16"/>
    </w:rPr>
  </w:style>
  <w:style w:type="character" w:customStyle="1" w:styleId="128">
    <w:name w:val="纯文本 Char"/>
    <w:basedOn w:val="51"/>
    <w:link w:val="26"/>
    <w:autoRedefine/>
    <w:qFormat/>
    <w:uiPriority w:val="0"/>
    <w:rPr>
      <w:rFonts w:ascii="Times New Roman" w:hAnsi="Times New Roman" w:eastAsia="宋体" w:cs="Times New Roman"/>
      <w:color w:val="000000" w:themeColor="text1"/>
      <w:sz w:val="24"/>
      <w:szCs w:val="24"/>
    </w:rPr>
  </w:style>
  <w:style w:type="character" w:customStyle="1" w:styleId="129">
    <w:name w:val="纯文本 Char1"/>
    <w:basedOn w:val="51"/>
    <w:autoRedefine/>
    <w:qFormat/>
    <w:uiPriority w:val="0"/>
    <w:rPr>
      <w:rFonts w:ascii="宋体" w:hAnsi="Courier New" w:eastAsia="宋体" w:cs="Courier New"/>
      <w:szCs w:val="21"/>
    </w:rPr>
  </w:style>
  <w:style w:type="character" w:customStyle="1" w:styleId="130">
    <w:name w:val="批注文字 Char1"/>
    <w:basedOn w:val="51"/>
    <w:autoRedefine/>
    <w:semiHidden/>
    <w:qFormat/>
    <w:uiPriority w:val="99"/>
    <w:rPr>
      <w:rFonts w:ascii="Times New Roman" w:hAnsi="Times New Roman" w:eastAsia="宋体" w:cs="Times New Roman"/>
      <w:szCs w:val="24"/>
    </w:rPr>
  </w:style>
  <w:style w:type="character" w:customStyle="1" w:styleId="131">
    <w:name w:val="批注主题 Char"/>
    <w:basedOn w:val="111"/>
    <w:link w:val="43"/>
    <w:autoRedefine/>
    <w:semiHidden/>
    <w:qFormat/>
    <w:uiPriority w:val="0"/>
    <w:rPr>
      <w:rFonts w:ascii="Calibri" w:hAnsi="Calibri"/>
      <w:b/>
      <w:bCs/>
      <w:color w:val="000000"/>
      <w:sz w:val="24"/>
      <w:szCs w:val="24"/>
    </w:rPr>
  </w:style>
  <w:style w:type="character" w:customStyle="1" w:styleId="132">
    <w:name w:val="无间隔 Char"/>
    <w:link w:val="133"/>
    <w:autoRedefine/>
    <w:qFormat/>
    <w:uiPriority w:val="0"/>
    <w:rPr>
      <w:rFonts w:ascii="Calibri" w:hAnsi="Calibri"/>
      <w:color w:val="000000"/>
      <w:sz w:val="24"/>
      <w:szCs w:val="24"/>
    </w:rPr>
  </w:style>
  <w:style w:type="paragraph" w:styleId="133">
    <w:name w:val="No Spacing"/>
    <w:link w:val="132"/>
    <w:autoRedefine/>
    <w:qFormat/>
    <w:uiPriority w:val="0"/>
    <w:pPr>
      <w:widowControl w:val="0"/>
      <w:spacing w:line="240" w:lineRule="auto"/>
      <w:jc w:val="both"/>
    </w:pPr>
    <w:rPr>
      <w:rFonts w:ascii="Calibri" w:hAnsi="Calibri" w:eastAsiaTheme="minorEastAsia" w:cstheme="minorBidi"/>
      <w:color w:val="000000"/>
      <w:kern w:val="2"/>
      <w:sz w:val="24"/>
      <w:szCs w:val="24"/>
      <w:lang w:val="en-US" w:eastAsia="zh-CN" w:bidi="ar-SA"/>
    </w:rPr>
  </w:style>
  <w:style w:type="paragraph" w:customStyle="1" w:styleId="134">
    <w:name w:val="Char Char Char1 Char Char Char Char Char Char Char"/>
    <w:basedOn w:val="3"/>
    <w:next w:val="1"/>
    <w:autoRedefine/>
    <w:semiHidden/>
    <w:qFormat/>
    <w:uiPriority w:val="39"/>
    <w:pPr>
      <w:keepNext w:val="0"/>
      <w:keepLines w:val="0"/>
      <w:spacing w:before="0" w:after="0" w:line="240" w:lineRule="auto"/>
      <w:outlineLvl w:val="9"/>
    </w:pPr>
    <w:rPr>
      <w:b w:val="0"/>
      <w:bCs w:val="0"/>
      <w:kern w:val="2"/>
      <w:sz w:val="21"/>
      <w:szCs w:val="24"/>
    </w:rPr>
  </w:style>
  <w:style w:type="character" w:customStyle="1" w:styleId="135">
    <w:name w:val="【标题4】 Char Char"/>
    <w:link w:val="136"/>
    <w:autoRedefine/>
    <w:qFormat/>
    <w:uiPriority w:val="0"/>
    <w:rPr>
      <w:rFonts w:ascii="Times New Roman" w:hAnsi="Times New Roman" w:eastAsia="Times New Roman" w:cs="Times New Roman"/>
      <w:b/>
      <w:bCs/>
      <w:sz w:val="24"/>
    </w:rPr>
  </w:style>
  <w:style w:type="paragraph" w:customStyle="1" w:styleId="136">
    <w:name w:val="【标题4】"/>
    <w:basedOn w:val="3"/>
    <w:next w:val="1"/>
    <w:link w:val="135"/>
    <w:autoRedefine/>
    <w:qFormat/>
    <w:uiPriority w:val="0"/>
    <w:pPr>
      <w:keepNext w:val="0"/>
      <w:spacing w:before="0" w:after="0" w:line="440" w:lineRule="exact"/>
      <w:jc w:val="left"/>
      <w:outlineLvl w:val="3"/>
    </w:pPr>
    <w:rPr>
      <w:rFonts w:eastAsia="Times New Roman"/>
      <w:kern w:val="2"/>
      <w:sz w:val="24"/>
      <w:szCs w:val="22"/>
    </w:rPr>
  </w:style>
  <w:style w:type="character" w:customStyle="1" w:styleId="137">
    <w:name w:val="【标题3】 Char Char"/>
    <w:link w:val="138"/>
    <w:autoRedefine/>
    <w:qFormat/>
    <w:uiPriority w:val="0"/>
    <w:rPr>
      <w:b/>
      <w:bCs/>
      <w:sz w:val="24"/>
    </w:rPr>
  </w:style>
  <w:style w:type="paragraph" w:customStyle="1" w:styleId="138">
    <w:name w:val="【标题3】"/>
    <w:basedOn w:val="5"/>
    <w:next w:val="1"/>
    <w:link w:val="137"/>
    <w:autoRedefine/>
    <w:qFormat/>
    <w:uiPriority w:val="0"/>
    <w:pPr>
      <w:keepNext w:val="0"/>
      <w:spacing w:before="60" w:after="60" w:line="440" w:lineRule="exact"/>
      <w:ind w:firstLine="0" w:firstLineChars="0"/>
    </w:pPr>
    <w:rPr>
      <w:rFonts w:asciiTheme="minorHAnsi" w:hAnsiTheme="minorHAnsi" w:eastAsiaTheme="minorEastAsia" w:cstheme="minorBidi"/>
      <w:b/>
      <w:bCs/>
      <w:sz w:val="24"/>
      <w:szCs w:val="22"/>
    </w:rPr>
  </w:style>
  <w:style w:type="paragraph" w:customStyle="1" w:styleId="139">
    <w:name w:val="缩进"/>
    <w:basedOn w:val="3"/>
    <w:next w:val="1"/>
    <w:autoRedefine/>
    <w:qFormat/>
    <w:uiPriority w:val="99"/>
    <w:pPr>
      <w:keepNext w:val="0"/>
      <w:keepLines w:val="0"/>
      <w:spacing w:before="0" w:after="0" w:line="360" w:lineRule="auto"/>
      <w:ind w:firstLine="200" w:firstLineChars="200"/>
      <w:outlineLvl w:val="9"/>
    </w:pPr>
    <w:rPr>
      <w:rFonts w:ascii="Calibri" w:hAnsi="Calibri"/>
      <w:b w:val="0"/>
      <w:bCs w:val="0"/>
      <w:kern w:val="2"/>
      <w:sz w:val="24"/>
      <w:szCs w:val="21"/>
    </w:rPr>
  </w:style>
  <w:style w:type="character" w:customStyle="1" w:styleId="140">
    <w:name w:val="正文样式 Char"/>
    <w:link w:val="141"/>
    <w:autoRedefine/>
    <w:qFormat/>
    <w:uiPriority w:val="0"/>
    <w:rPr>
      <w:rFonts w:ascii="宋体" w:hAnsi="宋体" w:eastAsia="宋体"/>
      <w:color w:val="000000"/>
      <w:sz w:val="24"/>
      <w:szCs w:val="24"/>
    </w:rPr>
  </w:style>
  <w:style w:type="paragraph" w:customStyle="1" w:styleId="141">
    <w:name w:val="正文样式"/>
    <w:basedOn w:val="3"/>
    <w:next w:val="1"/>
    <w:link w:val="140"/>
    <w:autoRedefine/>
    <w:qFormat/>
    <w:uiPriority w:val="0"/>
    <w:pPr>
      <w:keepNext w:val="0"/>
      <w:keepLines w:val="0"/>
      <w:spacing w:before="0" w:after="0" w:line="460" w:lineRule="exact"/>
      <w:ind w:firstLine="200" w:firstLineChars="200"/>
      <w:outlineLvl w:val="9"/>
    </w:pPr>
    <w:rPr>
      <w:rFonts w:ascii="宋体" w:hAnsi="宋体" w:cstheme="minorBidi"/>
      <w:b w:val="0"/>
      <w:bCs w:val="0"/>
      <w:color w:val="000000"/>
      <w:kern w:val="2"/>
      <w:sz w:val="24"/>
      <w:szCs w:val="24"/>
    </w:rPr>
  </w:style>
  <w:style w:type="character" w:customStyle="1" w:styleId="142">
    <w:name w:val="正文00 Char Char"/>
    <w:link w:val="143"/>
    <w:autoRedefine/>
    <w:qFormat/>
    <w:uiPriority w:val="0"/>
    <w:rPr>
      <w:rFonts w:ascii="Times New Roman" w:hAnsi="Times New Roman" w:eastAsia="宋体" w:cs="Times New Roman"/>
      <w:color w:val="000000" w:themeColor="text1"/>
      <w:sz w:val="24"/>
      <w:szCs w:val="24"/>
    </w:rPr>
  </w:style>
  <w:style w:type="paragraph" w:customStyle="1" w:styleId="143">
    <w:name w:val="正文00"/>
    <w:basedOn w:val="3"/>
    <w:next w:val="1"/>
    <w:link w:val="142"/>
    <w:autoRedefine/>
    <w:qFormat/>
    <w:uiPriority w:val="0"/>
    <w:pPr>
      <w:keepNext w:val="0"/>
      <w:keepLines w:val="0"/>
      <w:spacing w:before="0" w:after="0" w:line="360" w:lineRule="auto"/>
      <w:ind w:firstLine="480" w:firstLineChars="200"/>
      <w:textAlignment w:val="center"/>
      <w:outlineLvl w:val="9"/>
    </w:pPr>
    <w:rPr>
      <w:b w:val="0"/>
      <w:bCs w:val="0"/>
      <w:color w:val="000000" w:themeColor="text1"/>
      <w:kern w:val="2"/>
      <w:sz w:val="24"/>
      <w:szCs w:val="24"/>
    </w:rPr>
  </w:style>
  <w:style w:type="paragraph" w:customStyle="1" w:styleId="144">
    <w:name w:val="表样式"/>
    <w:basedOn w:val="3"/>
    <w:next w:val="1"/>
    <w:autoRedefine/>
    <w:qFormat/>
    <w:uiPriority w:val="99"/>
    <w:pPr>
      <w:keepNext w:val="0"/>
      <w:keepLines w:val="0"/>
      <w:spacing w:before="0" w:after="0" w:line="500" w:lineRule="atLeast"/>
      <w:ind w:firstLine="425" w:firstLineChars="177"/>
      <w:jc w:val="center"/>
      <w:outlineLvl w:val="9"/>
    </w:pPr>
    <w:rPr>
      <w:rFonts w:ascii="FangSong_GB2312" w:eastAsia="黑体"/>
      <w:b w:val="0"/>
      <w:bCs w:val="0"/>
      <w:color w:val="000000"/>
      <w:kern w:val="2"/>
      <w:sz w:val="24"/>
      <w:szCs w:val="24"/>
    </w:rPr>
  </w:style>
  <w:style w:type="character" w:customStyle="1" w:styleId="145">
    <w:name w:val="Normal Char"/>
    <w:link w:val="146"/>
    <w:autoRedefine/>
    <w:qFormat/>
    <w:uiPriority w:val="0"/>
    <w:rPr>
      <w:rFonts w:ascii="宋体" w:hAnsi="宋体" w:eastAsia="宋体"/>
      <w:sz w:val="24"/>
      <w:szCs w:val="24"/>
    </w:rPr>
  </w:style>
  <w:style w:type="paragraph" w:customStyle="1" w:styleId="146">
    <w:name w:val="正文1"/>
    <w:next w:val="1"/>
    <w:link w:val="145"/>
    <w:autoRedefine/>
    <w:qFormat/>
    <w:uiPriority w:val="0"/>
    <w:pPr>
      <w:widowControl w:val="0"/>
      <w:adjustRightInd w:val="0"/>
      <w:spacing w:line="360" w:lineRule="atLeast"/>
      <w:jc w:val="left"/>
    </w:pPr>
    <w:rPr>
      <w:rFonts w:ascii="宋体" w:hAnsi="宋体" w:eastAsia="宋体" w:cstheme="minorBidi"/>
      <w:kern w:val="2"/>
      <w:sz w:val="24"/>
      <w:szCs w:val="24"/>
      <w:lang w:val="en-US" w:eastAsia="zh-CN" w:bidi="ar-SA"/>
    </w:rPr>
  </w:style>
  <w:style w:type="character" w:customStyle="1" w:styleId="147">
    <w:name w:val="样式 正文zoe + 幼圆1 Char"/>
    <w:link w:val="148"/>
    <w:autoRedefine/>
    <w:qFormat/>
    <w:uiPriority w:val="0"/>
    <w:rPr>
      <w:rFonts w:ascii="幼圆" w:hAnsi="幼圆" w:eastAsia="幼圆"/>
      <w:sz w:val="24"/>
    </w:rPr>
  </w:style>
  <w:style w:type="paragraph" w:customStyle="1" w:styleId="148">
    <w:name w:val="样式 正文zoe + 幼圆1"/>
    <w:basedOn w:val="3"/>
    <w:next w:val="1"/>
    <w:link w:val="147"/>
    <w:autoRedefine/>
    <w:qFormat/>
    <w:uiPriority w:val="0"/>
    <w:pPr>
      <w:keepNext w:val="0"/>
      <w:keepLines w:val="0"/>
      <w:adjustRightInd w:val="0"/>
      <w:spacing w:before="0" w:after="0" w:line="360" w:lineRule="auto"/>
      <w:ind w:firstLine="480" w:firstLineChars="200"/>
      <w:outlineLvl w:val="9"/>
    </w:pPr>
    <w:rPr>
      <w:rFonts w:ascii="幼圆" w:hAnsi="幼圆" w:eastAsia="幼圆" w:cstheme="minorBidi"/>
      <w:b w:val="0"/>
      <w:bCs w:val="0"/>
      <w:kern w:val="2"/>
      <w:sz w:val="24"/>
      <w:szCs w:val="22"/>
    </w:rPr>
  </w:style>
  <w:style w:type="paragraph" w:customStyle="1" w:styleId="149">
    <w:name w:val="Char Char Char Char Char Char Char Char Char Char Char Char Char Char Char Char Char Char Char Char Char1 Char"/>
    <w:basedOn w:val="3"/>
    <w:next w:val="1"/>
    <w:autoRedefine/>
    <w:qFormat/>
    <w:uiPriority w:val="99"/>
    <w:pPr>
      <w:keepNext w:val="0"/>
      <w:keepLines w:val="0"/>
      <w:spacing w:before="0" w:after="0" w:line="360" w:lineRule="auto"/>
      <w:ind w:firstLine="200" w:firstLineChars="200"/>
      <w:outlineLvl w:val="9"/>
    </w:pPr>
    <w:rPr>
      <w:rFonts w:ascii="宋体" w:hAnsi="宋体" w:cs="宋体"/>
      <w:b w:val="0"/>
      <w:bCs w:val="0"/>
      <w:color w:val="000000"/>
      <w:kern w:val="2"/>
      <w:sz w:val="24"/>
      <w:szCs w:val="24"/>
    </w:rPr>
  </w:style>
  <w:style w:type="paragraph" w:customStyle="1" w:styleId="150">
    <w:name w:val="0"/>
    <w:basedOn w:val="3"/>
    <w:next w:val="1"/>
    <w:autoRedefine/>
    <w:qFormat/>
    <w:uiPriority w:val="99"/>
    <w:pPr>
      <w:keepNext w:val="0"/>
      <w:keepLines w:val="0"/>
      <w:widowControl/>
      <w:snapToGrid w:val="0"/>
      <w:spacing w:before="0" w:after="0" w:line="365" w:lineRule="atLeast"/>
      <w:ind w:left="1" w:firstLine="425" w:firstLineChars="177"/>
      <w:outlineLvl w:val="9"/>
    </w:pPr>
    <w:rPr>
      <w:b w:val="0"/>
      <w:bCs w:val="0"/>
      <w:color w:val="000000"/>
      <w:kern w:val="0"/>
      <w:sz w:val="20"/>
      <w:szCs w:val="20"/>
    </w:rPr>
  </w:style>
  <w:style w:type="character" w:customStyle="1" w:styleId="151">
    <w:name w:val="表头 Char1"/>
    <w:link w:val="152"/>
    <w:autoRedefine/>
    <w:qFormat/>
    <w:uiPriority w:val="0"/>
    <w:rPr>
      <w:rFonts w:ascii="Times New Roman" w:hAnsi="Times New Roman" w:eastAsia="宋体" w:cs="Times New Roman"/>
      <w:b/>
      <w:sz w:val="24"/>
      <w:szCs w:val="24"/>
    </w:rPr>
  </w:style>
  <w:style w:type="paragraph" w:customStyle="1" w:styleId="152">
    <w:name w:val="表头"/>
    <w:basedOn w:val="3"/>
    <w:next w:val="1"/>
    <w:link w:val="151"/>
    <w:autoRedefine/>
    <w:qFormat/>
    <w:uiPriority w:val="0"/>
    <w:pPr>
      <w:keepNext w:val="0"/>
      <w:keepLines w:val="0"/>
      <w:spacing w:before="0" w:after="0" w:line="360" w:lineRule="auto"/>
      <w:contextualSpacing/>
      <w:jc w:val="center"/>
      <w:outlineLvl w:val="9"/>
    </w:pPr>
    <w:rPr>
      <w:bCs w:val="0"/>
      <w:kern w:val="2"/>
      <w:sz w:val="24"/>
      <w:szCs w:val="24"/>
    </w:rPr>
  </w:style>
  <w:style w:type="character" w:customStyle="1" w:styleId="153">
    <w:name w:val="正文内容 Char Char"/>
    <w:link w:val="154"/>
    <w:autoRedefine/>
    <w:qFormat/>
    <w:uiPriority w:val="0"/>
    <w:rPr>
      <w:sz w:val="28"/>
      <w:szCs w:val="28"/>
    </w:rPr>
  </w:style>
  <w:style w:type="paragraph" w:customStyle="1" w:styleId="154">
    <w:name w:val="正文内容"/>
    <w:basedOn w:val="3"/>
    <w:next w:val="1"/>
    <w:link w:val="153"/>
    <w:autoRedefine/>
    <w:qFormat/>
    <w:uiPriority w:val="0"/>
    <w:pPr>
      <w:keepNext w:val="0"/>
      <w:keepLines w:val="0"/>
      <w:overflowPunct w:val="0"/>
      <w:topLinePunct/>
      <w:spacing w:beforeLines="50" w:after="0" w:line="480" w:lineRule="exact"/>
      <w:ind w:firstLine="560" w:firstLineChars="200"/>
      <w:outlineLvl w:val="9"/>
    </w:pPr>
    <w:rPr>
      <w:rFonts w:asciiTheme="minorHAnsi" w:hAnsiTheme="minorHAnsi" w:eastAsiaTheme="minorEastAsia" w:cstheme="minorBidi"/>
      <w:b w:val="0"/>
      <w:bCs w:val="0"/>
      <w:kern w:val="2"/>
      <w:sz w:val="28"/>
      <w:szCs w:val="28"/>
    </w:rPr>
  </w:style>
  <w:style w:type="paragraph" w:customStyle="1" w:styleId="155">
    <w:name w:val="中文报告书样式"/>
    <w:basedOn w:val="3"/>
    <w:next w:val="1"/>
    <w:autoRedefine/>
    <w:qFormat/>
    <w:uiPriority w:val="99"/>
    <w:pPr>
      <w:keepNext w:val="0"/>
      <w:keepLines w:val="0"/>
      <w:adjustRightInd w:val="0"/>
      <w:spacing w:before="0" w:after="0" w:line="480" w:lineRule="atLeast"/>
      <w:ind w:firstLine="482" w:firstLineChars="177"/>
      <w:outlineLvl w:val="9"/>
    </w:pPr>
    <w:rPr>
      <w:b w:val="0"/>
      <w:bCs w:val="0"/>
      <w:color w:val="000000"/>
      <w:kern w:val="24"/>
      <w:sz w:val="24"/>
      <w:szCs w:val="20"/>
    </w:rPr>
  </w:style>
  <w:style w:type="paragraph" w:customStyle="1" w:styleId="156">
    <w:name w:val="表内文"/>
    <w:basedOn w:val="3"/>
    <w:next w:val="1"/>
    <w:autoRedefine/>
    <w:qFormat/>
    <w:uiPriority w:val="99"/>
    <w:pPr>
      <w:keepNext w:val="0"/>
      <w:keepLines w:val="0"/>
      <w:spacing w:before="0" w:after="0" w:line="320" w:lineRule="atLeast"/>
      <w:ind w:firstLine="425" w:firstLineChars="177"/>
      <w:jc w:val="center"/>
      <w:outlineLvl w:val="9"/>
    </w:pPr>
    <w:rPr>
      <w:b w:val="0"/>
      <w:bCs w:val="0"/>
      <w:color w:val="000000"/>
      <w:kern w:val="2"/>
      <w:sz w:val="24"/>
      <w:szCs w:val="20"/>
    </w:rPr>
  </w:style>
  <w:style w:type="paragraph" w:customStyle="1" w:styleId="157">
    <w:name w:val="表格式"/>
    <w:basedOn w:val="36"/>
    <w:next w:val="1"/>
    <w:autoRedefine/>
    <w:qFormat/>
    <w:uiPriority w:val="99"/>
    <w:pPr>
      <w:spacing w:line="480" w:lineRule="exact"/>
      <w:ind w:left="0" w:firstLine="0" w:firstLineChars="0"/>
      <w:contextualSpacing w:val="0"/>
      <w:jc w:val="center"/>
    </w:pPr>
    <w:rPr>
      <w:rFonts w:ascii="宋体" w:hAnsi="宋体"/>
      <w:color w:val="000000"/>
      <w:sz w:val="24"/>
      <w:szCs w:val="20"/>
    </w:rPr>
  </w:style>
  <w:style w:type="paragraph" w:customStyle="1" w:styleId="158">
    <w:name w:val="默认段落字体 Para Char Char Char Char"/>
    <w:basedOn w:val="3"/>
    <w:next w:val="1"/>
    <w:autoRedefine/>
    <w:qFormat/>
    <w:uiPriority w:val="99"/>
    <w:pPr>
      <w:keepNext w:val="0"/>
      <w:keepLines w:val="0"/>
      <w:spacing w:before="0" w:after="0" w:line="500" w:lineRule="atLeast"/>
      <w:ind w:firstLine="425" w:firstLineChars="177"/>
      <w:outlineLvl w:val="9"/>
    </w:pPr>
    <w:rPr>
      <w:b w:val="0"/>
      <w:bCs w:val="0"/>
      <w:color w:val="000000"/>
      <w:kern w:val="2"/>
      <w:sz w:val="24"/>
      <w:szCs w:val="24"/>
    </w:rPr>
  </w:style>
  <w:style w:type="paragraph" w:customStyle="1" w:styleId="159">
    <w:name w:val="Char Char Char1 Char Char Char Char Char Char1 Char Char Char Char Char Char"/>
    <w:basedOn w:val="3"/>
    <w:next w:val="1"/>
    <w:autoRedefine/>
    <w:qFormat/>
    <w:uiPriority w:val="99"/>
    <w:pPr>
      <w:keepNext w:val="0"/>
      <w:keepLines w:val="0"/>
      <w:snapToGrid w:val="0"/>
      <w:spacing w:before="0" w:after="0" w:line="360" w:lineRule="auto"/>
      <w:ind w:firstLine="200" w:firstLineChars="200"/>
      <w:outlineLvl w:val="9"/>
    </w:pPr>
    <w:rPr>
      <w:rFonts w:eastAsia="FangSong_GB2312"/>
      <w:b w:val="0"/>
      <w:bCs w:val="0"/>
      <w:color w:val="000000"/>
      <w:kern w:val="2"/>
      <w:sz w:val="24"/>
      <w:szCs w:val="24"/>
    </w:rPr>
  </w:style>
  <w:style w:type="character" w:customStyle="1" w:styleId="160">
    <w:name w:val="正文(首行缩进) Char"/>
    <w:link w:val="161"/>
    <w:autoRedefine/>
    <w:qFormat/>
    <w:uiPriority w:val="0"/>
    <w:rPr>
      <w:snapToGrid w:val="0"/>
      <w:sz w:val="24"/>
      <w:szCs w:val="24"/>
    </w:rPr>
  </w:style>
  <w:style w:type="paragraph" w:customStyle="1" w:styleId="161">
    <w:name w:val="正文(首行缩进)"/>
    <w:basedOn w:val="3"/>
    <w:next w:val="1"/>
    <w:link w:val="160"/>
    <w:autoRedefine/>
    <w:qFormat/>
    <w:uiPriority w:val="0"/>
    <w:pPr>
      <w:keepNext w:val="0"/>
      <w:keepLines w:val="0"/>
      <w:adjustRightInd w:val="0"/>
      <w:snapToGrid w:val="0"/>
      <w:spacing w:before="0" w:after="0" w:line="360" w:lineRule="auto"/>
      <w:ind w:firstLine="200" w:firstLineChars="200"/>
      <w:outlineLvl w:val="9"/>
    </w:pPr>
    <w:rPr>
      <w:rFonts w:asciiTheme="minorHAnsi" w:hAnsiTheme="minorHAnsi" w:eastAsiaTheme="minorEastAsia" w:cstheme="minorBidi"/>
      <w:b w:val="0"/>
      <w:bCs w:val="0"/>
      <w:snapToGrid w:val="0"/>
      <w:kern w:val="2"/>
      <w:sz w:val="24"/>
      <w:szCs w:val="24"/>
    </w:rPr>
  </w:style>
  <w:style w:type="paragraph" w:customStyle="1" w:styleId="162">
    <w:name w:val="纯文本2"/>
    <w:basedOn w:val="3"/>
    <w:next w:val="1"/>
    <w:autoRedefine/>
    <w:qFormat/>
    <w:uiPriority w:val="99"/>
    <w:pPr>
      <w:keepNext w:val="0"/>
      <w:keepLines w:val="0"/>
      <w:spacing w:before="0" w:after="0" w:line="500" w:lineRule="atLeast"/>
      <w:ind w:firstLine="425" w:firstLineChars="177"/>
      <w:outlineLvl w:val="9"/>
    </w:pPr>
    <w:rPr>
      <w:rFonts w:ascii="宋体" w:hAnsi="Courier New"/>
      <w:b w:val="0"/>
      <w:bCs w:val="0"/>
      <w:color w:val="000000"/>
      <w:kern w:val="0"/>
      <w:sz w:val="20"/>
      <w:szCs w:val="21"/>
    </w:rPr>
  </w:style>
  <w:style w:type="paragraph" w:customStyle="1" w:styleId="163">
    <w:name w:val="日期1"/>
    <w:basedOn w:val="3"/>
    <w:next w:val="1"/>
    <w:autoRedefine/>
    <w:qFormat/>
    <w:uiPriority w:val="99"/>
    <w:pPr>
      <w:keepNext w:val="0"/>
      <w:keepLines w:val="0"/>
      <w:spacing w:before="0" w:after="0" w:line="500" w:lineRule="atLeast"/>
      <w:ind w:left="100" w:leftChars="2500" w:firstLine="425" w:firstLineChars="177"/>
      <w:outlineLvl w:val="9"/>
    </w:pPr>
    <w:rPr>
      <w:rFonts w:ascii="Calibri" w:hAnsi="Calibri"/>
      <w:b w:val="0"/>
      <w:bCs w:val="0"/>
      <w:color w:val="000000"/>
      <w:kern w:val="0"/>
      <w:sz w:val="20"/>
      <w:szCs w:val="20"/>
    </w:rPr>
  </w:style>
  <w:style w:type="paragraph" w:customStyle="1" w:styleId="164">
    <w:name w:val="无间隔1"/>
    <w:next w:val="1"/>
    <w:autoRedefine/>
    <w:qFormat/>
    <w:uiPriority w:val="99"/>
    <w:pPr>
      <w:spacing w:line="240" w:lineRule="auto"/>
      <w:jc w:val="left"/>
    </w:pPr>
    <w:rPr>
      <w:rFonts w:ascii="Calibri" w:hAnsi="Calibri" w:eastAsia="宋体" w:cs="Times New Roman"/>
      <w:color w:val="000000"/>
      <w:kern w:val="0"/>
      <w:sz w:val="24"/>
      <w:szCs w:val="20"/>
      <w:lang w:val="en-US" w:eastAsia="zh-CN" w:bidi="ar-SA"/>
    </w:rPr>
  </w:style>
  <w:style w:type="paragraph" w:customStyle="1" w:styleId="165">
    <w:name w:val="正文（我）"/>
    <w:basedOn w:val="3"/>
    <w:next w:val="1"/>
    <w:autoRedefine/>
    <w:qFormat/>
    <w:uiPriority w:val="99"/>
    <w:pPr>
      <w:keepNext w:val="0"/>
      <w:keepLines w:val="0"/>
      <w:spacing w:before="0" w:after="0" w:line="500" w:lineRule="atLeast"/>
      <w:ind w:firstLine="200" w:firstLineChars="200"/>
      <w:outlineLvl w:val="9"/>
    </w:pPr>
    <w:rPr>
      <w:b w:val="0"/>
      <w:bCs w:val="0"/>
      <w:color w:val="000000"/>
      <w:kern w:val="2"/>
      <w:sz w:val="28"/>
      <w:szCs w:val="24"/>
    </w:rPr>
  </w:style>
  <w:style w:type="paragraph" w:customStyle="1" w:styleId="166">
    <w:name w:val="Char1"/>
    <w:basedOn w:val="3"/>
    <w:next w:val="1"/>
    <w:autoRedefine/>
    <w:qFormat/>
    <w:uiPriority w:val="99"/>
    <w:pPr>
      <w:keepNext w:val="0"/>
      <w:keepLines w:val="0"/>
      <w:spacing w:before="0" w:after="0" w:line="500" w:lineRule="atLeast"/>
      <w:ind w:left="510" w:firstLine="425" w:firstLineChars="177"/>
      <w:outlineLvl w:val="9"/>
    </w:pPr>
    <w:rPr>
      <w:b w:val="0"/>
      <w:bCs w:val="0"/>
      <w:color w:val="000000"/>
      <w:kern w:val="2"/>
      <w:sz w:val="24"/>
      <w:szCs w:val="21"/>
    </w:rPr>
  </w:style>
  <w:style w:type="paragraph" w:customStyle="1" w:styleId="167">
    <w:name w:val="Char"/>
    <w:basedOn w:val="3"/>
    <w:next w:val="19"/>
    <w:autoRedefine/>
    <w:qFormat/>
    <w:uiPriority w:val="99"/>
    <w:pPr>
      <w:keepNext w:val="0"/>
      <w:keepLines w:val="0"/>
      <w:spacing w:before="0" w:after="0" w:line="360" w:lineRule="auto"/>
      <w:ind w:firstLine="200" w:firstLineChars="200"/>
      <w:jc w:val="center"/>
      <w:outlineLvl w:val="9"/>
    </w:pPr>
    <w:rPr>
      <w:rFonts w:ascii="宋体" w:hAnsi="宋体" w:cs="宋体"/>
      <w:bCs w:val="0"/>
      <w:color w:val="000000"/>
      <w:kern w:val="2"/>
      <w:sz w:val="30"/>
      <w:szCs w:val="30"/>
    </w:rPr>
  </w:style>
  <w:style w:type="paragraph" w:customStyle="1" w:styleId="168">
    <w:name w:val="Char Char Char1 Char Char Char Char Char Char Char Char"/>
    <w:basedOn w:val="3"/>
    <w:next w:val="1"/>
    <w:autoRedefine/>
    <w:qFormat/>
    <w:uiPriority w:val="99"/>
    <w:pPr>
      <w:keepNext w:val="0"/>
      <w:keepLines w:val="0"/>
      <w:spacing w:before="0" w:after="0" w:line="360" w:lineRule="auto"/>
      <w:ind w:firstLine="200" w:firstLineChars="200"/>
      <w:outlineLvl w:val="9"/>
    </w:pPr>
    <w:rPr>
      <w:rFonts w:ascii="宋体" w:hAnsi="宋体" w:cs="宋体"/>
      <w:b w:val="0"/>
      <w:bCs w:val="0"/>
      <w:color w:val="000000"/>
      <w:kern w:val="2"/>
      <w:sz w:val="24"/>
      <w:szCs w:val="24"/>
    </w:rPr>
  </w:style>
  <w:style w:type="paragraph" w:customStyle="1" w:styleId="169">
    <w:name w:val="Char Char Char Char Char Char Char Char Char Char Char Char Char Char Char Char"/>
    <w:basedOn w:val="3"/>
    <w:next w:val="1"/>
    <w:autoRedefine/>
    <w:qFormat/>
    <w:uiPriority w:val="99"/>
    <w:pPr>
      <w:keepNext w:val="0"/>
      <w:keepLines w:val="0"/>
      <w:spacing w:before="0" w:after="0" w:line="360" w:lineRule="auto"/>
      <w:ind w:firstLine="200" w:firstLineChars="200"/>
      <w:outlineLvl w:val="9"/>
    </w:pPr>
    <w:rPr>
      <w:rFonts w:ascii="宋体" w:hAnsi="宋体" w:cs="宋体"/>
      <w:b w:val="0"/>
      <w:bCs w:val="0"/>
      <w:color w:val="000000"/>
      <w:kern w:val="2"/>
      <w:sz w:val="24"/>
      <w:szCs w:val="24"/>
    </w:rPr>
  </w:style>
  <w:style w:type="character" w:customStyle="1" w:styleId="170">
    <w:name w:val="正文文本 (2)_"/>
    <w:link w:val="171"/>
    <w:autoRedefine/>
    <w:qFormat/>
    <w:uiPriority w:val="0"/>
    <w:rPr>
      <w:rFonts w:ascii="MingLiU" w:hAnsi="MingLiU" w:eastAsia="MingLiU"/>
      <w:sz w:val="23"/>
      <w:szCs w:val="23"/>
      <w:shd w:val="clear" w:color="auto" w:fill="FFFFFF"/>
    </w:rPr>
  </w:style>
  <w:style w:type="paragraph" w:customStyle="1" w:styleId="171">
    <w:name w:val="正文文本 (2)"/>
    <w:basedOn w:val="3"/>
    <w:next w:val="1"/>
    <w:link w:val="170"/>
    <w:autoRedefine/>
    <w:qFormat/>
    <w:uiPriority w:val="0"/>
    <w:pPr>
      <w:keepNext w:val="0"/>
      <w:keepLines w:val="0"/>
      <w:shd w:val="clear" w:color="auto" w:fill="FFFFFF"/>
      <w:spacing w:before="0" w:after="0" w:line="466" w:lineRule="exact"/>
      <w:ind w:firstLine="425" w:firstLineChars="177"/>
      <w:jc w:val="distribute"/>
      <w:outlineLvl w:val="9"/>
    </w:pPr>
    <w:rPr>
      <w:rFonts w:ascii="MingLiU" w:hAnsi="MingLiU" w:eastAsia="MingLiU" w:cstheme="minorBidi"/>
      <w:b w:val="0"/>
      <w:bCs w:val="0"/>
      <w:kern w:val="2"/>
      <w:sz w:val="23"/>
      <w:szCs w:val="23"/>
    </w:rPr>
  </w:style>
  <w:style w:type="paragraph" w:customStyle="1" w:styleId="172">
    <w:name w:val="公式"/>
    <w:basedOn w:val="3"/>
    <w:next w:val="1"/>
    <w:autoRedefine/>
    <w:qFormat/>
    <w:uiPriority w:val="99"/>
    <w:pPr>
      <w:keepNext w:val="0"/>
      <w:keepLines w:val="0"/>
      <w:spacing w:before="0" w:after="0" w:line="312" w:lineRule="auto"/>
      <w:ind w:firstLine="425" w:firstLineChars="177"/>
      <w:jc w:val="right"/>
      <w:outlineLvl w:val="9"/>
    </w:pPr>
    <w:rPr>
      <w:rFonts w:ascii="宋体" w:hAnsi="宋体"/>
      <w:b w:val="0"/>
      <w:bCs w:val="0"/>
      <w:color w:val="000000"/>
      <w:kern w:val="2"/>
      <w:sz w:val="24"/>
      <w:szCs w:val="24"/>
    </w:rPr>
  </w:style>
  <w:style w:type="paragraph" w:customStyle="1" w:styleId="173">
    <w:name w:val="纯文本4"/>
    <w:basedOn w:val="3"/>
    <w:next w:val="1"/>
    <w:autoRedefine/>
    <w:qFormat/>
    <w:uiPriority w:val="99"/>
    <w:pPr>
      <w:keepNext w:val="0"/>
      <w:keepLines w:val="0"/>
      <w:spacing w:before="0" w:after="0" w:line="500" w:lineRule="atLeast"/>
      <w:ind w:firstLine="425" w:firstLineChars="177"/>
      <w:outlineLvl w:val="9"/>
    </w:pPr>
    <w:rPr>
      <w:rFonts w:ascii="宋体" w:hAnsi="Courier New"/>
      <w:b w:val="0"/>
      <w:bCs w:val="0"/>
      <w:kern w:val="0"/>
      <w:sz w:val="20"/>
      <w:szCs w:val="21"/>
    </w:rPr>
  </w:style>
  <w:style w:type="paragraph" w:customStyle="1" w:styleId="174">
    <w:name w:val="日期2"/>
    <w:basedOn w:val="3"/>
    <w:next w:val="1"/>
    <w:autoRedefine/>
    <w:qFormat/>
    <w:uiPriority w:val="99"/>
    <w:pPr>
      <w:keepNext w:val="0"/>
      <w:keepLines w:val="0"/>
      <w:spacing w:before="0" w:after="0" w:line="500" w:lineRule="atLeast"/>
      <w:ind w:left="100" w:leftChars="2500" w:firstLine="425" w:firstLineChars="177"/>
      <w:outlineLvl w:val="9"/>
    </w:pPr>
    <w:rPr>
      <w:rFonts w:ascii="Calibri" w:hAnsi="Calibri"/>
      <w:b w:val="0"/>
      <w:bCs w:val="0"/>
      <w:kern w:val="0"/>
      <w:sz w:val="20"/>
      <w:szCs w:val="20"/>
    </w:rPr>
  </w:style>
  <w:style w:type="paragraph" w:customStyle="1" w:styleId="175">
    <w:name w:val="无间隔2"/>
    <w:next w:val="1"/>
    <w:autoRedefine/>
    <w:qFormat/>
    <w:uiPriority w:val="99"/>
    <w:pPr>
      <w:spacing w:line="240" w:lineRule="auto"/>
      <w:jc w:val="left"/>
    </w:pPr>
    <w:rPr>
      <w:rFonts w:ascii="Calibri" w:hAnsi="Calibri" w:eastAsia="宋体" w:cs="Times New Roman"/>
      <w:kern w:val="0"/>
      <w:sz w:val="22"/>
      <w:szCs w:val="20"/>
      <w:lang w:val="en-US" w:eastAsia="zh-CN" w:bidi="ar-SA"/>
    </w:rPr>
  </w:style>
  <w:style w:type="paragraph" w:customStyle="1" w:styleId="176">
    <w:name w:val="纯文本5"/>
    <w:basedOn w:val="3"/>
    <w:next w:val="1"/>
    <w:autoRedefine/>
    <w:qFormat/>
    <w:uiPriority w:val="99"/>
    <w:pPr>
      <w:keepNext w:val="0"/>
      <w:keepLines w:val="0"/>
      <w:spacing w:before="0" w:after="0" w:line="500" w:lineRule="atLeast"/>
      <w:ind w:firstLine="425" w:firstLineChars="177"/>
      <w:outlineLvl w:val="9"/>
    </w:pPr>
    <w:rPr>
      <w:rFonts w:ascii="宋体" w:hAnsi="Courier New"/>
      <w:b w:val="0"/>
      <w:bCs w:val="0"/>
      <w:kern w:val="0"/>
      <w:sz w:val="20"/>
      <w:szCs w:val="21"/>
    </w:rPr>
  </w:style>
  <w:style w:type="paragraph" w:customStyle="1" w:styleId="177">
    <w:name w:val="Char12"/>
    <w:basedOn w:val="3"/>
    <w:next w:val="1"/>
    <w:autoRedefine/>
    <w:qFormat/>
    <w:uiPriority w:val="99"/>
    <w:pPr>
      <w:keepNext w:val="0"/>
      <w:keepLines w:val="0"/>
      <w:spacing w:before="0" w:after="0" w:line="500" w:lineRule="atLeast"/>
      <w:ind w:left="510" w:firstLine="425" w:firstLineChars="177"/>
      <w:outlineLvl w:val="9"/>
    </w:pPr>
    <w:rPr>
      <w:b w:val="0"/>
      <w:bCs w:val="0"/>
      <w:kern w:val="2"/>
      <w:sz w:val="24"/>
      <w:szCs w:val="21"/>
    </w:rPr>
  </w:style>
  <w:style w:type="paragraph" w:customStyle="1" w:styleId="178">
    <w:name w:val="Char Char Char1 Char Char Char Char Char Char Char Char2"/>
    <w:basedOn w:val="3"/>
    <w:next w:val="1"/>
    <w:autoRedefine/>
    <w:qFormat/>
    <w:uiPriority w:val="99"/>
    <w:pPr>
      <w:keepNext w:val="0"/>
      <w:keepLines w:val="0"/>
      <w:spacing w:before="0" w:after="0" w:line="360" w:lineRule="auto"/>
      <w:ind w:firstLine="200" w:firstLineChars="200"/>
      <w:outlineLvl w:val="9"/>
    </w:pPr>
    <w:rPr>
      <w:rFonts w:ascii="宋体" w:hAnsi="宋体" w:cs="宋体"/>
      <w:b w:val="0"/>
      <w:bCs w:val="0"/>
      <w:kern w:val="2"/>
      <w:sz w:val="24"/>
      <w:szCs w:val="24"/>
    </w:rPr>
  </w:style>
  <w:style w:type="paragraph" w:customStyle="1" w:styleId="179">
    <w:name w:val="Char Char Char Char Char Char Char Char Char Char Char Char Char Char Char Char2"/>
    <w:basedOn w:val="3"/>
    <w:next w:val="1"/>
    <w:autoRedefine/>
    <w:qFormat/>
    <w:uiPriority w:val="99"/>
    <w:pPr>
      <w:keepNext w:val="0"/>
      <w:keepLines w:val="0"/>
      <w:spacing w:before="0" w:after="0" w:line="360" w:lineRule="auto"/>
      <w:ind w:firstLine="200" w:firstLineChars="200"/>
      <w:outlineLvl w:val="9"/>
    </w:pPr>
    <w:rPr>
      <w:rFonts w:ascii="宋体" w:hAnsi="宋体" w:cs="宋体"/>
      <w:b w:val="0"/>
      <w:bCs w:val="0"/>
      <w:kern w:val="2"/>
      <w:sz w:val="24"/>
      <w:szCs w:val="24"/>
    </w:rPr>
  </w:style>
  <w:style w:type="paragraph" w:customStyle="1" w:styleId="180">
    <w:name w:val="正文4"/>
    <w:next w:val="1"/>
    <w:autoRedefine/>
    <w:qFormat/>
    <w:uiPriority w:val="99"/>
    <w:pPr>
      <w:widowControl w:val="0"/>
      <w:adjustRightInd w:val="0"/>
      <w:spacing w:line="360" w:lineRule="atLeast"/>
      <w:jc w:val="left"/>
    </w:pPr>
    <w:rPr>
      <w:rFonts w:ascii="宋体" w:hAnsi="Times New Roman" w:eastAsia="宋体" w:cs="Times New Roman"/>
      <w:kern w:val="0"/>
      <w:sz w:val="24"/>
      <w:szCs w:val="20"/>
      <w:lang w:val="en-US" w:eastAsia="zh-CN" w:bidi="ar-SA"/>
    </w:rPr>
  </w:style>
  <w:style w:type="paragraph" w:customStyle="1" w:styleId="181">
    <w:name w:val="日期3"/>
    <w:basedOn w:val="3"/>
    <w:next w:val="1"/>
    <w:autoRedefine/>
    <w:qFormat/>
    <w:uiPriority w:val="99"/>
    <w:pPr>
      <w:keepNext w:val="0"/>
      <w:keepLines w:val="0"/>
      <w:spacing w:before="0" w:after="0" w:line="500" w:lineRule="atLeast"/>
      <w:ind w:left="100" w:leftChars="2500" w:firstLine="425" w:firstLineChars="177"/>
      <w:outlineLvl w:val="9"/>
    </w:pPr>
    <w:rPr>
      <w:rFonts w:ascii="Calibri" w:hAnsi="Calibri"/>
      <w:b w:val="0"/>
      <w:bCs w:val="0"/>
      <w:kern w:val="0"/>
      <w:sz w:val="20"/>
      <w:szCs w:val="20"/>
    </w:rPr>
  </w:style>
  <w:style w:type="paragraph" w:customStyle="1" w:styleId="182">
    <w:name w:val="无间隔3"/>
    <w:next w:val="1"/>
    <w:autoRedefine/>
    <w:qFormat/>
    <w:uiPriority w:val="99"/>
    <w:pPr>
      <w:spacing w:line="240" w:lineRule="auto"/>
      <w:jc w:val="left"/>
    </w:pPr>
    <w:rPr>
      <w:rFonts w:ascii="Calibri" w:hAnsi="Calibri" w:eastAsia="宋体" w:cs="Times New Roman"/>
      <w:kern w:val="0"/>
      <w:sz w:val="22"/>
      <w:szCs w:val="20"/>
      <w:lang w:val="en-US" w:eastAsia="zh-CN" w:bidi="ar-SA"/>
    </w:rPr>
  </w:style>
  <w:style w:type="paragraph" w:customStyle="1" w:styleId="183">
    <w:name w:val="Char11"/>
    <w:basedOn w:val="3"/>
    <w:next w:val="1"/>
    <w:autoRedefine/>
    <w:qFormat/>
    <w:uiPriority w:val="99"/>
    <w:pPr>
      <w:keepNext w:val="0"/>
      <w:keepLines w:val="0"/>
      <w:spacing w:before="0" w:after="0" w:line="500" w:lineRule="atLeast"/>
      <w:ind w:left="510" w:firstLine="425" w:firstLineChars="177"/>
      <w:outlineLvl w:val="9"/>
    </w:pPr>
    <w:rPr>
      <w:b w:val="0"/>
      <w:bCs w:val="0"/>
      <w:kern w:val="2"/>
      <w:sz w:val="24"/>
      <w:szCs w:val="21"/>
    </w:rPr>
  </w:style>
  <w:style w:type="paragraph" w:customStyle="1" w:styleId="184">
    <w:name w:val="Char Char Char1 Char Char Char Char Char Char Char Char1"/>
    <w:basedOn w:val="3"/>
    <w:next w:val="1"/>
    <w:autoRedefine/>
    <w:qFormat/>
    <w:uiPriority w:val="99"/>
    <w:pPr>
      <w:keepNext w:val="0"/>
      <w:keepLines w:val="0"/>
      <w:spacing w:before="0" w:after="0" w:line="360" w:lineRule="auto"/>
      <w:ind w:firstLine="200" w:firstLineChars="200"/>
      <w:outlineLvl w:val="9"/>
    </w:pPr>
    <w:rPr>
      <w:rFonts w:ascii="宋体" w:hAnsi="宋体" w:cs="宋体"/>
      <w:b w:val="0"/>
      <w:bCs w:val="0"/>
      <w:kern w:val="2"/>
      <w:sz w:val="24"/>
      <w:szCs w:val="24"/>
    </w:rPr>
  </w:style>
  <w:style w:type="paragraph" w:customStyle="1" w:styleId="185">
    <w:name w:val="Char Char Char Char Char Char Char Char Char Char Char Char Char Char Char Char1"/>
    <w:basedOn w:val="3"/>
    <w:next w:val="1"/>
    <w:autoRedefine/>
    <w:qFormat/>
    <w:uiPriority w:val="99"/>
    <w:pPr>
      <w:keepNext w:val="0"/>
      <w:keepLines w:val="0"/>
      <w:spacing w:before="0" w:after="0" w:line="360" w:lineRule="auto"/>
      <w:ind w:firstLine="200" w:firstLineChars="200"/>
      <w:outlineLvl w:val="9"/>
    </w:pPr>
    <w:rPr>
      <w:rFonts w:ascii="宋体" w:hAnsi="宋体" w:cs="宋体"/>
      <w:b w:val="0"/>
      <w:bCs w:val="0"/>
      <w:kern w:val="2"/>
      <w:sz w:val="24"/>
      <w:szCs w:val="24"/>
    </w:rPr>
  </w:style>
  <w:style w:type="character" w:customStyle="1" w:styleId="186">
    <w:name w:val="正缩1 Char Char"/>
    <w:link w:val="187"/>
    <w:autoRedefine/>
    <w:qFormat/>
    <w:uiPriority w:val="0"/>
    <w:rPr>
      <w:rFonts w:ascii="FangSong_GB2312" w:eastAsia="FangSong_GB2312"/>
      <w:snapToGrid w:val="0"/>
      <w:color w:val="000000"/>
      <w:sz w:val="28"/>
    </w:rPr>
  </w:style>
  <w:style w:type="paragraph" w:customStyle="1" w:styleId="187">
    <w:name w:val="正缩1 Char"/>
    <w:basedOn w:val="3"/>
    <w:next w:val="1"/>
    <w:link w:val="186"/>
    <w:autoRedefine/>
    <w:qFormat/>
    <w:uiPriority w:val="0"/>
    <w:pPr>
      <w:keepNext w:val="0"/>
      <w:keepLines w:val="0"/>
      <w:adjustRightInd w:val="0"/>
      <w:snapToGrid w:val="0"/>
      <w:spacing w:before="0" w:after="0" w:line="500" w:lineRule="exact"/>
      <w:ind w:firstLine="567" w:firstLineChars="177"/>
      <w:outlineLvl w:val="9"/>
    </w:pPr>
    <w:rPr>
      <w:rFonts w:ascii="FangSong_GB2312" w:eastAsia="FangSong_GB2312" w:hAnsiTheme="minorHAnsi" w:cstheme="minorBidi"/>
      <w:b w:val="0"/>
      <w:bCs w:val="0"/>
      <w:snapToGrid w:val="0"/>
      <w:color w:val="000000"/>
      <w:kern w:val="2"/>
      <w:sz w:val="28"/>
      <w:szCs w:val="22"/>
    </w:rPr>
  </w:style>
  <w:style w:type="character" w:customStyle="1" w:styleId="188">
    <w:name w:val="报告正文 Char"/>
    <w:link w:val="189"/>
    <w:autoRedefine/>
    <w:qFormat/>
    <w:uiPriority w:val="0"/>
    <w:rPr>
      <w:sz w:val="24"/>
    </w:rPr>
  </w:style>
  <w:style w:type="paragraph" w:customStyle="1" w:styleId="189">
    <w:name w:val="报告正文"/>
    <w:basedOn w:val="3"/>
    <w:next w:val="1"/>
    <w:link w:val="188"/>
    <w:autoRedefine/>
    <w:qFormat/>
    <w:uiPriority w:val="0"/>
    <w:pPr>
      <w:keepNext w:val="0"/>
      <w:keepLines w:val="0"/>
      <w:spacing w:before="0" w:after="0" w:line="360" w:lineRule="auto"/>
      <w:ind w:firstLine="200" w:firstLineChars="200"/>
      <w:outlineLvl w:val="9"/>
    </w:pPr>
    <w:rPr>
      <w:rFonts w:asciiTheme="minorHAnsi" w:hAnsiTheme="minorHAnsi" w:eastAsiaTheme="minorEastAsia" w:cstheme="minorBidi"/>
      <w:b w:val="0"/>
      <w:bCs w:val="0"/>
      <w:kern w:val="2"/>
      <w:sz w:val="24"/>
      <w:szCs w:val="22"/>
    </w:rPr>
  </w:style>
  <w:style w:type="character" w:customStyle="1" w:styleId="190">
    <w:name w:val="正文111 Char"/>
    <w:basedOn w:val="51"/>
    <w:link w:val="191"/>
    <w:autoRedefine/>
    <w:qFormat/>
    <w:uiPriority w:val="0"/>
    <w:rPr>
      <w:rFonts w:ascii="FangSong_GB2312" w:eastAsia="FangSong_GB2312"/>
      <w:spacing w:val="6"/>
      <w:sz w:val="24"/>
      <w:szCs w:val="24"/>
    </w:rPr>
  </w:style>
  <w:style w:type="paragraph" w:customStyle="1" w:styleId="191">
    <w:name w:val="正文111"/>
    <w:basedOn w:val="3"/>
    <w:next w:val="1"/>
    <w:link w:val="190"/>
    <w:autoRedefine/>
    <w:qFormat/>
    <w:uiPriority w:val="0"/>
    <w:pPr>
      <w:keepNext w:val="0"/>
      <w:keepLines w:val="0"/>
      <w:spacing w:before="0" w:after="0" w:line="520" w:lineRule="exact"/>
      <w:ind w:firstLine="200" w:firstLineChars="200"/>
      <w:outlineLvl w:val="9"/>
    </w:pPr>
    <w:rPr>
      <w:rFonts w:ascii="FangSong_GB2312" w:eastAsia="FangSong_GB2312" w:hAnsiTheme="minorHAnsi" w:cstheme="minorBidi"/>
      <w:b w:val="0"/>
      <w:bCs w:val="0"/>
      <w:spacing w:val="6"/>
      <w:kern w:val="2"/>
      <w:sz w:val="24"/>
      <w:szCs w:val="24"/>
    </w:rPr>
  </w:style>
  <w:style w:type="character" w:customStyle="1" w:styleId="192">
    <w:name w:val="表格内文字 Char1"/>
    <w:basedOn w:val="51"/>
    <w:link w:val="193"/>
    <w:autoRedefine/>
    <w:qFormat/>
    <w:uiPriority w:val="0"/>
    <w:rPr>
      <w:szCs w:val="21"/>
      <w:lang w:val="zh-CN"/>
    </w:rPr>
  </w:style>
  <w:style w:type="paragraph" w:customStyle="1" w:styleId="193">
    <w:name w:val="表格内文字"/>
    <w:next w:val="1"/>
    <w:link w:val="192"/>
    <w:autoRedefine/>
    <w:qFormat/>
    <w:uiPriority w:val="0"/>
    <w:pPr>
      <w:spacing w:line="240" w:lineRule="auto"/>
      <w:jc w:val="left"/>
    </w:pPr>
    <w:rPr>
      <w:rFonts w:asciiTheme="minorHAnsi" w:hAnsiTheme="minorHAnsi" w:eastAsiaTheme="minorEastAsia" w:cstheme="minorBidi"/>
      <w:kern w:val="2"/>
      <w:sz w:val="21"/>
      <w:szCs w:val="21"/>
      <w:lang w:val="zh-CN" w:eastAsia="zh-CN" w:bidi="ar-SA"/>
    </w:rPr>
  </w:style>
  <w:style w:type="paragraph" w:customStyle="1" w:styleId="194">
    <w:name w:val="麦志勤正文 Char"/>
    <w:basedOn w:val="3"/>
    <w:next w:val="1"/>
    <w:autoRedefine/>
    <w:qFormat/>
    <w:uiPriority w:val="99"/>
    <w:pPr>
      <w:keepNext w:val="0"/>
      <w:keepLines w:val="0"/>
      <w:adjustRightInd w:val="0"/>
      <w:snapToGrid w:val="0"/>
      <w:spacing w:beforeLines="20" w:after="0" w:line="300" w:lineRule="auto"/>
      <w:ind w:firstLine="200" w:firstLineChars="200"/>
      <w:outlineLvl w:val="9"/>
    </w:pPr>
    <w:rPr>
      <w:rFonts w:ascii="宋体" w:hAnsi="宋体"/>
      <w:b w:val="0"/>
      <w:bCs w:val="0"/>
      <w:kern w:val="2"/>
      <w:sz w:val="24"/>
      <w:szCs w:val="20"/>
    </w:rPr>
  </w:style>
  <w:style w:type="character" w:customStyle="1" w:styleId="195">
    <w:name w:val="正文---------------- Char Char"/>
    <w:basedOn w:val="51"/>
    <w:link w:val="196"/>
    <w:autoRedefine/>
    <w:qFormat/>
    <w:uiPriority w:val="0"/>
    <w:rPr>
      <w:rFonts w:ascii="宋体" w:hAnsi="宋体" w:eastAsia="宋体" w:cs="宋体"/>
      <w:spacing w:val="16"/>
      <w:sz w:val="24"/>
    </w:rPr>
  </w:style>
  <w:style w:type="paragraph" w:customStyle="1" w:styleId="196">
    <w:name w:val="正文----------------"/>
    <w:basedOn w:val="3"/>
    <w:next w:val="1"/>
    <w:link w:val="195"/>
    <w:autoRedefine/>
    <w:qFormat/>
    <w:uiPriority w:val="0"/>
    <w:pPr>
      <w:keepNext w:val="0"/>
      <w:keepLines w:val="0"/>
      <w:spacing w:before="0" w:after="0" w:line="440" w:lineRule="exact"/>
      <w:ind w:firstLine="544" w:firstLineChars="200"/>
      <w:outlineLvl w:val="9"/>
    </w:pPr>
    <w:rPr>
      <w:rFonts w:ascii="宋体" w:hAnsi="宋体" w:cs="宋体"/>
      <w:b w:val="0"/>
      <w:bCs w:val="0"/>
      <w:spacing w:val="16"/>
      <w:kern w:val="2"/>
      <w:sz w:val="24"/>
      <w:szCs w:val="22"/>
    </w:rPr>
  </w:style>
  <w:style w:type="paragraph" w:customStyle="1" w:styleId="197">
    <w:name w:val="样式 样式 样式1 + 首行缩进:  2 字符 + 首行缩进:  2 字符"/>
    <w:basedOn w:val="3"/>
    <w:next w:val="1"/>
    <w:autoRedefine/>
    <w:qFormat/>
    <w:uiPriority w:val="99"/>
    <w:pPr>
      <w:keepNext w:val="0"/>
      <w:keepLines w:val="0"/>
      <w:spacing w:before="0" w:after="0" w:line="360" w:lineRule="auto"/>
      <w:ind w:firstLine="600" w:firstLineChars="250"/>
      <w:outlineLvl w:val="9"/>
    </w:pPr>
    <w:rPr>
      <w:rFonts w:cs="宋体"/>
      <w:b w:val="0"/>
      <w:kern w:val="2"/>
      <w:sz w:val="24"/>
      <w:szCs w:val="24"/>
    </w:rPr>
  </w:style>
  <w:style w:type="paragraph" w:customStyle="1" w:styleId="198">
    <w:name w:val="样式 宋体 小四 左 行距: 固定值 22 磅"/>
    <w:basedOn w:val="3"/>
    <w:next w:val="1"/>
    <w:autoRedefine/>
    <w:qFormat/>
    <w:uiPriority w:val="99"/>
    <w:pPr>
      <w:keepNext w:val="0"/>
      <w:keepLines w:val="0"/>
      <w:spacing w:before="0" w:after="0" w:line="440" w:lineRule="exact"/>
      <w:ind w:firstLine="200" w:firstLineChars="200"/>
      <w:jc w:val="left"/>
      <w:outlineLvl w:val="9"/>
    </w:pPr>
    <w:rPr>
      <w:rFonts w:ascii="宋体" w:hAnsi="宋体" w:cs="宋体"/>
      <w:b w:val="0"/>
      <w:bCs w:val="0"/>
      <w:kern w:val="2"/>
      <w:sz w:val="24"/>
      <w:szCs w:val="20"/>
    </w:rPr>
  </w:style>
  <w:style w:type="character" w:customStyle="1" w:styleId="199">
    <w:name w:val="表格标题采用 Char"/>
    <w:link w:val="200"/>
    <w:autoRedefine/>
    <w:qFormat/>
    <w:uiPriority w:val="0"/>
    <w:rPr>
      <w:rFonts w:ascii="宋体" w:hAnsi="宋体" w:eastAsia="宋体"/>
      <w:b/>
      <w:color w:val="000000"/>
      <w:sz w:val="24"/>
      <w:szCs w:val="24"/>
    </w:rPr>
  </w:style>
  <w:style w:type="paragraph" w:customStyle="1" w:styleId="200">
    <w:name w:val="表格标题采用"/>
    <w:basedOn w:val="3"/>
    <w:next w:val="1"/>
    <w:link w:val="199"/>
    <w:autoRedefine/>
    <w:qFormat/>
    <w:uiPriority w:val="0"/>
    <w:pPr>
      <w:keepNext w:val="0"/>
      <w:keepLines w:val="0"/>
      <w:spacing w:before="0" w:after="0" w:line="500" w:lineRule="atLeast"/>
      <w:ind w:firstLine="480" w:firstLineChars="177"/>
      <w:jc w:val="center"/>
      <w:outlineLvl w:val="9"/>
    </w:pPr>
    <w:rPr>
      <w:rFonts w:ascii="宋体" w:hAnsi="宋体" w:cstheme="minorBidi"/>
      <w:bCs w:val="0"/>
      <w:color w:val="000000"/>
      <w:kern w:val="2"/>
      <w:sz w:val="24"/>
      <w:szCs w:val="24"/>
    </w:rPr>
  </w:style>
  <w:style w:type="character" w:customStyle="1" w:styleId="201">
    <w:name w:val="表格内容 Char"/>
    <w:link w:val="202"/>
    <w:autoRedefine/>
    <w:qFormat/>
    <w:uiPriority w:val="0"/>
    <w:rPr>
      <w:snapToGrid w:val="0"/>
      <w:color w:val="FF0000"/>
      <w:szCs w:val="21"/>
    </w:rPr>
  </w:style>
  <w:style w:type="paragraph" w:customStyle="1" w:styleId="202">
    <w:name w:val="表格内容"/>
    <w:basedOn w:val="3"/>
    <w:next w:val="1"/>
    <w:link w:val="201"/>
    <w:autoRedefine/>
    <w:qFormat/>
    <w:uiPriority w:val="0"/>
    <w:pPr>
      <w:keepNext w:val="0"/>
      <w:keepLines w:val="0"/>
      <w:snapToGrid w:val="0"/>
      <w:spacing w:before="0" w:after="0" w:line="240" w:lineRule="exact"/>
      <w:ind w:firstLine="425" w:firstLineChars="177"/>
      <w:jc w:val="center"/>
      <w:outlineLvl w:val="9"/>
    </w:pPr>
    <w:rPr>
      <w:rFonts w:asciiTheme="minorHAnsi" w:hAnsiTheme="minorHAnsi" w:eastAsiaTheme="minorEastAsia" w:cstheme="minorBidi"/>
      <w:b w:val="0"/>
      <w:bCs w:val="0"/>
      <w:snapToGrid w:val="0"/>
      <w:color w:val="FF0000"/>
      <w:kern w:val="2"/>
      <w:sz w:val="21"/>
      <w:szCs w:val="21"/>
    </w:rPr>
  </w:style>
  <w:style w:type="paragraph" w:customStyle="1" w:styleId="203">
    <w:name w:val="正文段落格式 Char"/>
    <w:basedOn w:val="3"/>
    <w:next w:val="1"/>
    <w:autoRedefine/>
    <w:qFormat/>
    <w:uiPriority w:val="99"/>
    <w:pPr>
      <w:keepNext w:val="0"/>
      <w:keepLines w:val="0"/>
      <w:spacing w:before="0" w:after="0" w:line="360" w:lineRule="auto"/>
      <w:ind w:firstLine="200" w:firstLineChars="200"/>
      <w:outlineLvl w:val="9"/>
    </w:pPr>
    <w:rPr>
      <w:b w:val="0"/>
      <w:bCs w:val="0"/>
      <w:kern w:val="2"/>
      <w:sz w:val="28"/>
      <w:szCs w:val="20"/>
    </w:rPr>
  </w:style>
  <w:style w:type="paragraph" w:customStyle="1" w:styleId="204">
    <w:name w:val="reader-word-layer"/>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 w:val="0"/>
      <w:bCs w:val="0"/>
      <w:kern w:val="0"/>
      <w:sz w:val="24"/>
      <w:szCs w:val="24"/>
    </w:rPr>
  </w:style>
  <w:style w:type="paragraph" w:customStyle="1" w:styleId="205">
    <w:name w:val="正文 New New New New New New New New New New New New New New New New New New New New New New New New New New New New New New New New New New New New New New New New New New New New New New New"/>
    <w:next w:val="1"/>
    <w:autoRedefine/>
    <w:qFormat/>
    <w:uiPriority w:val="99"/>
    <w:pPr>
      <w:widowControl w:val="0"/>
      <w:spacing w:line="240" w:lineRule="auto"/>
      <w:jc w:val="both"/>
    </w:pPr>
    <w:rPr>
      <w:rFonts w:ascii="Times New Roman" w:hAnsi="Times New Roman" w:eastAsia="宋体" w:cs="Times New Roman"/>
      <w:kern w:val="2"/>
      <w:sz w:val="21"/>
      <w:szCs w:val="24"/>
      <w:lang w:val="en-US" w:eastAsia="zh-CN" w:bidi="ar-SA"/>
    </w:rPr>
  </w:style>
  <w:style w:type="paragraph" w:customStyle="1" w:styleId="206">
    <w:name w:val="表格文字"/>
    <w:basedOn w:val="3"/>
    <w:next w:val="1"/>
    <w:autoRedefine/>
    <w:qFormat/>
    <w:uiPriority w:val="99"/>
    <w:pPr>
      <w:keepNext w:val="0"/>
      <w:keepLines w:val="0"/>
      <w:spacing w:before="0" w:after="0" w:line="500" w:lineRule="atLeast"/>
      <w:ind w:firstLine="425" w:firstLineChars="177"/>
      <w:jc w:val="center"/>
      <w:outlineLvl w:val="9"/>
    </w:pPr>
    <w:rPr>
      <w:rFonts w:ascii="FangSong_GB2312" w:hAnsi="Arial Black" w:eastAsia="FangSong_GB2312"/>
      <w:b w:val="0"/>
      <w:bCs w:val="0"/>
      <w:sz w:val="24"/>
      <w:szCs w:val="24"/>
    </w:rPr>
  </w:style>
  <w:style w:type="paragraph" w:customStyle="1" w:styleId="207">
    <w:name w:val="表格样式"/>
    <w:basedOn w:val="26"/>
    <w:next w:val="1"/>
    <w:autoRedefine/>
    <w:qFormat/>
    <w:uiPriority w:val="99"/>
    <w:pPr>
      <w:spacing w:line="720" w:lineRule="auto"/>
      <w:ind w:firstLine="425" w:firstLineChars="177"/>
    </w:pPr>
    <w:rPr>
      <w:szCs w:val="20"/>
    </w:rPr>
  </w:style>
  <w:style w:type="paragraph" w:customStyle="1" w:styleId="208">
    <w:name w:val="Char3"/>
    <w:basedOn w:val="3"/>
    <w:next w:val="1"/>
    <w:autoRedefine/>
    <w:qFormat/>
    <w:uiPriority w:val="99"/>
    <w:pPr>
      <w:keepNext w:val="0"/>
      <w:keepLines w:val="0"/>
      <w:spacing w:before="0" w:after="0" w:line="500" w:lineRule="atLeast"/>
      <w:ind w:firstLine="425" w:firstLineChars="177"/>
      <w:outlineLvl w:val="9"/>
    </w:pPr>
    <w:rPr>
      <w:b w:val="0"/>
      <w:bCs w:val="0"/>
      <w:kern w:val="2"/>
      <w:sz w:val="24"/>
      <w:szCs w:val="24"/>
    </w:rPr>
  </w:style>
  <w:style w:type="paragraph" w:customStyle="1" w:styleId="209">
    <w:name w:val="Char2 Char Char Char"/>
    <w:basedOn w:val="3"/>
    <w:next w:val="1"/>
    <w:autoRedefine/>
    <w:qFormat/>
    <w:uiPriority w:val="99"/>
    <w:pPr>
      <w:keepNext w:val="0"/>
      <w:keepLines w:val="0"/>
      <w:autoSpaceDE w:val="0"/>
      <w:autoSpaceDN w:val="0"/>
      <w:adjustRightInd w:val="0"/>
      <w:snapToGrid w:val="0"/>
      <w:spacing w:before="50" w:after="50" w:line="360" w:lineRule="auto"/>
      <w:ind w:firstLine="560" w:firstLineChars="200"/>
      <w:outlineLvl w:val="9"/>
    </w:pPr>
    <w:rPr>
      <w:rFonts w:ascii="宋体" w:hAnsi="宋体" w:eastAsia="FangSong_GB2312"/>
      <w:b w:val="0"/>
      <w:bCs w:val="0"/>
      <w:color w:val="000000"/>
      <w:kern w:val="2"/>
      <w:sz w:val="24"/>
      <w:szCs w:val="24"/>
    </w:rPr>
  </w:style>
  <w:style w:type="paragraph" w:customStyle="1" w:styleId="210">
    <w:name w:val="Char Char Char Char Char Char Char Char Char Char1 Char Char Char Char Char Char Char Char Char Char Char Char Char"/>
    <w:basedOn w:val="3"/>
    <w:next w:val="1"/>
    <w:autoRedefine/>
    <w:qFormat/>
    <w:uiPriority w:val="99"/>
    <w:pPr>
      <w:keepNext w:val="0"/>
      <w:keepLines w:val="0"/>
      <w:spacing w:before="0" w:after="0" w:line="500" w:lineRule="atLeast"/>
      <w:ind w:firstLine="425" w:firstLineChars="177"/>
      <w:outlineLvl w:val="9"/>
    </w:pPr>
    <w:rPr>
      <w:b w:val="0"/>
      <w:bCs w:val="0"/>
      <w:kern w:val="2"/>
      <w:sz w:val="24"/>
      <w:szCs w:val="24"/>
    </w:rPr>
  </w:style>
  <w:style w:type="character" w:customStyle="1" w:styleId="211">
    <w:name w:val="Char Char Char Char Char1"/>
    <w:link w:val="212"/>
    <w:autoRedefine/>
    <w:qFormat/>
    <w:uiPriority w:val="99"/>
    <w:rPr>
      <w:rFonts w:ascii="Arial" w:hAnsi="Arial" w:cs="Arial"/>
      <w:b/>
      <w:sz w:val="24"/>
      <w:lang w:eastAsia="en-US"/>
    </w:rPr>
  </w:style>
  <w:style w:type="paragraph" w:customStyle="1" w:styleId="212">
    <w:name w:val="Char Char Char Char"/>
    <w:basedOn w:val="3"/>
    <w:next w:val="1"/>
    <w:link w:val="211"/>
    <w:autoRedefine/>
    <w:qFormat/>
    <w:uiPriority w:val="99"/>
    <w:pPr>
      <w:keepNext w:val="0"/>
      <w:keepLines w:val="0"/>
      <w:widowControl/>
      <w:spacing w:before="0" w:after="160" w:line="240" w:lineRule="exact"/>
      <w:ind w:firstLine="425" w:firstLineChars="177"/>
      <w:jc w:val="left"/>
      <w:outlineLvl w:val="9"/>
    </w:pPr>
    <w:rPr>
      <w:rFonts w:ascii="Arial" w:hAnsi="Arial" w:cs="Arial" w:eastAsiaTheme="minorEastAsia"/>
      <w:bCs w:val="0"/>
      <w:kern w:val="2"/>
      <w:sz w:val="24"/>
      <w:szCs w:val="22"/>
      <w:lang w:eastAsia="en-US"/>
    </w:rPr>
  </w:style>
  <w:style w:type="paragraph" w:customStyle="1" w:styleId="213">
    <w:name w:val="xl24"/>
    <w:basedOn w:val="3"/>
    <w:next w:val="1"/>
    <w:autoRedefine/>
    <w:qFormat/>
    <w:uiPriority w:val="99"/>
    <w:pPr>
      <w:keepNext w:val="0"/>
      <w:keepLines w:val="0"/>
      <w:widowControl/>
      <w:pBdr>
        <w:bottom w:val="single" w:color="auto" w:sz="4" w:space="0"/>
        <w:right w:val="single" w:color="auto" w:sz="4" w:space="0"/>
      </w:pBdr>
      <w:spacing w:before="100" w:beforeAutospacing="1" w:after="100" w:afterAutospacing="1" w:line="500" w:lineRule="atLeast"/>
      <w:ind w:firstLine="425" w:firstLineChars="177"/>
      <w:jc w:val="center"/>
      <w:outlineLvl w:val="9"/>
    </w:pPr>
    <w:rPr>
      <w:rFonts w:ascii="宋体" w:hAnsi="宋体"/>
      <w:b w:val="0"/>
      <w:bCs w:val="0"/>
      <w:kern w:val="0"/>
      <w:sz w:val="24"/>
      <w:szCs w:val="21"/>
    </w:rPr>
  </w:style>
  <w:style w:type="character" w:customStyle="1" w:styleId="214">
    <w:name w:val="正文文本缩进一 Char"/>
    <w:link w:val="215"/>
    <w:autoRedefine/>
    <w:qFormat/>
    <w:uiPriority w:val="0"/>
    <w:rPr>
      <w:rFonts w:ascii="宋体" w:hAnsi="宋体" w:eastAsia="宋体"/>
      <w:sz w:val="28"/>
      <w:szCs w:val="24"/>
    </w:rPr>
  </w:style>
  <w:style w:type="paragraph" w:customStyle="1" w:styleId="215">
    <w:name w:val="正文文本缩进一"/>
    <w:basedOn w:val="22"/>
    <w:next w:val="1"/>
    <w:link w:val="214"/>
    <w:autoRedefine/>
    <w:qFormat/>
    <w:uiPriority w:val="0"/>
    <w:pPr>
      <w:spacing w:line="360" w:lineRule="auto"/>
      <w:ind w:firstLine="560"/>
    </w:pPr>
    <w:rPr>
      <w:rFonts w:ascii="宋体" w:hAnsi="宋体" w:eastAsia="宋体"/>
      <w:sz w:val="28"/>
    </w:rPr>
  </w:style>
  <w:style w:type="paragraph" w:customStyle="1" w:styleId="216">
    <w:name w:val="正文文本缩进二"/>
    <w:basedOn w:val="29"/>
    <w:next w:val="1"/>
    <w:autoRedefine/>
    <w:qFormat/>
    <w:uiPriority w:val="99"/>
    <w:rPr>
      <w:rFonts w:ascii="Times New Roman" w:hAnsi="Times New Roman"/>
      <w:color w:val="auto"/>
      <w:szCs w:val="24"/>
    </w:rPr>
  </w:style>
  <w:style w:type="character" w:customStyle="1" w:styleId="217">
    <w:name w:val="Default Char"/>
    <w:link w:val="58"/>
    <w:autoRedefine/>
    <w:qFormat/>
    <w:uiPriority w:val="0"/>
    <w:rPr>
      <w:rFonts w:ascii="宋体" w:hAnsi="宋体" w:eastAsia="宋体" w:cs="宋体"/>
      <w:color w:val="000000"/>
      <w:sz w:val="24"/>
      <w:szCs w:val="24"/>
    </w:rPr>
  </w:style>
  <w:style w:type="paragraph" w:customStyle="1" w:styleId="218">
    <w:name w:val="表中文字"/>
    <w:basedOn w:val="3"/>
    <w:next w:val="1"/>
    <w:autoRedefine/>
    <w:qFormat/>
    <w:uiPriority w:val="99"/>
    <w:pPr>
      <w:keepNext w:val="0"/>
      <w:keepLines w:val="0"/>
      <w:spacing w:before="0" w:after="0" w:line="500" w:lineRule="atLeast"/>
      <w:ind w:firstLine="425" w:firstLineChars="177"/>
      <w:jc w:val="center"/>
      <w:outlineLvl w:val="9"/>
    </w:pPr>
    <w:rPr>
      <w:b w:val="0"/>
      <w:bCs w:val="0"/>
      <w:kern w:val="2"/>
      <w:sz w:val="24"/>
      <w:szCs w:val="20"/>
    </w:rPr>
  </w:style>
  <w:style w:type="character" w:customStyle="1" w:styleId="219">
    <w:name w:val="正文2 Char"/>
    <w:link w:val="220"/>
    <w:autoRedefine/>
    <w:qFormat/>
    <w:uiPriority w:val="0"/>
    <w:rPr>
      <w:rFonts w:ascii="宋体" w:hAnsi="宋体" w:eastAsia="宋体"/>
      <w:sz w:val="24"/>
    </w:rPr>
  </w:style>
  <w:style w:type="paragraph" w:customStyle="1" w:styleId="220">
    <w:name w:val="正文2"/>
    <w:next w:val="1"/>
    <w:link w:val="219"/>
    <w:autoRedefine/>
    <w:qFormat/>
    <w:uiPriority w:val="0"/>
    <w:pPr>
      <w:widowControl w:val="0"/>
      <w:adjustRightInd w:val="0"/>
      <w:spacing w:line="360" w:lineRule="atLeast"/>
      <w:jc w:val="left"/>
    </w:pPr>
    <w:rPr>
      <w:rFonts w:ascii="宋体" w:hAnsi="宋体" w:eastAsia="宋体" w:cstheme="minorBidi"/>
      <w:kern w:val="2"/>
      <w:sz w:val="24"/>
      <w:szCs w:val="22"/>
      <w:lang w:val="en-US" w:eastAsia="zh-CN" w:bidi="ar-SA"/>
    </w:rPr>
  </w:style>
  <w:style w:type="paragraph" w:customStyle="1" w:styleId="221">
    <w:name w:val="样式 列表 2 + 华文仿宋 居中"/>
    <w:basedOn w:val="24"/>
    <w:next w:val="1"/>
    <w:autoRedefine/>
    <w:qFormat/>
    <w:uiPriority w:val="99"/>
    <w:pPr>
      <w:spacing w:line="500" w:lineRule="exact"/>
      <w:ind w:left="0" w:leftChars="0" w:firstLine="425" w:firstLineChars="177"/>
      <w:contextualSpacing w:val="0"/>
      <w:jc w:val="center"/>
    </w:pPr>
    <w:rPr>
      <w:kern w:val="0"/>
    </w:rPr>
  </w:style>
  <w:style w:type="paragraph" w:customStyle="1" w:styleId="222">
    <w:name w:val="lily 正文"/>
    <w:basedOn w:val="3"/>
    <w:next w:val="1"/>
    <w:autoRedefine/>
    <w:qFormat/>
    <w:uiPriority w:val="99"/>
    <w:pPr>
      <w:keepNext w:val="0"/>
      <w:keepLines w:val="0"/>
      <w:spacing w:before="0" w:after="0" w:line="440" w:lineRule="atLeast"/>
      <w:ind w:firstLine="480" w:firstLineChars="200"/>
      <w:outlineLvl w:val="9"/>
    </w:pPr>
    <w:rPr>
      <w:b w:val="0"/>
      <w:bCs w:val="0"/>
      <w:kern w:val="2"/>
      <w:sz w:val="24"/>
      <w:szCs w:val="24"/>
    </w:rPr>
  </w:style>
  <w:style w:type="paragraph" w:customStyle="1" w:styleId="223">
    <w:name w:val="lily 表格标题"/>
    <w:basedOn w:val="3"/>
    <w:next w:val="1"/>
    <w:autoRedefine/>
    <w:qFormat/>
    <w:uiPriority w:val="99"/>
    <w:pPr>
      <w:keepNext w:val="0"/>
      <w:keepLines w:val="0"/>
      <w:spacing w:before="0" w:after="0" w:line="440" w:lineRule="atLeast"/>
      <w:ind w:firstLine="425" w:firstLineChars="177"/>
      <w:jc w:val="center"/>
      <w:outlineLvl w:val="9"/>
    </w:pPr>
    <w:rPr>
      <w:rFonts w:eastAsia="黑体"/>
      <w:kern w:val="2"/>
      <w:sz w:val="24"/>
      <w:szCs w:val="24"/>
    </w:rPr>
  </w:style>
  <w:style w:type="paragraph" w:customStyle="1" w:styleId="224">
    <w:name w:val="Char Char Char Char Char Char Char"/>
    <w:basedOn w:val="3"/>
    <w:next w:val="1"/>
    <w:autoRedefine/>
    <w:qFormat/>
    <w:uiPriority w:val="99"/>
    <w:pPr>
      <w:keepNext w:val="0"/>
      <w:keepLines w:val="0"/>
      <w:spacing w:before="0" w:after="0" w:line="360" w:lineRule="auto"/>
      <w:ind w:firstLine="200" w:firstLineChars="200"/>
      <w:outlineLvl w:val="9"/>
    </w:pPr>
    <w:rPr>
      <w:rFonts w:ascii="宋体" w:hAnsi="宋体" w:cs="宋体"/>
      <w:b w:val="0"/>
      <w:bCs w:val="0"/>
      <w:color w:val="000000"/>
      <w:kern w:val="2"/>
      <w:sz w:val="24"/>
      <w:szCs w:val="18"/>
    </w:rPr>
  </w:style>
  <w:style w:type="paragraph" w:customStyle="1" w:styleId="225">
    <w:name w:val="表内容"/>
    <w:basedOn w:val="3"/>
    <w:next w:val="1"/>
    <w:autoRedefine/>
    <w:qFormat/>
    <w:uiPriority w:val="99"/>
    <w:pPr>
      <w:keepNext w:val="0"/>
      <w:keepLines w:val="0"/>
      <w:spacing w:before="0" w:after="0" w:line="320" w:lineRule="exact"/>
      <w:ind w:firstLine="425" w:firstLineChars="177"/>
      <w:jc w:val="center"/>
      <w:outlineLvl w:val="9"/>
    </w:pPr>
    <w:rPr>
      <w:b w:val="0"/>
      <w:bCs w:val="0"/>
      <w:kern w:val="2"/>
      <w:sz w:val="24"/>
      <w:szCs w:val="21"/>
    </w:rPr>
  </w:style>
  <w:style w:type="paragraph" w:customStyle="1" w:styleId="226">
    <w:name w:val="小四表文左齐"/>
    <w:basedOn w:val="3"/>
    <w:next w:val="1"/>
    <w:autoRedefine/>
    <w:qFormat/>
    <w:uiPriority w:val="99"/>
    <w:pPr>
      <w:keepNext w:val="0"/>
      <w:keepLines w:val="0"/>
      <w:spacing w:before="0" w:after="0" w:line="360" w:lineRule="auto"/>
      <w:ind w:firstLine="200" w:firstLineChars="200"/>
      <w:jc w:val="center"/>
      <w:outlineLvl w:val="9"/>
    </w:pPr>
    <w:rPr>
      <w:rFonts w:ascii="FangSong_GB2312" w:hAnsi="宋体" w:eastAsia="FangSong_GB2312"/>
      <w:b w:val="0"/>
      <w:bCs w:val="0"/>
      <w:w w:val="90"/>
      <w:kern w:val="2"/>
      <w:sz w:val="24"/>
      <w:szCs w:val="24"/>
    </w:rPr>
  </w:style>
  <w:style w:type="paragraph" w:customStyle="1" w:styleId="227">
    <w:name w:val="表序号"/>
    <w:basedOn w:val="3"/>
    <w:next w:val="1"/>
    <w:autoRedefine/>
    <w:qFormat/>
    <w:uiPriority w:val="99"/>
    <w:pPr>
      <w:keepNext w:val="0"/>
      <w:keepLines w:val="0"/>
      <w:pageBreakBefore/>
      <w:numPr>
        <w:ilvl w:val="5"/>
        <w:numId w:val="2"/>
      </w:numPr>
      <w:tabs>
        <w:tab w:val="left" w:pos="360"/>
        <w:tab w:val="left" w:pos="2977"/>
      </w:tabs>
      <w:spacing w:beforeLines="50" w:afterLines="50" w:line="500" w:lineRule="exact"/>
      <w:ind w:left="2637" w:hanging="432" w:firstLineChars="177"/>
      <w:jc w:val="left"/>
    </w:pPr>
    <w:rPr>
      <w:rFonts w:ascii="宋体" w:hAnsi="宋体"/>
      <w:b w:val="0"/>
      <w:bCs w:val="0"/>
      <w:kern w:val="2"/>
      <w:sz w:val="32"/>
      <w:szCs w:val="32"/>
    </w:rPr>
  </w:style>
  <w:style w:type="paragraph" w:customStyle="1" w:styleId="228">
    <w:name w:val="样式 标题 1标题1章标题 + 宋体"/>
    <w:basedOn w:val="3"/>
    <w:next w:val="1"/>
    <w:autoRedefine/>
    <w:qFormat/>
    <w:uiPriority w:val="99"/>
    <w:pPr>
      <w:keepNext w:val="0"/>
      <w:keepLines w:val="0"/>
      <w:pageBreakBefore/>
      <w:tabs>
        <w:tab w:val="left" w:pos="2977"/>
      </w:tabs>
      <w:spacing w:beforeLines="50" w:afterLines="50" w:line="500" w:lineRule="exact"/>
      <w:ind w:left="2637" w:hanging="432" w:firstLineChars="177"/>
      <w:jc w:val="center"/>
    </w:pPr>
    <w:rPr>
      <w:rFonts w:ascii="宋体" w:hAnsi="宋体"/>
      <w:kern w:val="2"/>
      <w:sz w:val="32"/>
      <w:szCs w:val="32"/>
    </w:rPr>
  </w:style>
  <w:style w:type="paragraph" w:customStyle="1" w:styleId="229">
    <w:name w:val="样式1"/>
    <w:basedOn w:val="3"/>
    <w:next w:val="25"/>
    <w:autoRedefine/>
    <w:qFormat/>
    <w:uiPriority w:val="99"/>
    <w:pPr>
      <w:keepNext w:val="0"/>
      <w:keepLines w:val="0"/>
      <w:adjustRightInd w:val="0"/>
      <w:snapToGrid w:val="0"/>
      <w:spacing w:before="0" w:after="0" w:line="360" w:lineRule="auto"/>
      <w:ind w:firstLine="200" w:firstLineChars="200"/>
      <w:jc w:val="center"/>
      <w:outlineLvl w:val="9"/>
    </w:pPr>
    <w:rPr>
      <w:rFonts w:ascii="FangSong_GB2312" w:hAnsi="宋体" w:eastAsia="FangSong_GB2312"/>
      <w:b w:val="0"/>
      <w:kern w:val="2"/>
      <w:sz w:val="24"/>
      <w:szCs w:val="24"/>
    </w:rPr>
  </w:style>
  <w:style w:type="paragraph" w:customStyle="1" w:styleId="230">
    <w:name w:val="样式 表格标题 + 首行缩进:  0.61 字符"/>
    <w:basedOn w:val="3"/>
    <w:next w:val="1"/>
    <w:autoRedefine/>
    <w:qFormat/>
    <w:uiPriority w:val="99"/>
    <w:pPr>
      <w:keepNext w:val="0"/>
      <w:keepLines w:val="0"/>
      <w:wordWrap w:val="0"/>
      <w:adjustRightInd w:val="0"/>
      <w:snapToGrid w:val="0"/>
      <w:spacing w:before="0" w:after="0" w:line="400" w:lineRule="exact"/>
      <w:ind w:left="-143" w:leftChars="-68" w:firstLine="128" w:firstLineChars="61"/>
      <w:jc w:val="center"/>
      <w:outlineLvl w:val="9"/>
    </w:pPr>
    <w:rPr>
      <w:rFonts w:cs="宋体"/>
      <w:b w:val="0"/>
      <w:bCs w:val="0"/>
      <w:kern w:val="2"/>
      <w:sz w:val="24"/>
      <w:szCs w:val="20"/>
    </w:rPr>
  </w:style>
  <w:style w:type="paragraph" w:customStyle="1" w:styleId="231">
    <w:name w:val="正文3"/>
    <w:next w:val="1"/>
    <w:autoRedefine/>
    <w:qFormat/>
    <w:uiPriority w:val="99"/>
    <w:pPr>
      <w:widowControl w:val="0"/>
      <w:adjustRightInd w:val="0"/>
      <w:spacing w:line="360" w:lineRule="atLeast"/>
      <w:jc w:val="left"/>
    </w:pPr>
    <w:rPr>
      <w:rFonts w:ascii="宋体" w:hAnsi="Times New Roman" w:eastAsia="宋体" w:cs="Times New Roman"/>
      <w:kern w:val="0"/>
      <w:sz w:val="24"/>
      <w:szCs w:val="20"/>
      <w:lang w:val="en-US" w:eastAsia="zh-CN" w:bidi="ar-SA"/>
    </w:rPr>
  </w:style>
  <w:style w:type="paragraph" w:customStyle="1" w:styleId="232">
    <w:name w:val="xl27"/>
    <w:basedOn w:val="3"/>
    <w:next w:val="1"/>
    <w:autoRedefine/>
    <w:qFormat/>
    <w:uiPriority w:val="99"/>
    <w:pPr>
      <w:keepNext w:val="0"/>
      <w:keepLines w:val="0"/>
      <w:widowControl/>
      <w:pBdr>
        <w:bottom w:val="single" w:color="auto" w:sz="12" w:space="0"/>
      </w:pBdr>
      <w:spacing w:before="100" w:after="100" w:line="500" w:lineRule="atLeast"/>
      <w:ind w:firstLine="425" w:firstLineChars="177"/>
      <w:jc w:val="center"/>
      <w:outlineLvl w:val="9"/>
    </w:pPr>
    <w:rPr>
      <w:rFonts w:ascii="宋体" w:hAnsi="宋体"/>
      <w:b w:val="0"/>
      <w:bCs w:val="0"/>
      <w:kern w:val="0"/>
      <w:sz w:val="24"/>
      <w:szCs w:val="20"/>
    </w:rPr>
  </w:style>
  <w:style w:type="paragraph" w:customStyle="1" w:styleId="233">
    <w:name w:val="表文字"/>
    <w:basedOn w:val="3"/>
    <w:next w:val="1"/>
    <w:autoRedefine/>
    <w:qFormat/>
    <w:uiPriority w:val="99"/>
    <w:pPr>
      <w:keepNext w:val="0"/>
      <w:keepLines w:val="0"/>
      <w:tabs>
        <w:tab w:val="left" w:pos="945"/>
        <w:tab w:val="right" w:leader="dot" w:pos="1155"/>
        <w:tab w:val="left" w:pos="8715"/>
      </w:tabs>
      <w:adjustRightInd w:val="0"/>
      <w:snapToGrid w:val="0"/>
      <w:spacing w:beforeLines="15" w:after="0" w:line="360" w:lineRule="auto"/>
      <w:ind w:firstLine="425" w:firstLineChars="177"/>
      <w:jc w:val="center"/>
      <w:outlineLvl w:val="9"/>
    </w:pPr>
    <w:rPr>
      <w:rFonts w:ascii="宋体" w:hAnsi="宋体"/>
      <w:b w:val="0"/>
      <w:bCs w:val="0"/>
      <w:color w:val="000000"/>
      <w:kern w:val="0"/>
      <w:sz w:val="24"/>
      <w:szCs w:val="9"/>
    </w:rPr>
  </w:style>
  <w:style w:type="paragraph" w:customStyle="1" w:styleId="234">
    <w:name w:val="Document"/>
    <w:basedOn w:val="3"/>
    <w:next w:val="1"/>
    <w:autoRedefine/>
    <w:qFormat/>
    <w:uiPriority w:val="99"/>
    <w:pPr>
      <w:keepNext w:val="0"/>
      <w:keepLines w:val="0"/>
      <w:widowControl/>
      <w:spacing w:before="0" w:after="0" w:line="500" w:lineRule="atLeast"/>
      <w:ind w:firstLine="425" w:firstLineChars="177"/>
      <w:jc w:val="center"/>
      <w:outlineLvl w:val="9"/>
    </w:pPr>
    <w:rPr>
      <w:rFonts w:ascii="Financial  (MF)" w:hAnsi="Financial  (MF)"/>
      <w:b w:val="0"/>
      <w:bCs w:val="0"/>
      <w:kern w:val="0"/>
      <w:sz w:val="24"/>
      <w:szCs w:val="20"/>
      <w:lang w:eastAsia="en-US"/>
    </w:rPr>
  </w:style>
  <w:style w:type="paragraph" w:customStyle="1" w:styleId="235">
    <w:name w:val="表题"/>
    <w:basedOn w:val="3"/>
    <w:next w:val="1"/>
    <w:autoRedefine/>
    <w:qFormat/>
    <w:uiPriority w:val="99"/>
    <w:pPr>
      <w:keepNext w:val="0"/>
      <w:keepLines w:val="0"/>
      <w:tabs>
        <w:tab w:val="right" w:pos="0"/>
      </w:tabs>
      <w:adjustRightInd w:val="0"/>
      <w:snapToGrid w:val="0"/>
      <w:spacing w:before="0" w:after="0" w:line="500" w:lineRule="atLeast"/>
      <w:ind w:firstLine="425" w:firstLineChars="177"/>
      <w:jc w:val="center"/>
      <w:outlineLvl w:val="9"/>
    </w:pPr>
    <w:rPr>
      <w:rFonts w:ascii="宋体" w:hAnsi="宋体"/>
      <w:bCs w:val="0"/>
      <w:spacing w:val="12"/>
      <w:kern w:val="2"/>
      <w:sz w:val="24"/>
      <w:szCs w:val="24"/>
    </w:rPr>
  </w:style>
  <w:style w:type="paragraph" w:customStyle="1" w:styleId="236">
    <w:name w:val="图框文"/>
    <w:basedOn w:val="3"/>
    <w:next w:val="1"/>
    <w:autoRedefine/>
    <w:qFormat/>
    <w:uiPriority w:val="99"/>
    <w:pPr>
      <w:keepNext w:val="0"/>
      <w:keepLines w:val="0"/>
      <w:kinsoku w:val="0"/>
      <w:wordWrap w:val="0"/>
      <w:overflowPunct w:val="0"/>
      <w:autoSpaceDE w:val="0"/>
      <w:autoSpaceDN w:val="0"/>
      <w:spacing w:before="0" w:after="0" w:line="0" w:lineRule="atLeast"/>
      <w:ind w:firstLine="425" w:firstLineChars="177"/>
      <w:jc w:val="center"/>
      <w:outlineLvl w:val="9"/>
    </w:pPr>
    <w:rPr>
      <w:rFonts w:ascii="FangSong_GB2312" w:eastAsia="FangSong_GB2312"/>
      <w:b w:val="0"/>
      <w:bCs w:val="0"/>
      <w:kern w:val="2"/>
      <w:sz w:val="24"/>
      <w:szCs w:val="20"/>
    </w:rPr>
  </w:style>
  <w:style w:type="paragraph" w:customStyle="1" w:styleId="237">
    <w:name w:val="流程图"/>
    <w:basedOn w:val="3"/>
    <w:next w:val="1"/>
    <w:autoRedefine/>
    <w:qFormat/>
    <w:uiPriority w:val="99"/>
    <w:pPr>
      <w:keepNext w:val="0"/>
      <w:keepLines w:val="0"/>
      <w:tabs>
        <w:tab w:val="left" w:pos="0"/>
      </w:tabs>
      <w:autoSpaceDE w:val="0"/>
      <w:autoSpaceDN w:val="0"/>
      <w:adjustRightInd w:val="0"/>
      <w:spacing w:before="0" w:after="0" w:line="240" w:lineRule="atLeast"/>
      <w:ind w:firstLine="425" w:firstLineChars="177"/>
      <w:jc w:val="center"/>
      <w:outlineLvl w:val="9"/>
    </w:pPr>
    <w:rPr>
      <w:rFonts w:ascii="宋体"/>
      <w:b w:val="0"/>
      <w:bCs w:val="0"/>
      <w:kern w:val="2"/>
      <w:sz w:val="24"/>
      <w:szCs w:val="20"/>
    </w:rPr>
  </w:style>
  <w:style w:type="paragraph" w:customStyle="1" w:styleId="238">
    <w:name w:val="Char1 Char Char Char"/>
    <w:basedOn w:val="3"/>
    <w:next w:val="1"/>
    <w:autoRedefine/>
    <w:qFormat/>
    <w:uiPriority w:val="99"/>
    <w:pPr>
      <w:keepNext w:val="0"/>
      <w:keepLines w:val="0"/>
      <w:spacing w:before="0" w:after="0" w:line="500" w:lineRule="atLeast"/>
      <w:ind w:firstLine="480" w:firstLineChars="200"/>
      <w:outlineLvl w:val="9"/>
    </w:pPr>
    <w:rPr>
      <w:rFonts w:ascii="宋体"/>
      <w:b w:val="0"/>
      <w:bCs w:val="0"/>
      <w:kern w:val="2"/>
      <w:sz w:val="28"/>
      <w:szCs w:val="24"/>
    </w:rPr>
  </w:style>
  <w:style w:type="character" w:customStyle="1" w:styleId="239">
    <w:name w:val="5文章(治) Char"/>
    <w:link w:val="240"/>
    <w:autoRedefine/>
    <w:qFormat/>
    <w:uiPriority w:val="0"/>
    <w:rPr>
      <w:sz w:val="24"/>
      <w:szCs w:val="28"/>
    </w:rPr>
  </w:style>
  <w:style w:type="paragraph" w:customStyle="1" w:styleId="240">
    <w:name w:val="5文章(治)"/>
    <w:basedOn w:val="3"/>
    <w:next w:val="1"/>
    <w:link w:val="239"/>
    <w:autoRedefine/>
    <w:qFormat/>
    <w:uiPriority w:val="0"/>
    <w:pPr>
      <w:keepNext w:val="0"/>
      <w:keepLines w:val="0"/>
      <w:spacing w:before="0" w:after="0" w:line="360" w:lineRule="auto"/>
      <w:ind w:firstLine="560" w:firstLineChars="200"/>
      <w:outlineLvl w:val="9"/>
    </w:pPr>
    <w:rPr>
      <w:rFonts w:asciiTheme="minorHAnsi" w:hAnsiTheme="minorHAnsi" w:eastAsiaTheme="minorEastAsia" w:cstheme="minorBidi"/>
      <w:b w:val="0"/>
      <w:bCs w:val="0"/>
      <w:kern w:val="2"/>
      <w:sz w:val="24"/>
      <w:szCs w:val="28"/>
    </w:rPr>
  </w:style>
  <w:style w:type="character" w:customStyle="1" w:styleId="241">
    <w:name w:val="7表格(治) Char"/>
    <w:link w:val="242"/>
    <w:autoRedefine/>
    <w:qFormat/>
    <w:uiPriority w:val="0"/>
    <w:rPr>
      <w:rFonts w:ascii="Times New Roman" w:hAnsi="Times New Roman" w:eastAsia="宋体" w:cs="Times New Roman"/>
      <w:kern w:val="0"/>
      <w:sz w:val="20"/>
      <w:szCs w:val="20"/>
    </w:rPr>
  </w:style>
  <w:style w:type="paragraph" w:customStyle="1" w:styleId="242">
    <w:name w:val="7表格(治)"/>
    <w:next w:val="1"/>
    <w:link w:val="241"/>
    <w:autoRedefine/>
    <w:qFormat/>
    <w:uiPriority w:val="0"/>
    <w:pPr>
      <w:spacing w:line="240" w:lineRule="auto"/>
      <w:jc w:val="center"/>
    </w:pPr>
    <w:rPr>
      <w:rFonts w:ascii="Times New Roman" w:hAnsi="Times New Roman" w:eastAsia="宋体" w:cs="Times New Roman"/>
      <w:kern w:val="0"/>
      <w:sz w:val="20"/>
      <w:szCs w:val="20"/>
      <w:lang w:val="en-US" w:eastAsia="zh-CN" w:bidi="ar-SA"/>
    </w:rPr>
  </w:style>
  <w:style w:type="paragraph" w:customStyle="1" w:styleId="243">
    <w:name w:val="Char Char Char Char Char Char Char3"/>
    <w:basedOn w:val="3"/>
    <w:next w:val="1"/>
    <w:autoRedefine/>
    <w:qFormat/>
    <w:uiPriority w:val="99"/>
    <w:pPr>
      <w:keepNext w:val="0"/>
      <w:keepLines w:val="0"/>
      <w:spacing w:before="0" w:after="0" w:line="500" w:lineRule="atLeast"/>
      <w:ind w:firstLine="425" w:firstLineChars="177"/>
      <w:outlineLvl w:val="9"/>
    </w:pPr>
    <w:rPr>
      <w:b w:val="0"/>
      <w:bCs w:val="0"/>
      <w:kern w:val="2"/>
      <w:sz w:val="24"/>
      <w:szCs w:val="21"/>
    </w:rPr>
  </w:style>
  <w:style w:type="paragraph" w:customStyle="1" w:styleId="244">
    <w:name w:val="Char Char19"/>
    <w:basedOn w:val="3"/>
    <w:next w:val="1"/>
    <w:autoRedefine/>
    <w:qFormat/>
    <w:uiPriority w:val="99"/>
    <w:pPr>
      <w:keepNext w:val="0"/>
      <w:keepLines w:val="0"/>
      <w:spacing w:before="0" w:after="0" w:line="500" w:lineRule="atLeast"/>
      <w:ind w:firstLine="425" w:firstLineChars="177"/>
      <w:outlineLvl w:val="9"/>
    </w:pPr>
    <w:rPr>
      <w:b w:val="0"/>
      <w:bCs w:val="0"/>
      <w:kern w:val="2"/>
      <w:sz w:val="24"/>
      <w:szCs w:val="21"/>
    </w:rPr>
  </w:style>
  <w:style w:type="paragraph" w:customStyle="1" w:styleId="245">
    <w:name w:val="图表文字"/>
    <w:next w:val="1"/>
    <w:autoRedefine/>
    <w:qFormat/>
    <w:uiPriority w:val="99"/>
    <w:pPr>
      <w:widowControl w:val="0"/>
      <w:spacing w:line="260" w:lineRule="exact"/>
      <w:ind w:right="-149" w:rightChars="-71"/>
      <w:jc w:val="center"/>
    </w:pPr>
    <w:rPr>
      <w:rFonts w:ascii="Times New Roman" w:hAnsi="Times New Roman" w:eastAsia="宋体" w:cs="Times New Roman"/>
      <w:kern w:val="2"/>
      <w:sz w:val="21"/>
      <w:szCs w:val="21"/>
      <w:lang w:val="en-US" w:eastAsia="zh-CN" w:bidi="ar-SA"/>
    </w:rPr>
  </w:style>
  <w:style w:type="paragraph" w:customStyle="1" w:styleId="246">
    <w:name w:val="表1"/>
    <w:next w:val="1"/>
    <w:autoRedefine/>
    <w:qFormat/>
    <w:uiPriority w:val="99"/>
    <w:pPr>
      <w:adjustRightInd w:val="0"/>
      <w:snapToGrid w:val="0"/>
      <w:spacing w:line="240" w:lineRule="auto"/>
      <w:jc w:val="center"/>
    </w:pPr>
    <w:rPr>
      <w:rFonts w:ascii="宋体" w:hAnsi="Times New Roman" w:eastAsia="宋体" w:cs="Times New Roman"/>
      <w:kern w:val="0"/>
      <w:sz w:val="21"/>
      <w:szCs w:val="20"/>
      <w:lang w:val="en-US" w:eastAsia="zh-CN" w:bidi="ar-SA"/>
    </w:rPr>
  </w:style>
  <w:style w:type="paragraph" w:customStyle="1" w:styleId="247">
    <w:name w:val="Char Char Char Char1"/>
    <w:basedOn w:val="3"/>
    <w:next w:val="1"/>
    <w:autoRedefine/>
    <w:qFormat/>
    <w:uiPriority w:val="99"/>
    <w:pPr>
      <w:keepNext w:val="0"/>
      <w:keepLines w:val="0"/>
      <w:spacing w:before="120" w:after="120" w:line="360" w:lineRule="auto"/>
      <w:ind w:firstLine="420" w:firstLineChars="177"/>
      <w:outlineLvl w:val="9"/>
    </w:pPr>
    <w:rPr>
      <w:b w:val="0"/>
      <w:bCs w:val="0"/>
      <w:kern w:val="2"/>
      <w:sz w:val="24"/>
      <w:szCs w:val="24"/>
    </w:rPr>
  </w:style>
  <w:style w:type="character" w:customStyle="1" w:styleId="248">
    <w:name w:val="表头1 Char"/>
    <w:link w:val="249"/>
    <w:autoRedefine/>
    <w:qFormat/>
    <w:uiPriority w:val="0"/>
    <w:rPr>
      <w:rFonts w:ascii="黑体" w:hAnsi="黑体" w:eastAsia="黑体"/>
      <w:sz w:val="24"/>
      <w:szCs w:val="28"/>
    </w:rPr>
  </w:style>
  <w:style w:type="paragraph" w:customStyle="1" w:styleId="249">
    <w:name w:val="表头1"/>
    <w:basedOn w:val="3"/>
    <w:next w:val="1"/>
    <w:link w:val="248"/>
    <w:autoRedefine/>
    <w:qFormat/>
    <w:uiPriority w:val="0"/>
    <w:pPr>
      <w:keepNext w:val="0"/>
      <w:keepLines w:val="0"/>
      <w:tabs>
        <w:tab w:val="left" w:pos="605"/>
      </w:tabs>
      <w:adjustRightInd w:val="0"/>
      <w:snapToGrid w:val="0"/>
      <w:spacing w:before="0" w:after="0" w:line="500" w:lineRule="atLeast"/>
      <w:ind w:firstLine="425" w:firstLineChars="177"/>
      <w:jc w:val="center"/>
      <w:outlineLvl w:val="9"/>
    </w:pPr>
    <w:rPr>
      <w:rFonts w:ascii="黑体" w:hAnsi="黑体" w:eastAsia="黑体" w:cstheme="minorBidi"/>
      <w:b w:val="0"/>
      <w:bCs w:val="0"/>
      <w:kern w:val="2"/>
      <w:sz w:val="24"/>
      <w:szCs w:val="28"/>
    </w:rPr>
  </w:style>
  <w:style w:type="paragraph" w:customStyle="1" w:styleId="250">
    <w:name w:val="列表1"/>
    <w:basedOn w:val="3"/>
    <w:next w:val="1"/>
    <w:autoRedefine/>
    <w:qFormat/>
    <w:uiPriority w:val="99"/>
    <w:pPr>
      <w:keepNext w:val="0"/>
      <w:keepLines w:val="0"/>
      <w:spacing w:before="0" w:after="0" w:line="360" w:lineRule="exact"/>
      <w:ind w:firstLine="425" w:firstLineChars="177"/>
      <w:jc w:val="center"/>
      <w:outlineLvl w:val="9"/>
    </w:pPr>
    <w:rPr>
      <w:rFonts w:ascii="FangSong_GB2312" w:eastAsia="FangSong_GB2312"/>
      <w:b w:val="0"/>
      <w:bCs w:val="0"/>
      <w:kern w:val="2"/>
      <w:sz w:val="28"/>
      <w:szCs w:val="20"/>
    </w:rPr>
  </w:style>
  <w:style w:type="character" w:customStyle="1" w:styleId="251">
    <w:name w:val="样式127 Char"/>
    <w:link w:val="252"/>
    <w:autoRedefine/>
    <w:qFormat/>
    <w:uiPriority w:val="0"/>
    <w:rPr>
      <w:snapToGrid w:val="0"/>
      <w:color w:val="000000"/>
      <w:sz w:val="24"/>
      <w:szCs w:val="28"/>
    </w:rPr>
  </w:style>
  <w:style w:type="paragraph" w:customStyle="1" w:styleId="252">
    <w:name w:val="样式127"/>
    <w:basedOn w:val="3"/>
    <w:next w:val="1"/>
    <w:link w:val="251"/>
    <w:autoRedefine/>
    <w:qFormat/>
    <w:uiPriority w:val="0"/>
    <w:pPr>
      <w:keepNext w:val="0"/>
      <w:keepLines w:val="0"/>
      <w:snapToGrid w:val="0"/>
      <w:spacing w:before="0" w:after="0" w:line="520" w:lineRule="exact"/>
      <w:ind w:firstLine="480" w:firstLineChars="200"/>
      <w:outlineLvl w:val="9"/>
    </w:pPr>
    <w:rPr>
      <w:rFonts w:asciiTheme="minorHAnsi" w:hAnsiTheme="minorHAnsi" w:eastAsiaTheme="minorEastAsia" w:cstheme="minorBidi"/>
      <w:b w:val="0"/>
      <w:bCs w:val="0"/>
      <w:snapToGrid w:val="0"/>
      <w:color w:val="000000"/>
      <w:kern w:val="2"/>
      <w:sz w:val="24"/>
      <w:szCs w:val="28"/>
    </w:rPr>
  </w:style>
  <w:style w:type="paragraph" w:customStyle="1" w:styleId="253">
    <w:name w:val="Char Char Char Char Char Char Char1"/>
    <w:basedOn w:val="3"/>
    <w:next w:val="1"/>
    <w:autoRedefine/>
    <w:qFormat/>
    <w:uiPriority w:val="99"/>
    <w:pPr>
      <w:keepNext w:val="0"/>
      <w:keepLines w:val="0"/>
      <w:spacing w:before="0" w:after="0" w:line="360" w:lineRule="auto"/>
      <w:ind w:firstLine="200" w:firstLineChars="200"/>
      <w:outlineLvl w:val="9"/>
    </w:pPr>
    <w:rPr>
      <w:rFonts w:ascii="宋体" w:hAnsi="宋体" w:cs="宋体"/>
      <w:b w:val="0"/>
      <w:bCs w:val="0"/>
      <w:kern w:val="2"/>
      <w:sz w:val="24"/>
      <w:szCs w:val="24"/>
    </w:rPr>
  </w:style>
  <w:style w:type="paragraph" w:customStyle="1" w:styleId="254">
    <w:name w:val="样式5"/>
    <w:basedOn w:val="36"/>
    <w:next w:val="1"/>
    <w:autoRedefine/>
    <w:qFormat/>
    <w:uiPriority w:val="99"/>
    <w:pPr>
      <w:spacing w:line="500" w:lineRule="atLeast"/>
      <w:ind w:left="482" w:firstLine="0" w:firstLineChars="0"/>
      <w:contextualSpacing w:val="0"/>
    </w:pPr>
    <w:rPr>
      <w:sz w:val="24"/>
    </w:rPr>
  </w:style>
  <w:style w:type="paragraph" w:customStyle="1" w:styleId="255">
    <w:name w:val="正文文字-1"/>
    <w:next w:val="1"/>
    <w:autoRedefine/>
    <w:qFormat/>
    <w:uiPriority w:val="99"/>
    <w:pPr>
      <w:widowControl w:val="0"/>
      <w:spacing w:before="120" w:after="120" w:line="480" w:lineRule="exact"/>
      <w:ind w:firstLine="588" w:firstLineChars="210"/>
      <w:jc w:val="both"/>
    </w:pPr>
    <w:rPr>
      <w:rFonts w:ascii="Times New Roman" w:hAnsi="Times New Roman" w:eastAsia="宋体" w:cs="Times New Roman"/>
      <w:kern w:val="2"/>
      <w:sz w:val="24"/>
      <w:szCs w:val="24"/>
      <w:lang w:val="en-US" w:eastAsia="zh-CN" w:bidi="ar-SA"/>
    </w:rPr>
  </w:style>
  <w:style w:type="paragraph" w:customStyle="1" w:styleId="256">
    <w:name w:val="样式 样式 正文文字-1 + 首行缩进:  2.1 字符1 + 首行缩进:  2.1 字符"/>
    <w:basedOn w:val="3"/>
    <w:next w:val="1"/>
    <w:autoRedefine/>
    <w:qFormat/>
    <w:uiPriority w:val="99"/>
    <w:pPr>
      <w:keepNext w:val="0"/>
      <w:keepLines w:val="0"/>
      <w:spacing w:before="120" w:after="120" w:line="400" w:lineRule="exact"/>
      <w:ind w:firstLine="210" w:firstLineChars="210"/>
      <w:outlineLvl w:val="9"/>
    </w:pPr>
    <w:rPr>
      <w:rFonts w:cs="宋体"/>
      <w:b w:val="0"/>
      <w:bCs w:val="0"/>
      <w:kern w:val="2"/>
      <w:sz w:val="24"/>
      <w:szCs w:val="20"/>
    </w:rPr>
  </w:style>
  <w:style w:type="paragraph" w:customStyle="1" w:styleId="257">
    <w:name w:val="样式 正文文字-1 + 首行缩进:  2.1 字符"/>
    <w:basedOn w:val="3"/>
    <w:next w:val="1"/>
    <w:autoRedefine/>
    <w:qFormat/>
    <w:uiPriority w:val="99"/>
    <w:pPr>
      <w:keepNext w:val="0"/>
      <w:keepLines w:val="0"/>
      <w:spacing w:before="60" w:after="60" w:line="440" w:lineRule="exact"/>
      <w:ind w:firstLine="210" w:firstLineChars="210"/>
      <w:outlineLvl w:val="9"/>
    </w:pPr>
    <w:rPr>
      <w:rFonts w:cs="宋体"/>
      <w:b w:val="0"/>
      <w:bCs w:val="0"/>
      <w:kern w:val="2"/>
      <w:sz w:val="24"/>
      <w:szCs w:val="20"/>
    </w:rPr>
  </w:style>
  <w:style w:type="paragraph" w:customStyle="1" w:styleId="258">
    <w:name w:val="样式 正文文字-1 + 首行缩进:  2.1 字符1"/>
    <w:basedOn w:val="3"/>
    <w:next w:val="1"/>
    <w:autoRedefine/>
    <w:qFormat/>
    <w:uiPriority w:val="0"/>
    <w:pPr>
      <w:keepNext w:val="0"/>
      <w:keepLines w:val="0"/>
      <w:spacing w:before="0" w:after="0" w:line="360" w:lineRule="auto"/>
      <w:ind w:firstLine="480" w:firstLineChars="200"/>
      <w:contextualSpacing/>
      <w:outlineLvl w:val="9"/>
    </w:pPr>
    <w:rPr>
      <w:b w:val="0"/>
      <w:bCs w:val="0"/>
      <w:color w:val="000000" w:themeColor="text1"/>
      <w:kern w:val="2"/>
      <w:sz w:val="24"/>
      <w:szCs w:val="22"/>
    </w:rPr>
  </w:style>
  <w:style w:type="paragraph" w:customStyle="1" w:styleId="259">
    <w:name w:val="样式 四号 行距: 1.5 倍行距"/>
    <w:basedOn w:val="3"/>
    <w:next w:val="1"/>
    <w:autoRedefine/>
    <w:qFormat/>
    <w:uiPriority w:val="99"/>
    <w:pPr>
      <w:keepNext w:val="0"/>
      <w:keepLines w:val="0"/>
      <w:spacing w:before="0" w:after="0" w:line="360" w:lineRule="auto"/>
      <w:ind w:firstLine="560" w:firstLineChars="200"/>
      <w:outlineLvl w:val="9"/>
    </w:pPr>
    <w:rPr>
      <w:rFonts w:cs="宋体"/>
      <w:b w:val="0"/>
      <w:bCs w:val="0"/>
      <w:kern w:val="2"/>
      <w:sz w:val="24"/>
      <w:szCs w:val="20"/>
    </w:rPr>
  </w:style>
  <w:style w:type="character" w:customStyle="1" w:styleId="260">
    <w:name w:val="国电正文 Char"/>
    <w:link w:val="261"/>
    <w:autoRedefine/>
    <w:semiHidden/>
    <w:qFormat/>
    <w:uiPriority w:val="0"/>
    <w:rPr>
      <w:color w:val="000000"/>
      <w:sz w:val="24"/>
    </w:rPr>
  </w:style>
  <w:style w:type="paragraph" w:customStyle="1" w:styleId="261">
    <w:name w:val="国电正文"/>
    <w:basedOn w:val="3"/>
    <w:next w:val="1"/>
    <w:link w:val="260"/>
    <w:autoRedefine/>
    <w:semiHidden/>
    <w:qFormat/>
    <w:uiPriority w:val="0"/>
    <w:pPr>
      <w:keepNext w:val="0"/>
      <w:keepLines w:val="0"/>
      <w:spacing w:before="0" w:after="0" w:line="360" w:lineRule="auto"/>
      <w:ind w:firstLine="480" w:firstLineChars="200"/>
      <w:outlineLvl w:val="9"/>
    </w:pPr>
    <w:rPr>
      <w:rFonts w:asciiTheme="minorHAnsi" w:hAnsiTheme="minorHAnsi" w:eastAsiaTheme="minorEastAsia" w:cstheme="minorBidi"/>
      <w:b w:val="0"/>
      <w:bCs w:val="0"/>
      <w:color w:val="000000"/>
      <w:kern w:val="2"/>
      <w:sz w:val="24"/>
      <w:szCs w:val="22"/>
    </w:rPr>
  </w:style>
  <w:style w:type="character" w:customStyle="1" w:styleId="262">
    <w:name w:val="正文文字-1 Char Char"/>
    <w:basedOn w:val="51"/>
    <w:link w:val="263"/>
    <w:autoRedefine/>
    <w:qFormat/>
    <w:uiPriority w:val="0"/>
    <w:rPr>
      <w:sz w:val="24"/>
      <w:szCs w:val="24"/>
    </w:rPr>
  </w:style>
  <w:style w:type="paragraph" w:customStyle="1" w:styleId="263">
    <w:name w:val="正文文字-1 Char"/>
    <w:next w:val="1"/>
    <w:link w:val="262"/>
    <w:autoRedefine/>
    <w:qFormat/>
    <w:uiPriority w:val="0"/>
    <w:pPr>
      <w:widowControl w:val="0"/>
      <w:spacing w:before="120" w:after="120" w:line="480" w:lineRule="exact"/>
      <w:ind w:firstLine="588" w:firstLineChars="210"/>
      <w:jc w:val="both"/>
    </w:pPr>
    <w:rPr>
      <w:rFonts w:asciiTheme="minorHAnsi" w:hAnsiTheme="minorHAnsi" w:eastAsiaTheme="minorEastAsia" w:cstheme="minorBidi"/>
      <w:kern w:val="2"/>
      <w:sz w:val="24"/>
      <w:szCs w:val="24"/>
      <w:lang w:val="en-US" w:eastAsia="zh-CN" w:bidi="ar-SA"/>
    </w:rPr>
  </w:style>
  <w:style w:type="paragraph" w:customStyle="1" w:styleId="264">
    <w:name w:val="Char1 Char Char Char1"/>
    <w:basedOn w:val="3"/>
    <w:next w:val="1"/>
    <w:autoRedefine/>
    <w:qFormat/>
    <w:uiPriority w:val="99"/>
    <w:pPr>
      <w:keepNext w:val="0"/>
      <w:keepLines w:val="0"/>
      <w:spacing w:before="0" w:after="0" w:line="500" w:lineRule="atLeast"/>
      <w:ind w:firstLine="480" w:firstLineChars="200"/>
      <w:outlineLvl w:val="9"/>
    </w:pPr>
    <w:rPr>
      <w:b w:val="0"/>
      <w:bCs w:val="0"/>
      <w:kern w:val="2"/>
      <w:sz w:val="24"/>
      <w:szCs w:val="24"/>
    </w:rPr>
  </w:style>
  <w:style w:type="paragraph" w:customStyle="1" w:styleId="265">
    <w:name w:val="Char1 Char Char Char Char Char"/>
    <w:basedOn w:val="3"/>
    <w:next w:val="1"/>
    <w:autoRedefine/>
    <w:qFormat/>
    <w:uiPriority w:val="99"/>
    <w:pPr>
      <w:keepNext w:val="0"/>
      <w:keepLines w:val="0"/>
      <w:spacing w:before="0" w:after="0" w:line="360" w:lineRule="auto"/>
      <w:ind w:firstLine="200" w:firstLineChars="200"/>
      <w:outlineLvl w:val="9"/>
    </w:pPr>
    <w:rPr>
      <w:rFonts w:ascii="Tahoma" w:hAnsi="Tahoma"/>
      <w:b w:val="0"/>
      <w:bCs w:val="0"/>
      <w:kern w:val="2"/>
      <w:sz w:val="24"/>
      <w:szCs w:val="20"/>
    </w:rPr>
  </w:style>
  <w:style w:type="paragraph" w:customStyle="1" w:styleId="266">
    <w:name w:val="Char Char Char Char Char Char Char2"/>
    <w:basedOn w:val="3"/>
    <w:autoRedefine/>
    <w:qFormat/>
    <w:uiPriority w:val="99"/>
    <w:pPr>
      <w:keepNext w:val="0"/>
      <w:keepLines w:val="0"/>
      <w:spacing w:before="0" w:after="0" w:line="360" w:lineRule="auto"/>
      <w:ind w:firstLine="200" w:firstLineChars="200"/>
      <w:outlineLvl w:val="9"/>
    </w:pPr>
    <w:rPr>
      <w:rFonts w:ascii="宋体" w:hAnsi="宋体" w:cs="宋体"/>
      <w:b w:val="0"/>
      <w:bCs w:val="0"/>
      <w:kern w:val="2"/>
      <w:sz w:val="24"/>
      <w:szCs w:val="24"/>
    </w:rPr>
  </w:style>
  <w:style w:type="paragraph" w:customStyle="1" w:styleId="267">
    <w:name w:val="样式 四号 行距: 1.5 倍行距2"/>
    <w:basedOn w:val="3"/>
    <w:next w:val="1"/>
    <w:autoRedefine/>
    <w:qFormat/>
    <w:uiPriority w:val="99"/>
    <w:pPr>
      <w:keepNext w:val="0"/>
      <w:keepLines w:val="0"/>
      <w:spacing w:before="0" w:after="0" w:line="360" w:lineRule="auto"/>
      <w:ind w:firstLine="560" w:firstLineChars="200"/>
      <w:outlineLvl w:val="9"/>
    </w:pPr>
    <w:rPr>
      <w:rFonts w:cs="宋体"/>
      <w:b w:val="0"/>
      <w:bCs w:val="0"/>
      <w:kern w:val="2"/>
      <w:sz w:val="24"/>
      <w:szCs w:val="20"/>
    </w:rPr>
  </w:style>
  <w:style w:type="paragraph" w:customStyle="1" w:styleId="268">
    <w:name w:val="样式 四号 行距: 1.5 倍行距3"/>
    <w:basedOn w:val="3"/>
    <w:next w:val="1"/>
    <w:autoRedefine/>
    <w:qFormat/>
    <w:uiPriority w:val="99"/>
    <w:pPr>
      <w:keepNext w:val="0"/>
      <w:keepLines w:val="0"/>
      <w:spacing w:before="0" w:after="0" w:line="360" w:lineRule="auto"/>
      <w:ind w:firstLine="1260" w:firstLineChars="450"/>
      <w:outlineLvl w:val="9"/>
    </w:pPr>
    <w:rPr>
      <w:rFonts w:cs="宋体"/>
      <w:b w:val="0"/>
      <w:bCs w:val="0"/>
      <w:kern w:val="2"/>
      <w:sz w:val="24"/>
      <w:szCs w:val="20"/>
    </w:rPr>
  </w:style>
  <w:style w:type="paragraph" w:customStyle="1" w:styleId="269">
    <w:name w:val="正文5"/>
    <w:next w:val="1"/>
    <w:autoRedefine/>
    <w:qFormat/>
    <w:uiPriority w:val="99"/>
    <w:pPr>
      <w:widowControl w:val="0"/>
      <w:adjustRightInd w:val="0"/>
      <w:spacing w:line="360" w:lineRule="atLeast"/>
      <w:jc w:val="left"/>
    </w:pPr>
    <w:rPr>
      <w:rFonts w:ascii="宋体" w:hAnsi="Times New Roman" w:eastAsia="宋体" w:cs="Times New Roman"/>
      <w:kern w:val="0"/>
      <w:sz w:val="24"/>
      <w:szCs w:val="20"/>
      <w:lang w:val="en-US" w:eastAsia="zh-CN" w:bidi="ar-SA"/>
    </w:rPr>
  </w:style>
  <w:style w:type="paragraph" w:customStyle="1" w:styleId="270">
    <w:name w:val="Char2"/>
    <w:basedOn w:val="3"/>
    <w:next w:val="1"/>
    <w:autoRedefine/>
    <w:qFormat/>
    <w:uiPriority w:val="99"/>
    <w:pPr>
      <w:keepNext w:val="0"/>
      <w:keepLines w:val="0"/>
      <w:spacing w:before="0" w:after="0" w:line="500" w:lineRule="atLeast"/>
      <w:ind w:firstLine="425" w:firstLineChars="177"/>
      <w:outlineLvl w:val="9"/>
    </w:pPr>
    <w:rPr>
      <w:b w:val="0"/>
      <w:bCs w:val="0"/>
      <w:kern w:val="2"/>
      <w:sz w:val="24"/>
      <w:szCs w:val="24"/>
    </w:rPr>
  </w:style>
  <w:style w:type="paragraph" w:customStyle="1" w:styleId="271">
    <w:name w:val="表格正文"/>
    <w:basedOn w:val="3"/>
    <w:next w:val="1"/>
    <w:autoRedefine/>
    <w:qFormat/>
    <w:uiPriority w:val="0"/>
    <w:pPr>
      <w:keepNext w:val="0"/>
      <w:keepLines w:val="0"/>
      <w:spacing w:before="0" w:after="0" w:line="300" w:lineRule="auto"/>
      <w:ind w:firstLine="425" w:firstLineChars="177"/>
      <w:jc w:val="center"/>
      <w:outlineLvl w:val="9"/>
    </w:pPr>
    <w:rPr>
      <w:b w:val="0"/>
      <w:bCs w:val="0"/>
      <w:kern w:val="2"/>
      <w:sz w:val="24"/>
      <w:szCs w:val="24"/>
    </w:rPr>
  </w:style>
  <w:style w:type="character" w:customStyle="1" w:styleId="272">
    <w:name w:val="xfw Char"/>
    <w:basedOn w:val="51"/>
    <w:link w:val="273"/>
    <w:autoRedefine/>
    <w:qFormat/>
    <w:uiPriority w:val="0"/>
    <w:rPr>
      <w:sz w:val="24"/>
      <w:szCs w:val="28"/>
    </w:rPr>
  </w:style>
  <w:style w:type="paragraph" w:customStyle="1" w:styleId="273">
    <w:name w:val="xfw"/>
    <w:basedOn w:val="3"/>
    <w:next w:val="1"/>
    <w:link w:val="272"/>
    <w:autoRedefine/>
    <w:qFormat/>
    <w:uiPriority w:val="0"/>
    <w:pPr>
      <w:keepNext w:val="0"/>
      <w:keepLines w:val="0"/>
      <w:spacing w:before="0" w:after="0" w:line="360" w:lineRule="auto"/>
      <w:ind w:firstLine="200" w:firstLineChars="200"/>
      <w:outlineLvl w:val="9"/>
    </w:pPr>
    <w:rPr>
      <w:rFonts w:asciiTheme="minorHAnsi" w:hAnsiTheme="minorHAnsi" w:eastAsiaTheme="minorEastAsia" w:cstheme="minorBidi"/>
      <w:b w:val="0"/>
      <w:bCs w:val="0"/>
      <w:kern w:val="2"/>
      <w:sz w:val="24"/>
      <w:szCs w:val="28"/>
    </w:rPr>
  </w:style>
  <w:style w:type="character" w:customStyle="1" w:styleId="274">
    <w:name w:val="正文01 Char Char"/>
    <w:link w:val="275"/>
    <w:autoRedefine/>
    <w:qFormat/>
    <w:uiPriority w:val="0"/>
    <w:rPr>
      <w:rFonts w:ascii="宋体" w:hAnsi="宋体" w:eastAsia="宋体" w:cs="宋体"/>
      <w:snapToGrid w:val="0"/>
      <w:kern w:val="56"/>
      <w:sz w:val="24"/>
      <w:lang w:val="zh-CN"/>
    </w:rPr>
  </w:style>
  <w:style w:type="paragraph" w:customStyle="1" w:styleId="275">
    <w:name w:val="正文01"/>
    <w:basedOn w:val="3"/>
    <w:next w:val="1"/>
    <w:link w:val="274"/>
    <w:autoRedefine/>
    <w:qFormat/>
    <w:uiPriority w:val="0"/>
    <w:pPr>
      <w:keepNext w:val="0"/>
      <w:keepLines w:val="0"/>
      <w:adjustRightInd w:val="0"/>
      <w:snapToGrid w:val="0"/>
      <w:spacing w:before="0" w:after="0" w:line="360" w:lineRule="auto"/>
      <w:ind w:firstLine="200" w:firstLineChars="200"/>
      <w:outlineLvl w:val="9"/>
    </w:pPr>
    <w:rPr>
      <w:rFonts w:ascii="宋体" w:hAnsi="宋体" w:cs="宋体"/>
      <w:b w:val="0"/>
      <w:bCs w:val="0"/>
      <w:snapToGrid w:val="0"/>
      <w:kern w:val="56"/>
      <w:sz w:val="24"/>
      <w:szCs w:val="22"/>
      <w:lang w:val="zh-CN"/>
    </w:rPr>
  </w:style>
  <w:style w:type="paragraph" w:customStyle="1" w:styleId="276">
    <w:name w:val="reader-word-layer reader-word-s8-5"/>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 w:val="0"/>
      <w:bCs w:val="0"/>
      <w:kern w:val="0"/>
      <w:sz w:val="24"/>
      <w:szCs w:val="24"/>
    </w:rPr>
  </w:style>
  <w:style w:type="paragraph" w:customStyle="1" w:styleId="277">
    <w:name w:val="reader-word-layer reader-word-s8-2"/>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 w:val="0"/>
      <w:bCs w:val="0"/>
      <w:kern w:val="0"/>
      <w:sz w:val="24"/>
      <w:szCs w:val="24"/>
    </w:rPr>
  </w:style>
  <w:style w:type="paragraph" w:customStyle="1" w:styleId="278">
    <w:name w:val="reader-word-layer reader-word-s8-9"/>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 w:val="0"/>
      <w:bCs w:val="0"/>
      <w:kern w:val="0"/>
      <w:sz w:val="24"/>
      <w:szCs w:val="24"/>
    </w:rPr>
  </w:style>
  <w:style w:type="paragraph" w:customStyle="1" w:styleId="279">
    <w:name w:val="reader-word-layer reader-word-s8-8"/>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 w:val="0"/>
      <w:bCs w:val="0"/>
      <w:kern w:val="0"/>
      <w:sz w:val="24"/>
      <w:szCs w:val="24"/>
    </w:rPr>
  </w:style>
  <w:style w:type="paragraph" w:customStyle="1" w:styleId="280">
    <w:name w:val="reader-word-layer reader-word-s8-12"/>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 w:val="0"/>
      <w:bCs w:val="0"/>
      <w:kern w:val="0"/>
      <w:sz w:val="24"/>
      <w:szCs w:val="24"/>
    </w:rPr>
  </w:style>
  <w:style w:type="paragraph" w:customStyle="1" w:styleId="281">
    <w:name w:val="reader-word-layer reader-word-s8-0"/>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 w:val="0"/>
      <w:bCs w:val="0"/>
      <w:kern w:val="0"/>
      <w:sz w:val="24"/>
      <w:szCs w:val="24"/>
    </w:rPr>
  </w:style>
  <w:style w:type="paragraph" w:customStyle="1" w:styleId="282">
    <w:name w:val="reader-word-layer reader-word-s8-7"/>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 w:val="0"/>
      <w:bCs w:val="0"/>
      <w:kern w:val="0"/>
      <w:sz w:val="24"/>
      <w:szCs w:val="24"/>
    </w:rPr>
  </w:style>
  <w:style w:type="paragraph" w:customStyle="1" w:styleId="283">
    <w:name w:val="reader-word-layer reader-word-s8-6"/>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 w:val="0"/>
      <w:bCs w:val="0"/>
      <w:kern w:val="0"/>
      <w:sz w:val="24"/>
      <w:szCs w:val="24"/>
    </w:rPr>
  </w:style>
  <w:style w:type="paragraph" w:customStyle="1" w:styleId="284">
    <w:name w:val="Char Char1 Char Char Char Char Char Char Char"/>
    <w:basedOn w:val="3"/>
    <w:next w:val="1"/>
    <w:autoRedefine/>
    <w:qFormat/>
    <w:uiPriority w:val="99"/>
    <w:pPr>
      <w:keepNext w:val="0"/>
      <w:keepLines w:val="0"/>
      <w:spacing w:before="0" w:after="0" w:line="500" w:lineRule="atLeast"/>
      <w:ind w:firstLine="425" w:firstLineChars="177"/>
      <w:outlineLvl w:val="9"/>
    </w:pPr>
    <w:rPr>
      <w:rFonts w:cs="宋体"/>
      <w:b w:val="0"/>
      <w:bCs w:val="0"/>
      <w:color w:val="000000"/>
      <w:kern w:val="2"/>
      <w:sz w:val="24"/>
      <w:szCs w:val="24"/>
      <w:lang w:val="zh-CN"/>
    </w:rPr>
  </w:style>
  <w:style w:type="paragraph" w:customStyle="1" w:styleId="285">
    <w:name w:val="样式 首行缩进:  0.89 厘米"/>
    <w:basedOn w:val="3"/>
    <w:next w:val="1"/>
    <w:autoRedefine/>
    <w:qFormat/>
    <w:uiPriority w:val="99"/>
    <w:pPr>
      <w:keepNext w:val="0"/>
      <w:keepLines w:val="0"/>
      <w:spacing w:beforeLines="50" w:after="0" w:line="440" w:lineRule="exact"/>
      <w:ind w:firstLine="505" w:firstLineChars="177"/>
      <w:outlineLvl w:val="9"/>
    </w:pPr>
    <w:rPr>
      <w:rFonts w:cs="宋体"/>
      <w:b w:val="0"/>
      <w:bCs w:val="0"/>
      <w:kern w:val="2"/>
      <w:sz w:val="24"/>
      <w:szCs w:val="20"/>
    </w:rPr>
  </w:style>
  <w:style w:type="paragraph" w:customStyle="1" w:styleId="286">
    <w:name w:val="表格文字2"/>
    <w:basedOn w:val="3"/>
    <w:next w:val="1"/>
    <w:autoRedefine/>
    <w:qFormat/>
    <w:uiPriority w:val="99"/>
    <w:pPr>
      <w:keepNext w:val="0"/>
      <w:keepLines w:val="0"/>
      <w:spacing w:before="0" w:after="0" w:line="500" w:lineRule="atLeast"/>
      <w:ind w:firstLine="425" w:firstLineChars="177"/>
      <w:jc w:val="center"/>
      <w:outlineLvl w:val="9"/>
    </w:pPr>
    <w:rPr>
      <w:b w:val="0"/>
      <w:bCs w:val="0"/>
      <w:kern w:val="2"/>
      <w:sz w:val="24"/>
      <w:szCs w:val="21"/>
    </w:rPr>
  </w:style>
  <w:style w:type="character" w:customStyle="1" w:styleId="287">
    <w:name w:val="样式 标题 3 + 黑色1 Char"/>
    <w:basedOn w:val="51"/>
    <w:link w:val="288"/>
    <w:autoRedefine/>
    <w:qFormat/>
    <w:uiPriority w:val="0"/>
    <w:rPr>
      <w:b/>
      <w:bCs/>
      <w:color w:val="000000"/>
      <w:sz w:val="28"/>
      <w:szCs w:val="30"/>
    </w:rPr>
  </w:style>
  <w:style w:type="paragraph" w:customStyle="1" w:styleId="288">
    <w:name w:val="样式 标题 3 + 黑色1"/>
    <w:basedOn w:val="5"/>
    <w:next w:val="1"/>
    <w:link w:val="287"/>
    <w:autoRedefine/>
    <w:qFormat/>
    <w:uiPriority w:val="0"/>
    <w:pPr>
      <w:spacing w:beforeLines="50" w:afterLines="50" w:line="360" w:lineRule="auto"/>
    </w:pPr>
    <w:rPr>
      <w:rFonts w:asciiTheme="minorHAnsi" w:hAnsiTheme="minorHAnsi" w:eastAsiaTheme="minorEastAsia" w:cstheme="minorBidi"/>
      <w:b/>
      <w:bCs/>
      <w:color w:val="000000"/>
      <w:sz w:val="28"/>
      <w:szCs w:val="30"/>
    </w:rPr>
  </w:style>
  <w:style w:type="paragraph" w:customStyle="1" w:styleId="289">
    <w:name w:val="正文缩进3"/>
    <w:basedOn w:val="3"/>
    <w:next w:val="1"/>
    <w:autoRedefine/>
    <w:qFormat/>
    <w:uiPriority w:val="99"/>
    <w:pPr>
      <w:keepNext w:val="0"/>
      <w:keepLines w:val="0"/>
      <w:spacing w:before="0" w:after="0" w:line="500" w:lineRule="atLeast"/>
      <w:ind w:firstLine="420" w:firstLineChars="177"/>
      <w:outlineLvl w:val="9"/>
    </w:pPr>
    <w:rPr>
      <w:b w:val="0"/>
      <w:bCs w:val="0"/>
      <w:kern w:val="2"/>
      <w:sz w:val="24"/>
      <w:szCs w:val="24"/>
    </w:rPr>
  </w:style>
  <w:style w:type="paragraph" w:customStyle="1" w:styleId="290">
    <w:name w:val="p0"/>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 w:val="0"/>
      <w:bCs w:val="0"/>
      <w:kern w:val="0"/>
      <w:sz w:val="24"/>
      <w:szCs w:val="24"/>
    </w:rPr>
  </w:style>
  <w:style w:type="paragraph" w:customStyle="1" w:styleId="291">
    <w:name w:val="正文6"/>
    <w:next w:val="1"/>
    <w:autoRedefine/>
    <w:qFormat/>
    <w:uiPriority w:val="99"/>
    <w:pPr>
      <w:widowControl w:val="0"/>
      <w:adjustRightInd w:val="0"/>
      <w:spacing w:line="360" w:lineRule="atLeast"/>
      <w:jc w:val="left"/>
    </w:pPr>
    <w:rPr>
      <w:rFonts w:ascii="宋体" w:hAnsi="Times New Roman" w:eastAsia="宋体" w:cs="Times New Roman"/>
      <w:kern w:val="0"/>
      <w:sz w:val="24"/>
      <w:szCs w:val="20"/>
      <w:lang w:val="en-US" w:eastAsia="zh-CN" w:bidi="ar-SA"/>
    </w:rPr>
  </w:style>
  <w:style w:type="paragraph" w:customStyle="1" w:styleId="292">
    <w:name w:val="新正文"/>
    <w:basedOn w:val="3"/>
    <w:next w:val="1"/>
    <w:autoRedefine/>
    <w:qFormat/>
    <w:uiPriority w:val="99"/>
    <w:pPr>
      <w:keepNext w:val="0"/>
      <w:keepLines w:val="0"/>
      <w:spacing w:before="0" w:after="0" w:line="360" w:lineRule="auto"/>
      <w:ind w:firstLine="480" w:firstLineChars="177"/>
      <w:outlineLvl w:val="9"/>
    </w:pPr>
    <w:rPr>
      <w:rFonts w:cs="宋体"/>
      <w:b w:val="0"/>
      <w:bCs w:val="0"/>
      <w:kern w:val="2"/>
      <w:sz w:val="24"/>
      <w:szCs w:val="20"/>
    </w:rPr>
  </w:style>
  <w:style w:type="paragraph" w:customStyle="1" w:styleId="293">
    <w:name w:val="样式 Arial 小四 行距: 1.5 倍行距"/>
    <w:basedOn w:val="3"/>
    <w:next w:val="1"/>
    <w:autoRedefine/>
    <w:qFormat/>
    <w:uiPriority w:val="99"/>
    <w:pPr>
      <w:keepNext w:val="0"/>
      <w:keepLines w:val="0"/>
      <w:spacing w:before="0" w:after="0" w:line="360" w:lineRule="auto"/>
      <w:ind w:firstLine="480" w:firstLineChars="200"/>
      <w:outlineLvl w:val="9"/>
    </w:pPr>
    <w:rPr>
      <w:b w:val="0"/>
      <w:bCs w:val="0"/>
      <w:kern w:val="2"/>
      <w:sz w:val="24"/>
      <w:szCs w:val="20"/>
    </w:rPr>
  </w:style>
  <w:style w:type="paragraph" w:customStyle="1" w:styleId="294">
    <w:name w:val="Char Char Char Char Char Char1 Char"/>
    <w:basedOn w:val="3"/>
    <w:next w:val="1"/>
    <w:autoRedefine/>
    <w:qFormat/>
    <w:uiPriority w:val="99"/>
    <w:pPr>
      <w:keepNext w:val="0"/>
      <w:keepLines w:val="0"/>
      <w:spacing w:before="0" w:after="0" w:line="500" w:lineRule="atLeast"/>
      <w:ind w:firstLine="425" w:firstLineChars="177"/>
      <w:outlineLvl w:val="9"/>
    </w:pPr>
    <w:rPr>
      <w:b w:val="0"/>
      <w:bCs w:val="0"/>
      <w:kern w:val="2"/>
      <w:sz w:val="24"/>
      <w:szCs w:val="24"/>
    </w:rPr>
  </w:style>
  <w:style w:type="paragraph" w:customStyle="1" w:styleId="295">
    <w:name w:val="样式 标题3"/>
    <w:basedOn w:val="5"/>
    <w:next w:val="1"/>
    <w:autoRedefine/>
    <w:qFormat/>
    <w:uiPriority w:val="99"/>
    <w:pPr>
      <w:spacing w:beforeLines="50" w:afterLines="50" w:line="360" w:lineRule="auto"/>
      <w:ind w:firstLine="200"/>
      <w:jc w:val="left"/>
    </w:pPr>
    <w:rPr>
      <w:b/>
      <w:bCs/>
      <w:sz w:val="28"/>
      <w:szCs w:val="24"/>
    </w:rPr>
  </w:style>
  <w:style w:type="paragraph" w:customStyle="1" w:styleId="296">
    <w:name w:val="Char Char Char Char Char Char Char Char Char Char Char Char"/>
    <w:basedOn w:val="3"/>
    <w:next w:val="1"/>
    <w:autoRedefine/>
    <w:qFormat/>
    <w:uiPriority w:val="99"/>
    <w:pPr>
      <w:keepNext w:val="0"/>
      <w:keepLines w:val="0"/>
      <w:tabs>
        <w:tab w:val="left" w:pos="1723"/>
      </w:tabs>
      <w:spacing w:before="0" w:after="0" w:line="500" w:lineRule="atLeast"/>
      <w:ind w:left="1723" w:hanging="1080" w:firstLineChars="177"/>
      <w:outlineLvl w:val="9"/>
    </w:pPr>
    <w:rPr>
      <w:rFonts w:eastAsia="FangSong_GB2312"/>
      <w:b w:val="0"/>
      <w:bCs w:val="0"/>
      <w:kern w:val="2"/>
      <w:sz w:val="24"/>
      <w:szCs w:val="32"/>
    </w:rPr>
  </w:style>
  <w:style w:type="paragraph" w:customStyle="1" w:styleId="297">
    <w:name w:val="Char Char Char"/>
    <w:basedOn w:val="3"/>
    <w:next w:val="1"/>
    <w:autoRedefine/>
    <w:qFormat/>
    <w:uiPriority w:val="99"/>
    <w:pPr>
      <w:keepNext w:val="0"/>
      <w:keepLines w:val="0"/>
      <w:spacing w:before="0" w:after="0" w:line="500" w:lineRule="atLeast"/>
      <w:ind w:firstLine="425" w:firstLineChars="177"/>
      <w:outlineLvl w:val="9"/>
    </w:pPr>
    <w:rPr>
      <w:b w:val="0"/>
      <w:bCs w:val="0"/>
      <w:kern w:val="2"/>
      <w:sz w:val="24"/>
      <w:szCs w:val="24"/>
    </w:rPr>
  </w:style>
  <w:style w:type="paragraph" w:customStyle="1" w:styleId="298">
    <w:name w:val="封面标准号2"/>
    <w:basedOn w:val="3"/>
    <w:next w:val="1"/>
    <w:autoRedefine/>
    <w:qFormat/>
    <w:uiPriority w:val="99"/>
    <w:pPr>
      <w:keepNext w:val="0"/>
      <w:keepLines w:val="0"/>
      <w:framePr w:w="9138" w:h="1244" w:wrap="auto" w:vAnchor="page" w:hAnchor="margin" w:y="2908" w:anchorLock="1"/>
      <w:kinsoku w:val="0"/>
      <w:overflowPunct w:val="0"/>
      <w:autoSpaceDE w:val="0"/>
      <w:autoSpaceDN w:val="0"/>
      <w:adjustRightInd w:val="0"/>
      <w:spacing w:before="357" w:after="0" w:line="280" w:lineRule="exact"/>
      <w:ind w:firstLine="425" w:firstLineChars="177"/>
      <w:jc w:val="right"/>
      <w:outlineLvl w:val="9"/>
    </w:pPr>
    <w:rPr>
      <w:b w:val="0"/>
      <w:bCs w:val="0"/>
      <w:kern w:val="0"/>
      <w:sz w:val="28"/>
      <w:szCs w:val="20"/>
    </w:rPr>
  </w:style>
  <w:style w:type="paragraph" w:customStyle="1" w:styleId="299">
    <w:name w:val="纯文本6"/>
    <w:basedOn w:val="3"/>
    <w:next w:val="1"/>
    <w:autoRedefine/>
    <w:qFormat/>
    <w:uiPriority w:val="99"/>
    <w:pPr>
      <w:keepNext w:val="0"/>
      <w:keepLines w:val="0"/>
      <w:spacing w:before="0" w:after="0" w:line="500" w:lineRule="atLeast"/>
      <w:ind w:firstLine="425" w:firstLineChars="177"/>
      <w:outlineLvl w:val="9"/>
    </w:pPr>
    <w:rPr>
      <w:rFonts w:ascii="宋体" w:hAnsi="Courier New"/>
      <w:b w:val="0"/>
      <w:bCs w:val="0"/>
      <w:kern w:val="0"/>
      <w:sz w:val="20"/>
      <w:szCs w:val="21"/>
    </w:rPr>
  </w:style>
  <w:style w:type="paragraph" w:customStyle="1" w:styleId="300">
    <w:name w:val="日期4"/>
    <w:basedOn w:val="3"/>
    <w:next w:val="1"/>
    <w:autoRedefine/>
    <w:qFormat/>
    <w:uiPriority w:val="99"/>
    <w:pPr>
      <w:keepNext w:val="0"/>
      <w:keepLines w:val="0"/>
      <w:spacing w:before="0" w:after="0" w:line="500" w:lineRule="atLeast"/>
      <w:ind w:left="100" w:leftChars="2500" w:firstLine="425" w:firstLineChars="177"/>
      <w:outlineLvl w:val="9"/>
    </w:pPr>
    <w:rPr>
      <w:rFonts w:ascii="Calibri" w:hAnsi="Calibri"/>
      <w:b w:val="0"/>
      <w:bCs w:val="0"/>
      <w:kern w:val="0"/>
      <w:sz w:val="20"/>
      <w:szCs w:val="20"/>
    </w:rPr>
  </w:style>
  <w:style w:type="paragraph" w:customStyle="1" w:styleId="301">
    <w:name w:val="无间隔4"/>
    <w:next w:val="1"/>
    <w:autoRedefine/>
    <w:qFormat/>
    <w:uiPriority w:val="99"/>
    <w:pPr>
      <w:spacing w:line="240" w:lineRule="auto"/>
      <w:jc w:val="left"/>
    </w:pPr>
    <w:rPr>
      <w:rFonts w:ascii="Calibri" w:hAnsi="Calibri" w:eastAsia="宋体" w:cs="Times New Roman"/>
      <w:kern w:val="0"/>
      <w:sz w:val="22"/>
      <w:szCs w:val="20"/>
      <w:lang w:val="en-US" w:eastAsia="zh-CN" w:bidi="ar-SA"/>
    </w:rPr>
  </w:style>
  <w:style w:type="paragraph" w:customStyle="1" w:styleId="302">
    <w:name w:val="纯文本7"/>
    <w:basedOn w:val="3"/>
    <w:next w:val="1"/>
    <w:autoRedefine/>
    <w:qFormat/>
    <w:uiPriority w:val="99"/>
    <w:pPr>
      <w:keepNext w:val="0"/>
      <w:keepLines w:val="0"/>
      <w:spacing w:before="0" w:after="0" w:line="500" w:lineRule="atLeast"/>
      <w:ind w:firstLine="425" w:firstLineChars="177"/>
      <w:outlineLvl w:val="9"/>
    </w:pPr>
    <w:rPr>
      <w:rFonts w:ascii="宋体" w:hAnsi="Courier New"/>
      <w:b w:val="0"/>
      <w:bCs w:val="0"/>
      <w:kern w:val="0"/>
      <w:sz w:val="20"/>
      <w:szCs w:val="21"/>
    </w:rPr>
  </w:style>
  <w:style w:type="paragraph" w:customStyle="1" w:styleId="303">
    <w:name w:val="表题行"/>
    <w:basedOn w:val="3"/>
    <w:next w:val="1"/>
    <w:autoRedefine/>
    <w:qFormat/>
    <w:uiPriority w:val="99"/>
    <w:pPr>
      <w:keepNext w:val="0"/>
      <w:keepLines w:val="0"/>
      <w:spacing w:before="0" w:after="0" w:line="500" w:lineRule="atLeast"/>
      <w:ind w:firstLine="425" w:firstLineChars="177"/>
      <w:jc w:val="center"/>
      <w:outlineLvl w:val="9"/>
    </w:pPr>
    <w:rPr>
      <w:kern w:val="2"/>
      <w:sz w:val="18"/>
      <w:szCs w:val="21"/>
    </w:rPr>
  </w:style>
  <w:style w:type="paragraph" w:customStyle="1" w:styleId="304">
    <w:name w:val="a9"/>
    <w:basedOn w:val="3"/>
    <w:next w:val="1"/>
    <w:autoRedefine/>
    <w:qFormat/>
    <w:uiPriority w:val="99"/>
    <w:pPr>
      <w:keepNext w:val="0"/>
      <w:keepLines w:val="0"/>
      <w:widowControl/>
      <w:snapToGrid w:val="0"/>
      <w:spacing w:before="120" w:after="120" w:line="360" w:lineRule="auto"/>
      <w:ind w:firstLine="480" w:firstLineChars="177"/>
      <w:outlineLvl w:val="9"/>
    </w:pPr>
    <w:rPr>
      <w:b w:val="0"/>
      <w:bCs w:val="0"/>
      <w:kern w:val="0"/>
      <w:sz w:val="24"/>
      <w:szCs w:val="24"/>
    </w:rPr>
  </w:style>
  <w:style w:type="paragraph" w:customStyle="1" w:styleId="305">
    <w:name w:val="表文"/>
    <w:basedOn w:val="3"/>
    <w:next w:val="1"/>
    <w:link w:val="719"/>
    <w:autoRedefine/>
    <w:qFormat/>
    <w:uiPriority w:val="0"/>
    <w:pPr>
      <w:keepNext w:val="0"/>
      <w:keepLines w:val="0"/>
      <w:spacing w:before="0" w:after="0" w:line="500" w:lineRule="atLeast"/>
      <w:ind w:firstLine="425" w:firstLineChars="177"/>
      <w:jc w:val="center"/>
      <w:outlineLvl w:val="9"/>
    </w:pPr>
    <w:rPr>
      <w:b w:val="0"/>
      <w:bCs w:val="0"/>
      <w:kern w:val="2"/>
      <w:sz w:val="24"/>
      <w:szCs w:val="24"/>
    </w:rPr>
  </w:style>
  <w:style w:type="paragraph" w:customStyle="1" w:styleId="306">
    <w:name w:val="报告"/>
    <w:basedOn w:val="3"/>
    <w:next w:val="1"/>
    <w:autoRedefine/>
    <w:qFormat/>
    <w:uiPriority w:val="99"/>
    <w:pPr>
      <w:keepNext w:val="0"/>
      <w:keepLines w:val="0"/>
      <w:adjustRightInd w:val="0"/>
      <w:spacing w:before="0" w:after="0" w:line="360" w:lineRule="auto"/>
      <w:ind w:firstLine="505" w:firstLineChars="177"/>
      <w:outlineLvl w:val="9"/>
    </w:pPr>
    <w:rPr>
      <w:rFonts w:ascii="TimesNewRoman" w:hAnsi="TimesNewRoman"/>
      <w:b w:val="0"/>
      <w:bCs w:val="0"/>
      <w:kern w:val="0"/>
      <w:sz w:val="24"/>
      <w:szCs w:val="20"/>
    </w:rPr>
  </w:style>
  <w:style w:type="paragraph" w:customStyle="1" w:styleId="307">
    <w:name w:val="韩奇"/>
    <w:basedOn w:val="3"/>
    <w:next w:val="1"/>
    <w:autoRedefine/>
    <w:qFormat/>
    <w:uiPriority w:val="99"/>
    <w:pPr>
      <w:keepNext w:val="0"/>
      <w:keepLines w:val="0"/>
      <w:adjustRightInd w:val="0"/>
      <w:spacing w:before="0" w:after="0" w:line="500" w:lineRule="exact"/>
      <w:ind w:firstLine="200" w:firstLineChars="200"/>
      <w:outlineLvl w:val="9"/>
    </w:pPr>
    <w:rPr>
      <w:rFonts w:eastAsia="楷体_GB2312"/>
      <w:b w:val="0"/>
      <w:bCs w:val="0"/>
      <w:kern w:val="0"/>
      <w:sz w:val="28"/>
      <w:szCs w:val="20"/>
    </w:rPr>
  </w:style>
  <w:style w:type="paragraph" w:customStyle="1" w:styleId="308">
    <w:name w:val="xl41"/>
    <w:basedOn w:val="3"/>
    <w:next w:val="1"/>
    <w:autoRedefine/>
    <w:qFormat/>
    <w:uiPriority w:val="99"/>
    <w:pPr>
      <w:keepNext w:val="0"/>
      <w:keepLines w:val="0"/>
      <w:widowControl/>
      <w:pBdr>
        <w:top w:val="single" w:color="auto" w:sz="8" w:space="0"/>
        <w:left w:val="single" w:color="auto" w:sz="8" w:space="0"/>
        <w:right w:val="single" w:color="auto" w:sz="8" w:space="0"/>
      </w:pBdr>
      <w:spacing w:before="100" w:beforeAutospacing="1" w:after="100" w:afterAutospacing="1" w:line="500" w:lineRule="atLeast"/>
      <w:ind w:firstLine="425" w:firstLineChars="177"/>
      <w:jc w:val="center"/>
      <w:outlineLvl w:val="9"/>
    </w:pPr>
    <w:rPr>
      <w:rFonts w:ascii="宋体" w:hAnsi="宋体" w:cs="宋体"/>
      <w:b w:val="0"/>
      <w:bCs w:val="0"/>
      <w:color w:val="000000"/>
      <w:kern w:val="0"/>
      <w:sz w:val="24"/>
      <w:szCs w:val="21"/>
    </w:rPr>
  </w:style>
  <w:style w:type="paragraph" w:customStyle="1" w:styleId="309">
    <w:name w:val="xl39"/>
    <w:basedOn w:val="3"/>
    <w:next w:val="1"/>
    <w:autoRedefine/>
    <w:qFormat/>
    <w:uiPriority w:val="99"/>
    <w:pPr>
      <w:keepNext w:val="0"/>
      <w:keepLines w:val="0"/>
      <w:widowControl/>
      <w:pBdr>
        <w:left w:val="single" w:color="auto" w:sz="8" w:space="0"/>
        <w:right w:val="single" w:color="auto" w:sz="8" w:space="0"/>
      </w:pBdr>
      <w:spacing w:before="100" w:beforeAutospacing="1" w:after="100" w:afterAutospacing="1" w:line="500" w:lineRule="atLeast"/>
      <w:ind w:firstLine="425" w:firstLineChars="177"/>
      <w:jc w:val="center"/>
      <w:outlineLvl w:val="9"/>
    </w:pPr>
    <w:rPr>
      <w:rFonts w:ascii="宋体" w:hAnsi="宋体" w:cs="宋体"/>
      <w:b w:val="0"/>
      <w:bCs w:val="0"/>
      <w:color w:val="000000"/>
      <w:kern w:val="0"/>
      <w:sz w:val="24"/>
      <w:szCs w:val="21"/>
    </w:rPr>
  </w:style>
  <w:style w:type="paragraph" w:customStyle="1" w:styleId="310">
    <w:name w:val="qilu"/>
    <w:basedOn w:val="3"/>
    <w:next w:val="1"/>
    <w:autoRedefine/>
    <w:qFormat/>
    <w:uiPriority w:val="99"/>
    <w:pPr>
      <w:keepNext w:val="0"/>
      <w:keepLines w:val="0"/>
      <w:autoSpaceDE w:val="0"/>
      <w:autoSpaceDN w:val="0"/>
      <w:adjustRightInd w:val="0"/>
      <w:spacing w:before="0" w:after="0" w:line="500" w:lineRule="atLeast"/>
      <w:ind w:firstLine="425" w:firstLineChars="177"/>
      <w:jc w:val="left"/>
      <w:outlineLvl w:val="9"/>
    </w:pPr>
    <w:rPr>
      <w:rFonts w:ascii="宋体"/>
      <w:bCs w:val="0"/>
      <w:kern w:val="0"/>
      <w:sz w:val="28"/>
      <w:szCs w:val="20"/>
    </w:rPr>
  </w:style>
  <w:style w:type="paragraph" w:customStyle="1" w:styleId="311">
    <w:name w:val="Char Char Char Char Char Char Char Char Char Char Char Char Char Char Char"/>
    <w:basedOn w:val="3"/>
    <w:next w:val="1"/>
    <w:autoRedefine/>
    <w:qFormat/>
    <w:uiPriority w:val="99"/>
    <w:pPr>
      <w:keepNext w:val="0"/>
      <w:keepLines w:val="0"/>
      <w:spacing w:before="0" w:after="0" w:line="360" w:lineRule="auto"/>
      <w:ind w:firstLine="200" w:firstLineChars="200"/>
      <w:outlineLvl w:val="9"/>
    </w:pPr>
    <w:rPr>
      <w:rFonts w:ascii="宋体" w:hAnsi="宋体" w:cs="宋体"/>
      <w:b w:val="0"/>
      <w:bCs w:val="0"/>
      <w:kern w:val="2"/>
      <w:sz w:val="24"/>
      <w:szCs w:val="24"/>
    </w:rPr>
  </w:style>
  <w:style w:type="paragraph" w:customStyle="1" w:styleId="312">
    <w:name w:val="xl43"/>
    <w:basedOn w:val="3"/>
    <w:next w:val="1"/>
    <w:autoRedefine/>
    <w:qFormat/>
    <w:uiPriority w:val="99"/>
    <w:pPr>
      <w:keepNext w:val="0"/>
      <w:keepLines w:val="0"/>
      <w:widowControl/>
      <w:pBdr>
        <w:top w:val="single" w:color="auto" w:sz="8" w:space="0"/>
        <w:left w:val="single" w:color="auto" w:sz="8" w:space="0"/>
        <w:right w:val="single" w:color="auto" w:sz="8" w:space="0"/>
      </w:pBdr>
      <w:spacing w:before="100" w:beforeAutospacing="1" w:after="100" w:afterAutospacing="1" w:line="500" w:lineRule="atLeast"/>
      <w:ind w:firstLine="425" w:firstLineChars="177"/>
      <w:jc w:val="center"/>
      <w:outlineLvl w:val="9"/>
    </w:pPr>
    <w:rPr>
      <w:b w:val="0"/>
      <w:bCs w:val="0"/>
      <w:color w:val="000000"/>
      <w:kern w:val="0"/>
      <w:sz w:val="24"/>
      <w:szCs w:val="21"/>
    </w:rPr>
  </w:style>
  <w:style w:type="paragraph" w:customStyle="1" w:styleId="313">
    <w:name w:val="标题样式3"/>
    <w:basedOn w:val="5"/>
    <w:next w:val="1"/>
    <w:autoRedefine/>
    <w:qFormat/>
    <w:uiPriority w:val="99"/>
    <w:pPr>
      <w:widowControl/>
      <w:tabs>
        <w:tab w:val="left" w:pos="0"/>
      </w:tabs>
      <w:spacing w:before="0" w:after="0" w:line="360" w:lineRule="auto"/>
      <w:jc w:val="left"/>
    </w:pPr>
    <w:rPr>
      <w:rFonts w:ascii="黑体" w:hAnsi="Times New Roman" w:eastAsia="黑体" w:cs="Times New Roman"/>
      <w:b/>
      <w:bCs/>
      <w:kern w:val="0"/>
      <w:sz w:val="24"/>
    </w:rPr>
  </w:style>
  <w:style w:type="paragraph" w:customStyle="1" w:styleId="314">
    <w:name w:val="报告正文文字"/>
    <w:basedOn w:val="3"/>
    <w:next w:val="1"/>
    <w:autoRedefine/>
    <w:qFormat/>
    <w:uiPriority w:val="99"/>
    <w:pPr>
      <w:keepNext w:val="0"/>
      <w:keepLines w:val="0"/>
      <w:widowControl/>
      <w:autoSpaceDE w:val="0"/>
      <w:autoSpaceDN w:val="0"/>
      <w:spacing w:before="0" w:after="0" w:line="360" w:lineRule="auto"/>
      <w:ind w:firstLine="480" w:firstLineChars="200"/>
      <w:outlineLvl w:val="9"/>
    </w:pPr>
    <w:rPr>
      <w:rFonts w:ascii="宋体" w:hAnsi="宋体"/>
      <w:b w:val="0"/>
      <w:bCs w:val="0"/>
      <w:color w:val="000000"/>
      <w:spacing w:val="4"/>
      <w:kern w:val="0"/>
      <w:sz w:val="24"/>
      <w:szCs w:val="20"/>
    </w:rPr>
  </w:style>
  <w:style w:type="paragraph" w:customStyle="1" w:styleId="315">
    <w:name w:val="xl26"/>
    <w:basedOn w:val="3"/>
    <w:next w:val="1"/>
    <w:autoRedefine/>
    <w:qFormat/>
    <w:uiPriority w:val="99"/>
    <w:pPr>
      <w:keepNext w:val="0"/>
      <w:keepLines w:val="0"/>
      <w:widowControl/>
      <w:pBdr>
        <w:bottom w:val="single" w:color="auto" w:sz="4" w:space="0"/>
        <w:right w:val="single" w:color="auto" w:sz="4" w:space="0"/>
      </w:pBdr>
      <w:spacing w:before="100" w:beforeAutospacing="1" w:after="100" w:afterAutospacing="1" w:line="500" w:lineRule="atLeast"/>
      <w:ind w:firstLine="425" w:firstLineChars="177"/>
      <w:jc w:val="center"/>
      <w:outlineLvl w:val="9"/>
    </w:pPr>
    <w:rPr>
      <w:rFonts w:eastAsia="Arial Unicode MS"/>
      <w:b w:val="0"/>
      <w:bCs w:val="0"/>
      <w:kern w:val="0"/>
      <w:sz w:val="24"/>
      <w:szCs w:val="21"/>
    </w:rPr>
  </w:style>
  <w:style w:type="paragraph" w:customStyle="1" w:styleId="316">
    <w:name w:val="Plain Text1"/>
    <w:basedOn w:val="3"/>
    <w:next w:val="1"/>
    <w:autoRedefine/>
    <w:qFormat/>
    <w:uiPriority w:val="99"/>
    <w:pPr>
      <w:keepNext w:val="0"/>
      <w:keepLines w:val="0"/>
      <w:autoSpaceDE w:val="0"/>
      <w:autoSpaceDN w:val="0"/>
      <w:adjustRightInd w:val="0"/>
      <w:spacing w:before="0" w:after="0" w:line="500" w:lineRule="atLeast"/>
      <w:ind w:firstLine="425" w:firstLineChars="177"/>
      <w:outlineLvl w:val="9"/>
    </w:pPr>
    <w:rPr>
      <w:rFonts w:ascii="宋体" w:hAnsi="Tms Rmn"/>
      <w:b w:val="0"/>
      <w:bCs w:val="0"/>
      <w:kern w:val="0"/>
      <w:sz w:val="24"/>
      <w:szCs w:val="20"/>
    </w:rPr>
  </w:style>
  <w:style w:type="character" w:customStyle="1" w:styleId="317">
    <w:name w:val="段落1 Char1"/>
    <w:link w:val="318"/>
    <w:autoRedefine/>
    <w:qFormat/>
    <w:uiPriority w:val="0"/>
    <w:rPr>
      <w:rFonts w:ascii="宋体" w:hAnsi="宋体" w:eastAsia="宋体"/>
      <w:spacing w:val="6"/>
      <w:sz w:val="28"/>
    </w:rPr>
  </w:style>
  <w:style w:type="paragraph" w:customStyle="1" w:styleId="318">
    <w:name w:val="段落1"/>
    <w:basedOn w:val="3"/>
    <w:next w:val="1"/>
    <w:link w:val="317"/>
    <w:autoRedefine/>
    <w:qFormat/>
    <w:uiPriority w:val="0"/>
    <w:pPr>
      <w:keepNext w:val="0"/>
      <w:keepLines w:val="0"/>
      <w:adjustRightInd w:val="0"/>
      <w:spacing w:before="0" w:after="0" w:line="440" w:lineRule="exact"/>
      <w:ind w:firstLine="600" w:firstLineChars="200"/>
      <w:outlineLvl w:val="9"/>
    </w:pPr>
    <w:rPr>
      <w:rFonts w:ascii="宋体" w:hAnsi="宋体" w:cstheme="minorBidi"/>
      <w:b w:val="0"/>
      <w:bCs w:val="0"/>
      <w:spacing w:val="6"/>
      <w:kern w:val="2"/>
      <w:sz w:val="28"/>
      <w:szCs w:val="22"/>
    </w:rPr>
  </w:style>
  <w:style w:type="paragraph" w:customStyle="1" w:styleId="319">
    <w:name w:val="table"/>
    <w:basedOn w:val="3"/>
    <w:next w:val="1"/>
    <w:autoRedefine/>
    <w:qFormat/>
    <w:uiPriority w:val="99"/>
    <w:pPr>
      <w:keepNext w:val="0"/>
      <w:keepLines w:val="0"/>
      <w:widowControl/>
      <w:overflowPunct w:val="0"/>
      <w:autoSpaceDE w:val="0"/>
      <w:autoSpaceDN w:val="0"/>
      <w:adjustRightInd w:val="0"/>
      <w:spacing w:before="60" w:after="60" w:line="500" w:lineRule="atLeast"/>
      <w:ind w:firstLine="425" w:firstLineChars="177"/>
      <w:jc w:val="center"/>
      <w:outlineLvl w:val="9"/>
    </w:pPr>
    <w:rPr>
      <w:rFonts w:ascii="仿宋体" w:eastAsia="仿宋体"/>
      <w:b w:val="0"/>
      <w:bCs w:val="0"/>
      <w:kern w:val="0"/>
      <w:sz w:val="24"/>
      <w:szCs w:val="20"/>
    </w:rPr>
  </w:style>
  <w:style w:type="paragraph" w:customStyle="1" w:styleId="320">
    <w:name w:val="xl58"/>
    <w:basedOn w:val="3"/>
    <w:next w:val="1"/>
    <w:autoRedefine/>
    <w:qFormat/>
    <w:uiPriority w:val="99"/>
    <w:pPr>
      <w:keepNext w:val="0"/>
      <w:keepLines w:val="0"/>
      <w:widowControl/>
      <w:pBdr>
        <w:top w:val="single" w:color="auto" w:sz="12" w:space="0"/>
        <w:bottom w:val="single" w:color="auto" w:sz="8" w:space="0"/>
        <w:right w:val="single" w:color="auto" w:sz="8" w:space="0"/>
      </w:pBdr>
      <w:spacing w:before="100" w:beforeAutospacing="1" w:after="100" w:afterAutospacing="1" w:line="500" w:lineRule="atLeast"/>
      <w:ind w:firstLine="425" w:firstLineChars="177"/>
      <w:jc w:val="center"/>
      <w:outlineLvl w:val="9"/>
    </w:pPr>
    <w:rPr>
      <w:rFonts w:ascii="宋体" w:hAnsi="宋体" w:cs="宋体"/>
      <w:b w:val="0"/>
      <w:bCs w:val="0"/>
      <w:color w:val="000000"/>
      <w:kern w:val="0"/>
      <w:sz w:val="24"/>
      <w:szCs w:val="21"/>
    </w:rPr>
  </w:style>
  <w:style w:type="paragraph" w:customStyle="1" w:styleId="321">
    <w:name w:val="Char Char Char Char Char Char Char Char Char Char Char Char Char Char Char Char Char Char Char Char Char Char"/>
    <w:basedOn w:val="3"/>
    <w:next w:val="1"/>
    <w:autoRedefine/>
    <w:qFormat/>
    <w:uiPriority w:val="99"/>
    <w:pPr>
      <w:keepNext w:val="0"/>
      <w:keepLines w:val="0"/>
      <w:widowControl/>
      <w:spacing w:before="0" w:after="160" w:line="240" w:lineRule="exact"/>
      <w:ind w:firstLine="425" w:firstLineChars="177"/>
      <w:jc w:val="left"/>
      <w:outlineLvl w:val="9"/>
    </w:pPr>
    <w:rPr>
      <w:b w:val="0"/>
      <w:bCs w:val="0"/>
      <w:kern w:val="2"/>
      <w:sz w:val="24"/>
      <w:szCs w:val="20"/>
    </w:rPr>
  </w:style>
  <w:style w:type="paragraph" w:customStyle="1" w:styleId="322">
    <w:name w:val="WW-正文（首行缩进两字）"/>
    <w:basedOn w:val="3"/>
    <w:next w:val="1"/>
    <w:autoRedefine/>
    <w:qFormat/>
    <w:uiPriority w:val="99"/>
    <w:pPr>
      <w:keepNext w:val="0"/>
      <w:keepLines w:val="0"/>
      <w:suppressAutoHyphens/>
      <w:spacing w:before="0" w:after="0" w:line="500" w:lineRule="atLeast"/>
      <w:ind w:firstLine="420" w:firstLineChars="177"/>
      <w:outlineLvl w:val="9"/>
    </w:pPr>
    <w:rPr>
      <w:b w:val="0"/>
      <w:bCs w:val="0"/>
      <w:kern w:val="2"/>
      <w:sz w:val="24"/>
      <w:szCs w:val="20"/>
    </w:rPr>
  </w:style>
  <w:style w:type="paragraph" w:customStyle="1" w:styleId="323">
    <w:name w:val="表格内容格式"/>
    <w:basedOn w:val="3"/>
    <w:next w:val="1"/>
    <w:autoRedefine/>
    <w:qFormat/>
    <w:uiPriority w:val="99"/>
    <w:pPr>
      <w:keepNext w:val="0"/>
      <w:keepLines w:val="0"/>
      <w:tabs>
        <w:tab w:val="left" w:pos="1935"/>
      </w:tabs>
      <w:adjustRightInd w:val="0"/>
      <w:snapToGrid w:val="0"/>
      <w:spacing w:before="0" w:after="0" w:line="500" w:lineRule="atLeast"/>
      <w:ind w:right="-45" w:rightChars="-45" w:firstLine="425" w:firstLineChars="177"/>
      <w:outlineLvl w:val="9"/>
    </w:pPr>
    <w:rPr>
      <w:b w:val="0"/>
      <w:bCs w:val="0"/>
      <w:color w:val="000000"/>
      <w:kern w:val="0"/>
      <w:sz w:val="24"/>
      <w:szCs w:val="20"/>
    </w:rPr>
  </w:style>
  <w:style w:type="paragraph" w:customStyle="1" w:styleId="324">
    <w:name w:val="font0"/>
    <w:basedOn w:val="3"/>
    <w:next w:val="1"/>
    <w:autoRedefine/>
    <w:qFormat/>
    <w:uiPriority w:val="99"/>
    <w:pPr>
      <w:keepNext w:val="0"/>
      <w:keepLines w:val="0"/>
      <w:widowControl/>
      <w:adjustRightInd w:val="0"/>
      <w:snapToGrid w:val="0"/>
      <w:spacing w:before="100" w:beforeAutospacing="1" w:after="100" w:afterAutospacing="1" w:line="360" w:lineRule="auto"/>
      <w:ind w:firstLine="425" w:firstLineChars="177"/>
      <w:jc w:val="left"/>
      <w:outlineLvl w:val="9"/>
    </w:pPr>
    <w:rPr>
      <w:rFonts w:ascii="宋体" w:hAnsi="宋体"/>
      <w:b w:val="0"/>
      <w:bCs w:val="0"/>
      <w:kern w:val="0"/>
      <w:sz w:val="24"/>
      <w:szCs w:val="24"/>
    </w:rPr>
  </w:style>
  <w:style w:type="paragraph" w:customStyle="1" w:styleId="325">
    <w:name w:val="a6"/>
    <w:next w:val="1"/>
    <w:autoRedefine/>
    <w:qFormat/>
    <w:uiPriority w:val="99"/>
    <w:pPr>
      <w:spacing w:line="280" w:lineRule="atLeast"/>
      <w:ind w:firstLine="360"/>
      <w:jc w:val="center"/>
    </w:pPr>
    <w:rPr>
      <w:rFonts w:ascii="Times New Roman" w:hAnsi="Times New Roman" w:eastAsia="宋体" w:cs="Times New Roman"/>
      <w:color w:val="000000"/>
      <w:kern w:val="0"/>
      <w:sz w:val="18"/>
      <w:szCs w:val="18"/>
      <w:lang w:val="en-US" w:eastAsia="zh-CN" w:bidi="ar-SA"/>
    </w:rPr>
  </w:style>
  <w:style w:type="paragraph" w:customStyle="1" w:styleId="326">
    <w:name w:val="图表名"/>
    <w:basedOn w:val="3"/>
    <w:next w:val="1"/>
    <w:autoRedefine/>
    <w:qFormat/>
    <w:uiPriority w:val="99"/>
    <w:pPr>
      <w:keepNext w:val="0"/>
      <w:keepLines w:val="0"/>
      <w:spacing w:beforeLines="30" w:after="0" w:line="440" w:lineRule="exact"/>
      <w:ind w:firstLine="480" w:firstLineChars="177"/>
      <w:outlineLvl w:val="9"/>
    </w:pPr>
    <w:rPr>
      <w:rFonts w:eastAsia="黑体"/>
      <w:b w:val="0"/>
      <w:bCs w:val="0"/>
      <w:kern w:val="2"/>
      <w:sz w:val="24"/>
      <w:szCs w:val="20"/>
    </w:rPr>
  </w:style>
  <w:style w:type="paragraph" w:customStyle="1" w:styleId="327">
    <w:name w:val="a9cxspmiddle"/>
    <w:basedOn w:val="3"/>
    <w:next w:val="1"/>
    <w:autoRedefine/>
    <w:qFormat/>
    <w:uiPriority w:val="99"/>
    <w:pPr>
      <w:keepNext w:val="0"/>
      <w:keepLines w:val="0"/>
      <w:widowControl/>
      <w:snapToGrid w:val="0"/>
      <w:spacing w:before="0" w:after="0" w:line="360" w:lineRule="auto"/>
      <w:ind w:firstLine="480" w:firstLineChars="177"/>
      <w:outlineLvl w:val="9"/>
    </w:pPr>
    <w:rPr>
      <w:b w:val="0"/>
      <w:bCs w:val="0"/>
      <w:kern w:val="0"/>
      <w:sz w:val="24"/>
      <w:szCs w:val="24"/>
    </w:rPr>
  </w:style>
  <w:style w:type="paragraph" w:customStyle="1" w:styleId="328">
    <w:name w:val="样式 首行缩进:  2 字符"/>
    <w:basedOn w:val="3"/>
    <w:next w:val="1"/>
    <w:autoRedefine/>
    <w:qFormat/>
    <w:uiPriority w:val="99"/>
    <w:pPr>
      <w:keepNext w:val="0"/>
      <w:keepLines w:val="0"/>
      <w:spacing w:before="0" w:after="0" w:line="360" w:lineRule="auto"/>
      <w:ind w:firstLine="200" w:firstLineChars="200"/>
      <w:outlineLvl w:val="9"/>
    </w:pPr>
    <w:rPr>
      <w:b w:val="0"/>
      <w:bCs w:val="0"/>
      <w:kern w:val="2"/>
      <w:sz w:val="24"/>
      <w:szCs w:val="24"/>
    </w:rPr>
  </w:style>
  <w:style w:type="paragraph" w:customStyle="1" w:styleId="329">
    <w:name w:val="xl35"/>
    <w:basedOn w:val="3"/>
    <w:next w:val="1"/>
    <w:autoRedefine/>
    <w:qFormat/>
    <w:uiPriority w:val="99"/>
    <w:pPr>
      <w:keepNext w:val="0"/>
      <w:keepLines w:val="0"/>
      <w:widowControl/>
      <w:pBdr>
        <w:bottom w:val="single" w:color="auto" w:sz="8" w:space="0"/>
        <w:right w:val="single" w:color="auto" w:sz="8" w:space="0"/>
      </w:pBdr>
      <w:spacing w:before="100" w:beforeAutospacing="1" w:after="100" w:afterAutospacing="1" w:line="500" w:lineRule="atLeast"/>
      <w:ind w:firstLine="425" w:firstLineChars="177"/>
      <w:jc w:val="center"/>
      <w:outlineLvl w:val="9"/>
    </w:pPr>
    <w:rPr>
      <w:b w:val="0"/>
      <w:bCs w:val="0"/>
      <w:color w:val="000000"/>
      <w:kern w:val="0"/>
      <w:sz w:val="24"/>
      <w:szCs w:val="21"/>
    </w:rPr>
  </w:style>
  <w:style w:type="paragraph" w:customStyle="1" w:styleId="330">
    <w:name w:val="表1表2"/>
    <w:basedOn w:val="3"/>
    <w:next w:val="1"/>
    <w:autoRedefine/>
    <w:qFormat/>
    <w:uiPriority w:val="99"/>
    <w:pPr>
      <w:keepNext w:val="0"/>
      <w:keepLines w:val="0"/>
      <w:autoSpaceDE w:val="0"/>
      <w:autoSpaceDN w:val="0"/>
      <w:adjustRightInd w:val="0"/>
      <w:spacing w:before="0" w:after="0" w:line="500" w:lineRule="atLeast"/>
      <w:ind w:firstLine="425" w:firstLineChars="177"/>
      <w:jc w:val="center"/>
      <w:outlineLvl w:val="9"/>
    </w:pPr>
    <w:rPr>
      <w:rFonts w:eastAsia="FangSong_GB2312"/>
      <w:b w:val="0"/>
      <w:bCs w:val="0"/>
      <w:kern w:val="0"/>
      <w:sz w:val="24"/>
      <w:szCs w:val="21"/>
    </w:rPr>
  </w:style>
  <w:style w:type="paragraph" w:customStyle="1" w:styleId="331">
    <w:name w:val="xl23"/>
    <w:basedOn w:val="3"/>
    <w:next w:val="1"/>
    <w:autoRedefine/>
    <w:qFormat/>
    <w:uiPriority w:val="99"/>
    <w:pPr>
      <w:keepNext w:val="0"/>
      <w:keepLines w:val="0"/>
      <w:widowControl/>
      <w:pBdr>
        <w:top w:val="single" w:color="auto" w:sz="4" w:space="0"/>
        <w:left w:val="single" w:color="auto" w:sz="4" w:space="0"/>
        <w:right w:val="single" w:color="auto" w:sz="4" w:space="0"/>
      </w:pBdr>
      <w:spacing w:before="100" w:beforeAutospacing="1" w:after="100" w:afterAutospacing="1" w:line="500" w:lineRule="atLeast"/>
      <w:ind w:firstLine="425" w:firstLineChars="177"/>
      <w:jc w:val="center"/>
      <w:outlineLvl w:val="9"/>
    </w:pPr>
    <w:rPr>
      <w:rFonts w:ascii="宋体" w:hAnsi="宋体" w:cs="宋体"/>
      <w:b w:val="0"/>
      <w:bCs w:val="0"/>
      <w:kern w:val="0"/>
      <w:sz w:val="24"/>
      <w:szCs w:val="24"/>
    </w:rPr>
  </w:style>
  <w:style w:type="paragraph" w:customStyle="1" w:styleId="332">
    <w:name w:val="公式说明"/>
    <w:next w:val="1"/>
    <w:autoRedefine/>
    <w:qFormat/>
    <w:uiPriority w:val="99"/>
    <w:pPr>
      <w:spacing w:line="240" w:lineRule="auto"/>
      <w:ind w:firstLine="200" w:firstLineChars="200"/>
      <w:jc w:val="left"/>
    </w:pPr>
    <w:rPr>
      <w:rFonts w:ascii="Times New Roman" w:hAnsi="Times New Roman" w:eastAsia="宋体" w:cs="Times New Roman"/>
      <w:kern w:val="2"/>
      <w:sz w:val="24"/>
      <w:szCs w:val="20"/>
      <w:lang w:val="en-US" w:eastAsia="zh-CN" w:bidi="ar-SA"/>
    </w:rPr>
  </w:style>
  <w:style w:type="paragraph" w:customStyle="1" w:styleId="333">
    <w:name w:val="Body Text 22"/>
    <w:basedOn w:val="3"/>
    <w:next w:val="1"/>
    <w:autoRedefine/>
    <w:qFormat/>
    <w:uiPriority w:val="99"/>
    <w:pPr>
      <w:keepNext w:val="0"/>
      <w:keepLines w:val="0"/>
      <w:adjustRightInd w:val="0"/>
      <w:spacing w:before="0" w:after="0" w:line="440" w:lineRule="atLeast"/>
      <w:ind w:firstLine="480" w:firstLineChars="177"/>
      <w:outlineLvl w:val="9"/>
    </w:pPr>
    <w:rPr>
      <w:rFonts w:eastAsia="FangSong_GB2312"/>
      <w:b w:val="0"/>
      <w:bCs w:val="0"/>
      <w:kern w:val="2"/>
      <w:sz w:val="24"/>
      <w:szCs w:val="20"/>
    </w:rPr>
  </w:style>
  <w:style w:type="paragraph" w:customStyle="1" w:styleId="334">
    <w:name w:val="1.1.1"/>
    <w:basedOn w:val="3"/>
    <w:next w:val="1"/>
    <w:autoRedefine/>
    <w:qFormat/>
    <w:uiPriority w:val="99"/>
    <w:pPr>
      <w:keepNext w:val="0"/>
      <w:keepLines w:val="0"/>
      <w:spacing w:before="0" w:after="0" w:line="500" w:lineRule="atLeast"/>
      <w:ind w:firstLine="425" w:firstLineChars="177"/>
      <w:outlineLvl w:val="9"/>
    </w:pPr>
    <w:rPr>
      <w:rFonts w:ascii="黑体"/>
      <w:b w:val="0"/>
      <w:bCs w:val="0"/>
      <w:kern w:val="2"/>
      <w:sz w:val="24"/>
      <w:szCs w:val="24"/>
    </w:rPr>
  </w:style>
  <w:style w:type="paragraph" w:customStyle="1" w:styleId="335">
    <w:name w:val="报告表格"/>
    <w:basedOn w:val="3"/>
    <w:next w:val="1"/>
    <w:autoRedefine/>
    <w:qFormat/>
    <w:uiPriority w:val="99"/>
    <w:pPr>
      <w:keepNext w:val="0"/>
      <w:keepLines w:val="0"/>
      <w:autoSpaceDE w:val="0"/>
      <w:autoSpaceDN w:val="0"/>
      <w:adjustRightInd w:val="0"/>
      <w:spacing w:before="40" w:after="40" w:line="500" w:lineRule="atLeast"/>
      <w:ind w:firstLine="425" w:firstLineChars="177"/>
      <w:jc w:val="center"/>
      <w:outlineLvl w:val="9"/>
    </w:pPr>
    <w:rPr>
      <w:b w:val="0"/>
      <w:bCs w:val="0"/>
      <w:kern w:val="0"/>
      <w:sz w:val="24"/>
      <w:szCs w:val="20"/>
    </w:rPr>
  </w:style>
  <w:style w:type="paragraph" w:customStyle="1" w:styleId="336">
    <w:name w:val="表中正文"/>
    <w:basedOn w:val="3"/>
    <w:next w:val="1"/>
    <w:autoRedefine/>
    <w:qFormat/>
    <w:uiPriority w:val="99"/>
    <w:pPr>
      <w:keepNext w:val="0"/>
      <w:keepLines w:val="0"/>
      <w:tabs>
        <w:tab w:val="left" w:pos="958"/>
        <w:tab w:val="left" w:pos="7320"/>
        <w:tab w:val="left" w:pos="8160"/>
      </w:tabs>
      <w:adjustRightInd w:val="0"/>
      <w:spacing w:before="0" w:after="0" w:line="360" w:lineRule="atLeast"/>
      <w:ind w:right="113" w:firstLine="425" w:firstLineChars="177"/>
      <w:jc w:val="center"/>
      <w:outlineLvl w:val="9"/>
    </w:pPr>
    <w:rPr>
      <w:rFonts w:ascii="宋体" w:hAnsi="宋体"/>
      <w:b w:val="0"/>
      <w:bCs w:val="0"/>
      <w:spacing w:val="6"/>
      <w:kern w:val="20"/>
      <w:sz w:val="24"/>
      <w:szCs w:val="24"/>
    </w:rPr>
  </w:style>
  <w:style w:type="paragraph" w:customStyle="1" w:styleId="337">
    <w:name w:val="样式 段落1 + 左 首行缩进:  2 字符 加宽量  0.3 磅"/>
    <w:basedOn w:val="3"/>
    <w:next w:val="1"/>
    <w:autoRedefine/>
    <w:qFormat/>
    <w:uiPriority w:val="99"/>
    <w:pPr>
      <w:keepNext w:val="0"/>
      <w:keepLines w:val="0"/>
      <w:tabs>
        <w:tab w:val="left" w:pos="4254"/>
      </w:tabs>
      <w:adjustRightInd w:val="0"/>
      <w:spacing w:before="0" w:after="0" w:line="440" w:lineRule="exact"/>
      <w:ind w:firstLine="504" w:firstLineChars="200"/>
      <w:outlineLvl w:val="9"/>
    </w:pPr>
    <w:rPr>
      <w:b w:val="0"/>
      <w:color w:val="0000FF"/>
      <w:spacing w:val="6"/>
      <w:kern w:val="0"/>
      <w:sz w:val="24"/>
      <w:szCs w:val="20"/>
    </w:rPr>
  </w:style>
  <w:style w:type="character" w:customStyle="1" w:styleId="338">
    <w:name w:val="正文首行缩进 2 Char1"/>
    <w:basedOn w:val="116"/>
    <w:autoRedefine/>
    <w:semiHidden/>
    <w:qFormat/>
    <w:uiPriority w:val="99"/>
    <w:rPr>
      <w:rFonts w:ascii="Times New Roman" w:hAnsi="Times New Roman" w:eastAsia="宋体" w:cs="Times New Roman"/>
      <w:szCs w:val="24"/>
    </w:rPr>
  </w:style>
  <w:style w:type="paragraph" w:customStyle="1" w:styleId="339">
    <w:name w:val="三级标题"/>
    <w:basedOn w:val="3"/>
    <w:next w:val="45"/>
    <w:autoRedefine/>
    <w:qFormat/>
    <w:uiPriority w:val="99"/>
    <w:pPr>
      <w:keepNext w:val="0"/>
      <w:keepLines w:val="0"/>
      <w:adjustRightInd w:val="0"/>
      <w:snapToGrid w:val="0"/>
      <w:spacing w:before="0" w:after="0" w:line="360" w:lineRule="exact"/>
      <w:ind w:firstLine="425" w:firstLineChars="177"/>
      <w:jc w:val="center"/>
      <w:outlineLvl w:val="9"/>
    </w:pPr>
    <w:rPr>
      <w:b w:val="0"/>
      <w:kern w:val="2"/>
      <w:sz w:val="24"/>
      <w:szCs w:val="20"/>
    </w:rPr>
  </w:style>
  <w:style w:type="paragraph" w:customStyle="1" w:styleId="340">
    <w:name w:val="unnamed2"/>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Arial Unicode MS" w:hAnsi="Arial Unicode MS" w:eastAsia="Arial Unicode MS" w:cs="Arial Unicode MS"/>
      <w:b w:val="0"/>
      <w:bCs w:val="0"/>
      <w:color w:val="000000"/>
      <w:kern w:val="0"/>
      <w:sz w:val="24"/>
      <w:szCs w:val="24"/>
    </w:rPr>
  </w:style>
  <w:style w:type="paragraph" w:customStyle="1" w:styleId="341">
    <w:name w:val="样式表格"/>
    <w:basedOn w:val="3"/>
    <w:next w:val="1"/>
    <w:autoRedefine/>
    <w:qFormat/>
    <w:uiPriority w:val="99"/>
    <w:pPr>
      <w:keepNext w:val="0"/>
      <w:keepLines w:val="0"/>
      <w:spacing w:before="0" w:after="0" w:line="240" w:lineRule="exact"/>
      <w:ind w:firstLine="425" w:firstLineChars="177"/>
      <w:outlineLvl w:val="9"/>
    </w:pPr>
    <w:rPr>
      <w:b w:val="0"/>
      <w:bCs w:val="0"/>
      <w:color w:val="000000"/>
      <w:kern w:val="0"/>
      <w:sz w:val="24"/>
      <w:szCs w:val="21"/>
    </w:rPr>
  </w:style>
  <w:style w:type="paragraph" w:customStyle="1" w:styleId="342">
    <w:name w:val="font5"/>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b w:val="0"/>
      <w:bCs w:val="0"/>
      <w:kern w:val="0"/>
      <w:sz w:val="18"/>
      <w:szCs w:val="20"/>
    </w:rPr>
  </w:style>
  <w:style w:type="paragraph" w:customStyle="1" w:styleId="343">
    <w:name w:val="样式2"/>
    <w:basedOn w:val="3"/>
    <w:next w:val="1"/>
    <w:autoRedefine/>
    <w:qFormat/>
    <w:uiPriority w:val="99"/>
    <w:pPr>
      <w:keepNext w:val="0"/>
      <w:keepLines w:val="0"/>
      <w:tabs>
        <w:tab w:val="left" w:pos="360"/>
      </w:tabs>
      <w:spacing w:before="50" w:after="50" w:line="440" w:lineRule="exact"/>
      <w:ind w:firstLine="425" w:firstLineChars="177"/>
      <w:outlineLvl w:val="9"/>
    </w:pPr>
    <w:rPr>
      <w:rFonts w:eastAsia="黑体"/>
      <w:b w:val="0"/>
      <w:bCs w:val="0"/>
      <w:kern w:val="2"/>
      <w:sz w:val="24"/>
      <w:szCs w:val="20"/>
    </w:rPr>
  </w:style>
  <w:style w:type="character" w:customStyle="1" w:styleId="344">
    <w:name w:val="cucd-2 Char"/>
    <w:link w:val="345"/>
    <w:autoRedefine/>
    <w:qFormat/>
    <w:uiPriority w:val="0"/>
    <w:rPr>
      <w:rFonts w:ascii="黑体" w:hAnsi="黑体" w:eastAsia="黑体"/>
      <w:b/>
      <w:sz w:val="30"/>
      <w:szCs w:val="24"/>
    </w:rPr>
  </w:style>
  <w:style w:type="paragraph" w:customStyle="1" w:styleId="345">
    <w:name w:val="cucd-2"/>
    <w:next w:val="346"/>
    <w:link w:val="344"/>
    <w:autoRedefine/>
    <w:qFormat/>
    <w:uiPriority w:val="0"/>
    <w:pPr>
      <w:tabs>
        <w:tab w:val="left" w:pos="576"/>
      </w:tabs>
      <w:spacing w:line="360" w:lineRule="auto"/>
      <w:ind w:left="576" w:hanging="576"/>
      <w:jc w:val="left"/>
      <w:outlineLvl w:val="1"/>
    </w:pPr>
    <w:rPr>
      <w:rFonts w:ascii="黑体" w:hAnsi="黑体" w:eastAsia="黑体" w:cstheme="minorBidi"/>
      <w:b/>
      <w:kern w:val="2"/>
      <w:sz w:val="30"/>
      <w:szCs w:val="24"/>
      <w:lang w:val="en-US" w:eastAsia="zh-CN" w:bidi="ar-SA"/>
    </w:rPr>
  </w:style>
  <w:style w:type="paragraph" w:customStyle="1" w:styleId="346">
    <w:name w:val="cucd-3"/>
    <w:next w:val="1"/>
    <w:link w:val="347"/>
    <w:autoRedefine/>
    <w:qFormat/>
    <w:uiPriority w:val="99"/>
    <w:pPr>
      <w:tabs>
        <w:tab w:val="left" w:pos="720"/>
      </w:tabs>
      <w:spacing w:line="360" w:lineRule="auto"/>
      <w:ind w:left="720" w:hanging="720"/>
      <w:jc w:val="left"/>
      <w:outlineLvl w:val="2"/>
    </w:pPr>
    <w:rPr>
      <w:rFonts w:ascii="Calibri" w:hAnsi="Calibri" w:eastAsia="宋体" w:cs="Times New Roman"/>
      <w:b/>
      <w:kern w:val="2"/>
      <w:sz w:val="28"/>
      <w:szCs w:val="24"/>
      <w:lang w:val="en-US" w:eastAsia="zh-CN" w:bidi="ar-SA"/>
    </w:rPr>
  </w:style>
  <w:style w:type="character" w:customStyle="1" w:styleId="347">
    <w:name w:val="cucd-3 Char"/>
    <w:link w:val="346"/>
    <w:autoRedefine/>
    <w:qFormat/>
    <w:uiPriority w:val="99"/>
    <w:rPr>
      <w:rFonts w:ascii="Calibri" w:hAnsi="Calibri" w:eastAsia="宋体" w:cs="Times New Roman"/>
      <w:b/>
      <w:sz w:val="28"/>
      <w:szCs w:val="24"/>
    </w:rPr>
  </w:style>
  <w:style w:type="paragraph" w:customStyle="1" w:styleId="348">
    <w:name w:val="表中"/>
    <w:basedOn w:val="3"/>
    <w:next w:val="1"/>
    <w:autoRedefine/>
    <w:qFormat/>
    <w:uiPriority w:val="99"/>
    <w:pPr>
      <w:keepNext w:val="0"/>
      <w:keepLines w:val="0"/>
      <w:spacing w:before="0" w:after="0" w:line="280" w:lineRule="exact"/>
      <w:ind w:firstLine="425" w:firstLineChars="177"/>
      <w:jc w:val="center"/>
      <w:outlineLvl w:val="9"/>
    </w:pPr>
    <w:rPr>
      <w:b w:val="0"/>
      <w:bCs w:val="0"/>
      <w:kern w:val="2"/>
      <w:sz w:val="18"/>
      <w:szCs w:val="18"/>
    </w:rPr>
  </w:style>
  <w:style w:type="paragraph" w:customStyle="1" w:styleId="349">
    <w:name w:val="样式 四号 首行缩进:  2 字符"/>
    <w:basedOn w:val="3"/>
    <w:next w:val="1"/>
    <w:autoRedefine/>
    <w:qFormat/>
    <w:uiPriority w:val="99"/>
    <w:pPr>
      <w:keepNext w:val="0"/>
      <w:keepLines w:val="0"/>
      <w:spacing w:before="0" w:after="0" w:line="480" w:lineRule="atLeast"/>
      <w:ind w:firstLine="200" w:firstLineChars="200"/>
      <w:outlineLvl w:val="9"/>
    </w:pPr>
    <w:rPr>
      <w:b w:val="0"/>
      <w:bCs w:val="0"/>
      <w:kern w:val="2"/>
      <w:sz w:val="24"/>
      <w:szCs w:val="20"/>
    </w:rPr>
  </w:style>
  <w:style w:type="paragraph" w:customStyle="1" w:styleId="350">
    <w:name w:val="xl38"/>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b w:val="0"/>
      <w:bCs w:val="0"/>
      <w:color w:val="000000"/>
      <w:kern w:val="0"/>
      <w:sz w:val="24"/>
      <w:szCs w:val="21"/>
    </w:rPr>
  </w:style>
  <w:style w:type="paragraph" w:customStyle="1" w:styleId="351">
    <w:name w:val="表头2"/>
    <w:basedOn w:val="3"/>
    <w:next w:val="1"/>
    <w:autoRedefine/>
    <w:qFormat/>
    <w:uiPriority w:val="99"/>
    <w:pPr>
      <w:keepNext w:val="0"/>
      <w:keepLines w:val="0"/>
      <w:spacing w:before="0" w:after="0" w:line="480" w:lineRule="auto"/>
      <w:ind w:firstLine="425" w:firstLineChars="177"/>
      <w:jc w:val="center"/>
      <w:outlineLvl w:val="9"/>
    </w:pPr>
    <w:rPr>
      <w:rFonts w:ascii="黑体" w:eastAsia="黑体"/>
      <w:b w:val="0"/>
      <w:bCs w:val="0"/>
      <w:color w:val="000000"/>
      <w:kern w:val="2"/>
      <w:sz w:val="24"/>
      <w:szCs w:val="24"/>
    </w:rPr>
  </w:style>
  <w:style w:type="paragraph" w:customStyle="1" w:styleId="352">
    <w:name w:val="标题6"/>
    <w:basedOn w:val="3"/>
    <w:next w:val="146"/>
    <w:autoRedefine/>
    <w:qFormat/>
    <w:uiPriority w:val="99"/>
    <w:pPr>
      <w:keepNext w:val="0"/>
      <w:keepLines w:val="0"/>
      <w:numPr>
        <w:ilvl w:val="0"/>
        <w:numId w:val="3"/>
      </w:numPr>
      <w:spacing w:before="0" w:after="0" w:line="480" w:lineRule="exact"/>
      <w:ind w:firstLine="177" w:firstLineChars="177"/>
      <w:jc w:val="left"/>
      <w:outlineLvl w:val="9"/>
    </w:pPr>
    <w:rPr>
      <w:b w:val="0"/>
      <w:bCs w:val="0"/>
      <w:spacing w:val="10"/>
      <w:kern w:val="2"/>
      <w:sz w:val="28"/>
      <w:szCs w:val="20"/>
    </w:rPr>
  </w:style>
  <w:style w:type="paragraph" w:customStyle="1" w:styleId="353">
    <w:name w:val="l_text2"/>
    <w:basedOn w:val="3"/>
    <w:next w:val="1"/>
    <w:autoRedefine/>
    <w:qFormat/>
    <w:uiPriority w:val="99"/>
    <w:pPr>
      <w:keepNext w:val="0"/>
      <w:keepLines w:val="0"/>
      <w:widowControl/>
      <w:numPr>
        <w:ilvl w:val="0"/>
        <w:numId w:val="4"/>
      </w:numPr>
      <w:overflowPunct w:val="0"/>
      <w:autoSpaceDE w:val="0"/>
      <w:autoSpaceDN w:val="0"/>
      <w:adjustRightInd w:val="0"/>
      <w:spacing w:before="0" w:after="0" w:line="500" w:lineRule="atLeast"/>
      <w:ind w:left="0" w:firstLine="0" w:firstLineChars="177"/>
      <w:jc w:val="center"/>
      <w:outlineLvl w:val="9"/>
    </w:pPr>
    <w:rPr>
      <w:rFonts w:ascii="楷体" w:eastAsia="楷体" w:cs="楷体"/>
      <w:b w:val="0"/>
      <w:bCs w:val="0"/>
      <w:kern w:val="0"/>
      <w:position w:val="-30"/>
      <w:sz w:val="22"/>
      <w:szCs w:val="24"/>
    </w:rPr>
  </w:style>
  <w:style w:type="paragraph" w:customStyle="1" w:styleId="354">
    <w:name w:val="xl54"/>
    <w:basedOn w:val="3"/>
    <w:next w:val="1"/>
    <w:autoRedefine/>
    <w:qFormat/>
    <w:uiPriority w:val="99"/>
    <w:pPr>
      <w:keepNext w:val="0"/>
      <w:keepLines w:val="0"/>
      <w:widowControl/>
      <w:pBdr>
        <w:top w:val="single" w:color="auto" w:sz="12" w:space="0"/>
        <w:left w:val="single" w:color="auto" w:sz="12" w:space="0"/>
        <w:right w:val="single" w:color="auto" w:sz="8" w:space="0"/>
      </w:pBdr>
      <w:spacing w:before="100" w:beforeAutospacing="1" w:after="100" w:afterAutospacing="1" w:line="500" w:lineRule="atLeast"/>
      <w:ind w:firstLine="425" w:firstLineChars="177"/>
      <w:jc w:val="center"/>
      <w:outlineLvl w:val="9"/>
    </w:pPr>
    <w:rPr>
      <w:rFonts w:ascii="宋体" w:hAnsi="宋体" w:cs="宋体"/>
      <w:b w:val="0"/>
      <w:bCs w:val="0"/>
      <w:color w:val="000000"/>
      <w:kern w:val="0"/>
      <w:sz w:val="24"/>
      <w:szCs w:val="21"/>
    </w:rPr>
  </w:style>
  <w:style w:type="paragraph" w:customStyle="1" w:styleId="355">
    <w:name w:val="xl46"/>
    <w:basedOn w:val="3"/>
    <w:next w:val="1"/>
    <w:autoRedefine/>
    <w:qFormat/>
    <w:uiPriority w:val="99"/>
    <w:pPr>
      <w:keepNext w:val="0"/>
      <w:keepLines w:val="0"/>
      <w:widowControl/>
      <w:pBdr>
        <w:left w:val="single" w:color="auto" w:sz="8" w:space="0"/>
        <w:bottom w:val="single" w:color="auto" w:sz="8" w:space="0"/>
        <w:right w:val="single" w:color="auto" w:sz="12" w:space="0"/>
      </w:pBdr>
      <w:spacing w:before="100" w:beforeAutospacing="1" w:after="100" w:afterAutospacing="1" w:line="500" w:lineRule="atLeast"/>
      <w:ind w:firstLine="425" w:firstLineChars="177"/>
      <w:jc w:val="center"/>
      <w:outlineLvl w:val="9"/>
    </w:pPr>
    <w:rPr>
      <w:b w:val="0"/>
      <w:bCs w:val="0"/>
      <w:color w:val="000000"/>
      <w:kern w:val="0"/>
      <w:sz w:val="24"/>
      <w:szCs w:val="21"/>
    </w:rPr>
  </w:style>
  <w:style w:type="paragraph" w:customStyle="1" w:styleId="356">
    <w:name w:val="222"/>
    <w:basedOn w:val="3"/>
    <w:next w:val="1"/>
    <w:autoRedefine/>
    <w:qFormat/>
    <w:uiPriority w:val="99"/>
    <w:pPr>
      <w:keepNext w:val="0"/>
      <w:keepLines w:val="0"/>
      <w:snapToGrid w:val="0"/>
      <w:spacing w:before="0" w:after="0" w:line="440" w:lineRule="exact"/>
      <w:ind w:firstLine="480" w:firstLineChars="200"/>
      <w:outlineLvl w:val="9"/>
    </w:pPr>
    <w:rPr>
      <w:rFonts w:cs="宋体"/>
      <w:b w:val="0"/>
      <w:bCs w:val="0"/>
      <w:kern w:val="2"/>
      <w:sz w:val="24"/>
      <w:szCs w:val="20"/>
    </w:rPr>
  </w:style>
  <w:style w:type="paragraph" w:customStyle="1" w:styleId="357">
    <w:name w:val="表名"/>
    <w:basedOn w:val="3"/>
    <w:next w:val="1"/>
    <w:autoRedefine/>
    <w:qFormat/>
    <w:uiPriority w:val="99"/>
    <w:pPr>
      <w:keepNext w:val="0"/>
      <w:keepLines w:val="0"/>
      <w:widowControl/>
      <w:overflowPunct w:val="0"/>
      <w:autoSpaceDE w:val="0"/>
      <w:autoSpaceDN w:val="0"/>
      <w:adjustRightInd w:val="0"/>
      <w:spacing w:before="60" w:after="0" w:line="480" w:lineRule="exact"/>
      <w:ind w:firstLine="425" w:firstLineChars="177"/>
      <w:jc w:val="center"/>
      <w:outlineLvl w:val="9"/>
    </w:pPr>
    <w:rPr>
      <w:rFonts w:ascii="黑体" w:hAnsi="Arial" w:eastAsia="黑体"/>
      <w:b w:val="0"/>
      <w:bCs w:val="0"/>
      <w:color w:val="000000"/>
      <w:kern w:val="0"/>
      <w:sz w:val="26"/>
      <w:szCs w:val="20"/>
    </w:rPr>
  </w:style>
  <w:style w:type="paragraph" w:customStyle="1" w:styleId="358">
    <w:name w:val="a7"/>
    <w:basedOn w:val="3"/>
    <w:next w:val="1"/>
    <w:autoRedefine/>
    <w:qFormat/>
    <w:uiPriority w:val="99"/>
    <w:pPr>
      <w:keepNext w:val="0"/>
      <w:keepLines w:val="0"/>
      <w:widowControl/>
      <w:overflowPunct w:val="0"/>
      <w:snapToGrid w:val="0"/>
      <w:spacing w:before="0" w:after="0" w:line="280" w:lineRule="atLeast"/>
      <w:ind w:firstLine="425" w:firstLineChars="177"/>
      <w:jc w:val="center"/>
      <w:outlineLvl w:val="9"/>
    </w:pPr>
    <w:rPr>
      <w:rFonts w:ascii="宋体" w:hAnsi="宋体"/>
      <w:b w:val="0"/>
      <w:bCs w:val="0"/>
      <w:kern w:val="0"/>
      <w:sz w:val="18"/>
      <w:szCs w:val="18"/>
    </w:rPr>
  </w:style>
  <w:style w:type="paragraph" w:customStyle="1" w:styleId="359">
    <w:name w:val="font9"/>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b w:val="0"/>
      <w:bCs w:val="0"/>
      <w:color w:val="000000"/>
      <w:kern w:val="0"/>
      <w:sz w:val="24"/>
      <w:szCs w:val="21"/>
    </w:rPr>
  </w:style>
  <w:style w:type="paragraph" w:customStyle="1" w:styleId="360">
    <w:name w:val="默认段落字体 Para Char Char Char Char Char Char Char"/>
    <w:basedOn w:val="3"/>
    <w:next w:val="1"/>
    <w:autoRedefine/>
    <w:qFormat/>
    <w:uiPriority w:val="99"/>
    <w:pPr>
      <w:keepNext w:val="0"/>
      <w:keepLines w:val="0"/>
      <w:spacing w:before="0" w:after="0" w:line="500" w:lineRule="atLeast"/>
      <w:ind w:firstLine="425" w:firstLineChars="177"/>
      <w:outlineLvl w:val="9"/>
    </w:pPr>
    <w:rPr>
      <w:b w:val="0"/>
      <w:bCs w:val="0"/>
      <w:kern w:val="2"/>
      <w:sz w:val="24"/>
      <w:szCs w:val="24"/>
    </w:rPr>
  </w:style>
  <w:style w:type="paragraph" w:customStyle="1" w:styleId="361">
    <w:name w:val="段落 Char Char2 Char Char"/>
    <w:basedOn w:val="3"/>
    <w:next w:val="1"/>
    <w:autoRedefine/>
    <w:qFormat/>
    <w:uiPriority w:val="99"/>
    <w:pPr>
      <w:keepNext w:val="0"/>
      <w:keepLines w:val="0"/>
      <w:tabs>
        <w:tab w:val="left" w:pos="1021"/>
      </w:tabs>
      <w:spacing w:before="0" w:after="0" w:line="540" w:lineRule="exact"/>
      <w:ind w:firstLine="480" w:firstLineChars="200"/>
      <w:outlineLvl w:val="9"/>
    </w:pPr>
    <w:rPr>
      <w:rFonts w:ascii="宋体" w:hAnsi="宋体" w:cs="宋体"/>
      <w:b w:val="0"/>
      <w:bCs w:val="0"/>
      <w:kern w:val="24"/>
      <w:sz w:val="24"/>
      <w:szCs w:val="24"/>
    </w:rPr>
  </w:style>
  <w:style w:type="character" w:customStyle="1" w:styleId="362">
    <w:name w:val="样式表 Char"/>
    <w:link w:val="363"/>
    <w:autoRedefine/>
    <w:qFormat/>
    <w:uiPriority w:val="0"/>
    <w:rPr>
      <w:rFonts w:ascii="黑体" w:hAnsi="黑体" w:eastAsia="黑体" w:cs="宋体"/>
      <w:color w:val="000000"/>
      <w:spacing w:val="8"/>
      <w:sz w:val="24"/>
      <w:szCs w:val="24"/>
    </w:rPr>
  </w:style>
  <w:style w:type="paragraph" w:customStyle="1" w:styleId="363">
    <w:name w:val="样式表"/>
    <w:basedOn w:val="15"/>
    <w:next w:val="1"/>
    <w:link w:val="362"/>
    <w:autoRedefine/>
    <w:qFormat/>
    <w:uiPriority w:val="0"/>
    <w:pPr>
      <w:widowControl/>
      <w:spacing w:beforeLines="50"/>
      <w:ind w:firstLine="0" w:firstLineChars="0"/>
      <w:jc w:val="center"/>
    </w:pPr>
    <w:rPr>
      <w:rFonts w:ascii="黑体" w:hAnsi="黑体" w:eastAsia="黑体" w:cs="宋体"/>
      <w:spacing w:val="8"/>
      <w:sz w:val="24"/>
      <w:szCs w:val="24"/>
    </w:rPr>
  </w:style>
  <w:style w:type="paragraph" w:customStyle="1" w:styleId="364">
    <w:name w:val="正文文字进缩1"/>
    <w:basedOn w:val="3"/>
    <w:next w:val="1"/>
    <w:autoRedefine/>
    <w:qFormat/>
    <w:uiPriority w:val="99"/>
    <w:pPr>
      <w:keepNext w:val="0"/>
      <w:keepLines w:val="0"/>
      <w:spacing w:before="0" w:after="0" w:line="360" w:lineRule="auto"/>
      <w:ind w:left="555" w:firstLine="425" w:firstLineChars="177"/>
      <w:outlineLvl w:val="9"/>
    </w:pPr>
    <w:rPr>
      <w:rFonts w:ascii="黑体" w:eastAsia="黑体"/>
      <w:bCs w:val="0"/>
      <w:kern w:val="2"/>
      <w:sz w:val="28"/>
      <w:szCs w:val="20"/>
    </w:rPr>
  </w:style>
  <w:style w:type="paragraph" w:customStyle="1" w:styleId="365">
    <w:name w:val="Char Char Char Char Char Char Char Char Char"/>
    <w:basedOn w:val="3"/>
    <w:next w:val="1"/>
    <w:autoRedefine/>
    <w:qFormat/>
    <w:uiPriority w:val="99"/>
    <w:pPr>
      <w:keepNext w:val="0"/>
      <w:keepLines w:val="0"/>
      <w:widowControl/>
      <w:spacing w:before="0" w:after="160" w:line="240" w:lineRule="exact"/>
      <w:ind w:firstLine="425" w:firstLineChars="177"/>
      <w:jc w:val="left"/>
      <w:outlineLvl w:val="9"/>
    </w:pPr>
    <w:rPr>
      <w:rFonts w:ascii="Verdana" w:hAnsi="Verdana" w:eastAsia="FangSong_GB2312"/>
      <w:b w:val="0"/>
      <w:bCs w:val="0"/>
      <w:kern w:val="0"/>
      <w:sz w:val="24"/>
      <w:szCs w:val="20"/>
      <w:lang w:eastAsia="en-US"/>
    </w:rPr>
  </w:style>
  <w:style w:type="paragraph" w:customStyle="1" w:styleId="366">
    <w:name w:val="line1"/>
    <w:basedOn w:val="3"/>
    <w:next w:val="1"/>
    <w:autoRedefine/>
    <w:qFormat/>
    <w:uiPriority w:val="99"/>
    <w:pPr>
      <w:keepNext w:val="0"/>
      <w:keepLines w:val="0"/>
      <w:widowControl/>
      <w:spacing w:before="100" w:beforeAutospacing="1" w:after="100" w:afterAutospacing="1" w:line="360" w:lineRule="atLeast"/>
      <w:ind w:firstLine="425" w:firstLineChars="177"/>
      <w:jc w:val="left"/>
      <w:outlineLvl w:val="9"/>
    </w:pPr>
    <w:rPr>
      <w:rFonts w:ascii="宋体" w:hAnsi="宋体"/>
      <w:b w:val="0"/>
      <w:bCs w:val="0"/>
      <w:kern w:val="0"/>
      <w:sz w:val="24"/>
      <w:szCs w:val="24"/>
    </w:rPr>
  </w:style>
  <w:style w:type="paragraph" w:customStyle="1" w:styleId="367">
    <w:name w:val="xl42"/>
    <w:basedOn w:val="3"/>
    <w:next w:val="1"/>
    <w:autoRedefine/>
    <w:qFormat/>
    <w:uiPriority w:val="99"/>
    <w:pPr>
      <w:keepNext w:val="0"/>
      <w:keepLines w:val="0"/>
      <w:widowControl/>
      <w:pBdr>
        <w:left w:val="single" w:color="auto" w:sz="8" w:space="0"/>
        <w:bottom w:val="single" w:color="auto" w:sz="8" w:space="0"/>
        <w:right w:val="single" w:color="auto" w:sz="8" w:space="0"/>
      </w:pBdr>
      <w:spacing w:before="100" w:beforeAutospacing="1" w:after="100" w:afterAutospacing="1" w:line="500" w:lineRule="atLeast"/>
      <w:ind w:firstLine="425" w:firstLineChars="177"/>
      <w:jc w:val="center"/>
      <w:outlineLvl w:val="9"/>
    </w:pPr>
    <w:rPr>
      <w:rFonts w:ascii="宋体" w:hAnsi="宋体" w:cs="宋体"/>
      <w:b w:val="0"/>
      <w:bCs w:val="0"/>
      <w:color w:val="000000"/>
      <w:kern w:val="0"/>
      <w:sz w:val="24"/>
      <w:szCs w:val="21"/>
    </w:rPr>
  </w:style>
  <w:style w:type="paragraph" w:customStyle="1" w:styleId="368">
    <w:name w:val="表中正文居中"/>
    <w:next w:val="1"/>
    <w:autoRedefine/>
    <w:qFormat/>
    <w:uiPriority w:val="99"/>
    <w:pPr>
      <w:spacing w:before="120" w:after="120" w:line="240" w:lineRule="atLeast"/>
      <w:jc w:val="center"/>
    </w:pPr>
    <w:rPr>
      <w:rFonts w:ascii="宋体" w:hAnsi="Times New Roman" w:eastAsia="宋体" w:cs="Times New Roman"/>
      <w:kern w:val="2"/>
      <w:sz w:val="21"/>
      <w:szCs w:val="20"/>
      <w:lang w:val="en-US" w:eastAsia="zh-CN" w:bidi="ar-SA"/>
    </w:rPr>
  </w:style>
  <w:style w:type="character" w:customStyle="1" w:styleId="369">
    <w:name w:val="正文1-1 Char"/>
    <w:link w:val="370"/>
    <w:autoRedefine/>
    <w:qFormat/>
    <w:uiPriority w:val="0"/>
    <w:rPr>
      <w:rFonts w:ascii="宋体" w:hAnsi="宋体" w:eastAsia="FangSong_GB2312" w:cs="宋体"/>
      <w:sz w:val="28"/>
      <w:szCs w:val="24"/>
    </w:rPr>
  </w:style>
  <w:style w:type="paragraph" w:customStyle="1" w:styleId="370">
    <w:name w:val="正文1-1"/>
    <w:basedOn w:val="3"/>
    <w:next w:val="1"/>
    <w:link w:val="369"/>
    <w:autoRedefine/>
    <w:qFormat/>
    <w:uiPriority w:val="0"/>
    <w:pPr>
      <w:keepNext w:val="0"/>
      <w:keepLines w:val="0"/>
      <w:widowControl/>
      <w:snapToGrid w:val="0"/>
      <w:spacing w:before="0" w:after="0" w:line="360" w:lineRule="auto"/>
      <w:ind w:firstLine="200" w:firstLineChars="200"/>
      <w:jc w:val="left"/>
      <w:outlineLvl w:val="9"/>
    </w:pPr>
    <w:rPr>
      <w:rFonts w:ascii="宋体" w:hAnsi="宋体" w:eastAsia="FangSong_GB2312" w:cs="宋体"/>
      <w:b w:val="0"/>
      <w:bCs w:val="0"/>
      <w:kern w:val="2"/>
      <w:sz w:val="28"/>
      <w:szCs w:val="24"/>
    </w:rPr>
  </w:style>
  <w:style w:type="paragraph" w:customStyle="1" w:styleId="371">
    <w:name w:val="xl40"/>
    <w:basedOn w:val="3"/>
    <w:next w:val="1"/>
    <w:autoRedefine/>
    <w:qFormat/>
    <w:uiPriority w:val="99"/>
    <w:pPr>
      <w:keepNext w:val="0"/>
      <w:keepLines w:val="0"/>
      <w:widowControl/>
      <w:pBdr>
        <w:left w:val="single" w:color="auto" w:sz="12" w:space="0"/>
      </w:pBdr>
      <w:spacing w:before="100" w:beforeAutospacing="1" w:after="100" w:afterAutospacing="1" w:line="500" w:lineRule="atLeast"/>
      <w:ind w:firstLine="425" w:firstLineChars="177"/>
      <w:jc w:val="center"/>
      <w:outlineLvl w:val="9"/>
    </w:pPr>
    <w:rPr>
      <w:rFonts w:ascii="宋体" w:hAnsi="宋体" w:cs="宋体"/>
      <w:b w:val="0"/>
      <w:bCs w:val="0"/>
      <w:kern w:val="0"/>
      <w:sz w:val="24"/>
      <w:szCs w:val="24"/>
    </w:rPr>
  </w:style>
  <w:style w:type="paragraph" w:customStyle="1" w:styleId="372">
    <w:name w:val="自定义缩进"/>
    <w:basedOn w:val="3"/>
    <w:next w:val="1"/>
    <w:autoRedefine/>
    <w:qFormat/>
    <w:uiPriority w:val="99"/>
    <w:pPr>
      <w:keepLines w:val="0"/>
      <w:spacing w:before="0" w:after="0" w:line="336" w:lineRule="auto"/>
      <w:ind w:firstLine="480" w:firstLineChars="200"/>
      <w:jc w:val="left"/>
      <w:outlineLvl w:val="9"/>
    </w:pPr>
    <w:rPr>
      <w:rFonts w:ascii="宋体" w:hAnsi="宋体"/>
      <w:b w:val="0"/>
      <w:bCs w:val="0"/>
      <w:kern w:val="0"/>
      <w:sz w:val="24"/>
      <w:szCs w:val="20"/>
    </w:rPr>
  </w:style>
  <w:style w:type="paragraph" w:customStyle="1" w:styleId="373">
    <w:name w:val="xl57"/>
    <w:basedOn w:val="3"/>
    <w:next w:val="1"/>
    <w:autoRedefine/>
    <w:qFormat/>
    <w:uiPriority w:val="99"/>
    <w:pPr>
      <w:keepNext w:val="0"/>
      <w:keepLines w:val="0"/>
      <w:widowControl/>
      <w:pBdr>
        <w:top w:val="single" w:color="auto" w:sz="12" w:space="0"/>
        <w:bottom w:val="single" w:color="auto" w:sz="8" w:space="0"/>
      </w:pBdr>
      <w:spacing w:before="100" w:beforeAutospacing="1" w:after="100" w:afterAutospacing="1" w:line="500" w:lineRule="atLeast"/>
      <w:ind w:firstLine="425" w:firstLineChars="177"/>
      <w:jc w:val="center"/>
      <w:outlineLvl w:val="9"/>
    </w:pPr>
    <w:rPr>
      <w:rFonts w:ascii="宋体" w:hAnsi="宋体" w:cs="宋体"/>
      <w:b w:val="0"/>
      <w:bCs w:val="0"/>
      <w:color w:val="000000"/>
      <w:kern w:val="0"/>
      <w:sz w:val="24"/>
      <w:szCs w:val="21"/>
    </w:rPr>
  </w:style>
  <w:style w:type="character" w:customStyle="1" w:styleId="374">
    <w:name w:val="日期 Char1"/>
    <w:basedOn w:val="51"/>
    <w:autoRedefine/>
    <w:semiHidden/>
    <w:qFormat/>
    <w:uiPriority w:val="99"/>
    <w:rPr>
      <w:rFonts w:ascii="Times New Roman" w:hAnsi="Times New Roman" w:eastAsia="宋体" w:cs="Times New Roman"/>
      <w:szCs w:val="24"/>
    </w:rPr>
  </w:style>
  <w:style w:type="paragraph" w:customStyle="1" w:styleId="375">
    <w:name w:val="样式 日期 + 宋体"/>
    <w:basedOn w:val="28"/>
    <w:next w:val="1"/>
    <w:autoRedefine/>
    <w:qFormat/>
    <w:uiPriority w:val="99"/>
    <w:pPr>
      <w:widowControl/>
      <w:overflowPunct w:val="0"/>
      <w:autoSpaceDE w:val="0"/>
      <w:autoSpaceDN w:val="0"/>
      <w:adjustRightInd w:val="0"/>
      <w:spacing w:line="480" w:lineRule="exact"/>
      <w:ind w:left="0" w:leftChars="0" w:firstLine="425" w:firstLineChars="177"/>
    </w:pPr>
    <w:rPr>
      <w:rFonts w:ascii="宋体" w:hAnsi="宋体"/>
      <w:color w:val="000000"/>
      <w:kern w:val="0"/>
      <w:sz w:val="28"/>
      <w:szCs w:val="20"/>
      <w:lang w:val="en-GB"/>
    </w:rPr>
  </w:style>
  <w:style w:type="paragraph" w:customStyle="1" w:styleId="376">
    <w:name w:val="font7"/>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 w:val="0"/>
      <w:bCs w:val="0"/>
      <w:color w:val="000000"/>
      <w:kern w:val="0"/>
      <w:sz w:val="24"/>
      <w:szCs w:val="21"/>
    </w:rPr>
  </w:style>
  <w:style w:type="paragraph" w:customStyle="1" w:styleId="377">
    <w:name w:val="样式 标题2　自动设置"/>
    <w:basedOn w:val="4"/>
    <w:next w:val="1"/>
    <w:autoRedefine/>
    <w:qFormat/>
    <w:uiPriority w:val="99"/>
    <w:pPr>
      <w:tabs>
        <w:tab w:val="left" w:pos="1710"/>
      </w:tabs>
      <w:spacing w:before="0" w:after="60" w:line="240" w:lineRule="auto"/>
      <w:ind w:left="1710" w:hanging="720" w:firstLineChars="177"/>
    </w:pPr>
    <w:rPr>
      <w:rFonts w:ascii="宋体" w:hAnsi="宋体" w:eastAsia="宋体" w:cs="宋体"/>
      <w:color w:val="000000"/>
      <w:kern w:val="0"/>
      <w:sz w:val="28"/>
      <w:szCs w:val="20"/>
    </w:rPr>
  </w:style>
  <w:style w:type="paragraph" w:customStyle="1" w:styleId="378">
    <w:name w:val="样式 段落1 + 首行缩进:  2 字符"/>
    <w:basedOn w:val="318"/>
    <w:next w:val="1"/>
    <w:autoRedefine/>
    <w:qFormat/>
    <w:uiPriority w:val="99"/>
    <w:pPr>
      <w:spacing w:line="480" w:lineRule="exact"/>
      <w:ind w:firstLine="504"/>
      <w:jc w:val="left"/>
    </w:pPr>
    <w:rPr>
      <w:rFonts w:cs="宋体"/>
      <w:sz w:val="24"/>
    </w:rPr>
  </w:style>
  <w:style w:type="character" w:customStyle="1" w:styleId="379">
    <w:name w:val="cucd-4 Char Char"/>
    <w:link w:val="380"/>
    <w:autoRedefine/>
    <w:qFormat/>
    <w:uiPriority w:val="0"/>
    <w:rPr>
      <w:b/>
      <w:sz w:val="24"/>
      <w:szCs w:val="24"/>
    </w:rPr>
  </w:style>
  <w:style w:type="paragraph" w:customStyle="1" w:styleId="380">
    <w:name w:val="cucd-4"/>
    <w:next w:val="381"/>
    <w:link w:val="379"/>
    <w:autoRedefine/>
    <w:qFormat/>
    <w:uiPriority w:val="0"/>
    <w:pPr>
      <w:tabs>
        <w:tab w:val="left" w:pos="0"/>
      </w:tabs>
      <w:spacing w:line="360" w:lineRule="auto"/>
      <w:jc w:val="left"/>
      <w:outlineLvl w:val="3"/>
    </w:pPr>
    <w:rPr>
      <w:rFonts w:asciiTheme="minorHAnsi" w:hAnsiTheme="minorHAnsi" w:eastAsiaTheme="minorEastAsia" w:cstheme="minorBidi"/>
      <w:b/>
      <w:kern w:val="2"/>
      <w:sz w:val="24"/>
      <w:szCs w:val="24"/>
      <w:lang w:val="en-US" w:eastAsia="zh-CN" w:bidi="ar-SA"/>
    </w:rPr>
  </w:style>
  <w:style w:type="paragraph" w:customStyle="1" w:styleId="381">
    <w:name w:val="cucd-0"/>
    <w:next w:val="1"/>
    <w:link w:val="382"/>
    <w:autoRedefine/>
    <w:qFormat/>
    <w:uiPriority w:val="99"/>
    <w:pPr>
      <w:spacing w:line="360" w:lineRule="auto"/>
      <w:ind w:firstLine="480" w:firstLineChars="200"/>
      <w:jc w:val="left"/>
    </w:pPr>
    <w:rPr>
      <w:rFonts w:ascii="Calibri" w:hAnsi="Calibri" w:eastAsia="宋体" w:cs="Times New Roman"/>
      <w:kern w:val="2"/>
      <w:sz w:val="24"/>
      <w:szCs w:val="24"/>
      <w:lang w:val="en-US" w:eastAsia="zh-CN" w:bidi="ar-SA"/>
    </w:rPr>
  </w:style>
  <w:style w:type="character" w:customStyle="1" w:styleId="382">
    <w:name w:val="cucd-0 Char1"/>
    <w:link w:val="381"/>
    <w:autoRedefine/>
    <w:qFormat/>
    <w:uiPriority w:val="99"/>
    <w:rPr>
      <w:rFonts w:ascii="Calibri" w:hAnsi="Calibri" w:eastAsia="宋体" w:cs="Times New Roman"/>
      <w:sz w:val="24"/>
      <w:szCs w:val="24"/>
    </w:rPr>
  </w:style>
  <w:style w:type="paragraph" w:customStyle="1" w:styleId="383">
    <w:name w:val="居中正文"/>
    <w:basedOn w:val="44"/>
    <w:next w:val="1"/>
    <w:autoRedefine/>
    <w:qFormat/>
    <w:uiPriority w:val="99"/>
    <w:pPr>
      <w:adjustRightInd w:val="0"/>
      <w:spacing w:before="120"/>
    </w:pPr>
    <w:rPr>
      <w:rFonts w:hAnsi="Calibri"/>
      <w:kern w:val="28"/>
      <w:szCs w:val="20"/>
    </w:rPr>
  </w:style>
  <w:style w:type="paragraph" w:customStyle="1" w:styleId="384">
    <w:name w:val="MTDisplayEquation"/>
    <w:basedOn w:val="3"/>
    <w:next w:val="1"/>
    <w:autoRedefine/>
    <w:qFormat/>
    <w:uiPriority w:val="99"/>
    <w:pPr>
      <w:keepNext w:val="0"/>
      <w:keepLines w:val="0"/>
      <w:tabs>
        <w:tab w:val="center" w:pos="4160"/>
        <w:tab w:val="right" w:pos="8300"/>
      </w:tabs>
      <w:spacing w:before="0" w:after="0" w:line="500" w:lineRule="atLeast"/>
      <w:ind w:firstLine="420" w:firstLineChars="200"/>
      <w:outlineLvl w:val="9"/>
    </w:pPr>
    <w:rPr>
      <w:rFonts w:ascii="宋体" w:hAnsi="宋体"/>
      <w:b w:val="0"/>
      <w:bCs w:val="0"/>
      <w:kern w:val="2"/>
      <w:sz w:val="24"/>
      <w:szCs w:val="24"/>
    </w:rPr>
  </w:style>
  <w:style w:type="paragraph" w:customStyle="1" w:styleId="385">
    <w:name w:val="font11"/>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color w:val="000000"/>
      <w:kern w:val="0"/>
      <w:sz w:val="18"/>
      <w:szCs w:val="18"/>
    </w:rPr>
  </w:style>
  <w:style w:type="paragraph" w:customStyle="1" w:styleId="386">
    <w:name w:val="正文 + 首行缩进:  2 字符"/>
    <w:basedOn w:val="3"/>
    <w:next w:val="1"/>
    <w:autoRedefine/>
    <w:qFormat/>
    <w:uiPriority w:val="99"/>
    <w:pPr>
      <w:keepNext w:val="0"/>
      <w:keepLines w:val="0"/>
      <w:spacing w:before="0" w:after="0" w:line="460" w:lineRule="atLeast"/>
      <w:ind w:firstLine="528" w:firstLineChars="200"/>
      <w:outlineLvl w:val="9"/>
    </w:pPr>
    <w:rPr>
      <w:b w:val="0"/>
      <w:bCs w:val="0"/>
      <w:spacing w:val="12"/>
      <w:kern w:val="2"/>
      <w:sz w:val="24"/>
      <w:szCs w:val="20"/>
    </w:rPr>
  </w:style>
  <w:style w:type="paragraph" w:customStyle="1" w:styleId="387">
    <w:name w:val="a3"/>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b w:val="0"/>
      <w:bCs w:val="0"/>
      <w:color w:val="000000"/>
      <w:kern w:val="0"/>
      <w:sz w:val="24"/>
      <w:szCs w:val="20"/>
    </w:rPr>
  </w:style>
  <w:style w:type="paragraph" w:customStyle="1" w:styleId="388">
    <w:name w:val="样式 标题 2节 + 行距: 多倍行距 0.5 字行"/>
    <w:basedOn w:val="4"/>
    <w:next w:val="1"/>
    <w:autoRedefine/>
    <w:qFormat/>
    <w:uiPriority w:val="99"/>
    <w:pPr>
      <w:spacing w:before="0" w:after="80" w:line="300" w:lineRule="auto"/>
      <w:ind w:left="576" w:hanging="576" w:firstLineChars="177"/>
    </w:pPr>
    <w:rPr>
      <w:rFonts w:ascii="Arial" w:hAnsi="Arial" w:eastAsia="宋体" w:cs="黑体"/>
      <w:sz w:val="28"/>
      <w:szCs w:val="28"/>
    </w:rPr>
  </w:style>
  <w:style w:type="paragraph" w:customStyle="1" w:styleId="389">
    <w:name w:val="样式3"/>
    <w:basedOn w:val="5"/>
    <w:next w:val="1"/>
    <w:autoRedefine/>
    <w:qFormat/>
    <w:uiPriority w:val="99"/>
    <w:pPr>
      <w:keepNext w:val="0"/>
      <w:keepLines w:val="0"/>
      <w:tabs>
        <w:tab w:val="left" w:pos="3930"/>
        <w:tab w:val="left" w:pos="5775"/>
      </w:tabs>
      <w:snapToGrid w:val="0"/>
      <w:spacing w:before="240" w:after="0" w:line="240" w:lineRule="auto"/>
      <w:outlineLvl w:val="9"/>
    </w:pPr>
    <w:rPr>
      <w:rFonts w:ascii="楷体_GB2312" w:hAnsi="Times New Roman" w:eastAsia="黑体" w:cs="Times New Roman"/>
      <w:b/>
      <w:color w:val="000000"/>
      <w:kern w:val="0"/>
      <w:sz w:val="28"/>
      <w:szCs w:val="20"/>
    </w:rPr>
  </w:style>
  <w:style w:type="character" w:customStyle="1" w:styleId="390">
    <w:name w:val="段落1 Char Char1"/>
    <w:link w:val="391"/>
    <w:autoRedefine/>
    <w:qFormat/>
    <w:uiPriority w:val="0"/>
    <w:rPr>
      <w:rFonts w:ascii="宋体" w:hAnsi="宋体" w:eastAsia="宋体"/>
      <w:spacing w:val="8"/>
      <w:sz w:val="24"/>
    </w:rPr>
  </w:style>
  <w:style w:type="paragraph" w:customStyle="1" w:styleId="391">
    <w:name w:val="段落1 Char"/>
    <w:basedOn w:val="3"/>
    <w:next w:val="1"/>
    <w:link w:val="390"/>
    <w:autoRedefine/>
    <w:qFormat/>
    <w:uiPriority w:val="0"/>
    <w:pPr>
      <w:keepNext w:val="0"/>
      <w:keepLines w:val="0"/>
      <w:adjustRightInd w:val="0"/>
      <w:spacing w:before="0" w:after="0" w:line="440" w:lineRule="exact"/>
      <w:ind w:firstLine="200" w:firstLineChars="200"/>
      <w:outlineLvl w:val="9"/>
    </w:pPr>
    <w:rPr>
      <w:rFonts w:ascii="宋体" w:hAnsi="宋体" w:cstheme="minorBidi"/>
      <w:b w:val="0"/>
      <w:bCs w:val="0"/>
      <w:spacing w:val="8"/>
      <w:kern w:val="2"/>
      <w:sz w:val="24"/>
      <w:szCs w:val="22"/>
    </w:rPr>
  </w:style>
  <w:style w:type="paragraph" w:customStyle="1" w:styleId="392">
    <w:name w:val="xl36"/>
    <w:basedOn w:val="3"/>
    <w:next w:val="1"/>
    <w:autoRedefine/>
    <w:qFormat/>
    <w:uiPriority w:val="99"/>
    <w:pPr>
      <w:keepNext w:val="0"/>
      <w:keepLines w:val="0"/>
      <w:widowControl/>
      <w:pBdr>
        <w:bottom w:val="single" w:color="auto" w:sz="4" w:space="0"/>
        <w:right w:val="single" w:color="auto" w:sz="4" w:space="0"/>
      </w:pBdr>
      <w:spacing w:before="100" w:beforeAutospacing="1" w:after="100" w:afterAutospacing="1" w:line="500" w:lineRule="atLeast"/>
      <w:ind w:firstLine="425" w:firstLineChars="177"/>
      <w:outlineLvl w:val="9"/>
    </w:pPr>
    <w:rPr>
      <w:rFonts w:ascii="楷体_GB2312" w:hAnsi="Arial Unicode MS" w:eastAsia="楷体_GB2312"/>
      <w:b w:val="0"/>
      <w:bCs w:val="0"/>
      <w:kern w:val="0"/>
      <w:sz w:val="24"/>
      <w:szCs w:val="24"/>
    </w:rPr>
  </w:style>
  <w:style w:type="character" w:customStyle="1" w:styleId="393">
    <w:name w:val="正文(首行缩进)宋旭峰 Char Char"/>
    <w:link w:val="394"/>
    <w:autoRedefine/>
    <w:qFormat/>
    <w:uiPriority w:val="0"/>
    <w:rPr>
      <w:snapToGrid w:val="0"/>
      <w:sz w:val="24"/>
      <w:szCs w:val="24"/>
    </w:rPr>
  </w:style>
  <w:style w:type="paragraph" w:customStyle="1" w:styleId="394">
    <w:name w:val="正文(首行缩进)宋旭峰"/>
    <w:basedOn w:val="14"/>
    <w:next w:val="1"/>
    <w:link w:val="393"/>
    <w:autoRedefine/>
    <w:qFormat/>
    <w:uiPriority w:val="0"/>
    <w:pPr>
      <w:adjustRightInd/>
      <w:spacing w:line="360" w:lineRule="auto"/>
      <w:ind w:firstLine="480" w:firstLineChars="177"/>
      <w:contextualSpacing/>
    </w:pPr>
    <w:rPr>
      <w:rFonts w:asciiTheme="minorHAnsi" w:eastAsiaTheme="minorEastAsia"/>
      <w:snapToGrid w:val="0"/>
      <w:sz w:val="24"/>
    </w:rPr>
  </w:style>
  <w:style w:type="paragraph" w:customStyle="1" w:styleId="395">
    <w:name w:val="标准"/>
    <w:basedOn w:val="3"/>
    <w:next w:val="1"/>
    <w:autoRedefine/>
    <w:qFormat/>
    <w:uiPriority w:val="99"/>
    <w:pPr>
      <w:keepLines w:val="0"/>
      <w:adjustRightInd w:val="0"/>
      <w:snapToGrid w:val="0"/>
      <w:spacing w:before="0" w:after="0" w:line="312" w:lineRule="atLeast"/>
      <w:ind w:firstLine="590" w:firstLineChars="177"/>
      <w:outlineLvl w:val="9"/>
    </w:pPr>
    <w:rPr>
      <w:b w:val="0"/>
      <w:bCs w:val="0"/>
      <w:kern w:val="0"/>
      <w:sz w:val="28"/>
      <w:szCs w:val="20"/>
    </w:rPr>
  </w:style>
  <w:style w:type="paragraph" w:customStyle="1" w:styleId="396">
    <w:name w:val="样式 正文文本缩进 + 行距: 固定值 24 磅"/>
    <w:basedOn w:val="22"/>
    <w:next w:val="1"/>
    <w:autoRedefine/>
    <w:qFormat/>
    <w:uiPriority w:val="99"/>
    <w:pPr>
      <w:adjustRightInd w:val="0"/>
      <w:snapToGrid w:val="0"/>
      <w:spacing w:line="360" w:lineRule="auto"/>
      <w:ind w:firstLine="560"/>
    </w:pPr>
    <w:rPr>
      <w:rFonts w:ascii="宋体" w:cs="宋体"/>
    </w:rPr>
  </w:style>
  <w:style w:type="paragraph" w:customStyle="1" w:styleId="397">
    <w:name w:val="表后空行"/>
    <w:basedOn w:val="3"/>
    <w:next w:val="1"/>
    <w:autoRedefine/>
    <w:qFormat/>
    <w:uiPriority w:val="99"/>
    <w:pPr>
      <w:keepNext w:val="0"/>
      <w:keepLines w:val="0"/>
      <w:overflowPunct w:val="0"/>
      <w:adjustRightInd w:val="0"/>
      <w:spacing w:before="0" w:after="0" w:line="500" w:lineRule="atLeast"/>
      <w:ind w:firstLine="425" w:firstLineChars="177"/>
      <w:outlineLvl w:val="9"/>
    </w:pPr>
    <w:rPr>
      <w:b w:val="0"/>
      <w:bCs w:val="0"/>
      <w:color w:val="000000"/>
      <w:kern w:val="28"/>
      <w:sz w:val="10"/>
      <w:szCs w:val="20"/>
    </w:rPr>
  </w:style>
  <w:style w:type="paragraph" w:customStyle="1" w:styleId="398">
    <w:name w:val="xl37"/>
    <w:basedOn w:val="3"/>
    <w:next w:val="1"/>
    <w:autoRedefine/>
    <w:qFormat/>
    <w:uiPriority w:val="99"/>
    <w:pPr>
      <w:keepNext w:val="0"/>
      <w:keepLines w:val="0"/>
      <w:widowControl/>
      <w:pBdr>
        <w:bottom w:val="single" w:color="auto" w:sz="8" w:space="0"/>
        <w:right w:val="single" w:color="auto" w:sz="8" w:space="0"/>
      </w:pBdr>
      <w:spacing w:before="100" w:beforeAutospacing="1" w:after="100" w:afterAutospacing="1" w:line="500" w:lineRule="atLeast"/>
      <w:ind w:firstLine="425" w:firstLineChars="177"/>
      <w:jc w:val="center"/>
      <w:outlineLvl w:val="9"/>
    </w:pPr>
    <w:rPr>
      <w:b w:val="0"/>
      <w:bCs w:val="0"/>
      <w:color w:val="000000"/>
      <w:kern w:val="0"/>
      <w:sz w:val="24"/>
      <w:szCs w:val="21"/>
    </w:rPr>
  </w:style>
  <w:style w:type="character" w:customStyle="1" w:styleId="399">
    <w:name w:val="正文样式10 Char"/>
    <w:link w:val="400"/>
    <w:autoRedefine/>
    <w:qFormat/>
    <w:uiPriority w:val="0"/>
    <w:rPr>
      <w:rFonts w:ascii="宋体" w:hAnsi="宋体" w:eastAsia="宋体" w:cs="Arial"/>
      <w:bCs/>
      <w:color w:val="FF00FF"/>
      <w:sz w:val="24"/>
      <w:lang w:val="zh-CN"/>
    </w:rPr>
  </w:style>
  <w:style w:type="paragraph" w:customStyle="1" w:styleId="400">
    <w:name w:val="正文样式10"/>
    <w:basedOn w:val="3"/>
    <w:next w:val="1"/>
    <w:link w:val="399"/>
    <w:autoRedefine/>
    <w:qFormat/>
    <w:uiPriority w:val="0"/>
    <w:pPr>
      <w:keepNext w:val="0"/>
      <w:keepLines w:val="0"/>
      <w:spacing w:before="0" w:after="0" w:line="500" w:lineRule="exact"/>
      <w:ind w:firstLine="480" w:firstLineChars="200"/>
      <w:outlineLvl w:val="9"/>
    </w:pPr>
    <w:rPr>
      <w:rFonts w:ascii="宋体" w:hAnsi="宋体" w:cs="Arial"/>
      <w:b w:val="0"/>
      <w:color w:val="FF00FF"/>
      <w:kern w:val="2"/>
      <w:sz w:val="24"/>
      <w:szCs w:val="22"/>
      <w:lang w:val="zh-CN"/>
    </w:rPr>
  </w:style>
  <w:style w:type="paragraph" w:customStyle="1" w:styleId="401">
    <w:name w:val="15"/>
    <w:basedOn w:val="3"/>
    <w:next w:val="1"/>
    <w:autoRedefine/>
    <w:qFormat/>
    <w:uiPriority w:val="99"/>
    <w:pPr>
      <w:keepNext w:val="0"/>
      <w:keepLines w:val="0"/>
      <w:widowControl/>
      <w:snapToGrid w:val="0"/>
      <w:spacing w:before="100" w:beforeAutospacing="1" w:after="100" w:afterAutospacing="1" w:line="500" w:lineRule="atLeast"/>
      <w:ind w:firstLine="425" w:firstLineChars="177"/>
      <w:jc w:val="left"/>
      <w:outlineLvl w:val="9"/>
    </w:pPr>
    <w:rPr>
      <w:b w:val="0"/>
      <w:bCs w:val="0"/>
      <w:kern w:val="0"/>
      <w:sz w:val="20"/>
      <w:szCs w:val="20"/>
    </w:rPr>
  </w:style>
  <w:style w:type="paragraph" w:customStyle="1" w:styleId="402">
    <w:name w:val="标准正文"/>
    <w:basedOn w:val="3"/>
    <w:next w:val="1"/>
    <w:autoRedefine/>
    <w:qFormat/>
    <w:uiPriority w:val="99"/>
    <w:pPr>
      <w:keepNext w:val="0"/>
      <w:keepLines w:val="0"/>
      <w:spacing w:before="0" w:after="0" w:line="400" w:lineRule="exact"/>
      <w:ind w:firstLine="480" w:firstLineChars="177"/>
      <w:outlineLvl w:val="9"/>
    </w:pPr>
    <w:rPr>
      <w:b w:val="0"/>
      <w:bCs w:val="0"/>
      <w:kern w:val="2"/>
      <w:sz w:val="24"/>
      <w:szCs w:val="20"/>
    </w:rPr>
  </w:style>
  <w:style w:type="paragraph" w:customStyle="1" w:styleId="403">
    <w:name w:val="Char Char1 Char Char Char Char Char Char Char Char Char Char Char Char Char Char Char Char Char Char Char Char1 Char"/>
    <w:basedOn w:val="3"/>
    <w:next w:val="1"/>
    <w:autoRedefine/>
    <w:qFormat/>
    <w:uiPriority w:val="99"/>
    <w:pPr>
      <w:keepNext w:val="0"/>
      <w:keepLines w:val="0"/>
      <w:spacing w:before="0" w:after="0" w:line="360" w:lineRule="auto"/>
      <w:ind w:firstLine="200" w:firstLineChars="200"/>
      <w:outlineLvl w:val="9"/>
    </w:pPr>
    <w:rPr>
      <w:rFonts w:ascii="宋体" w:hAnsi="宋体" w:cs="宋体"/>
      <w:b w:val="0"/>
      <w:bCs w:val="0"/>
      <w:kern w:val="2"/>
      <w:sz w:val="24"/>
      <w:szCs w:val="24"/>
    </w:rPr>
  </w:style>
  <w:style w:type="paragraph" w:customStyle="1" w:styleId="404">
    <w:name w:val="样式 表格文字 + 首行缩进:  2 字符"/>
    <w:basedOn w:val="206"/>
    <w:next w:val="1"/>
    <w:autoRedefine/>
    <w:qFormat/>
    <w:uiPriority w:val="99"/>
    <w:pPr>
      <w:adjustRightInd w:val="0"/>
      <w:snapToGrid w:val="0"/>
    </w:pPr>
    <w:rPr>
      <w:rFonts w:hAnsi="MS Shell Dlg"/>
      <w:kern w:val="0"/>
      <w:szCs w:val="20"/>
    </w:rPr>
  </w:style>
  <w:style w:type="paragraph" w:customStyle="1" w:styleId="405">
    <w:name w:val="xl29"/>
    <w:basedOn w:val="3"/>
    <w:next w:val="1"/>
    <w:autoRedefine/>
    <w:qFormat/>
    <w:uiPriority w:val="99"/>
    <w:pPr>
      <w:keepNext w:val="0"/>
      <w:keepLines w:val="0"/>
      <w:widowControl/>
      <w:pBdr>
        <w:left w:val="single" w:color="auto" w:sz="4" w:space="0"/>
        <w:bottom w:val="single" w:color="auto" w:sz="4" w:space="0"/>
      </w:pBdr>
      <w:spacing w:before="100" w:beforeAutospacing="1" w:after="100" w:afterAutospacing="1" w:line="500" w:lineRule="atLeast"/>
      <w:ind w:firstLine="425" w:firstLineChars="177"/>
      <w:jc w:val="center"/>
      <w:outlineLvl w:val="9"/>
    </w:pPr>
    <w:rPr>
      <w:rFonts w:ascii="宋体" w:hAnsi="宋体"/>
      <w:b w:val="0"/>
      <w:bCs w:val="0"/>
      <w:kern w:val="0"/>
      <w:sz w:val="24"/>
      <w:szCs w:val="24"/>
    </w:rPr>
  </w:style>
  <w:style w:type="paragraph" w:customStyle="1" w:styleId="406">
    <w:name w:val="xl22"/>
    <w:basedOn w:val="3"/>
    <w:next w:val="1"/>
    <w:autoRedefine/>
    <w:qFormat/>
    <w:uiPriority w:val="99"/>
    <w:pPr>
      <w:keepNext w:val="0"/>
      <w:keepLines w:val="0"/>
      <w:widowControl/>
      <w:pBdr>
        <w:top w:val="single" w:color="auto" w:sz="4" w:space="0"/>
        <w:left w:val="single" w:color="auto" w:sz="4" w:space="0"/>
        <w:bottom w:val="single" w:color="auto" w:sz="4" w:space="0"/>
        <w:right w:val="single" w:color="auto" w:sz="4" w:space="0"/>
      </w:pBdr>
      <w:spacing w:before="100" w:beforeAutospacing="1" w:after="100" w:afterAutospacing="1" w:line="500" w:lineRule="atLeast"/>
      <w:ind w:firstLine="425" w:firstLineChars="177"/>
      <w:jc w:val="left"/>
      <w:outlineLvl w:val="9"/>
    </w:pPr>
    <w:rPr>
      <w:rFonts w:ascii="宋体" w:hAnsi="宋体" w:cs="宋体"/>
      <w:b w:val="0"/>
      <w:bCs w:val="0"/>
      <w:kern w:val="0"/>
      <w:sz w:val="24"/>
      <w:szCs w:val="24"/>
    </w:rPr>
  </w:style>
  <w:style w:type="paragraph" w:customStyle="1" w:styleId="407">
    <w:name w:val="xl55"/>
    <w:basedOn w:val="3"/>
    <w:next w:val="1"/>
    <w:autoRedefine/>
    <w:qFormat/>
    <w:uiPriority w:val="99"/>
    <w:pPr>
      <w:keepNext w:val="0"/>
      <w:keepLines w:val="0"/>
      <w:widowControl/>
      <w:pBdr>
        <w:left w:val="single" w:color="auto" w:sz="12" w:space="0"/>
        <w:bottom w:val="single" w:color="auto" w:sz="8" w:space="0"/>
        <w:right w:val="single" w:color="auto" w:sz="8" w:space="0"/>
      </w:pBdr>
      <w:spacing w:before="100" w:beforeAutospacing="1" w:after="100" w:afterAutospacing="1" w:line="500" w:lineRule="atLeast"/>
      <w:ind w:firstLine="425" w:firstLineChars="177"/>
      <w:jc w:val="center"/>
      <w:outlineLvl w:val="9"/>
    </w:pPr>
    <w:rPr>
      <w:rFonts w:ascii="宋体" w:hAnsi="宋体" w:cs="宋体"/>
      <w:b w:val="0"/>
      <w:bCs w:val="0"/>
      <w:color w:val="000000"/>
      <w:kern w:val="0"/>
      <w:sz w:val="24"/>
      <w:szCs w:val="21"/>
    </w:rPr>
  </w:style>
  <w:style w:type="paragraph" w:customStyle="1" w:styleId="408">
    <w:name w:val="xl53"/>
    <w:basedOn w:val="3"/>
    <w:next w:val="1"/>
    <w:autoRedefine/>
    <w:qFormat/>
    <w:uiPriority w:val="99"/>
    <w:pPr>
      <w:keepNext w:val="0"/>
      <w:keepLines w:val="0"/>
      <w:widowControl/>
      <w:pBdr>
        <w:left w:val="single" w:color="auto" w:sz="8" w:space="0"/>
        <w:bottom w:val="single" w:color="auto" w:sz="8" w:space="0"/>
        <w:right w:val="single" w:color="auto" w:sz="12" w:space="0"/>
      </w:pBdr>
      <w:spacing w:before="100" w:beforeAutospacing="1" w:after="100" w:afterAutospacing="1" w:line="500" w:lineRule="atLeast"/>
      <w:ind w:firstLine="425" w:firstLineChars="177"/>
      <w:jc w:val="center"/>
      <w:outlineLvl w:val="9"/>
    </w:pPr>
    <w:rPr>
      <w:rFonts w:ascii="宋体" w:hAnsi="宋体" w:cs="宋体"/>
      <w:b w:val="0"/>
      <w:bCs w:val="0"/>
      <w:color w:val="000000"/>
      <w:kern w:val="0"/>
      <w:sz w:val="24"/>
      <w:szCs w:val="21"/>
    </w:rPr>
  </w:style>
  <w:style w:type="paragraph" w:customStyle="1" w:styleId="409">
    <w:name w:val="正文段落"/>
    <w:next w:val="1"/>
    <w:autoRedefine/>
    <w:qFormat/>
    <w:uiPriority w:val="99"/>
    <w:pPr>
      <w:spacing w:beforeLines="50" w:line="240" w:lineRule="auto"/>
      <w:ind w:firstLine="505" w:firstLineChars="200"/>
      <w:jc w:val="left"/>
    </w:pPr>
    <w:rPr>
      <w:rFonts w:ascii="Times New Roman" w:hAnsi="Times New Roman" w:eastAsia="宋体" w:cs="Times New Roman"/>
      <w:kern w:val="2"/>
      <w:sz w:val="24"/>
      <w:szCs w:val="20"/>
      <w:lang w:val="en-US" w:eastAsia="zh-CN" w:bidi="ar-SA"/>
    </w:rPr>
  </w:style>
  <w:style w:type="paragraph" w:customStyle="1" w:styleId="410">
    <w:name w:val="textstyle1"/>
    <w:basedOn w:val="3"/>
    <w:next w:val="1"/>
    <w:autoRedefine/>
    <w:qFormat/>
    <w:uiPriority w:val="99"/>
    <w:pPr>
      <w:keepNext w:val="0"/>
      <w:keepLines w:val="0"/>
      <w:widowControl/>
      <w:numPr>
        <w:ilvl w:val="0"/>
        <w:numId w:val="5"/>
      </w:numPr>
      <w:overflowPunct w:val="0"/>
      <w:autoSpaceDE w:val="0"/>
      <w:autoSpaceDN w:val="0"/>
      <w:adjustRightInd w:val="0"/>
      <w:spacing w:before="120" w:after="0" w:line="500" w:lineRule="atLeast"/>
      <w:ind w:left="288" w:firstLine="432" w:firstLineChars="177"/>
      <w:outlineLvl w:val="9"/>
    </w:pPr>
    <w:rPr>
      <w:rFonts w:ascii="楷体" w:eastAsia="楷体"/>
      <w:b w:val="0"/>
      <w:bCs w:val="0"/>
      <w:kern w:val="0"/>
      <w:sz w:val="24"/>
      <w:szCs w:val="20"/>
    </w:rPr>
  </w:style>
  <w:style w:type="paragraph" w:customStyle="1" w:styleId="411">
    <w:name w:val="正文文本 31"/>
    <w:basedOn w:val="3"/>
    <w:next w:val="1"/>
    <w:autoRedefine/>
    <w:qFormat/>
    <w:uiPriority w:val="99"/>
    <w:pPr>
      <w:keepNext w:val="0"/>
      <w:keepLines w:val="0"/>
      <w:adjustRightInd w:val="0"/>
      <w:spacing w:before="0" w:after="0" w:line="360" w:lineRule="atLeast"/>
      <w:ind w:firstLine="425" w:firstLineChars="177"/>
      <w:jc w:val="center"/>
      <w:outlineLvl w:val="9"/>
    </w:pPr>
    <w:rPr>
      <w:rFonts w:ascii="仿宋体" w:hAnsi="宋体" w:eastAsia="仿宋体"/>
      <w:b w:val="0"/>
      <w:bCs w:val="0"/>
      <w:kern w:val="0"/>
      <w:sz w:val="24"/>
      <w:szCs w:val="20"/>
    </w:rPr>
  </w:style>
  <w:style w:type="paragraph" w:customStyle="1" w:styleId="412">
    <w:name w:val="样式 Char"/>
    <w:basedOn w:val="3"/>
    <w:next w:val="1"/>
    <w:autoRedefine/>
    <w:qFormat/>
    <w:uiPriority w:val="99"/>
    <w:pPr>
      <w:keepNext w:val="0"/>
      <w:keepLines w:val="0"/>
      <w:spacing w:before="0" w:after="0" w:line="500" w:lineRule="atLeast"/>
      <w:ind w:firstLine="425" w:firstLineChars="177"/>
      <w:outlineLvl w:val="9"/>
    </w:pPr>
    <w:rPr>
      <w:b w:val="0"/>
      <w:bCs w:val="0"/>
      <w:kern w:val="2"/>
      <w:sz w:val="24"/>
      <w:szCs w:val="21"/>
    </w:rPr>
  </w:style>
  <w:style w:type="paragraph" w:customStyle="1" w:styleId="413">
    <w:name w:val="xl52"/>
    <w:basedOn w:val="3"/>
    <w:next w:val="1"/>
    <w:autoRedefine/>
    <w:qFormat/>
    <w:uiPriority w:val="99"/>
    <w:pPr>
      <w:keepNext w:val="0"/>
      <w:keepLines w:val="0"/>
      <w:widowControl/>
      <w:pBdr>
        <w:top w:val="single" w:color="auto" w:sz="12" w:space="0"/>
        <w:left w:val="single" w:color="auto" w:sz="8" w:space="0"/>
        <w:right w:val="single" w:color="auto" w:sz="12" w:space="0"/>
      </w:pBdr>
      <w:spacing w:before="100" w:beforeAutospacing="1" w:after="100" w:afterAutospacing="1" w:line="500" w:lineRule="atLeast"/>
      <w:ind w:firstLine="425" w:firstLineChars="177"/>
      <w:jc w:val="center"/>
      <w:outlineLvl w:val="9"/>
    </w:pPr>
    <w:rPr>
      <w:rFonts w:ascii="宋体" w:hAnsi="宋体" w:cs="宋体"/>
      <w:b w:val="0"/>
      <w:bCs w:val="0"/>
      <w:color w:val="000000"/>
      <w:kern w:val="0"/>
      <w:sz w:val="24"/>
      <w:szCs w:val="21"/>
    </w:rPr>
  </w:style>
  <w:style w:type="paragraph" w:customStyle="1" w:styleId="414">
    <w:name w:val="表格1"/>
    <w:basedOn w:val="3"/>
    <w:next w:val="1"/>
    <w:autoRedefine/>
    <w:qFormat/>
    <w:uiPriority w:val="99"/>
    <w:pPr>
      <w:keepNext w:val="0"/>
      <w:keepLines w:val="0"/>
      <w:adjustRightInd w:val="0"/>
      <w:spacing w:before="0" w:after="120" w:line="20" w:lineRule="atLeast"/>
      <w:ind w:firstLine="425" w:firstLineChars="177"/>
      <w:jc w:val="center"/>
      <w:outlineLvl w:val="9"/>
    </w:pPr>
    <w:rPr>
      <w:rFonts w:ascii="仿宋体"/>
      <w:b w:val="0"/>
      <w:bCs w:val="0"/>
      <w:color w:val="000000"/>
      <w:kern w:val="0"/>
      <w:sz w:val="24"/>
      <w:szCs w:val="20"/>
    </w:rPr>
  </w:style>
  <w:style w:type="paragraph" w:customStyle="1" w:styleId="415">
    <w:name w:val="xl47"/>
    <w:basedOn w:val="3"/>
    <w:next w:val="1"/>
    <w:autoRedefine/>
    <w:qFormat/>
    <w:uiPriority w:val="99"/>
    <w:pPr>
      <w:keepNext w:val="0"/>
      <w:keepLines w:val="0"/>
      <w:widowControl/>
      <w:pBdr>
        <w:top w:val="single" w:color="auto" w:sz="8" w:space="0"/>
        <w:left w:val="single" w:color="auto" w:sz="12" w:space="0"/>
        <w:right w:val="single" w:color="auto" w:sz="8" w:space="0"/>
      </w:pBdr>
      <w:spacing w:before="100" w:beforeAutospacing="1" w:after="100" w:afterAutospacing="1" w:line="500" w:lineRule="atLeast"/>
      <w:ind w:firstLine="425" w:firstLineChars="177"/>
      <w:jc w:val="center"/>
      <w:outlineLvl w:val="9"/>
    </w:pPr>
    <w:rPr>
      <w:b w:val="0"/>
      <w:bCs w:val="0"/>
      <w:color w:val="000000"/>
      <w:kern w:val="0"/>
      <w:sz w:val="24"/>
      <w:szCs w:val="21"/>
    </w:rPr>
  </w:style>
  <w:style w:type="paragraph" w:customStyle="1" w:styleId="416">
    <w:name w:val="列出段落1"/>
    <w:basedOn w:val="3"/>
    <w:next w:val="1"/>
    <w:autoRedefine/>
    <w:qFormat/>
    <w:uiPriority w:val="99"/>
    <w:pPr>
      <w:keepNext w:val="0"/>
      <w:keepLines w:val="0"/>
      <w:widowControl/>
      <w:spacing w:before="0" w:after="0" w:line="500" w:lineRule="atLeast"/>
      <w:ind w:firstLine="420" w:firstLineChars="200"/>
      <w:jc w:val="left"/>
      <w:outlineLvl w:val="9"/>
    </w:pPr>
    <w:rPr>
      <w:b w:val="0"/>
      <w:bCs w:val="0"/>
      <w:kern w:val="0"/>
      <w:sz w:val="24"/>
      <w:szCs w:val="24"/>
    </w:rPr>
  </w:style>
  <w:style w:type="paragraph" w:customStyle="1" w:styleId="417">
    <w:name w:val="xl33"/>
    <w:basedOn w:val="3"/>
    <w:next w:val="1"/>
    <w:autoRedefine/>
    <w:qFormat/>
    <w:uiPriority w:val="99"/>
    <w:pPr>
      <w:keepNext w:val="0"/>
      <w:keepLines w:val="0"/>
      <w:widowControl/>
      <w:pBdr>
        <w:left w:val="single" w:color="auto" w:sz="12" w:space="0"/>
        <w:right w:val="single" w:color="auto" w:sz="8" w:space="0"/>
      </w:pBdr>
      <w:spacing w:before="100" w:beforeAutospacing="1" w:after="100" w:afterAutospacing="1" w:line="500" w:lineRule="atLeast"/>
      <w:ind w:firstLine="425" w:firstLineChars="177"/>
      <w:jc w:val="center"/>
      <w:outlineLvl w:val="9"/>
    </w:pPr>
    <w:rPr>
      <w:b w:val="0"/>
      <w:bCs w:val="0"/>
      <w:color w:val="000000"/>
      <w:kern w:val="0"/>
      <w:sz w:val="24"/>
      <w:szCs w:val="21"/>
    </w:rPr>
  </w:style>
  <w:style w:type="paragraph" w:customStyle="1" w:styleId="418">
    <w:name w:val="样式 标题 1 + 自动设置"/>
    <w:basedOn w:val="3"/>
    <w:next w:val="1"/>
    <w:autoRedefine/>
    <w:qFormat/>
    <w:uiPriority w:val="99"/>
    <w:pPr>
      <w:tabs>
        <w:tab w:val="left" w:pos="432"/>
        <w:tab w:val="left" w:pos="700"/>
        <w:tab w:val="left" w:pos="1860"/>
      </w:tabs>
      <w:autoSpaceDE w:val="0"/>
      <w:autoSpaceDN w:val="0"/>
      <w:adjustRightInd w:val="0"/>
      <w:spacing w:before="0" w:after="0" w:line="240" w:lineRule="auto"/>
      <w:ind w:left="1860" w:hanging="1290" w:firstLineChars="177"/>
      <w:jc w:val="left"/>
    </w:pPr>
    <w:rPr>
      <w:sz w:val="28"/>
      <w:szCs w:val="20"/>
    </w:rPr>
  </w:style>
  <w:style w:type="paragraph" w:customStyle="1" w:styleId="419">
    <w:name w:val="页脚1"/>
    <w:basedOn w:val="146"/>
    <w:next w:val="1"/>
    <w:autoRedefine/>
    <w:qFormat/>
    <w:uiPriority w:val="99"/>
    <w:pPr>
      <w:tabs>
        <w:tab w:val="center" w:pos="4153"/>
        <w:tab w:val="right" w:pos="8306"/>
      </w:tabs>
      <w:spacing w:line="240" w:lineRule="atLeast"/>
    </w:pPr>
    <w:rPr>
      <w:rFonts w:hAnsi="Calibri"/>
      <w:sz w:val="18"/>
      <w:szCs w:val="20"/>
    </w:rPr>
  </w:style>
  <w:style w:type="paragraph" w:customStyle="1" w:styleId="420">
    <w:name w:val="样式 样式 首行缩进:  2 字符 + 首行缩进:  2 字符"/>
    <w:basedOn w:val="3"/>
    <w:next w:val="1"/>
    <w:autoRedefine/>
    <w:qFormat/>
    <w:uiPriority w:val="99"/>
    <w:pPr>
      <w:keepNext w:val="0"/>
      <w:keepLines w:val="0"/>
      <w:spacing w:before="0" w:after="0" w:line="500" w:lineRule="atLeast"/>
      <w:ind w:firstLine="587" w:firstLineChars="200"/>
      <w:outlineLvl w:val="9"/>
    </w:pPr>
    <w:rPr>
      <w:rFonts w:ascii="宋体"/>
      <w:b w:val="0"/>
      <w:bCs w:val="0"/>
      <w:kern w:val="2"/>
      <w:sz w:val="27"/>
      <w:szCs w:val="27"/>
    </w:rPr>
  </w:style>
  <w:style w:type="paragraph" w:customStyle="1" w:styleId="421">
    <w:name w:val="xl44"/>
    <w:basedOn w:val="3"/>
    <w:next w:val="1"/>
    <w:autoRedefine/>
    <w:qFormat/>
    <w:uiPriority w:val="99"/>
    <w:pPr>
      <w:keepNext w:val="0"/>
      <w:keepLines w:val="0"/>
      <w:widowControl/>
      <w:pBdr>
        <w:left w:val="single" w:color="auto" w:sz="8" w:space="0"/>
        <w:bottom w:val="single" w:color="auto" w:sz="8" w:space="0"/>
        <w:right w:val="single" w:color="auto" w:sz="8" w:space="0"/>
      </w:pBdr>
      <w:spacing w:before="100" w:beforeAutospacing="1" w:after="100" w:afterAutospacing="1" w:line="500" w:lineRule="atLeast"/>
      <w:ind w:firstLine="425" w:firstLineChars="177"/>
      <w:jc w:val="center"/>
      <w:outlineLvl w:val="9"/>
    </w:pPr>
    <w:rPr>
      <w:b w:val="0"/>
      <w:bCs w:val="0"/>
      <w:color w:val="000000"/>
      <w:kern w:val="0"/>
      <w:sz w:val="24"/>
      <w:szCs w:val="21"/>
    </w:rPr>
  </w:style>
  <w:style w:type="paragraph" w:customStyle="1" w:styleId="422">
    <w:name w:val="正文王"/>
    <w:basedOn w:val="26"/>
    <w:next w:val="1"/>
    <w:autoRedefine/>
    <w:qFormat/>
    <w:uiPriority w:val="99"/>
    <w:pPr>
      <w:spacing w:line="440" w:lineRule="exact"/>
      <w:ind w:firstLine="425" w:firstLineChars="177"/>
    </w:pPr>
    <w:rPr>
      <w:rFonts w:ascii="Arial" w:hAnsi="Arial"/>
      <w:kern w:val="0"/>
    </w:rPr>
  </w:style>
  <w:style w:type="paragraph" w:customStyle="1" w:styleId="423">
    <w:name w:val="表文左对齐"/>
    <w:basedOn w:val="305"/>
    <w:next w:val="1"/>
    <w:autoRedefine/>
    <w:qFormat/>
    <w:uiPriority w:val="99"/>
    <w:pPr>
      <w:spacing w:line="320" w:lineRule="exact"/>
      <w:ind w:firstLine="420"/>
      <w:jc w:val="left"/>
    </w:pPr>
    <w:rPr>
      <w:color w:val="000000"/>
      <w:szCs w:val="20"/>
    </w:rPr>
  </w:style>
  <w:style w:type="paragraph" w:customStyle="1" w:styleId="424">
    <w:name w:val="默认段落字体 Para Char"/>
    <w:basedOn w:val="3"/>
    <w:next w:val="1"/>
    <w:autoRedefine/>
    <w:qFormat/>
    <w:uiPriority w:val="99"/>
    <w:pPr>
      <w:keepNext w:val="0"/>
      <w:keepLines w:val="0"/>
      <w:spacing w:before="0" w:after="0" w:line="500" w:lineRule="atLeast"/>
      <w:ind w:firstLine="425" w:firstLineChars="177"/>
      <w:outlineLvl w:val="9"/>
    </w:pPr>
    <w:rPr>
      <w:rFonts w:ascii="宋体"/>
      <w:b w:val="0"/>
      <w:bCs w:val="0"/>
      <w:kern w:val="2"/>
      <w:sz w:val="28"/>
      <w:szCs w:val="24"/>
    </w:rPr>
  </w:style>
  <w:style w:type="paragraph" w:customStyle="1" w:styleId="425">
    <w:name w:val="xl30"/>
    <w:basedOn w:val="3"/>
    <w:next w:val="1"/>
    <w:autoRedefine/>
    <w:qFormat/>
    <w:uiPriority w:val="99"/>
    <w:pPr>
      <w:keepNext w:val="0"/>
      <w:keepLines w:val="0"/>
      <w:widowControl/>
      <w:pBdr>
        <w:left w:val="single" w:color="auto" w:sz="8" w:space="0"/>
        <w:bottom w:val="single" w:color="auto" w:sz="8" w:space="0"/>
        <w:right w:val="single" w:color="auto" w:sz="8" w:space="0"/>
      </w:pBdr>
      <w:spacing w:before="100" w:beforeAutospacing="1" w:after="100" w:afterAutospacing="1" w:line="500" w:lineRule="atLeast"/>
      <w:ind w:firstLine="425" w:firstLineChars="177"/>
      <w:jc w:val="center"/>
      <w:outlineLvl w:val="9"/>
    </w:pPr>
    <w:rPr>
      <w:rFonts w:ascii="宋体" w:hAnsi="宋体"/>
      <w:b w:val="0"/>
      <w:bCs w:val="0"/>
      <w:kern w:val="0"/>
      <w:sz w:val="24"/>
      <w:szCs w:val="21"/>
    </w:rPr>
  </w:style>
  <w:style w:type="paragraph" w:customStyle="1" w:styleId="426">
    <w:name w:val="段落"/>
    <w:basedOn w:val="3"/>
    <w:next w:val="1"/>
    <w:autoRedefine/>
    <w:qFormat/>
    <w:uiPriority w:val="99"/>
    <w:pPr>
      <w:keepNext w:val="0"/>
      <w:keepLines w:val="0"/>
      <w:adjustRightInd w:val="0"/>
      <w:snapToGrid w:val="0"/>
      <w:spacing w:before="0" w:after="0" w:line="280" w:lineRule="exact"/>
      <w:ind w:firstLine="425" w:firstLineChars="177"/>
      <w:outlineLvl w:val="9"/>
    </w:pPr>
    <w:rPr>
      <w:b w:val="0"/>
      <w:bCs w:val="0"/>
      <w:kern w:val="0"/>
      <w:sz w:val="18"/>
      <w:szCs w:val="20"/>
    </w:rPr>
  </w:style>
  <w:style w:type="paragraph" w:customStyle="1" w:styleId="427">
    <w:name w:val="样式 样式1 + 两端对齐 左侧:  0 厘米 首行缩进:  0 厘米"/>
    <w:basedOn w:val="3"/>
    <w:next w:val="1"/>
    <w:autoRedefine/>
    <w:qFormat/>
    <w:uiPriority w:val="99"/>
    <w:pPr>
      <w:pageBreakBefore/>
      <w:spacing w:before="240" w:after="120" w:line="500" w:lineRule="atLeast"/>
      <w:ind w:firstLine="425" w:firstLineChars="177"/>
      <w:jc w:val="center"/>
    </w:pPr>
    <w:rPr>
      <w:rFonts w:eastAsia="黑体" w:cs="宋体"/>
      <w:b w:val="0"/>
      <w:bCs w:val="0"/>
      <w:kern w:val="2"/>
      <w:sz w:val="36"/>
      <w:szCs w:val="24"/>
    </w:rPr>
  </w:style>
  <w:style w:type="character" w:customStyle="1" w:styleId="428">
    <w:name w:val="正文样式1 Char"/>
    <w:link w:val="429"/>
    <w:autoRedefine/>
    <w:qFormat/>
    <w:uiPriority w:val="0"/>
    <w:rPr>
      <w:rFonts w:ascii="宋体" w:hAnsi="宋体" w:eastAsia="宋体"/>
      <w:sz w:val="24"/>
    </w:rPr>
  </w:style>
  <w:style w:type="paragraph" w:customStyle="1" w:styleId="429">
    <w:name w:val="正文样式1"/>
    <w:basedOn w:val="3"/>
    <w:next w:val="1"/>
    <w:link w:val="428"/>
    <w:autoRedefine/>
    <w:qFormat/>
    <w:uiPriority w:val="0"/>
    <w:pPr>
      <w:keepNext w:val="0"/>
      <w:keepLines w:val="0"/>
      <w:adjustRightInd w:val="0"/>
      <w:spacing w:before="0" w:after="0" w:line="288" w:lineRule="auto"/>
      <w:ind w:firstLine="360" w:firstLineChars="150"/>
      <w:outlineLvl w:val="9"/>
    </w:pPr>
    <w:rPr>
      <w:rFonts w:ascii="宋体" w:hAnsi="宋体" w:cstheme="minorBidi"/>
      <w:b w:val="0"/>
      <w:bCs w:val="0"/>
      <w:kern w:val="2"/>
      <w:sz w:val="24"/>
      <w:szCs w:val="22"/>
    </w:rPr>
  </w:style>
  <w:style w:type="paragraph" w:customStyle="1" w:styleId="430">
    <w:name w:val="8"/>
    <w:basedOn w:val="3"/>
    <w:next w:val="22"/>
    <w:autoRedefine/>
    <w:qFormat/>
    <w:uiPriority w:val="99"/>
    <w:pPr>
      <w:keepNext w:val="0"/>
      <w:keepLines w:val="0"/>
      <w:spacing w:before="0" w:after="0" w:line="400" w:lineRule="exact"/>
      <w:ind w:firstLine="516" w:firstLineChars="215"/>
      <w:outlineLvl w:val="9"/>
    </w:pPr>
    <w:rPr>
      <w:b w:val="0"/>
      <w:bCs w:val="0"/>
      <w:kern w:val="2"/>
      <w:sz w:val="24"/>
      <w:szCs w:val="24"/>
    </w:rPr>
  </w:style>
  <w:style w:type="character" w:customStyle="1" w:styleId="431">
    <w:name w:val="cucd-1 Char"/>
    <w:link w:val="432"/>
    <w:autoRedefine/>
    <w:qFormat/>
    <w:uiPriority w:val="0"/>
    <w:rPr>
      <w:rFonts w:ascii="黑体" w:hAnsi="黑体" w:eastAsia="黑体"/>
      <w:b/>
      <w:sz w:val="36"/>
      <w:szCs w:val="24"/>
    </w:rPr>
  </w:style>
  <w:style w:type="paragraph" w:customStyle="1" w:styleId="432">
    <w:name w:val="cucd-1"/>
    <w:next w:val="345"/>
    <w:link w:val="431"/>
    <w:autoRedefine/>
    <w:qFormat/>
    <w:uiPriority w:val="0"/>
    <w:pPr>
      <w:pageBreakBefore/>
      <w:tabs>
        <w:tab w:val="left" w:pos="432"/>
      </w:tabs>
      <w:spacing w:beforeLines="100" w:line="360" w:lineRule="auto"/>
      <w:ind w:left="432" w:hanging="432"/>
      <w:jc w:val="center"/>
      <w:outlineLvl w:val="0"/>
    </w:pPr>
    <w:rPr>
      <w:rFonts w:ascii="黑体" w:hAnsi="黑体" w:eastAsia="黑体" w:cstheme="minorBidi"/>
      <w:b/>
      <w:kern w:val="2"/>
      <w:sz w:val="36"/>
      <w:szCs w:val="24"/>
      <w:lang w:val="en-US" w:eastAsia="zh-CN" w:bidi="ar-SA"/>
    </w:rPr>
  </w:style>
  <w:style w:type="paragraph" w:customStyle="1" w:styleId="433">
    <w:name w:val="Char Char Char Char Char Char1 Char Char Char Char"/>
    <w:basedOn w:val="3"/>
    <w:next w:val="1"/>
    <w:autoRedefine/>
    <w:qFormat/>
    <w:uiPriority w:val="99"/>
    <w:pPr>
      <w:keepNext w:val="0"/>
      <w:keepLines w:val="0"/>
      <w:spacing w:before="0" w:after="0" w:line="500" w:lineRule="atLeast"/>
      <w:ind w:firstLine="425" w:firstLineChars="177"/>
      <w:outlineLvl w:val="9"/>
    </w:pPr>
    <w:rPr>
      <w:b w:val="0"/>
      <w:bCs w:val="0"/>
      <w:kern w:val="2"/>
      <w:sz w:val="24"/>
      <w:szCs w:val="24"/>
    </w:rPr>
  </w:style>
  <w:style w:type="paragraph" w:customStyle="1" w:styleId="434">
    <w:name w:val="表内"/>
    <w:basedOn w:val="3"/>
    <w:next w:val="1"/>
    <w:autoRedefine/>
    <w:qFormat/>
    <w:uiPriority w:val="99"/>
    <w:pPr>
      <w:keepNext w:val="0"/>
      <w:keepLines w:val="0"/>
      <w:adjustRightInd w:val="0"/>
      <w:spacing w:before="0" w:after="0" w:line="500" w:lineRule="atLeast"/>
      <w:ind w:left="-78" w:leftChars="-38" w:hanging="2" w:hangingChars="1"/>
      <w:jc w:val="center"/>
      <w:outlineLvl w:val="9"/>
    </w:pPr>
    <w:rPr>
      <w:rFonts w:ascii="宋体" w:hAnsi="宋体"/>
      <w:b w:val="0"/>
      <w:bCs w:val="0"/>
      <w:color w:val="FF0000"/>
      <w:kern w:val="2"/>
      <w:sz w:val="24"/>
      <w:szCs w:val="20"/>
    </w:rPr>
  </w:style>
  <w:style w:type="paragraph" w:customStyle="1" w:styleId="435">
    <w:name w:val="a9cxsplast"/>
    <w:basedOn w:val="3"/>
    <w:next w:val="1"/>
    <w:autoRedefine/>
    <w:qFormat/>
    <w:uiPriority w:val="99"/>
    <w:pPr>
      <w:keepNext w:val="0"/>
      <w:keepLines w:val="0"/>
      <w:widowControl/>
      <w:snapToGrid w:val="0"/>
      <w:spacing w:before="0" w:after="120" w:line="360" w:lineRule="auto"/>
      <w:ind w:firstLine="480" w:firstLineChars="177"/>
      <w:outlineLvl w:val="9"/>
    </w:pPr>
    <w:rPr>
      <w:b w:val="0"/>
      <w:bCs w:val="0"/>
      <w:kern w:val="0"/>
      <w:sz w:val="24"/>
      <w:szCs w:val="24"/>
    </w:rPr>
  </w:style>
  <w:style w:type="paragraph" w:customStyle="1" w:styleId="436">
    <w:name w:val="Char2 Char Char Char Char Char Char"/>
    <w:basedOn w:val="3"/>
    <w:next w:val="1"/>
    <w:autoRedefine/>
    <w:qFormat/>
    <w:uiPriority w:val="99"/>
    <w:pPr>
      <w:keepNext w:val="0"/>
      <w:keepLines w:val="0"/>
      <w:spacing w:before="0" w:after="0" w:line="360" w:lineRule="auto"/>
      <w:ind w:firstLine="200" w:firstLineChars="200"/>
      <w:outlineLvl w:val="9"/>
    </w:pPr>
    <w:rPr>
      <w:rFonts w:ascii="宋体" w:hAnsi="宋体" w:cs="宋体"/>
      <w:b w:val="0"/>
      <w:bCs w:val="0"/>
      <w:kern w:val="2"/>
      <w:sz w:val="24"/>
      <w:szCs w:val="24"/>
    </w:rPr>
  </w:style>
  <w:style w:type="paragraph" w:customStyle="1" w:styleId="437">
    <w:name w:val="y表格"/>
    <w:basedOn w:val="19"/>
    <w:next w:val="1"/>
    <w:autoRedefine/>
    <w:qFormat/>
    <w:uiPriority w:val="99"/>
    <w:pPr>
      <w:widowControl/>
      <w:adjustRightInd w:val="0"/>
      <w:snapToGrid w:val="0"/>
      <w:spacing w:after="0"/>
      <w:ind w:firstLine="425" w:firstLineChars="177"/>
      <w:jc w:val="center"/>
    </w:pPr>
    <w:rPr>
      <w:rFonts w:hint="eastAsia" w:ascii="宋体" w:hAnsi="宋体" w:cstheme="minorBidi"/>
      <w:sz w:val="24"/>
      <w:szCs w:val="20"/>
    </w:rPr>
  </w:style>
  <w:style w:type="paragraph" w:customStyle="1" w:styleId="438">
    <w:name w:val="表格文字（居中）"/>
    <w:basedOn w:val="3"/>
    <w:next w:val="1"/>
    <w:autoRedefine/>
    <w:qFormat/>
    <w:uiPriority w:val="99"/>
    <w:pPr>
      <w:keepNext w:val="0"/>
      <w:keepLines w:val="0"/>
      <w:spacing w:before="0" w:after="0" w:line="500" w:lineRule="atLeast"/>
      <w:ind w:firstLine="425" w:firstLineChars="177"/>
      <w:jc w:val="center"/>
      <w:outlineLvl w:val="9"/>
    </w:pPr>
    <w:rPr>
      <w:b w:val="0"/>
      <w:bCs w:val="0"/>
      <w:kern w:val="2"/>
      <w:sz w:val="24"/>
      <w:szCs w:val="21"/>
    </w:rPr>
  </w:style>
  <w:style w:type="paragraph" w:customStyle="1" w:styleId="439">
    <w:name w:val="样式 标题 3头 + 行距: 多倍行距 0.25 字行"/>
    <w:basedOn w:val="5"/>
    <w:next w:val="1"/>
    <w:autoRedefine/>
    <w:qFormat/>
    <w:uiPriority w:val="99"/>
    <w:pPr>
      <w:numPr>
        <w:ilvl w:val="0"/>
        <w:numId w:val="6"/>
      </w:numPr>
      <w:tabs>
        <w:tab w:val="left" w:pos="578"/>
        <w:tab w:val="clear" w:pos="360"/>
      </w:tabs>
      <w:spacing w:before="60" w:after="0" w:line="60" w:lineRule="auto"/>
      <w:ind w:left="578" w:hanging="578"/>
    </w:pPr>
    <w:rPr>
      <w:rFonts w:ascii="Times New Roman" w:hAnsi="Times New Roman" w:cs="黑体"/>
      <w:b/>
      <w:bCs/>
      <w:kern w:val="0"/>
      <w:sz w:val="28"/>
      <w:szCs w:val="28"/>
    </w:rPr>
  </w:style>
  <w:style w:type="paragraph" w:customStyle="1" w:styleId="440">
    <w:name w:val="Char Char Char Char Char Char Char Char1 Char Char Char Char Char Char Char"/>
    <w:basedOn w:val="3"/>
    <w:next w:val="1"/>
    <w:autoRedefine/>
    <w:qFormat/>
    <w:uiPriority w:val="99"/>
    <w:pPr>
      <w:keepNext w:val="0"/>
      <w:keepLines w:val="0"/>
      <w:snapToGrid w:val="0"/>
      <w:spacing w:before="0" w:after="0" w:line="360" w:lineRule="auto"/>
      <w:ind w:firstLine="200" w:firstLineChars="200"/>
      <w:outlineLvl w:val="9"/>
    </w:pPr>
    <w:rPr>
      <w:rFonts w:eastAsia="FangSong_GB2312"/>
      <w:b w:val="0"/>
      <w:bCs w:val="0"/>
      <w:kern w:val="2"/>
      <w:sz w:val="24"/>
      <w:szCs w:val="24"/>
    </w:rPr>
  </w:style>
  <w:style w:type="paragraph" w:customStyle="1" w:styleId="441">
    <w:name w:val="a"/>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 w:val="0"/>
      <w:bCs w:val="0"/>
      <w:kern w:val="0"/>
      <w:sz w:val="24"/>
      <w:szCs w:val="24"/>
    </w:rPr>
  </w:style>
  <w:style w:type="paragraph" w:customStyle="1" w:styleId="442">
    <w:name w:val="xl51"/>
    <w:basedOn w:val="3"/>
    <w:next w:val="1"/>
    <w:autoRedefine/>
    <w:qFormat/>
    <w:uiPriority w:val="99"/>
    <w:pPr>
      <w:keepNext w:val="0"/>
      <w:keepLines w:val="0"/>
      <w:widowControl/>
      <w:pBdr>
        <w:top w:val="single" w:color="auto" w:sz="12" w:space="0"/>
        <w:left w:val="single" w:color="auto" w:sz="8" w:space="0"/>
        <w:right w:val="single" w:color="auto" w:sz="8" w:space="0"/>
      </w:pBdr>
      <w:spacing w:before="100" w:beforeAutospacing="1" w:after="100" w:afterAutospacing="1" w:line="500" w:lineRule="atLeast"/>
      <w:ind w:firstLine="425" w:firstLineChars="177"/>
      <w:jc w:val="center"/>
      <w:outlineLvl w:val="9"/>
    </w:pPr>
    <w:rPr>
      <w:rFonts w:ascii="宋体" w:hAnsi="宋体" w:cs="宋体"/>
      <w:b w:val="0"/>
      <w:bCs w:val="0"/>
      <w:color w:val="000000"/>
      <w:kern w:val="0"/>
      <w:sz w:val="24"/>
      <w:szCs w:val="21"/>
    </w:rPr>
  </w:style>
  <w:style w:type="paragraph" w:customStyle="1" w:styleId="443">
    <w:name w:val="wtext"/>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Arial Unicode MS" w:hAnsi="Arial Unicode MS" w:eastAsia="Arial Unicode MS" w:cs="Arial Unicode MS"/>
      <w:b w:val="0"/>
      <w:bCs w:val="0"/>
      <w:kern w:val="0"/>
      <w:sz w:val="24"/>
      <w:szCs w:val="24"/>
    </w:rPr>
  </w:style>
  <w:style w:type="paragraph" w:customStyle="1" w:styleId="444">
    <w:name w:val="T表格"/>
    <w:basedOn w:val="58"/>
    <w:next w:val="58"/>
    <w:autoRedefine/>
    <w:qFormat/>
    <w:uiPriority w:val="99"/>
    <w:rPr>
      <w:rFonts w:hAnsi="Calibri" w:cs="Times New Roman"/>
      <w:color w:val="auto"/>
      <w:sz w:val="21"/>
      <w:szCs w:val="22"/>
    </w:rPr>
  </w:style>
  <w:style w:type="character" w:customStyle="1" w:styleId="445">
    <w:name w:val="cauc-0 Char1"/>
    <w:link w:val="446"/>
    <w:autoRedefine/>
    <w:qFormat/>
    <w:uiPriority w:val="0"/>
    <w:rPr>
      <w:sz w:val="24"/>
      <w:szCs w:val="24"/>
    </w:rPr>
  </w:style>
  <w:style w:type="paragraph" w:customStyle="1" w:styleId="446">
    <w:name w:val="cauc-0"/>
    <w:next w:val="1"/>
    <w:link w:val="445"/>
    <w:autoRedefine/>
    <w:qFormat/>
    <w:uiPriority w:val="0"/>
    <w:pPr>
      <w:spacing w:line="360" w:lineRule="auto"/>
      <w:ind w:firstLine="480" w:firstLineChars="200"/>
      <w:jc w:val="left"/>
    </w:pPr>
    <w:rPr>
      <w:rFonts w:asciiTheme="minorHAnsi" w:hAnsiTheme="minorHAnsi" w:eastAsiaTheme="minorEastAsia" w:cstheme="minorBidi"/>
      <w:kern w:val="2"/>
      <w:sz w:val="24"/>
      <w:szCs w:val="24"/>
      <w:lang w:val="en-US" w:eastAsia="zh-CN" w:bidi="ar-SA"/>
    </w:rPr>
  </w:style>
  <w:style w:type="paragraph" w:customStyle="1" w:styleId="447">
    <w:name w:val="保定正文"/>
    <w:basedOn w:val="3"/>
    <w:next w:val="1"/>
    <w:autoRedefine/>
    <w:qFormat/>
    <w:uiPriority w:val="99"/>
    <w:pPr>
      <w:keepNext w:val="0"/>
      <w:keepLines w:val="0"/>
      <w:snapToGrid w:val="0"/>
      <w:spacing w:before="0" w:after="0" w:line="360" w:lineRule="auto"/>
      <w:ind w:firstLine="200" w:firstLineChars="200"/>
      <w:outlineLvl w:val="9"/>
    </w:pPr>
    <w:rPr>
      <w:rFonts w:cs="宋体"/>
      <w:b w:val="0"/>
      <w:bCs w:val="0"/>
      <w:kern w:val="0"/>
      <w:sz w:val="24"/>
      <w:szCs w:val="20"/>
    </w:rPr>
  </w:style>
  <w:style w:type="paragraph" w:customStyle="1" w:styleId="448">
    <w:name w:val="a2"/>
    <w:basedOn w:val="3"/>
    <w:next w:val="1"/>
    <w:autoRedefine/>
    <w:qFormat/>
    <w:uiPriority w:val="99"/>
    <w:pPr>
      <w:keepNext w:val="0"/>
      <w:keepLines w:val="0"/>
      <w:widowControl/>
      <w:spacing w:before="120" w:after="0" w:line="360" w:lineRule="auto"/>
      <w:ind w:firstLine="425" w:firstLineChars="177"/>
      <w:jc w:val="center"/>
      <w:outlineLvl w:val="9"/>
    </w:pPr>
    <w:rPr>
      <w:rFonts w:ascii="黑体" w:eastAsia="黑体"/>
      <w:b w:val="0"/>
      <w:bCs w:val="0"/>
      <w:kern w:val="0"/>
      <w:sz w:val="24"/>
      <w:szCs w:val="21"/>
    </w:rPr>
  </w:style>
  <w:style w:type="paragraph" w:customStyle="1" w:styleId="449">
    <w:name w:val="样式 标题 3H3l3CT标题 3(节)h33rd levelHeading 3 - oldISO2sect1...1"/>
    <w:basedOn w:val="5"/>
    <w:next w:val="1"/>
    <w:autoRedefine/>
    <w:qFormat/>
    <w:uiPriority w:val="99"/>
    <w:pPr>
      <w:tabs>
        <w:tab w:val="left" w:pos="720"/>
      </w:tabs>
      <w:adjustRightInd w:val="0"/>
      <w:spacing w:before="100" w:after="0" w:line="360" w:lineRule="auto"/>
      <w:jc w:val="left"/>
    </w:pPr>
    <w:rPr>
      <w:rFonts w:ascii="Times New Roman" w:hAnsi="Times New Roman"/>
      <w:kern w:val="0"/>
      <w:sz w:val="28"/>
      <w:szCs w:val="20"/>
    </w:rPr>
  </w:style>
  <w:style w:type="paragraph" w:customStyle="1" w:styleId="450">
    <w:name w:val="悬挂式正文"/>
    <w:basedOn w:val="3"/>
    <w:next w:val="1"/>
    <w:autoRedefine/>
    <w:qFormat/>
    <w:uiPriority w:val="99"/>
    <w:pPr>
      <w:keepNext w:val="0"/>
      <w:keepLines w:val="0"/>
      <w:tabs>
        <w:tab w:val="center" w:pos="6804"/>
        <w:tab w:val="right" w:pos="7371"/>
      </w:tabs>
      <w:overflowPunct w:val="0"/>
      <w:adjustRightInd w:val="0"/>
      <w:spacing w:before="0" w:after="0" w:line="360" w:lineRule="auto"/>
      <w:ind w:left="1701" w:hanging="1134" w:firstLineChars="177"/>
      <w:outlineLvl w:val="9"/>
    </w:pPr>
    <w:rPr>
      <w:b w:val="0"/>
      <w:bCs w:val="0"/>
      <w:kern w:val="0"/>
      <w:sz w:val="28"/>
      <w:szCs w:val="20"/>
    </w:rPr>
  </w:style>
  <w:style w:type="paragraph" w:customStyle="1" w:styleId="451">
    <w:name w:val="表格名称"/>
    <w:basedOn w:val="3"/>
    <w:next w:val="1"/>
    <w:autoRedefine/>
    <w:qFormat/>
    <w:uiPriority w:val="99"/>
    <w:pPr>
      <w:tabs>
        <w:tab w:val="left" w:pos="720"/>
      </w:tabs>
      <w:spacing w:beforeLines="20" w:after="0" w:line="440" w:lineRule="exact"/>
      <w:ind w:firstLine="480" w:firstLineChars="177"/>
      <w:outlineLvl w:val="9"/>
    </w:pPr>
    <w:rPr>
      <w:rFonts w:eastAsia="黑体"/>
      <w:b w:val="0"/>
      <w:bCs w:val="0"/>
      <w:kern w:val="2"/>
      <w:sz w:val="24"/>
      <w:szCs w:val="20"/>
    </w:rPr>
  </w:style>
  <w:style w:type="paragraph" w:customStyle="1" w:styleId="452">
    <w:name w:val="xl45"/>
    <w:basedOn w:val="3"/>
    <w:next w:val="1"/>
    <w:autoRedefine/>
    <w:qFormat/>
    <w:uiPriority w:val="99"/>
    <w:pPr>
      <w:keepNext w:val="0"/>
      <w:keepLines w:val="0"/>
      <w:widowControl/>
      <w:pBdr>
        <w:top w:val="single" w:color="auto" w:sz="8" w:space="0"/>
        <w:left w:val="single" w:color="auto" w:sz="8" w:space="0"/>
        <w:right w:val="single" w:color="auto" w:sz="12" w:space="0"/>
      </w:pBdr>
      <w:spacing w:before="100" w:beforeAutospacing="1" w:after="100" w:afterAutospacing="1" w:line="500" w:lineRule="atLeast"/>
      <w:ind w:firstLine="425" w:firstLineChars="177"/>
      <w:jc w:val="center"/>
      <w:outlineLvl w:val="9"/>
    </w:pPr>
    <w:rPr>
      <w:b w:val="0"/>
      <w:bCs w:val="0"/>
      <w:color w:val="000000"/>
      <w:kern w:val="0"/>
      <w:sz w:val="24"/>
      <w:szCs w:val="21"/>
    </w:rPr>
  </w:style>
  <w:style w:type="paragraph" w:customStyle="1" w:styleId="453">
    <w:name w:val="样式 首行缩进:  0.77 厘米 行距: 固定值 20 磅"/>
    <w:basedOn w:val="3"/>
    <w:next w:val="1"/>
    <w:autoRedefine/>
    <w:qFormat/>
    <w:uiPriority w:val="99"/>
    <w:pPr>
      <w:keepNext w:val="0"/>
      <w:keepLines w:val="0"/>
      <w:spacing w:before="0" w:after="0" w:line="360" w:lineRule="auto"/>
      <w:ind w:firstLine="435" w:firstLineChars="177"/>
      <w:outlineLvl w:val="9"/>
    </w:pPr>
    <w:rPr>
      <w:b w:val="0"/>
      <w:bCs w:val="0"/>
      <w:kern w:val="2"/>
      <w:sz w:val="24"/>
      <w:szCs w:val="20"/>
    </w:rPr>
  </w:style>
  <w:style w:type="character" w:customStyle="1" w:styleId="454">
    <w:name w:val="l_text Char"/>
    <w:link w:val="455"/>
    <w:autoRedefine/>
    <w:qFormat/>
    <w:uiPriority w:val="0"/>
    <w:rPr>
      <w:rFonts w:ascii="宋体" w:hAnsi="宋体" w:eastAsia="宋体"/>
      <w:sz w:val="28"/>
      <w:szCs w:val="28"/>
      <w:lang w:val="en-GB"/>
    </w:rPr>
  </w:style>
  <w:style w:type="paragraph" w:customStyle="1" w:styleId="455">
    <w:name w:val="l_text"/>
    <w:basedOn w:val="3"/>
    <w:next w:val="1"/>
    <w:link w:val="454"/>
    <w:autoRedefine/>
    <w:qFormat/>
    <w:uiPriority w:val="0"/>
    <w:pPr>
      <w:keepNext w:val="0"/>
      <w:keepLines w:val="0"/>
      <w:widowControl/>
      <w:overflowPunct w:val="0"/>
      <w:autoSpaceDE w:val="0"/>
      <w:autoSpaceDN w:val="0"/>
      <w:adjustRightInd w:val="0"/>
      <w:spacing w:before="0" w:after="0" w:line="480" w:lineRule="exact"/>
      <w:ind w:firstLine="567" w:firstLineChars="177"/>
      <w:outlineLvl w:val="9"/>
    </w:pPr>
    <w:rPr>
      <w:rFonts w:ascii="宋体" w:hAnsi="宋体" w:cstheme="minorBidi"/>
      <w:b w:val="0"/>
      <w:bCs w:val="0"/>
      <w:kern w:val="2"/>
      <w:sz w:val="28"/>
      <w:szCs w:val="28"/>
      <w:lang w:val="en-GB"/>
    </w:rPr>
  </w:style>
  <w:style w:type="paragraph" w:customStyle="1" w:styleId="456">
    <w:name w:val="一级条标题"/>
    <w:basedOn w:val="3"/>
    <w:next w:val="1"/>
    <w:autoRedefine/>
    <w:qFormat/>
    <w:uiPriority w:val="99"/>
    <w:pPr>
      <w:keepNext w:val="0"/>
      <w:keepLines w:val="0"/>
      <w:widowControl/>
      <w:tabs>
        <w:tab w:val="left" w:pos="360"/>
      </w:tabs>
      <w:spacing w:before="0" w:after="0" w:line="500" w:lineRule="atLeast"/>
      <w:ind w:left="360" w:hanging="360" w:hangingChars="200"/>
      <w:outlineLvl w:val="2"/>
    </w:pPr>
    <w:rPr>
      <w:rFonts w:ascii="黑体" w:eastAsia="黑体"/>
      <w:b w:val="0"/>
      <w:bCs w:val="0"/>
      <w:kern w:val="0"/>
      <w:sz w:val="24"/>
      <w:szCs w:val="20"/>
    </w:rPr>
  </w:style>
  <w:style w:type="paragraph" w:customStyle="1" w:styleId="457">
    <w:name w:val="7"/>
    <w:basedOn w:val="3"/>
    <w:next w:val="22"/>
    <w:autoRedefine/>
    <w:qFormat/>
    <w:uiPriority w:val="99"/>
    <w:pPr>
      <w:keepNext w:val="0"/>
      <w:keepLines w:val="0"/>
      <w:spacing w:before="0" w:after="0" w:line="400" w:lineRule="exact"/>
      <w:ind w:firstLine="516" w:firstLineChars="215"/>
      <w:outlineLvl w:val="9"/>
    </w:pPr>
    <w:rPr>
      <w:b w:val="0"/>
      <w:bCs w:val="0"/>
      <w:kern w:val="2"/>
      <w:sz w:val="24"/>
      <w:szCs w:val="24"/>
    </w:rPr>
  </w:style>
  <w:style w:type="paragraph" w:customStyle="1" w:styleId="458">
    <w:name w:val="图标1"/>
    <w:next w:val="1"/>
    <w:autoRedefine/>
    <w:qFormat/>
    <w:uiPriority w:val="99"/>
    <w:pPr>
      <w:spacing w:line="0" w:lineRule="atLeast"/>
      <w:jc w:val="center"/>
    </w:pPr>
    <w:rPr>
      <w:rFonts w:ascii="Times New Roman" w:hAnsi="Times New Roman" w:eastAsia="宋体" w:cs="Times New Roman"/>
      <w:kern w:val="2"/>
      <w:sz w:val="21"/>
      <w:szCs w:val="20"/>
      <w:lang w:val="en-US" w:eastAsia="zh-CN" w:bidi="ar-SA"/>
    </w:rPr>
  </w:style>
  <w:style w:type="paragraph" w:customStyle="1" w:styleId="459">
    <w:name w:val="EIA标题3"/>
    <w:basedOn w:val="5"/>
    <w:next w:val="1"/>
    <w:autoRedefine/>
    <w:qFormat/>
    <w:uiPriority w:val="99"/>
    <w:pPr>
      <w:tabs>
        <w:tab w:val="left" w:pos="720"/>
      </w:tabs>
      <w:spacing w:beforeLines="50" w:afterLines="50" w:line="440" w:lineRule="exact"/>
    </w:pPr>
    <w:rPr>
      <w:rFonts w:ascii="Times New Roman" w:hAnsi="Times New Roman" w:eastAsia="楷体_GB2312" w:cs="Times New Roman"/>
      <w:b/>
      <w:color w:val="000000"/>
      <w:kern w:val="0"/>
      <w:sz w:val="24"/>
      <w:szCs w:val="20"/>
    </w:rPr>
  </w:style>
  <w:style w:type="paragraph" w:customStyle="1" w:styleId="460">
    <w:name w:val="法规列表"/>
    <w:basedOn w:val="3"/>
    <w:next w:val="1"/>
    <w:autoRedefine/>
    <w:qFormat/>
    <w:uiPriority w:val="99"/>
    <w:pPr>
      <w:keepNext w:val="0"/>
      <w:keepLines w:val="0"/>
      <w:tabs>
        <w:tab w:val="left" w:pos="420"/>
      </w:tabs>
      <w:spacing w:beforeLines="50" w:after="0" w:line="500" w:lineRule="atLeast"/>
      <w:ind w:left="432" w:hanging="432" w:firstLineChars="177"/>
      <w:outlineLvl w:val="9"/>
    </w:pPr>
    <w:rPr>
      <w:rFonts w:eastAsia="FangSong_GB2312"/>
      <w:b w:val="0"/>
      <w:bCs w:val="0"/>
      <w:kern w:val="2"/>
      <w:sz w:val="24"/>
      <w:szCs w:val="20"/>
    </w:rPr>
  </w:style>
  <w:style w:type="paragraph" w:customStyle="1" w:styleId="461">
    <w:name w:val="个人情况"/>
    <w:basedOn w:val="19"/>
    <w:next w:val="1"/>
    <w:autoRedefine/>
    <w:qFormat/>
    <w:uiPriority w:val="99"/>
    <w:pPr>
      <w:widowControl/>
      <w:overflowPunct w:val="0"/>
      <w:autoSpaceDE w:val="0"/>
      <w:autoSpaceDN w:val="0"/>
      <w:adjustRightInd w:val="0"/>
      <w:spacing w:after="160"/>
      <w:ind w:firstLine="425" w:firstLineChars="177"/>
      <w:jc w:val="left"/>
    </w:pPr>
    <w:rPr>
      <w:rFonts w:hint="eastAsia" w:hAnsiTheme="minorHAnsi" w:cstheme="minorBidi"/>
      <w:sz w:val="20"/>
      <w:szCs w:val="20"/>
    </w:rPr>
  </w:style>
  <w:style w:type="paragraph" w:customStyle="1" w:styleId="462">
    <w:name w:val="河石管道 表格正文"/>
    <w:next w:val="1"/>
    <w:autoRedefine/>
    <w:qFormat/>
    <w:uiPriority w:val="99"/>
    <w:pPr>
      <w:spacing w:line="240" w:lineRule="auto"/>
      <w:jc w:val="center"/>
    </w:pPr>
    <w:rPr>
      <w:rFonts w:ascii="Times New Roman" w:hAnsi="Times New Roman" w:eastAsia="宋体" w:cs="Times New Roman"/>
      <w:kern w:val="2"/>
      <w:sz w:val="18"/>
      <w:szCs w:val="21"/>
      <w:lang w:val="en-US" w:eastAsia="zh-CN" w:bidi="ar-SA"/>
    </w:rPr>
  </w:style>
  <w:style w:type="paragraph" w:customStyle="1" w:styleId="463">
    <w:name w:val="xl48"/>
    <w:basedOn w:val="3"/>
    <w:next w:val="1"/>
    <w:autoRedefine/>
    <w:qFormat/>
    <w:uiPriority w:val="99"/>
    <w:pPr>
      <w:keepNext w:val="0"/>
      <w:keepLines w:val="0"/>
      <w:widowControl/>
      <w:pBdr>
        <w:top w:val="single" w:color="auto" w:sz="8" w:space="0"/>
        <w:left w:val="single" w:color="auto" w:sz="8" w:space="0"/>
        <w:right w:val="single" w:color="auto" w:sz="8" w:space="0"/>
      </w:pBdr>
      <w:spacing w:before="100" w:beforeAutospacing="1" w:after="100" w:afterAutospacing="1" w:line="500" w:lineRule="atLeast"/>
      <w:ind w:firstLine="425" w:firstLineChars="177"/>
      <w:jc w:val="center"/>
      <w:outlineLvl w:val="9"/>
    </w:pPr>
    <w:rPr>
      <w:b w:val="0"/>
      <w:bCs w:val="0"/>
      <w:color w:val="000000"/>
      <w:kern w:val="0"/>
      <w:sz w:val="24"/>
      <w:szCs w:val="21"/>
    </w:rPr>
  </w:style>
  <w:style w:type="paragraph" w:customStyle="1" w:styleId="464">
    <w:name w:val="正文缩近"/>
    <w:basedOn w:val="3"/>
    <w:next w:val="1"/>
    <w:autoRedefine/>
    <w:qFormat/>
    <w:uiPriority w:val="99"/>
    <w:pPr>
      <w:keepNext w:val="0"/>
      <w:keepLines w:val="0"/>
      <w:spacing w:before="0" w:after="0" w:line="360" w:lineRule="auto"/>
      <w:ind w:firstLine="560" w:firstLineChars="200"/>
      <w:outlineLvl w:val="9"/>
    </w:pPr>
    <w:rPr>
      <w:b w:val="0"/>
      <w:bCs w:val="0"/>
      <w:kern w:val="2"/>
      <w:sz w:val="28"/>
      <w:szCs w:val="28"/>
    </w:rPr>
  </w:style>
  <w:style w:type="paragraph" w:customStyle="1" w:styleId="465">
    <w:name w:val="font10"/>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Symbol" w:hAnsi="Symbol" w:cs="宋体"/>
      <w:b w:val="0"/>
      <w:bCs w:val="0"/>
      <w:color w:val="000000"/>
      <w:kern w:val="0"/>
      <w:sz w:val="24"/>
      <w:szCs w:val="21"/>
    </w:rPr>
  </w:style>
  <w:style w:type="paragraph" w:customStyle="1" w:styleId="466">
    <w:name w:val="xl34"/>
    <w:basedOn w:val="3"/>
    <w:next w:val="1"/>
    <w:autoRedefine/>
    <w:qFormat/>
    <w:uiPriority w:val="99"/>
    <w:pPr>
      <w:keepNext w:val="0"/>
      <w:keepLines w:val="0"/>
      <w:widowControl/>
      <w:pBdr>
        <w:bottom w:val="single" w:color="auto" w:sz="4" w:space="0"/>
        <w:right w:val="single" w:color="auto" w:sz="4" w:space="0"/>
      </w:pBdr>
      <w:spacing w:before="100" w:beforeAutospacing="1" w:after="100" w:afterAutospacing="1" w:line="500" w:lineRule="atLeast"/>
      <w:ind w:firstLine="425" w:firstLineChars="177"/>
      <w:jc w:val="center"/>
      <w:outlineLvl w:val="9"/>
    </w:pPr>
    <w:rPr>
      <w:rFonts w:ascii="楷体_GB2312" w:hAnsi="Arial Unicode MS" w:eastAsia="楷体_GB2312"/>
      <w:b w:val="0"/>
      <w:bCs w:val="0"/>
      <w:kern w:val="0"/>
      <w:sz w:val="24"/>
      <w:szCs w:val="24"/>
    </w:rPr>
  </w:style>
  <w:style w:type="paragraph" w:customStyle="1" w:styleId="467">
    <w:name w:val="xl31"/>
    <w:basedOn w:val="3"/>
    <w:next w:val="1"/>
    <w:autoRedefine/>
    <w:qFormat/>
    <w:uiPriority w:val="99"/>
    <w:pPr>
      <w:keepNext w:val="0"/>
      <w:keepLines w:val="0"/>
      <w:widowControl/>
      <w:pBdr>
        <w:bottom w:val="single" w:color="auto" w:sz="12" w:space="0"/>
        <w:right w:val="single" w:color="auto" w:sz="8" w:space="0"/>
      </w:pBdr>
      <w:spacing w:before="100" w:beforeAutospacing="1" w:after="100" w:afterAutospacing="1" w:line="500" w:lineRule="atLeast"/>
      <w:ind w:firstLine="425" w:firstLineChars="177"/>
      <w:jc w:val="center"/>
      <w:outlineLvl w:val="9"/>
    </w:pPr>
    <w:rPr>
      <w:b w:val="0"/>
      <w:bCs w:val="0"/>
      <w:color w:val="000000"/>
      <w:kern w:val="0"/>
      <w:sz w:val="24"/>
      <w:szCs w:val="21"/>
    </w:rPr>
  </w:style>
  <w:style w:type="paragraph" w:customStyle="1" w:styleId="468">
    <w:name w:val="图表名称"/>
    <w:basedOn w:val="3"/>
    <w:next w:val="1"/>
    <w:autoRedefine/>
    <w:qFormat/>
    <w:uiPriority w:val="99"/>
    <w:pPr>
      <w:keepNext w:val="0"/>
      <w:keepLines w:val="0"/>
      <w:spacing w:beforeLines="50" w:after="0" w:line="400" w:lineRule="exact"/>
      <w:ind w:firstLine="471" w:firstLineChars="177"/>
      <w:jc w:val="center"/>
      <w:outlineLvl w:val="9"/>
    </w:pPr>
    <w:rPr>
      <w:rFonts w:ascii="宋体" w:hAnsi="宋体" w:eastAsia="黑体"/>
      <w:b w:val="0"/>
      <w:bCs w:val="0"/>
      <w:kern w:val="2"/>
      <w:sz w:val="24"/>
      <w:szCs w:val="24"/>
    </w:rPr>
  </w:style>
  <w:style w:type="paragraph" w:customStyle="1" w:styleId="469">
    <w:name w:val="单元格"/>
    <w:basedOn w:val="3"/>
    <w:next w:val="1"/>
    <w:autoRedefine/>
    <w:qFormat/>
    <w:uiPriority w:val="99"/>
    <w:pPr>
      <w:keepNext w:val="0"/>
      <w:keepLines w:val="0"/>
      <w:spacing w:before="0" w:after="0" w:line="500" w:lineRule="atLeast"/>
      <w:ind w:firstLine="425" w:firstLineChars="177"/>
      <w:jc w:val="center"/>
      <w:outlineLvl w:val="9"/>
    </w:pPr>
    <w:rPr>
      <w:rFonts w:ascii="楷体_GB2312" w:eastAsia="楷体_GB2312"/>
      <w:b w:val="0"/>
      <w:bCs w:val="0"/>
      <w:kern w:val="2"/>
      <w:sz w:val="24"/>
      <w:szCs w:val="20"/>
    </w:rPr>
  </w:style>
  <w:style w:type="paragraph" w:customStyle="1" w:styleId="470">
    <w:name w:val="Default Paragraph Font Para Char Char Char"/>
    <w:basedOn w:val="3"/>
    <w:next w:val="1"/>
    <w:autoRedefine/>
    <w:qFormat/>
    <w:uiPriority w:val="99"/>
    <w:pPr>
      <w:keepNext w:val="0"/>
      <w:keepLines w:val="0"/>
      <w:widowControl/>
      <w:spacing w:before="0" w:after="160" w:line="240" w:lineRule="exact"/>
      <w:ind w:firstLine="425" w:firstLineChars="177"/>
      <w:jc w:val="left"/>
      <w:outlineLvl w:val="9"/>
    </w:pPr>
    <w:rPr>
      <w:rFonts w:ascii="Arial" w:hAnsi="Arial"/>
      <w:b w:val="0"/>
      <w:bCs w:val="0"/>
      <w:kern w:val="2"/>
      <w:sz w:val="24"/>
      <w:szCs w:val="24"/>
    </w:rPr>
  </w:style>
  <w:style w:type="paragraph" w:customStyle="1" w:styleId="471">
    <w:name w:val="font8"/>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b w:val="0"/>
      <w:bCs w:val="0"/>
      <w:color w:val="000000"/>
      <w:kern w:val="0"/>
      <w:sz w:val="24"/>
      <w:szCs w:val="21"/>
    </w:rPr>
  </w:style>
  <w:style w:type="paragraph" w:customStyle="1" w:styleId="472">
    <w:name w:val="样式 日期 + 宋体 行距: 1.5 倍行距2"/>
    <w:basedOn w:val="28"/>
    <w:next w:val="1"/>
    <w:autoRedefine/>
    <w:qFormat/>
    <w:uiPriority w:val="99"/>
    <w:pPr>
      <w:widowControl/>
      <w:overflowPunct w:val="0"/>
      <w:autoSpaceDE w:val="0"/>
      <w:autoSpaceDN w:val="0"/>
      <w:adjustRightInd w:val="0"/>
      <w:spacing w:line="480" w:lineRule="exact"/>
      <w:ind w:left="0" w:leftChars="0" w:firstLine="425" w:firstLineChars="177"/>
    </w:pPr>
    <w:rPr>
      <w:rFonts w:ascii="宋体" w:hAnsi="宋体" w:cs="宋体"/>
      <w:color w:val="000000"/>
      <w:kern w:val="0"/>
      <w:sz w:val="28"/>
      <w:szCs w:val="20"/>
      <w:lang w:val="en-GB"/>
    </w:rPr>
  </w:style>
  <w:style w:type="paragraph" w:customStyle="1" w:styleId="473">
    <w:name w:val="表体"/>
    <w:basedOn w:val="152"/>
    <w:next w:val="1"/>
    <w:autoRedefine/>
    <w:qFormat/>
    <w:uiPriority w:val="99"/>
    <w:pPr>
      <w:overflowPunct w:val="0"/>
      <w:spacing w:line="360" w:lineRule="exact"/>
      <w:ind w:left="-57" w:right="-57"/>
    </w:pPr>
    <w:rPr>
      <w:color w:val="000080"/>
      <w:kern w:val="24"/>
      <w:szCs w:val="20"/>
    </w:rPr>
  </w:style>
  <w:style w:type="paragraph" w:customStyle="1" w:styleId="474">
    <w:name w:val="样式 样式表格 + 首行缩进:  0.85 厘米"/>
    <w:basedOn w:val="341"/>
    <w:next w:val="1"/>
    <w:autoRedefine/>
    <w:qFormat/>
    <w:uiPriority w:val="99"/>
    <w:pPr>
      <w:spacing w:line="320" w:lineRule="exact"/>
    </w:pPr>
    <w:rPr>
      <w:rFonts w:cs="宋体"/>
      <w:szCs w:val="20"/>
    </w:rPr>
  </w:style>
  <w:style w:type="paragraph" w:customStyle="1" w:styleId="475">
    <w:name w:val="y表头"/>
    <w:basedOn w:val="19"/>
    <w:next w:val="1"/>
    <w:autoRedefine/>
    <w:qFormat/>
    <w:uiPriority w:val="99"/>
    <w:pPr>
      <w:tabs>
        <w:tab w:val="left" w:pos="900"/>
      </w:tabs>
      <w:adjustRightInd w:val="0"/>
      <w:spacing w:after="0"/>
      <w:ind w:firstLine="425" w:firstLineChars="177"/>
      <w:jc w:val="center"/>
    </w:pPr>
    <w:rPr>
      <w:rFonts w:hint="eastAsia" w:ascii="宋体" w:hAnsi="宋体" w:eastAsia="楷体_GB2312" w:cstheme="minorBidi"/>
      <w:b/>
      <w:sz w:val="24"/>
      <w:szCs w:val="20"/>
    </w:rPr>
  </w:style>
  <w:style w:type="paragraph" w:customStyle="1" w:styleId="476">
    <w:name w:val="xl32"/>
    <w:basedOn w:val="3"/>
    <w:next w:val="1"/>
    <w:autoRedefine/>
    <w:qFormat/>
    <w:uiPriority w:val="99"/>
    <w:pPr>
      <w:keepNext w:val="0"/>
      <w:keepLines w:val="0"/>
      <w:widowControl/>
      <w:pBdr>
        <w:top w:val="single" w:color="auto" w:sz="12" w:space="0"/>
        <w:right w:val="single" w:color="auto" w:sz="8" w:space="0"/>
      </w:pBdr>
      <w:spacing w:before="100" w:beforeAutospacing="1" w:after="100" w:afterAutospacing="1" w:line="500" w:lineRule="atLeast"/>
      <w:ind w:firstLine="425" w:firstLineChars="177"/>
      <w:jc w:val="center"/>
      <w:outlineLvl w:val="9"/>
    </w:pPr>
    <w:rPr>
      <w:rFonts w:ascii="宋体" w:hAnsi="宋体" w:cs="宋体"/>
      <w:b w:val="0"/>
      <w:bCs w:val="0"/>
      <w:color w:val="000000"/>
      <w:kern w:val="0"/>
      <w:sz w:val="24"/>
      <w:szCs w:val="21"/>
    </w:rPr>
  </w:style>
  <w:style w:type="paragraph" w:customStyle="1" w:styleId="477">
    <w:name w:val="yz"/>
    <w:basedOn w:val="19"/>
    <w:next w:val="1"/>
    <w:autoRedefine/>
    <w:qFormat/>
    <w:uiPriority w:val="99"/>
    <w:pPr>
      <w:tabs>
        <w:tab w:val="left" w:pos="900"/>
      </w:tabs>
      <w:adjustRightInd w:val="0"/>
      <w:spacing w:after="0"/>
      <w:ind w:firstLine="200" w:firstLineChars="200"/>
    </w:pPr>
    <w:rPr>
      <w:rFonts w:hint="eastAsia" w:ascii="宋体" w:hAnsi="宋体" w:cstheme="minorBidi"/>
      <w:sz w:val="24"/>
      <w:szCs w:val="20"/>
    </w:rPr>
  </w:style>
  <w:style w:type="paragraph" w:customStyle="1" w:styleId="478">
    <w:name w:val="图表目录1"/>
    <w:basedOn w:val="146"/>
    <w:next w:val="146"/>
    <w:autoRedefine/>
    <w:qFormat/>
    <w:uiPriority w:val="99"/>
    <w:pPr>
      <w:tabs>
        <w:tab w:val="right" w:leader="dot" w:pos="8051"/>
      </w:tabs>
      <w:ind w:left="840" w:hanging="840"/>
    </w:pPr>
    <w:rPr>
      <w:rFonts w:hAnsi="Calibri"/>
      <w:szCs w:val="20"/>
    </w:rPr>
  </w:style>
  <w:style w:type="character" w:customStyle="1" w:styleId="479">
    <w:name w:val="正文001 Char1"/>
    <w:link w:val="480"/>
    <w:autoRedefine/>
    <w:qFormat/>
    <w:uiPriority w:val="0"/>
    <w:rPr>
      <w:rFonts w:ascii="Arial" w:hAnsi="Arial" w:cs="Arial"/>
      <w:sz w:val="24"/>
    </w:rPr>
  </w:style>
  <w:style w:type="paragraph" w:customStyle="1" w:styleId="480">
    <w:name w:val="正文001"/>
    <w:basedOn w:val="3"/>
    <w:next w:val="1"/>
    <w:link w:val="479"/>
    <w:autoRedefine/>
    <w:qFormat/>
    <w:uiPriority w:val="0"/>
    <w:pPr>
      <w:keepNext w:val="0"/>
      <w:keepLines w:val="0"/>
      <w:spacing w:before="60" w:after="0" w:line="360" w:lineRule="auto"/>
      <w:ind w:firstLine="200" w:firstLineChars="200"/>
      <w:outlineLvl w:val="9"/>
    </w:pPr>
    <w:rPr>
      <w:rFonts w:ascii="Arial" w:hAnsi="Arial" w:cs="Arial" w:eastAsiaTheme="minorEastAsia"/>
      <w:b w:val="0"/>
      <w:bCs w:val="0"/>
      <w:kern w:val="2"/>
      <w:sz w:val="24"/>
      <w:szCs w:val="22"/>
    </w:rPr>
  </w:style>
  <w:style w:type="paragraph" w:customStyle="1" w:styleId="481">
    <w:name w:val="xl28"/>
    <w:basedOn w:val="3"/>
    <w:next w:val="1"/>
    <w:autoRedefine/>
    <w:qFormat/>
    <w:uiPriority w:val="99"/>
    <w:pPr>
      <w:keepNext w:val="0"/>
      <w:keepLines w:val="0"/>
      <w:widowControl/>
      <w:pBdr>
        <w:bottom w:val="single" w:color="auto" w:sz="8" w:space="0"/>
        <w:right w:val="single" w:color="auto" w:sz="8" w:space="0"/>
      </w:pBdr>
      <w:spacing w:before="100" w:beforeAutospacing="1" w:after="100" w:afterAutospacing="1" w:line="500" w:lineRule="atLeast"/>
      <w:ind w:firstLine="425" w:firstLineChars="177"/>
      <w:jc w:val="center"/>
      <w:outlineLvl w:val="9"/>
    </w:pPr>
    <w:rPr>
      <w:rFonts w:ascii="宋体" w:hAnsi="宋体" w:cs="宋体"/>
      <w:b w:val="0"/>
      <w:bCs w:val="0"/>
      <w:color w:val="000000"/>
      <w:kern w:val="0"/>
      <w:sz w:val="24"/>
      <w:szCs w:val="21"/>
    </w:rPr>
  </w:style>
  <w:style w:type="paragraph" w:customStyle="1" w:styleId="482">
    <w:name w:val="表 头 Char"/>
    <w:basedOn w:val="3"/>
    <w:next w:val="1"/>
    <w:autoRedefine/>
    <w:qFormat/>
    <w:uiPriority w:val="99"/>
    <w:pPr>
      <w:keepNext w:val="0"/>
      <w:keepLines w:val="0"/>
      <w:adjustRightInd w:val="0"/>
      <w:spacing w:before="120" w:after="120" w:line="360" w:lineRule="atLeast"/>
      <w:ind w:firstLine="425" w:firstLineChars="177"/>
      <w:jc w:val="center"/>
      <w:outlineLvl w:val="9"/>
    </w:pPr>
    <w:rPr>
      <w:rFonts w:eastAsia="黑体"/>
      <w:b w:val="0"/>
      <w:bCs w:val="0"/>
      <w:spacing w:val="10"/>
      <w:kern w:val="0"/>
      <w:sz w:val="24"/>
      <w:szCs w:val="20"/>
    </w:rPr>
  </w:style>
  <w:style w:type="paragraph" w:customStyle="1" w:styleId="483">
    <w:name w:val="6"/>
    <w:basedOn w:val="3"/>
    <w:next w:val="22"/>
    <w:autoRedefine/>
    <w:qFormat/>
    <w:uiPriority w:val="99"/>
    <w:pPr>
      <w:keepNext w:val="0"/>
      <w:keepLines w:val="0"/>
      <w:spacing w:before="0" w:after="0" w:line="400" w:lineRule="exact"/>
      <w:ind w:firstLine="516" w:firstLineChars="215"/>
      <w:outlineLvl w:val="9"/>
    </w:pPr>
    <w:rPr>
      <w:b w:val="0"/>
      <w:bCs w:val="0"/>
      <w:kern w:val="2"/>
      <w:sz w:val="24"/>
      <w:szCs w:val="24"/>
    </w:rPr>
  </w:style>
  <w:style w:type="character" w:customStyle="1" w:styleId="484">
    <w:name w:val="cucd-TB Char"/>
    <w:link w:val="485"/>
    <w:autoRedefine/>
    <w:qFormat/>
    <w:uiPriority w:val="0"/>
    <w:rPr>
      <w:szCs w:val="24"/>
    </w:rPr>
  </w:style>
  <w:style w:type="paragraph" w:customStyle="1" w:styleId="485">
    <w:name w:val="cucd-TB"/>
    <w:next w:val="1"/>
    <w:link w:val="484"/>
    <w:autoRedefine/>
    <w:qFormat/>
    <w:uiPriority w:val="0"/>
    <w:pPr>
      <w:spacing w:line="360" w:lineRule="auto"/>
      <w:jc w:val="center"/>
    </w:pPr>
    <w:rPr>
      <w:rFonts w:asciiTheme="minorHAnsi" w:hAnsiTheme="minorHAnsi" w:eastAsiaTheme="minorEastAsia" w:cstheme="minorBidi"/>
      <w:kern w:val="2"/>
      <w:sz w:val="21"/>
      <w:szCs w:val="24"/>
      <w:lang w:val="en-US" w:eastAsia="zh-CN" w:bidi="ar-SA"/>
    </w:rPr>
  </w:style>
  <w:style w:type="paragraph" w:customStyle="1" w:styleId="486">
    <w:name w:val="标准条文"/>
    <w:basedOn w:val="58"/>
    <w:next w:val="58"/>
    <w:autoRedefine/>
    <w:qFormat/>
    <w:uiPriority w:val="99"/>
    <w:rPr>
      <w:rFonts w:hAnsi="Calibri" w:cs="Times New Roman"/>
      <w:color w:val="auto"/>
    </w:rPr>
  </w:style>
  <w:style w:type="paragraph" w:customStyle="1" w:styleId="487">
    <w:name w:val="默认段落字体 Para Char Char Char Char Char Char1 Char Char Char Char"/>
    <w:basedOn w:val="3"/>
    <w:next w:val="1"/>
    <w:autoRedefine/>
    <w:qFormat/>
    <w:uiPriority w:val="99"/>
    <w:pPr>
      <w:keepNext w:val="0"/>
      <w:keepLines w:val="0"/>
      <w:snapToGrid w:val="0"/>
      <w:spacing w:before="0" w:after="0" w:line="360" w:lineRule="auto"/>
      <w:ind w:firstLine="200" w:firstLineChars="200"/>
      <w:outlineLvl w:val="9"/>
    </w:pPr>
    <w:rPr>
      <w:rFonts w:eastAsia="FangSong_GB2312"/>
      <w:b w:val="0"/>
      <w:bCs w:val="0"/>
      <w:kern w:val="2"/>
      <w:sz w:val="24"/>
      <w:szCs w:val="24"/>
    </w:rPr>
  </w:style>
  <w:style w:type="paragraph" w:customStyle="1" w:styleId="488">
    <w:name w:val="1文章"/>
    <w:basedOn w:val="3"/>
    <w:next w:val="1"/>
    <w:autoRedefine/>
    <w:qFormat/>
    <w:uiPriority w:val="99"/>
    <w:pPr>
      <w:keepNext w:val="0"/>
      <w:keepLines w:val="0"/>
      <w:snapToGrid w:val="0"/>
      <w:spacing w:before="0" w:after="0" w:line="420" w:lineRule="auto"/>
      <w:ind w:firstLine="516" w:firstLineChars="177"/>
      <w:outlineLvl w:val="9"/>
    </w:pPr>
    <w:rPr>
      <w:b w:val="0"/>
      <w:bCs w:val="0"/>
      <w:color w:val="000000"/>
      <w:kern w:val="2"/>
      <w:sz w:val="24"/>
      <w:szCs w:val="24"/>
    </w:rPr>
  </w:style>
  <w:style w:type="character" w:customStyle="1" w:styleId="489">
    <w:name w:val="cucd-TB-Head Char"/>
    <w:link w:val="490"/>
    <w:autoRedefine/>
    <w:qFormat/>
    <w:uiPriority w:val="0"/>
    <w:rPr>
      <w:rFonts w:ascii="宋体" w:hAnsi="宋体" w:eastAsia="黑体"/>
      <w:color w:val="548DD4"/>
      <w:sz w:val="24"/>
      <w:szCs w:val="21"/>
    </w:rPr>
  </w:style>
  <w:style w:type="paragraph" w:customStyle="1" w:styleId="490">
    <w:name w:val="cucd-TB-Head"/>
    <w:basedOn w:val="3"/>
    <w:next w:val="381"/>
    <w:link w:val="489"/>
    <w:autoRedefine/>
    <w:qFormat/>
    <w:uiPriority w:val="0"/>
    <w:pPr>
      <w:keepNext w:val="0"/>
      <w:keepLines w:val="0"/>
      <w:spacing w:before="120" w:after="0" w:line="360" w:lineRule="auto"/>
      <w:ind w:firstLine="425" w:firstLineChars="177"/>
      <w:jc w:val="center"/>
      <w:outlineLvl w:val="9"/>
    </w:pPr>
    <w:rPr>
      <w:rFonts w:ascii="宋体" w:hAnsi="宋体" w:eastAsia="黑体" w:cstheme="minorBidi"/>
      <w:b w:val="0"/>
      <w:bCs w:val="0"/>
      <w:color w:val="548DD4"/>
      <w:kern w:val="2"/>
      <w:sz w:val="24"/>
      <w:szCs w:val="21"/>
    </w:rPr>
  </w:style>
  <w:style w:type="character" w:customStyle="1" w:styleId="491">
    <w:name w:val="表 头 Char1"/>
    <w:link w:val="492"/>
    <w:autoRedefine/>
    <w:qFormat/>
    <w:uiPriority w:val="0"/>
    <w:rPr>
      <w:rFonts w:ascii="黑体" w:hAnsi="黑体" w:eastAsia="黑体"/>
      <w:spacing w:val="10"/>
      <w:sz w:val="24"/>
    </w:rPr>
  </w:style>
  <w:style w:type="paragraph" w:customStyle="1" w:styleId="492">
    <w:name w:val="表 头"/>
    <w:basedOn w:val="3"/>
    <w:next w:val="1"/>
    <w:link w:val="491"/>
    <w:autoRedefine/>
    <w:qFormat/>
    <w:uiPriority w:val="0"/>
    <w:pPr>
      <w:keepNext w:val="0"/>
      <w:keepLines w:val="0"/>
      <w:adjustRightInd w:val="0"/>
      <w:spacing w:before="60" w:after="120" w:line="360" w:lineRule="atLeast"/>
      <w:ind w:firstLine="425" w:firstLineChars="177"/>
      <w:jc w:val="center"/>
      <w:outlineLvl w:val="9"/>
    </w:pPr>
    <w:rPr>
      <w:rFonts w:ascii="黑体" w:hAnsi="黑体" w:eastAsia="黑体" w:cstheme="minorBidi"/>
      <w:b w:val="0"/>
      <w:bCs w:val="0"/>
      <w:spacing w:val="10"/>
      <w:kern w:val="2"/>
      <w:sz w:val="24"/>
      <w:szCs w:val="22"/>
    </w:rPr>
  </w:style>
  <w:style w:type="paragraph" w:customStyle="1" w:styleId="493">
    <w:name w:val="Char Char1 Char"/>
    <w:basedOn w:val="3"/>
    <w:next w:val="1"/>
    <w:autoRedefine/>
    <w:qFormat/>
    <w:uiPriority w:val="99"/>
    <w:pPr>
      <w:keepNext w:val="0"/>
      <w:keepLines w:val="0"/>
      <w:spacing w:before="0" w:after="0" w:line="360" w:lineRule="auto"/>
      <w:ind w:firstLine="200" w:firstLineChars="200"/>
      <w:outlineLvl w:val="9"/>
    </w:pPr>
    <w:rPr>
      <w:rFonts w:ascii="宋体" w:hAnsi="宋体" w:cs="宋体"/>
      <w:b w:val="0"/>
      <w:bCs w:val="0"/>
      <w:kern w:val="2"/>
      <w:sz w:val="24"/>
      <w:szCs w:val="24"/>
    </w:rPr>
  </w:style>
  <w:style w:type="paragraph" w:customStyle="1" w:styleId="494">
    <w:name w:val="报告书表格"/>
    <w:basedOn w:val="3"/>
    <w:next w:val="1"/>
    <w:autoRedefine/>
    <w:qFormat/>
    <w:uiPriority w:val="99"/>
    <w:pPr>
      <w:keepNext w:val="0"/>
      <w:keepLines w:val="0"/>
      <w:adjustRightInd w:val="0"/>
      <w:spacing w:before="60" w:after="60" w:line="240" w:lineRule="atLeast"/>
      <w:ind w:firstLine="425" w:firstLineChars="177"/>
      <w:jc w:val="center"/>
      <w:outlineLvl w:val="9"/>
    </w:pPr>
    <w:rPr>
      <w:b w:val="0"/>
      <w:bCs w:val="0"/>
      <w:kern w:val="0"/>
      <w:sz w:val="24"/>
      <w:szCs w:val="20"/>
    </w:rPr>
  </w:style>
  <w:style w:type="paragraph" w:customStyle="1" w:styleId="495">
    <w:name w:val="段"/>
    <w:next w:val="1"/>
    <w:autoRedefine/>
    <w:qFormat/>
    <w:uiPriority w:val="99"/>
    <w:pPr>
      <w:autoSpaceDE w:val="0"/>
      <w:autoSpaceDN w:val="0"/>
      <w:spacing w:line="240" w:lineRule="auto"/>
      <w:ind w:firstLine="200" w:firstLineChars="200"/>
      <w:jc w:val="both"/>
    </w:pPr>
    <w:rPr>
      <w:rFonts w:ascii="宋体" w:hAnsi="Times New Roman" w:eastAsia="宋体" w:cs="Times New Roman"/>
      <w:kern w:val="0"/>
      <w:sz w:val="21"/>
      <w:szCs w:val="20"/>
      <w:lang w:val="en-US" w:eastAsia="zh-CN" w:bidi="ar-SA"/>
    </w:rPr>
  </w:style>
  <w:style w:type="paragraph" w:customStyle="1" w:styleId="496">
    <w:name w:val="Char Char Char Char Char Char Char Char2 Char Char Char Char Char Char Char Char Char Char Char Char Char"/>
    <w:basedOn w:val="3"/>
    <w:next w:val="1"/>
    <w:autoRedefine/>
    <w:qFormat/>
    <w:uiPriority w:val="99"/>
    <w:pPr>
      <w:keepNext w:val="0"/>
      <w:keepLines w:val="0"/>
      <w:spacing w:before="0" w:after="0" w:line="336" w:lineRule="auto"/>
      <w:ind w:firstLine="200" w:firstLineChars="200"/>
      <w:outlineLvl w:val="9"/>
    </w:pPr>
    <w:rPr>
      <w:rFonts w:ascii="宋体" w:hAnsi="宋体" w:eastAsia="汉鼎简书宋" w:cs="宋体"/>
      <w:b w:val="0"/>
      <w:bCs w:val="0"/>
      <w:spacing w:val="4"/>
      <w:kern w:val="2"/>
      <w:sz w:val="24"/>
      <w:szCs w:val="24"/>
    </w:rPr>
  </w:style>
  <w:style w:type="paragraph" w:customStyle="1" w:styleId="497">
    <w:name w:val="表头名称"/>
    <w:basedOn w:val="14"/>
    <w:next w:val="1"/>
    <w:autoRedefine/>
    <w:qFormat/>
    <w:uiPriority w:val="99"/>
    <w:pPr>
      <w:autoSpaceDE w:val="0"/>
      <w:autoSpaceDN w:val="0"/>
      <w:snapToGrid/>
      <w:spacing w:line="360" w:lineRule="auto"/>
      <w:ind w:firstLine="0" w:firstLineChars="177"/>
      <w:jc w:val="center"/>
    </w:pPr>
    <w:rPr>
      <w:rFonts w:ascii="黑体" w:hAnsi="宋体" w:eastAsia="黑体"/>
      <w:sz w:val="24"/>
      <w:szCs w:val="20"/>
    </w:rPr>
  </w:style>
  <w:style w:type="paragraph" w:customStyle="1" w:styleId="498">
    <w:name w:val="font12"/>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Symbol" w:hAnsi="Symbol" w:cs="宋体"/>
      <w:b w:val="0"/>
      <w:bCs w:val="0"/>
      <w:color w:val="000000"/>
      <w:kern w:val="0"/>
      <w:sz w:val="24"/>
      <w:szCs w:val="21"/>
    </w:rPr>
  </w:style>
  <w:style w:type="paragraph" w:customStyle="1" w:styleId="499">
    <w:name w:val="AFTERTITLE"/>
    <w:basedOn w:val="3"/>
    <w:next w:val="1"/>
    <w:autoRedefine/>
    <w:qFormat/>
    <w:uiPriority w:val="99"/>
    <w:pPr>
      <w:keepNext w:val="0"/>
      <w:keepLines w:val="0"/>
      <w:widowControl/>
      <w:spacing w:before="0" w:after="0" w:line="360" w:lineRule="atLeast"/>
      <w:ind w:firstLine="200" w:firstLineChars="200"/>
      <w:jc w:val="center"/>
      <w:outlineLvl w:val="9"/>
    </w:pPr>
    <w:rPr>
      <w:bCs w:val="0"/>
      <w:caps/>
      <w:kern w:val="0"/>
      <w:sz w:val="24"/>
      <w:szCs w:val="20"/>
      <w:lang w:val="fr-FR"/>
    </w:rPr>
  </w:style>
  <w:style w:type="paragraph" w:customStyle="1" w:styleId="500">
    <w:name w:val="font6"/>
    <w:basedOn w:val="3"/>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b w:val="0"/>
      <w:bCs w:val="0"/>
      <w:color w:val="000000"/>
      <w:kern w:val="0"/>
      <w:sz w:val="24"/>
      <w:szCs w:val="21"/>
    </w:rPr>
  </w:style>
  <w:style w:type="paragraph" w:customStyle="1" w:styleId="501">
    <w:name w:val="表序"/>
    <w:basedOn w:val="3"/>
    <w:next w:val="1"/>
    <w:autoRedefine/>
    <w:qFormat/>
    <w:uiPriority w:val="99"/>
    <w:pPr>
      <w:keepNext w:val="0"/>
      <w:keepLines w:val="0"/>
      <w:snapToGrid w:val="0"/>
      <w:spacing w:before="0" w:after="0" w:line="400" w:lineRule="exact"/>
      <w:ind w:firstLine="425" w:firstLineChars="177"/>
      <w:outlineLvl w:val="9"/>
    </w:pPr>
    <w:rPr>
      <w:rFonts w:ascii="宋体" w:hAnsi="宋体"/>
      <w:b w:val="0"/>
      <w:bCs w:val="0"/>
      <w:kern w:val="0"/>
      <w:sz w:val="24"/>
      <w:szCs w:val="20"/>
    </w:rPr>
  </w:style>
  <w:style w:type="paragraph" w:customStyle="1" w:styleId="502">
    <w:name w:val="段落2"/>
    <w:basedOn w:val="3"/>
    <w:next w:val="1"/>
    <w:autoRedefine/>
    <w:qFormat/>
    <w:uiPriority w:val="99"/>
    <w:pPr>
      <w:keepNext w:val="0"/>
      <w:keepLines w:val="0"/>
      <w:adjustRightInd w:val="0"/>
      <w:spacing w:before="0" w:after="0" w:line="440" w:lineRule="atLeast"/>
      <w:ind w:firstLine="425" w:firstLineChars="177"/>
      <w:outlineLvl w:val="9"/>
    </w:pPr>
    <w:rPr>
      <w:b w:val="0"/>
      <w:bCs w:val="0"/>
      <w:spacing w:val="6"/>
      <w:kern w:val="2"/>
      <w:sz w:val="28"/>
      <w:szCs w:val="20"/>
    </w:rPr>
  </w:style>
  <w:style w:type="paragraph" w:customStyle="1" w:styleId="503">
    <w:name w:val="公式题注"/>
    <w:next w:val="1"/>
    <w:autoRedefine/>
    <w:qFormat/>
    <w:uiPriority w:val="99"/>
    <w:pPr>
      <w:spacing w:line="0" w:lineRule="atLeast"/>
      <w:jc w:val="right"/>
    </w:pPr>
    <w:rPr>
      <w:rFonts w:ascii="Times New Roman" w:hAnsi="Times New Roman" w:eastAsia="黑体" w:cs="Times New Roman"/>
      <w:kern w:val="2"/>
      <w:sz w:val="24"/>
      <w:szCs w:val="20"/>
      <w:lang w:val="en-US" w:eastAsia="zh-CN" w:bidi="ar-SA"/>
    </w:rPr>
  </w:style>
  <w:style w:type="paragraph" w:customStyle="1" w:styleId="504">
    <w:name w:val="尾注文本1"/>
    <w:basedOn w:val="146"/>
    <w:next w:val="1"/>
    <w:autoRedefine/>
    <w:qFormat/>
    <w:uiPriority w:val="99"/>
    <w:rPr>
      <w:rFonts w:hAnsi="Calibri"/>
      <w:sz w:val="21"/>
      <w:szCs w:val="20"/>
    </w:rPr>
  </w:style>
  <w:style w:type="paragraph" w:customStyle="1" w:styleId="505">
    <w:name w:val="正文文字缩进1"/>
    <w:basedOn w:val="22"/>
    <w:next w:val="1"/>
    <w:autoRedefine/>
    <w:qFormat/>
    <w:uiPriority w:val="99"/>
    <w:pPr>
      <w:spacing w:line="360" w:lineRule="auto"/>
      <w:ind w:firstLine="551" w:firstLineChars="0"/>
    </w:pPr>
    <w:rPr>
      <w:rFonts w:ascii="黑体" w:eastAsia="黑体"/>
      <w:b/>
      <w:sz w:val="28"/>
      <w:szCs w:val="20"/>
    </w:rPr>
  </w:style>
  <w:style w:type="character" w:customStyle="1" w:styleId="506">
    <w:name w:val="样式4 Char"/>
    <w:link w:val="507"/>
    <w:autoRedefine/>
    <w:qFormat/>
    <w:uiPriority w:val="0"/>
    <w:rPr>
      <w:rFonts w:ascii="宋体" w:hAnsi="宋体" w:eastAsia="宋体"/>
      <w:bCs/>
      <w:sz w:val="24"/>
      <w:szCs w:val="24"/>
    </w:rPr>
  </w:style>
  <w:style w:type="paragraph" w:customStyle="1" w:styleId="507">
    <w:name w:val="样式4"/>
    <w:basedOn w:val="19"/>
    <w:next w:val="1"/>
    <w:link w:val="506"/>
    <w:autoRedefine/>
    <w:qFormat/>
    <w:uiPriority w:val="0"/>
    <w:pPr>
      <w:spacing w:before="156" w:after="0" w:line="360" w:lineRule="auto"/>
      <w:ind w:firstLine="480" w:firstLineChars="200"/>
    </w:pPr>
    <w:rPr>
      <w:rFonts w:ascii="宋体" w:hAnsi="宋体" w:cstheme="minorBidi"/>
      <w:bCs/>
      <w:sz w:val="24"/>
    </w:rPr>
  </w:style>
  <w:style w:type="paragraph" w:customStyle="1" w:styleId="508">
    <w:name w:val="项目编号"/>
    <w:basedOn w:val="3"/>
    <w:next w:val="1"/>
    <w:autoRedefine/>
    <w:qFormat/>
    <w:uiPriority w:val="99"/>
    <w:pPr>
      <w:keepNext w:val="0"/>
      <w:keepLines w:val="0"/>
      <w:spacing w:before="120" w:after="120" w:line="360" w:lineRule="auto"/>
      <w:ind w:firstLine="425" w:firstLineChars="177"/>
      <w:outlineLvl w:val="9"/>
    </w:pPr>
    <w:rPr>
      <w:b w:val="0"/>
      <w:bCs w:val="0"/>
      <w:kern w:val="2"/>
      <w:sz w:val="24"/>
      <w:szCs w:val="20"/>
    </w:rPr>
  </w:style>
  <w:style w:type="paragraph" w:customStyle="1" w:styleId="509">
    <w:name w:val="Char Char Char Char Char Char Char Char Char Char Char"/>
    <w:basedOn w:val="3"/>
    <w:next w:val="1"/>
    <w:autoRedefine/>
    <w:qFormat/>
    <w:uiPriority w:val="99"/>
    <w:pPr>
      <w:keepNext w:val="0"/>
      <w:keepLines w:val="0"/>
      <w:spacing w:before="0" w:after="0" w:line="500" w:lineRule="atLeast"/>
      <w:ind w:firstLine="425" w:firstLineChars="177"/>
      <w:outlineLvl w:val="9"/>
    </w:pPr>
    <w:rPr>
      <w:b w:val="0"/>
      <w:bCs w:val="0"/>
      <w:kern w:val="2"/>
      <w:sz w:val="24"/>
      <w:szCs w:val="24"/>
    </w:rPr>
  </w:style>
  <w:style w:type="paragraph" w:customStyle="1" w:styleId="510">
    <w:name w:val="样式 样式 样式 首行缩进:  2 字符 + 首行缩进:  2 字符 + 首行缩进:  2 字符"/>
    <w:basedOn w:val="3"/>
    <w:next w:val="1"/>
    <w:autoRedefine/>
    <w:qFormat/>
    <w:uiPriority w:val="99"/>
    <w:pPr>
      <w:keepNext w:val="0"/>
      <w:keepLines w:val="0"/>
      <w:spacing w:before="0" w:after="0" w:line="500" w:lineRule="atLeast"/>
      <w:ind w:firstLine="567" w:firstLineChars="200"/>
      <w:outlineLvl w:val="9"/>
    </w:pPr>
    <w:rPr>
      <w:rFonts w:ascii="宋体"/>
      <w:b w:val="0"/>
      <w:bCs w:val="0"/>
      <w:kern w:val="2"/>
      <w:sz w:val="27"/>
      <w:szCs w:val="20"/>
    </w:rPr>
  </w:style>
  <w:style w:type="paragraph" w:customStyle="1" w:styleId="511">
    <w:name w:val="表、图名"/>
    <w:basedOn w:val="3"/>
    <w:next w:val="1"/>
    <w:autoRedefine/>
    <w:qFormat/>
    <w:uiPriority w:val="99"/>
    <w:pPr>
      <w:keepNext w:val="0"/>
      <w:keepLines w:val="0"/>
      <w:adjustRightInd w:val="0"/>
      <w:snapToGrid w:val="0"/>
      <w:spacing w:before="0" w:after="0" w:line="360" w:lineRule="auto"/>
      <w:ind w:firstLine="482" w:firstLineChars="177"/>
      <w:jc w:val="center"/>
      <w:outlineLvl w:val="9"/>
    </w:pPr>
    <w:rPr>
      <w:rFonts w:hAnsi="宋体"/>
      <w:bCs w:val="0"/>
      <w:color w:val="000000"/>
      <w:kern w:val="0"/>
      <w:sz w:val="24"/>
      <w:szCs w:val="21"/>
    </w:rPr>
  </w:style>
  <w:style w:type="paragraph" w:customStyle="1" w:styleId="512">
    <w:name w:val="正文 1"/>
    <w:basedOn w:val="3"/>
    <w:next w:val="1"/>
    <w:autoRedefine/>
    <w:qFormat/>
    <w:uiPriority w:val="99"/>
    <w:pPr>
      <w:keepNext w:val="0"/>
      <w:keepLines w:val="0"/>
      <w:spacing w:before="0" w:after="0" w:line="480" w:lineRule="exact"/>
      <w:ind w:firstLine="567" w:firstLineChars="177"/>
      <w:outlineLvl w:val="9"/>
    </w:pPr>
    <w:rPr>
      <w:b w:val="0"/>
      <w:bCs w:val="0"/>
      <w:kern w:val="2"/>
      <w:sz w:val="28"/>
      <w:szCs w:val="20"/>
    </w:rPr>
  </w:style>
  <w:style w:type="paragraph" w:customStyle="1" w:styleId="513">
    <w:name w:val="z正文"/>
    <w:basedOn w:val="22"/>
    <w:next w:val="1"/>
    <w:autoRedefine/>
    <w:qFormat/>
    <w:uiPriority w:val="99"/>
    <w:pPr>
      <w:autoSpaceDE w:val="0"/>
      <w:autoSpaceDN w:val="0"/>
      <w:adjustRightInd w:val="0"/>
      <w:snapToGrid w:val="0"/>
      <w:spacing w:line="360" w:lineRule="auto"/>
      <w:ind w:firstLine="200"/>
    </w:pPr>
  </w:style>
  <w:style w:type="paragraph" w:customStyle="1" w:styleId="514">
    <w:name w:val="样式 日期 + 宋体 行距: 1.5 倍行距"/>
    <w:basedOn w:val="28"/>
    <w:next w:val="1"/>
    <w:autoRedefine/>
    <w:qFormat/>
    <w:uiPriority w:val="99"/>
    <w:pPr>
      <w:widowControl/>
      <w:overflowPunct w:val="0"/>
      <w:autoSpaceDE w:val="0"/>
      <w:autoSpaceDN w:val="0"/>
      <w:adjustRightInd w:val="0"/>
      <w:spacing w:line="480" w:lineRule="exact"/>
      <w:ind w:left="0" w:leftChars="0" w:firstLine="200" w:firstLineChars="200"/>
    </w:pPr>
    <w:rPr>
      <w:rFonts w:ascii="宋体" w:hAnsi="宋体" w:cs="宋体"/>
      <w:color w:val="000000"/>
      <w:kern w:val="0"/>
      <w:sz w:val="28"/>
      <w:szCs w:val="20"/>
      <w:lang w:val="en-GB"/>
    </w:rPr>
  </w:style>
  <w:style w:type="paragraph" w:customStyle="1" w:styleId="515">
    <w:name w:val="xl49"/>
    <w:basedOn w:val="3"/>
    <w:next w:val="1"/>
    <w:autoRedefine/>
    <w:qFormat/>
    <w:uiPriority w:val="99"/>
    <w:pPr>
      <w:keepNext w:val="0"/>
      <w:keepLines w:val="0"/>
      <w:widowControl/>
      <w:pBdr>
        <w:left w:val="single" w:color="auto" w:sz="8" w:space="0"/>
        <w:right w:val="single" w:color="auto" w:sz="8" w:space="0"/>
      </w:pBdr>
      <w:spacing w:before="100" w:beforeAutospacing="1" w:after="100" w:afterAutospacing="1" w:line="500" w:lineRule="atLeast"/>
      <w:ind w:firstLine="425" w:firstLineChars="177"/>
      <w:jc w:val="center"/>
      <w:outlineLvl w:val="9"/>
    </w:pPr>
    <w:rPr>
      <w:b w:val="0"/>
      <w:bCs w:val="0"/>
      <w:color w:val="000000"/>
      <w:kern w:val="0"/>
      <w:sz w:val="24"/>
      <w:szCs w:val="21"/>
    </w:rPr>
  </w:style>
  <w:style w:type="paragraph" w:customStyle="1" w:styleId="516">
    <w:name w:val="xl25"/>
    <w:basedOn w:val="3"/>
    <w:next w:val="1"/>
    <w:autoRedefine/>
    <w:qFormat/>
    <w:uiPriority w:val="99"/>
    <w:pPr>
      <w:keepNext w:val="0"/>
      <w:keepLines w:val="0"/>
      <w:widowControl/>
      <w:pBdr>
        <w:left w:val="single" w:color="auto" w:sz="4" w:space="0"/>
        <w:bottom w:val="single" w:color="auto" w:sz="4" w:space="0"/>
        <w:right w:val="single" w:color="auto" w:sz="4" w:space="0"/>
      </w:pBdr>
      <w:autoSpaceDE w:val="0"/>
      <w:autoSpaceDN w:val="0"/>
      <w:snapToGrid w:val="0"/>
      <w:spacing w:before="100" w:beforeAutospacing="1" w:after="100" w:afterAutospacing="1" w:line="500" w:lineRule="atLeast"/>
      <w:ind w:firstLine="425" w:firstLineChars="177"/>
      <w:jc w:val="center"/>
      <w:outlineLvl w:val="9"/>
    </w:pPr>
    <w:rPr>
      <w:rFonts w:ascii="Arial Unicode MS" w:hAnsi="Arial Unicode MS" w:eastAsia="Arial Unicode MS"/>
      <w:b w:val="0"/>
      <w:bCs w:val="0"/>
      <w:kern w:val="0"/>
      <w:sz w:val="24"/>
      <w:szCs w:val="20"/>
    </w:rPr>
  </w:style>
  <w:style w:type="paragraph" w:customStyle="1" w:styleId="517">
    <w:name w:val="Char Char Char Char Char Char Char Char Char Char"/>
    <w:basedOn w:val="3"/>
    <w:next w:val="1"/>
    <w:autoRedefine/>
    <w:qFormat/>
    <w:uiPriority w:val="99"/>
    <w:pPr>
      <w:keepNext w:val="0"/>
      <w:keepLines w:val="0"/>
      <w:spacing w:before="0" w:after="0" w:line="500" w:lineRule="atLeast"/>
      <w:ind w:firstLine="425" w:firstLineChars="177"/>
      <w:jc w:val="center"/>
      <w:outlineLvl w:val="9"/>
    </w:pPr>
    <w:rPr>
      <w:rFonts w:ascii="黑体" w:hAnsi="宋体" w:eastAsia="黑体"/>
      <w:bCs w:val="0"/>
      <w:color w:val="000000"/>
      <w:kern w:val="24"/>
      <w:sz w:val="32"/>
      <w:szCs w:val="32"/>
    </w:rPr>
  </w:style>
  <w:style w:type="paragraph" w:customStyle="1" w:styleId="518">
    <w:name w:val="表内字"/>
    <w:next w:val="1"/>
    <w:autoRedefine/>
    <w:qFormat/>
    <w:uiPriority w:val="99"/>
    <w:pPr>
      <w:spacing w:line="312" w:lineRule="auto"/>
      <w:jc w:val="center"/>
    </w:pPr>
    <w:rPr>
      <w:rFonts w:ascii="Times New Roman" w:hAnsi="Times New Roman" w:eastAsia="宋体" w:cs="Times New Roman"/>
      <w:color w:val="000000"/>
      <w:kern w:val="0"/>
      <w:sz w:val="21"/>
      <w:szCs w:val="20"/>
      <w:lang w:val="en-US" w:eastAsia="zh-CN" w:bidi="ar-SA"/>
    </w:rPr>
  </w:style>
  <w:style w:type="paragraph" w:customStyle="1" w:styleId="519">
    <w:name w:val="表的格式（小四）"/>
    <w:basedOn w:val="3"/>
    <w:next w:val="1"/>
    <w:autoRedefine/>
    <w:qFormat/>
    <w:uiPriority w:val="99"/>
    <w:pPr>
      <w:keepNext w:val="0"/>
      <w:keepLines w:val="0"/>
      <w:adjustRightInd w:val="0"/>
      <w:spacing w:before="0" w:after="0" w:line="360" w:lineRule="atLeast"/>
      <w:ind w:firstLine="425" w:firstLineChars="177"/>
      <w:jc w:val="center"/>
      <w:outlineLvl w:val="9"/>
    </w:pPr>
    <w:rPr>
      <w:b w:val="0"/>
      <w:bCs w:val="0"/>
      <w:kern w:val="0"/>
      <w:sz w:val="24"/>
      <w:szCs w:val="20"/>
    </w:rPr>
  </w:style>
  <w:style w:type="paragraph" w:customStyle="1" w:styleId="520">
    <w:name w:val="列出段落11"/>
    <w:basedOn w:val="3"/>
    <w:next w:val="1"/>
    <w:autoRedefine/>
    <w:qFormat/>
    <w:uiPriority w:val="99"/>
    <w:pPr>
      <w:keepNext w:val="0"/>
      <w:keepLines w:val="0"/>
      <w:spacing w:before="0" w:after="0" w:line="500" w:lineRule="atLeast"/>
      <w:ind w:firstLine="420" w:firstLineChars="200"/>
      <w:outlineLvl w:val="9"/>
    </w:pPr>
    <w:rPr>
      <w:rFonts w:ascii="Calibri" w:hAnsi="Calibri"/>
      <w:b w:val="0"/>
      <w:bCs w:val="0"/>
      <w:kern w:val="2"/>
      <w:sz w:val="24"/>
      <w:szCs w:val="24"/>
    </w:rPr>
  </w:style>
  <w:style w:type="paragraph" w:customStyle="1" w:styleId="521">
    <w:name w:val="acee正文"/>
    <w:basedOn w:val="3"/>
    <w:next w:val="1"/>
    <w:autoRedefine/>
    <w:qFormat/>
    <w:uiPriority w:val="99"/>
    <w:pPr>
      <w:keepNext w:val="0"/>
      <w:keepLines w:val="0"/>
      <w:spacing w:before="0" w:after="0" w:line="480" w:lineRule="exact"/>
      <w:ind w:firstLine="640" w:firstLineChars="200"/>
      <w:outlineLvl w:val="9"/>
    </w:pPr>
    <w:rPr>
      <w:rFonts w:ascii="FangSong_GB2312" w:hAnsi="宋体" w:eastAsia="FangSong_GB2312"/>
      <w:b w:val="0"/>
      <w:bCs w:val="0"/>
      <w:kern w:val="2"/>
      <w:sz w:val="32"/>
      <w:szCs w:val="24"/>
    </w:rPr>
  </w:style>
  <w:style w:type="paragraph" w:customStyle="1" w:styleId="522">
    <w:name w:val="xl56"/>
    <w:basedOn w:val="3"/>
    <w:next w:val="1"/>
    <w:autoRedefine/>
    <w:qFormat/>
    <w:uiPriority w:val="99"/>
    <w:pPr>
      <w:keepNext w:val="0"/>
      <w:keepLines w:val="0"/>
      <w:widowControl/>
      <w:pBdr>
        <w:top w:val="single" w:color="auto" w:sz="12" w:space="0"/>
        <w:left w:val="single" w:color="auto" w:sz="8" w:space="0"/>
        <w:bottom w:val="single" w:color="auto" w:sz="8" w:space="0"/>
      </w:pBdr>
      <w:spacing w:before="100" w:beforeAutospacing="1" w:after="100" w:afterAutospacing="1" w:line="500" w:lineRule="atLeast"/>
      <w:ind w:firstLine="425" w:firstLineChars="177"/>
      <w:jc w:val="center"/>
      <w:outlineLvl w:val="9"/>
    </w:pPr>
    <w:rPr>
      <w:rFonts w:ascii="宋体" w:hAnsi="宋体" w:cs="宋体"/>
      <w:b w:val="0"/>
      <w:bCs w:val="0"/>
      <w:color w:val="000000"/>
      <w:kern w:val="0"/>
      <w:sz w:val="24"/>
      <w:szCs w:val="21"/>
    </w:rPr>
  </w:style>
  <w:style w:type="paragraph" w:customStyle="1" w:styleId="523">
    <w:name w:val="EIA标题2"/>
    <w:basedOn w:val="4"/>
    <w:next w:val="1"/>
    <w:autoRedefine/>
    <w:qFormat/>
    <w:uiPriority w:val="99"/>
    <w:pPr>
      <w:tabs>
        <w:tab w:val="left" w:pos="576"/>
      </w:tabs>
      <w:spacing w:before="0" w:after="120" w:line="440" w:lineRule="exact"/>
      <w:ind w:firstLine="425" w:firstLineChars="177"/>
      <w:jc w:val="left"/>
    </w:pPr>
    <w:rPr>
      <w:rFonts w:ascii="Times New Roman" w:hAnsi="Times New Roman" w:eastAsia="黑体" w:cs="Times New Roman"/>
      <w:b w:val="0"/>
      <w:bCs w:val="0"/>
      <w:color w:val="000000"/>
      <w:sz w:val="24"/>
      <w:szCs w:val="20"/>
    </w:rPr>
  </w:style>
  <w:style w:type="paragraph" w:customStyle="1" w:styleId="524">
    <w:name w:val="样式"/>
    <w:basedOn w:val="3"/>
    <w:next w:val="1"/>
    <w:autoRedefine/>
    <w:qFormat/>
    <w:uiPriority w:val="99"/>
    <w:pPr>
      <w:keepNext w:val="0"/>
      <w:keepLines w:val="0"/>
      <w:pBdr>
        <w:bottom w:val="single" w:color="auto" w:sz="4" w:space="1"/>
      </w:pBdr>
      <w:spacing w:before="0" w:after="0" w:line="500" w:lineRule="atLeast"/>
      <w:ind w:firstLine="425" w:firstLineChars="177"/>
      <w:outlineLvl w:val="9"/>
    </w:pPr>
    <w:rPr>
      <w:b w:val="0"/>
      <w:bCs w:val="0"/>
      <w:kern w:val="2"/>
      <w:sz w:val="18"/>
      <w:szCs w:val="24"/>
    </w:rPr>
  </w:style>
  <w:style w:type="paragraph" w:customStyle="1" w:styleId="525">
    <w:name w:val="样式 标题 4常用标题 4 + 段前: 6 磅 段后: 6 磅 行距: 固定值 26 磅"/>
    <w:basedOn w:val="6"/>
    <w:next w:val="1"/>
    <w:autoRedefine/>
    <w:qFormat/>
    <w:uiPriority w:val="99"/>
    <w:pPr>
      <w:tabs>
        <w:tab w:val="left" w:pos="2250"/>
      </w:tabs>
      <w:spacing w:before="0" w:after="0" w:line="240" w:lineRule="auto"/>
      <w:ind w:left="2250" w:hanging="420" w:firstLineChars="177"/>
    </w:pPr>
    <w:rPr>
      <w:rFonts w:ascii="Arial" w:hAnsi="Arial" w:eastAsia="黑体" w:cs="宋体"/>
      <w:szCs w:val="20"/>
    </w:rPr>
  </w:style>
  <w:style w:type="paragraph" w:customStyle="1" w:styleId="526">
    <w:name w:val="EIA正文"/>
    <w:basedOn w:val="3"/>
    <w:next w:val="1"/>
    <w:autoRedefine/>
    <w:qFormat/>
    <w:uiPriority w:val="99"/>
    <w:pPr>
      <w:keepNext w:val="0"/>
      <w:keepLines w:val="0"/>
      <w:spacing w:before="0" w:after="0" w:line="360" w:lineRule="auto"/>
      <w:ind w:firstLine="578" w:firstLineChars="177"/>
      <w:outlineLvl w:val="9"/>
    </w:pPr>
    <w:rPr>
      <w:rFonts w:ascii="宋体" w:hAnsi="宋体"/>
      <w:b w:val="0"/>
      <w:bCs w:val="0"/>
      <w:kern w:val="2"/>
      <w:sz w:val="24"/>
      <w:szCs w:val="20"/>
    </w:rPr>
  </w:style>
  <w:style w:type="paragraph" w:customStyle="1" w:styleId="527">
    <w:name w:val="5"/>
    <w:basedOn w:val="3"/>
    <w:next w:val="14"/>
    <w:autoRedefine/>
    <w:qFormat/>
    <w:uiPriority w:val="99"/>
    <w:pPr>
      <w:keepNext w:val="0"/>
      <w:keepLines w:val="0"/>
      <w:spacing w:before="0" w:after="0" w:line="500" w:lineRule="atLeast"/>
      <w:ind w:firstLine="420" w:firstLineChars="177"/>
      <w:outlineLvl w:val="9"/>
    </w:pPr>
    <w:rPr>
      <w:b w:val="0"/>
      <w:bCs w:val="0"/>
      <w:kern w:val="2"/>
      <w:sz w:val="24"/>
      <w:szCs w:val="21"/>
    </w:rPr>
  </w:style>
  <w:style w:type="paragraph" w:customStyle="1" w:styleId="528">
    <w:name w:val="+正文"/>
    <w:basedOn w:val="3"/>
    <w:next w:val="1"/>
    <w:autoRedefine/>
    <w:qFormat/>
    <w:uiPriority w:val="99"/>
    <w:pPr>
      <w:keepNext w:val="0"/>
      <w:keepLines w:val="0"/>
      <w:adjustRightInd w:val="0"/>
      <w:snapToGrid w:val="0"/>
      <w:spacing w:before="0" w:after="0" w:line="360" w:lineRule="auto"/>
      <w:ind w:firstLine="200" w:firstLineChars="200"/>
      <w:outlineLvl w:val="9"/>
    </w:pPr>
    <w:rPr>
      <w:b w:val="0"/>
      <w:bCs w:val="0"/>
      <w:kern w:val="2"/>
      <w:sz w:val="24"/>
      <w:szCs w:val="28"/>
    </w:rPr>
  </w:style>
  <w:style w:type="paragraph" w:customStyle="1" w:styleId="529">
    <w:name w:val="样式 宋体 四号 两端对齐 行距: 1.5 倍行距"/>
    <w:basedOn w:val="3"/>
    <w:next w:val="1"/>
    <w:autoRedefine/>
    <w:qFormat/>
    <w:uiPriority w:val="99"/>
    <w:pPr>
      <w:keepNext w:val="0"/>
      <w:keepLines w:val="0"/>
      <w:widowControl/>
      <w:overflowPunct w:val="0"/>
      <w:autoSpaceDE w:val="0"/>
      <w:autoSpaceDN w:val="0"/>
      <w:adjustRightInd w:val="0"/>
      <w:spacing w:before="0" w:after="0" w:line="480" w:lineRule="exact"/>
      <w:ind w:firstLine="200" w:firstLineChars="200"/>
      <w:outlineLvl w:val="9"/>
    </w:pPr>
    <w:rPr>
      <w:rFonts w:ascii="宋体" w:hAnsi="宋体" w:cs="宋体"/>
      <w:b w:val="0"/>
      <w:bCs w:val="0"/>
      <w:kern w:val="0"/>
      <w:sz w:val="28"/>
      <w:szCs w:val="20"/>
      <w:lang w:val="en-GB"/>
    </w:rPr>
  </w:style>
  <w:style w:type="character" w:customStyle="1" w:styleId="530">
    <w:name w:val="sn Char Char"/>
    <w:link w:val="531"/>
    <w:autoRedefine/>
    <w:qFormat/>
    <w:uiPriority w:val="0"/>
    <w:rPr>
      <w:rFonts w:ascii="Arial" w:hAnsi="Arial" w:cs="Arial"/>
      <w:sz w:val="24"/>
      <w:szCs w:val="24"/>
    </w:rPr>
  </w:style>
  <w:style w:type="paragraph" w:customStyle="1" w:styleId="531">
    <w:name w:val="sn"/>
    <w:basedOn w:val="44"/>
    <w:next w:val="1"/>
    <w:link w:val="530"/>
    <w:autoRedefine/>
    <w:qFormat/>
    <w:uiPriority w:val="0"/>
    <w:pPr>
      <w:spacing w:line="240" w:lineRule="auto"/>
      <w:ind w:firstLine="480" w:firstLineChars="200"/>
    </w:pPr>
    <w:rPr>
      <w:rFonts w:ascii="Arial" w:hAnsi="Arial" w:cs="Arial" w:eastAsiaTheme="minorEastAsia"/>
    </w:rPr>
  </w:style>
  <w:style w:type="paragraph" w:customStyle="1" w:styleId="532">
    <w:name w:val="Char Char Char Char2"/>
    <w:basedOn w:val="3"/>
    <w:next w:val="1"/>
    <w:autoRedefine/>
    <w:qFormat/>
    <w:uiPriority w:val="99"/>
    <w:pPr>
      <w:keepNext w:val="0"/>
      <w:keepLines w:val="0"/>
      <w:spacing w:before="0" w:after="0" w:line="500" w:lineRule="atLeast"/>
      <w:ind w:firstLine="425" w:firstLineChars="177"/>
      <w:outlineLvl w:val="9"/>
    </w:pPr>
    <w:rPr>
      <w:b w:val="0"/>
      <w:bCs w:val="0"/>
      <w:kern w:val="2"/>
      <w:sz w:val="24"/>
      <w:szCs w:val="24"/>
    </w:rPr>
  </w:style>
  <w:style w:type="paragraph" w:customStyle="1" w:styleId="533">
    <w:name w:val="1表格"/>
    <w:basedOn w:val="3"/>
    <w:next w:val="1"/>
    <w:autoRedefine/>
    <w:qFormat/>
    <w:uiPriority w:val="99"/>
    <w:pPr>
      <w:keepNext w:val="0"/>
      <w:keepLines w:val="0"/>
      <w:snapToGrid w:val="0"/>
      <w:spacing w:before="0" w:after="0" w:line="500" w:lineRule="atLeast"/>
      <w:ind w:firstLine="425" w:firstLineChars="177"/>
      <w:jc w:val="center"/>
      <w:outlineLvl w:val="9"/>
    </w:pPr>
    <w:rPr>
      <w:b w:val="0"/>
      <w:bCs w:val="0"/>
      <w:color w:val="000000"/>
      <w:spacing w:val="4"/>
      <w:kern w:val="0"/>
      <w:sz w:val="24"/>
      <w:szCs w:val="24"/>
    </w:rPr>
  </w:style>
  <w:style w:type="paragraph" w:customStyle="1" w:styleId="534">
    <w:name w:val="样式 标题 3样式　标题 3　自动设置标题 3 Char章 + Times New 表题3"/>
    <w:basedOn w:val="5"/>
    <w:next w:val="1"/>
    <w:autoRedefine/>
    <w:qFormat/>
    <w:uiPriority w:val="99"/>
    <w:pPr>
      <w:tabs>
        <w:tab w:val="left" w:pos="1830"/>
        <w:tab w:val="left" w:pos="3800"/>
        <w:tab w:val="left" w:pos="5200"/>
      </w:tabs>
      <w:autoSpaceDE w:val="0"/>
      <w:autoSpaceDN w:val="0"/>
      <w:adjustRightInd w:val="0"/>
      <w:spacing w:before="120" w:after="0" w:line="240" w:lineRule="auto"/>
      <w:ind w:left="1830" w:hanging="420"/>
    </w:pPr>
    <w:rPr>
      <w:rFonts w:ascii="Times New Roman" w:hAnsi="Times New Roman"/>
      <w:b/>
      <w:bCs/>
      <w:kern w:val="0"/>
      <w:sz w:val="28"/>
      <w:szCs w:val="28"/>
    </w:rPr>
  </w:style>
  <w:style w:type="paragraph" w:customStyle="1" w:styleId="535">
    <w:name w:val="Bullet_Indent"/>
    <w:basedOn w:val="3"/>
    <w:next w:val="1"/>
    <w:autoRedefine/>
    <w:qFormat/>
    <w:uiPriority w:val="99"/>
    <w:pPr>
      <w:keepNext w:val="0"/>
      <w:keepLines w:val="0"/>
      <w:widowControl/>
      <w:spacing w:before="0" w:after="240" w:line="500" w:lineRule="atLeast"/>
      <w:ind w:left="1440" w:hanging="720" w:firstLineChars="177"/>
      <w:jc w:val="left"/>
      <w:outlineLvl w:val="9"/>
    </w:pPr>
    <w:rPr>
      <w:b w:val="0"/>
      <w:bCs w:val="0"/>
      <w:kern w:val="0"/>
      <w:sz w:val="24"/>
      <w:szCs w:val="20"/>
    </w:rPr>
  </w:style>
  <w:style w:type="paragraph" w:customStyle="1" w:styleId="536">
    <w:name w:val="zhengwen"/>
    <w:basedOn w:val="3"/>
    <w:next w:val="1"/>
    <w:autoRedefine/>
    <w:qFormat/>
    <w:uiPriority w:val="99"/>
    <w:pPr>
      <w:keepNext w:val="0"/>
      <w:keepLines w:val="0"/>
      <w:widowControl/>
      <w:spacing w:before="100" w:beforeAutospacing="1" w:after="100" w:afterAutospacing="1" w:line="800" w:lineRule="atLeast"/>
      <w:ind w:firstLine="425" w:firstLineChars="177"/>
      <w:jc w:val="left"/>
      <w:outlineLvl w:val="9"/>
    </w:pPr>
    <w:rPr>
      <w:rFonts w:ascii="Arial Unicode MS" w:hAnsi="Arial Unicode MS"/>
      <w:b w:val="0"/>
      <w:bCs w:val="0"/>
      <w:color w:val="333333"/>
      <w:kern w:val="0"/>
      <w:sz w:val="18"/>
      <w:szCs w:val="18"/>
    </w:rPr>
  </w:style>
  <w:style w:type="paragraph" w:customStyle="1" w:styleId="537">
    <w:name w:val="xl50"/>
    <w:basedOn w:val="3"/>
    <w:next w:val="1"/>
    <w:autoRedefine/>
    <w:qFormat/>
    <w:uiPriority w:val="99"/>
    <w:pPr>
      <w:keepNext w:val="0"/>
      <w:keepLines w:val="0"/>
      <w:widowControl/>
      <w:pBdr>
        <w:left w:val="single" w:color="auto" w:sz="8" w:space="0"/>
        <w:bottom w:val="single" w:color="auto" w:sz="8" w:space="0"/>
        <w:right w:val="single" w:color="auto" w:sz="8" w:space="0"/>
      </w:pBdr>
      <w:spacing w:before="100" w:beforeAutospacing="1" w:after="100" w:afterAutospacing="1" w:line="500" w:lineRule="atLeast"/>
      <w:ind w:firstLine="425" w:firstLineChars="177"/>
      <w:jc w:val="center"/>
      <w:outlineLvl w:val="9"/>
    </w:pPr>
    <w:rPr>
      <w:b w:val="0"/>
      <w:bCs w:val="0"/>
      <w:color w:val="000000"/>
      <w:kern w:val="0"/>
      <w:sz w:val="24"/>
      <w:szCs w:val="21"/>
    </w:rPr>
  </w:style>
  <w:style w:type="paragraph" w:customStyle="1" w:styleId="538">
    <w:name w:val="表格2"/>
    <w:basedOn w:val="3"/>
    <w:next w:val="1"/>
    <w:autoRedefine/>
    <w:qFormat/>
    <w:uiPriority w:val="99"/>
    <w:pPr>
      <w:keepNext w:val="0"/>
      <w:keepLines w:val="0"/>
      <w:spacing w:beforeLines="5" w:after="0" w:line="500" w:lineRule="atLeast"/>
      <w:ind w:firstLine="425" w:firstLineChars="177"/>
      <w:jc w:val="center"/>
      <w:outlineLvl w:val="9"/>
    </w:pPr>
    <w:rPr>
      <w:rFonts w:ascii="宋体"/>
      <w:b w:val="0"/>
      <w:bCs w:val="0"/>
      <w:kern w:val="2"/>
      <w:sz w:val="24"/>
      <w:szCs w:val="20"/>
    </w:rPr>
  </w:style>
  <w:style w:type="paragraph" w:customStyle="1" w:styleId="539">
    <w:name w:val="Char Char Char Char1 Char Char Char1 Char Char Char"/>
    <w:basedOn w:val="3"/>
    <w:next w:val="1"/>
    <w:autoRedefine/>
    <w:qFormat/>
    <w:uiPriority w:val="99"/>
    <w:pPr>
      <w:keepNext w:val="0"/>
      <w:keepLines w:val="0"/>
      <w:spacing w:before="0" w:after="0" w:line="360" w:lineRule="auto"/>
      <w:ind w:firstLine="200" w:firstLineChars="200"/>
      <w:outlineLvl w:val="9"/>
    </w:pPr>
    <w:rPr>
      <w:rFonts w:ascii="宋体" w:hAnsi="宋体" w:cs="宋体"/>
      <w:b w:val="0"/>
      <w:bCs w:val="0"/>
      <w:kern w:val="2"/>
      <w:sz w:val="24"/>
      <w:szCs w:val="24"/>
    </w:rPr>
  </w:style>
  <w:style w:type="paragraph" w:customStyle="1" w:styleId="540">
    <w:name w:val="IDC A-Head (2nd Line)"/>
    <w:basedOn w:val="3"/>
    <w:next w:val="1"/>
    <w:autoRedefine/>
    <w:qFormat/>
    <w:uiPriority w:val="99"/>
    <w:pPr>
      <w:keepNext w:val="0"/>
      <w:keepLines w:val="0"/>
      <w:widowControl/>
      <w:numPr>
        <w:ilvl w:val="0"/>
        <w:numId w:val="2"/>
      </w:numPr>
      <w:spacing w:before="0" w:after="0" w:line="500" w:lineRule="atLeast"/>
      <w:ind w:firstLine="177" w:firstLineChars="177"/>
      <w:jc w:val="center"/>
      <w:outlineLvl w:val="9"/>
    </w:pPr>
    <w:rPr>
      <w:b w:val="0"/>
      <w:bCs w:val="0"/>
      <w:caps/>
      <w:kern w:val="0"/>
      <w:sz w:val="24"/>
      <w:szCs w:val="20"/>
    </w:rPr>
  </w:style>
  <w:style w:type="paragraph" w:customStyle="1" w:styleId="541">
    <w:name w:val="表格文字（黑体）"/>
    <w:basedOn w:val="206"/>
    <w:next w:val="1"/>
    <w:autoRedefine/>
    <w:qFormat/>
    <w:uiPriority w:val="99"/>
    <w:rPr>
      <w:rFonts w:ascii="Times New Roman" w:hAnsi="Times New Roman" w:eastAsia="宋体"/>
      <w:kern w:val="2"/>
      <w:sz w:val="21"/>
    </w:rPr>
  </w:style>
  <w:style w:type="paragraph" w:customStyle="1" w:styleId="542">
    <w:name w:val="Body Text 21"/>
    <w:basedOn w:val="3"/>
    <w:next w:val="1"/>
    <w:autoRedefine/>
    <w:qFormat/>
    <w:uiPriority w:val="99"/>
    <w:pPr>
      <w:keepNext w:val="0"/>
      <w:keepLines w:val="0"/>
      <w:autoSpaceDE w:val="0"/>
      <w:autoSpaceDN w:val="0"/>
      <w:adjustRightInd w:val="0"/>
      <w:spacing w:before="0" w:after="0" w:line="480" w:lineRule="exact"/>
      <w:ind w:firstLine="540" w:firstLineChars="177"/>
      <w:outlineLvl w:val="9"/>
    </w:pPr>
    <w:rPr>
      <w:rFonts w:ascii="宋体" w:hAnsi="Tms Rmn"/>
      <w:b w:val="0"/>
      <w:bCs w:val="0"/>
      <w:kern w:val="0"/>
      <w:sz w:val="24"/>
      <w:szCs w:val="20"/>
    </w:rPr>
  </w:style>
  <w:style w:type="character" w:customStyle="1" w:styleId="543">
    <w:name w:val="二级标题 Char"/>
    <w:basedOn w:val="61"/>
    <w:link w:val="544"/>
    <w:autoRedefine/>
    <w:qFormat/>
    <w:uiPriority w:val="0"/>
    <w:rPr>
      <w:rFonts w:ascii="Arial" w:hAnsi="黑体" w:eastAsia="黑体" w:cs="Arial"/>
      <w:color w:val="000000"/>
      <w:kern w:val="0"/>
      <w:sz w:val="28"/>
      <w:szCs w:val="30"/>
    </w:rPr>
  </w:style>
  <w:style w:type="paragraph" w:customStyle="1" w:styleId="544">
    <w:name w:val="二级标题"/>
    <w:basedOn w:val="4"/>
    <w:next w:val="1"/>
    <w:link w:val="543"/>
    <w:autoRedefine/>
    <w:qFormat/>
    <w:uiPriority w:val="0"/>
    <w:pPr>
      <w:spacing w:before="200" w:after="200" w:line="360" w:lineRule="auto"/>
    </w:pPr>
    <w:rPr>
      <w:rFonts w:ascii="Arial" w:hAnsi="黑体" w:eastAsia="黑体" w:cs="Arial"/>
      <w:color w:val="000000"/>
      <w:kern w:val="0"/>
      <w:sz w:val="28"/>
      <w:szCs w:val="30"/>
    </w:rPr>
  </w:style>
  <w:style w:type="paragraph" w:customStyle="1" w:styleId="545">
    <w:name w:val="正文曹"/>
    <w:basedOn w:val="22"/>
    <w:next w:val="1"/>
    <w:autoRedefine/>
    <w:qFormat/>
    <w:uiPriority w:val="99"/>
    <w:pPr>
      <w:widowControl/>
      <w:spacing w:line="500" w:lineRule="exact"/>
      <w:jc w:val="left"/>
    </w:pPr>
    <w:rPr>
      <w:rFonts w:ascii="宋体" w:hAnsi="宋体"/>
      <w:color w:val="000000"/>
    </w:rPr>
  </w:style>
  <w:style w:type="character" w:customStyle="1" w:styleId="546">
    <w:name w:val="【标题2】 Char Char"/>
    <w:link w:val="547"/>
    <w:autoRedefine/>
    <w:qFormat/>
    <w:uiPriority w:val="0"/>
    <w:rPr>
      <w:rFonts w:ascii="宋体" w:hAnsi="宋体" w:eastAsia="宋体"/>
      <w:b/>
      <w:bCs/>
      <w:sz w:val="28"/>
    </w:rPr>
  </w:style>
  <w:style w:type="paragraph" w:customStyle="1" w:styleId="547">
    <w:name w:val="【标题2】"/>
    <w:basedOn w:val="4"/>
    <w:next w:val="1"/>
    <w:link w:val="546"/>
    <w:autoRedefine/>
    <w:qFormat/>
    <w:uiPriority w:val="0"/>
    <w:pPr>
      <w:keepNext w:val="0"/>
      <w:tabs>
        <w:tab w:val="left" w:pos="720"/>
      </w:tabs>
      <w:spacing w:before="0" w:after="0" w:line="440" w:lineRule="exact"/>
    </w:pPr>
    <w:rPr>
      <w:rFonts w:ascii="宋体" w:hAnsi="宋体" w:eastAsia="宋体" w:cstheme="minorBidi"/>
      <w:sz w:val="28"/>
      <w:szCs w:val="22"/>
    </w:rPr>
  </w:style>
  <w:style w:type="character" w:customStyle="1" w:styleId="548">
    <w:name w:val="表格内正文 Char"/>
    <w:link w:val="549"/>
    <w:autoRedefine/>
    <w:qFormat/>
    <w:uiPriority w:val="0"/>
    <w:rPr>
      <w:rFonts w:ascii="宋体" w:hAnsi="宋体" w:eastAsia="宋体"/>
      <w:szCs w:val="24"/>
    </w:rPr>
  </w:style>
  <w:style w:type="paragraph" w:customStyle="1" w:styleId="549">
    <w:name w:val="表格内正文"/>
    <w:basedOn w:val="3"/>
    <w:next w:val="1"/>
    <w:link w:val="548"/>
    <w:autoRedefine/>
    <w:qFormat/>
    <w:uiPriority w:val="0"/>
    <w:pPr>
      <w:keepNext w:val="0"/>
      <w:keepLines w:val="0"/>
      <w:spacing w:before="0" w:after="0" w:line="360" w:lineRule="auto"/>
      <w:jc w:val="center"/>
      <w:outlineLvl w:val="9"/>
    </w:pPr>
    <w:rPr>
      <w:rFonts w:ascii="宋体" w:hAnsi="宋体" w:cstheme="minorBidi"/>
      <w:b w:val="0"/>
      <w:bCs w:val="0"/>
      <w:kern w:val="2"/>
      <w:sz w:val="21"/>
      <w:szCs w:val="24"/>
    </w:rPr>
  </w:style>
  <w:style w:type="paragraph" w:customStyle="1" w:styleId="550">
    <w:name w:val="样式 cucd-0 + 宋体"/>
    <w:basedOn w:val="381"/>
    <w:next w:val="1"/>
    <w:autoRedefine/>
    <w:qFormat/>
    <w:uiPriority w:val="99"/>
    <w:rPr>
      <w:rFonts w:ascii="宋体" w:hAnsi="宋体"/>
    </w:rPr>
  </w:style>
  <w:style w:type="paragraph" w:customStyle="1" w:styleId="551">
    <w:name w:val="Char Char Char Char Char Char Char Char Char Char Char Char1 Char Char Char Char Char Char Char Char Char Char Char Char1 Char"/>
    <w:basedOn w:val="3"/>
    <w:next w:val="1"/>
    <w:autoRedefine/>
    <w:semiHidden/>
    <w:qFormat/>
    <w:uiPriority w:val="99"/>
    <w:pPr>
      <w:keepNext w:val="0"/>
      <w:keepLines w:val="0"/>
      <w:spacing w:before="0" w:after="0" w:line="336" w:lineRule="auto"/>
      <w:ind w:firstLine="200" w:firstLineChars="200"/>
      <w:outlineLvl w:val="9"/>
    </w:pPr>
    <w:rPr>
      <w:rFonts w:ascii="宋体" w:hAnsi="宋体" w:eastAsia="汉鼎简书宋" w:cs="宋体"/>
      <w:b w:val="0"/>
      <w:bCs w:val="0"/>
      <w:kern w:val="2"/>
      <w:sz w:val="24"/>
      <w:szCs w:val="24"/>
    </w:rPr>
  </w:style>
  <w:style w:type="paragraph" w:customStyle="1" w:styleId="552">
    <w:name w:val="Char Char Char1 Char"/>
    <w:basedOn w:val="3"/>
    <w:next w:val="1"/>
    <w:autoRedefine/>
    <w:semiHidden/>
    <w:qFormat/>
    <w:uiPriority w:val="99"/>
    <w:pPr>
      <w:keepNext w:val="0"/>
      <w:keepLines w:val="0"/>
      <w:spacing w:before="0" w:after="0" w:line="500" w:lineRule="atLeast"/>
      <w:ind w:firstLine="425" w:firstLineChars="177"/>
      <w:outlineLvl w:val="9"/>
    </w:pPr>
    <w:rPr>
      <w:b w:val="0"/>
      <w:bCs w:val="0"/>
      <w:kern w:val="2"/>
      <w:sz w:val="24"/>
      <w:szCs w:val="24"/>
    </w:rPr>
  </w:style>
  <w:style w:type="paragraph" w:customStyle="1" w:styleId="553">
    <w:name w:val="正文(a)"/>
    <w:basedOn w:val="3"/>
    <w:next w:val="1"/>
    <w:autoRedefine/>
    <w:semiHidden/>
    <w:qFormat/>
    <w:uiPriority w:val="99"/>
    <w:pPr>
      <w:keepNext w:val="0"/>
      <w:keepLines w:val="0"/>
      <w:widowControl/>
      <w:tabs>
        <w:tab w:val="left" w:pos="1139"/>
        <w:tab w:val="left" w:pos="1332"/>
      </w:tabs>
      <w:spacing w:before="0" w:after="0" w:line="351" w:lineRule="atLeast"/>
      <w:ind w:left="-141" w:firstLine="566" w:firstLineChars="177"/>
      <w:outlineLvl w:val="9"/>
    </w:pPr>
    <w:rPr>
      <w:rFonts w:ascii="宋体" w:cs="宋体"/>
      <w:b w:val="0"/>
      <w:color w:val="000000"/>
      <w:spacing w:val="5"/>
      <w:kern w:val="0"/>
      <w:sz w:val="24"/>
      <w:szCs w:val="21"/>
      <w:u w:color="000000"/>
    </w:rPr>
  </w:style>
  <w:style w:type="character" w:styleId="554">
    <w:name w:val="Placeholder Text"/>
    <w:basedOn w:val="51"/>
    <w:autoRedefine/>
    <w:semiHidden/>
    <w:qFormat/>
    <w:uiPriority w:val="99"/>
    <w:rPr>
      <w:color w:val="808080"/>
    </w:rPr>
  </w:style>
  <w:style w:type="character" w:customStyle="1" w:styleId="555">
    <w:name w:val="页脚 Char1"/>
    <w:basedOn w:val="51"/>
    <w:autoRedefine/>
    <w:semiHidden/>
    <w:qFormat/>
    <w:uiPriority w:val="99"/>
    <w:rPr>
      <w:rFonts w:ascii="Times New Roman" w:hAnsi="Times New Roman" w:eastAsia="宋体" w:cs="Times New Roman"/>
      <w:sz w:val="18"/>
      <w:szCs w:val="18"/>
    </w:rPr>
  </w:style>
  <w:style w:type="character" w:customStyle="1" w:styleId="556">
    <w:name w:val="文档结构图 Char1"/>
    <w:basedOn w:val="51"/>
    <w:autoRedefine/>
    <w:semiHidden/>
    <w:qFormat/>
    <w:uiPriority w:val="99"/>
    <w:rPr>
      <w:rFonts w:ascii="宋体" w:hAnsi="Times New Roman" w:eastAsia="宋体" w:cs="Times New Roman"/>
      <w:sz w:val="18"/>
      <w:szCs w:val="18"/>
    </w:rPr>
  </w:style>
  <w:style w:type="character" w:customStyle="1" w:styleId="557">
    <w:name w:val="副标题 Char1"/>
    <w:basedOn w:val="51"/>
    <w:autoRedefine/>
    <w:qFormat/>
    <w:uiPriority w:val="11"/>
    <w:rPr>
      <w:rFonts w:eastAsia="宋体" w:asciiTheme="majorHAnsi" w:hAnsiTheme="majorHAnsi" w:cstheme="majorBidi"/>
      <w:b/>
      <w:bCs/>
      <w:kern w:val="28"/>
      <w:sz w:val="32"/>
      <w:szCs w:val="32"/>
    </w:rPr>
  </w:style>
  <w:style w:type="character" w:customStyle="1" w:styleId="558">
    <w:name w:val="fontstyle21"/>
    <w:basedOn w:val="51"/>
    <w:autoRedefine/>
    <w:qFormat/>
    <w:uiPriority w:val="0"/>
    <w:rPr>
      <w:rFonts w:hint="default" w:ascii="Times New Roman" w:hAnsi="Times New Roman" w:cs="Times New Roman"/>
      <w:color w:val="000000"/>
      <w:sz w:val="24"/>
      <w:szCs w:val="24"/>
    </w:rPr>
  </w:style>
  <w:style w:type="character" w:customStyle="1" w:styleId="559">
    <w:name w:val="正文文本 2 Char1"/>
    <w:basedOn w:val="51"/>
    <w:autoRedefine/>
    <w:semiHidden/>
    <w:qFormat/>
    <w:uiPriority w:val="0"/>
    <w:rPr>
      <w:rFonts w:ascii="Times New Roman" w:hAnsi="Times New Roman" w:eastAsia="宋体" w:cs="Times New Roman"/>
      <w:szCs w:val="24"/>
    </w:rPr>
  </w:style>
  <w:style w:type="character" w:customStyle="1" w:styleId="560">
    <w:name w:val="正文文本 3 Char1"/>
    <w:basedOn w:val="51"/>
    <w:autoRedefine/>
    <w:semiHidden/>
    <w:qFormat/>
    <w:uiPriority w:val="0"/>
    <w:rPr>
      <w:rFonts w:ascii="Times New Roman" w:hAnsi="Times New Roman" w:eastAsia="宋体" w:cs="Times New Roman"/>
      <w:sz w:val="16"/>
      <w:szCs w:val="16"/>
    </w:rPr>
  </w:style>
  <w:style w:type="character" w:customStyle="1" w:styleId="561">
    <w:name w:val="正文文本缩进 3 Char1"/>
    <w:basedOn w:val="51"/>
    <w:autoRedefine/>
    <w:semiHidden/>
    <w:qFormat/>
    <w:uiPriority w:val="99"/>
    <w:rPr>
      <w:rFonts w:ascii="Times New Roman" w:hAnsi="Times New Roman" w:eastAsia="宋体" w:cs="Times New Roman"/>
      <w:sz w:val="16"/>
      <w:szCs w:val="16"/>
    </w:rPr>
  </w:style>
  <w:style w:type="character" w:customStyle="1" w:styleId="562">
    <w:name w:val="批注主题 Char1"/>
    <w:basedOn w:val="130"/>
    <w:autoRedefine/>
    <w:semiHidden/>
    <w:qFormat/>
    <w:uiPriority w:val="99"/>
    <w:rPr>
      <w:rFonts w:ascii="Times New Roman" w:hAnsi="Times New Roman" w:eastAsia="宋体" w:cs="Times New Roman"/>
      <w:b/>
      <w:bCs/>
      <w:szCs w:val="24"/>
    </w:rPr>
  </w:style>
  <w:style w:type="character" w:customStyle="1" w:styleId="563">
    <w:name w:val="批注框文本 Char1"/>
    <w:basedOn w:val="51"/>
    <w:autoRedefine/>
    <w:semiHidden/>
    <w:qFormat/>
    <w:uiPriority w:val="0"/>
    <w:rPr>
      <w:rFonts w:ascii="Times New Roman" w:hAnsi="Times New Roman" w:eastAsia="宋体" w:cs="Times New Roman"/>
      <w:sz w:val="18"/>
      <w:szCs w:val="18"/>
    </w:rPr>
  </w:style>
  <w:style w:type="character" w:customStyle="1" w:styleId="564">
    <w:name w:val="【正文】 Char Char"/>
    <w:autoRedefine/>
    <w:qFormat/>
    <w:uiPriority w:val="0"/>
    <w:rPr>
      <w:sz w:val="24"/>
    </w:rPr>
  </w:style>
  <w:style w:type="character" w:customStyle="1" w:styleId="565">
    <w:name w:val="fontstyle31"/>
    <w:basedOn w:val="51"/>
    <w:autoRedefine/>
    <w:qFormat/>
    <w:uiPriority w:val="0"/>
    <w:rPr>
      <w:rFonts w:hint="default" w:ascii="TimesNewRomanPS-ItalicMT" w:hAnsi="TimesNewRomanPS-ItalicMT"/>
      <w:i/>
      <w:iCs/>
      <w:color w:val="000000"/>
      <w:sz w:val="14"/>
      <w:szCs w:val="14"/>
    </w:rPr>
  </w:style>
  <w:style w:type="character" w:customStyle="1" w:styleId="566">
    <w:name w:val="表正文 Char1 Char Char"/>
    <w:autoRedefine/>
    <w:qFormat/>
    <w:uiPriority w:val="0"/>
    <w:rPr>
      <w:sz w:val="24"/>
    </w:rPr>
  </w:style>
  <w:style w:type="character" w:customStyle="1" w:styleId="567">
    <w:name w:val="style81"/>
    <w:autoRedefine/>
    <w:qFormat/>
    <w:uiPriority w:val="0"/>
    <w:rPr>
      <w:rFonts w:hint="eastAsia" w:ascii="宋体" w:hAnsi="宋体" w:eastAsia="黑体" w:cs="宋体"/>
      <w:kern w:val="2"/>
      <w:sz w:val="24"/>
      <w:szCs w:val="24"/>
      <w:lang w:val="en-US" w:eastAsia="zh-CN" w:bidi="ar-SA"/>
    </w:rPr>
  </w:style>
  <w:style w:type="character" w:customStyle="1" w:styleId="568">
    <w:name w:val="样式 正文zoe + 幼圆1 Char Char"/>
    <w:autoRedefine/>
    <w:qFormat/>
    <w:uiPriority w:val="0"/>
    <w:rPr>
      <w:rFonts w:hint="eastAsia" w:ascii="幼圆" w:hAnsi="幼圆" w:eastAsia="宋体" w:cs="Times New Roman"/>
      <w:kern w:val="0"/>
      <w:sz w:val="24"/>
      <w:szCs w:val="20"/>
    </w:rPr>
  </w:style>
  <w:style w:type="character" w:customStyle="1" w:styleId="569">
    <w:name w:val="正文(首行缩进) Char Char"/>
    <w:autoRedefine/>
    <w:qFormat/>
    <w:uiPriority w:val="0"/>
    <w:rPr>
      <w:snapToGrid w:val="0"/>
      <w:sz w:val="24"/>
      <w:szCs w:val="24"/>
    </w:rPr>
  </w:style>
  <w:style w:type="character" w:customStyle="1" w:styleId="570">
    <w:name w:val="表格 Char Char"/>
    <w:autoRedefine/>
    <w:qFormat/>
    <w:uiPriority w:val="0"/>
    <w:rPr>
      <w:rFonts w:hint="eastAsia" w:ascii="宋体" w:hAnsi="宋体" w:eastAsia="宋体" w:cs="Times New Roman"/>
      <w:snapToGrid w:val="0"/>
      <w:kern w:val="0"/>
      <w:sz w:val="20"/>
      <w:szCs w:val="20"/>
    </w:rPr>
  </w:style>
  <w:style w:type="character" w:customStyle="1" w:styleId="571">
    <w:name w:val="Char Char17"/>
    <w:autoRedefine/>
    <w:qFormat/>
    <w:uiPriority w:val="0"/>
    <w:rPr>
      <w:rFonts w:hint="default" w:ascii="Times New Roman" w:hAnsi="Times New Roman" w:eastAsia="黑体" w:cs="Times New Roman"/>
      <w:bCs/>
      <w:color w:val="000000"/>
      <w:sz w:val="28"/>
      <w:szCs w:val="28"/>
    </w:rPr>
  </w:style>
  <w:style w:type="character" w:customStyle="1" w:styleId="572">
    <w:name w:val="Char Char16"/>
    <w:autoRedefine/>
    <w:qFormat/>
    <w:uiPriority w:val="0"/>
    <w:rPr>
      <w:rFonts w:hint="default" w:ascii="Times New Roman" w:hAnsi="Times New Roman" w:eastAsia="宋体" w:cs="Times New Roman"/>
      <w:b/>
      <w:bCs/>
      <w:color w:val="000000"/>
      <w:sz w:val="28"/>
      <w:szCs w:val="28"/>
    </w:rPr>
  </w:style>
  <w:style w:type="character" w:customStyle="1" w:styleId="573">
    <w:name w:val="正文文本缩进 Char Char"/>
    <w:basedOn w:val="51"/>
    <w:autoRedefine/>
    <w:qFormat/>
    <w:uiPriority w:val="0"/>
  </w:style>
  <w:style w:type="character" w:customStyle="1" w:styleId="574">
    <w:name w:val="正文文本_"/>
    <w:autoRedefine/>
    <w:qFormat/>
    <w:uiPriority w:val="0"/>
    <w:rPr>
      <w:rFonts w:hint="eastAsia" w:ascii="MingLiU" w:hAnsi="MingLiU" w:eastAsia="MingLiU" w:cs="MingLiU"/>
      <w:sz w:val="23"/>
      <w:szCs w:val="23"/>
      <w:u w:val="none"/>
    </w:rPr>
  </w:style>
  <w:style w:type="character" w:customStyle="1" w:styleId="575">
    <w:name w:val="正文文本 + Times New Roman3"/>
    <w:autoRedefine/>
    <w:qFormat/>
    <w:uiPriority w:val="0"/>
    <w:rPr>
      <w:rFonts w:hint="default" w:ascii="Times New Roman" w:hAnsi="Times New Roman" w:eastAsia="MingLiU" w:cs="Times New Roman"/>
      <w:sz w:val="23"/>
      <w:szCs w:val="23"/>
      <w:u w:val="none"/>
    </w:rPr>
  </w:style>
  <w:style w:type="character" w:customStyle="1" w:styleId="576">
    <w:name w:val="正文文本 + Times New Roman2"/>
    <w:autoRedefine/>
    <w:qFormat/>
    <w:uiPriority w:val="0"/>
    <w:rPr>
      <w:rFonts w:hint="default" w:ascii="Times New Roman" w:hAnsi="Times New Roman" w:eastAsia="MingLiU" w:cs="Times New Roman"/>
      <w:b/>
      <w:bCs/>
      <w:sz w:val="16"/>
      <w:szCs w:val="16"/>
      <w:u w:val="none"/>
    </w:rPr>
  </w:style>
  <w:style w:type="character" w:customStyle="1" w:styleId="577">
    <w:name w:val="正文文本 (2) + Times New Roman"/>
    <w:autoRedefine/>
    <w:qFormat/>
    <w:uiPriority w:val="0"/>
    <w:rPr>
      <w:rFonts w:hint="default" w:ascii="Times New Roman" w:hAnsi="Times New Roman" w:eastAsia="MingLiU" w:cs="Times New Roman"/>
      <w:b/>
      <w:bCs/>
      <w:sz w:val="20"/>
      <w:szCs w:val="20"/>
      <w:lang w:bidi="ar-SA"/>
    </w:rPr>
  </w:style>
  <w:style w:type="character" w:customStyle="1" w:styleId="578">
    <w:name w:val="正文文本 + 间距 0 pt"/>
    <w:autoRedefine/>
    <w:qFormat/>
    <w:uiPriority w:val="0"/>
    <w:rPr>
      <w:rFonts w:hint="eastAsia" w:ascii="MingLiU" w:hAnsi="MingLiU" w:eastAsia="MingLiU" w:cs="MingLiU"/>
      <w:spacing w:val="-11"/>
      <w:sz w:val="23"/>
      <w:szCs w:val="23"/>
      <w:u w:val="none"/>
    </w:rPr>
  </w:style>
  <w:style w:type="character" w:customStyle="1" w:styleId="579">
    <w:name w:val="正文文本 + 间距 0 pt10"/>
    <w:autoRedefine/>
    <w:qFormat/>
    <w:uiPriority w:val="0"/>
    <w:rPr>
      <w:rFonts w:hint="eastAsia" w:ascii="MingLiU" w:hAnsi="MingLiU" w:eastAsia="MingLiU" w:cs="MingLiU"/>
      <w:spacing w:val="-15"/>
      <w:sz w:val="23"/>
      <w:szCs w:val="23"/>
      <w:u w:val="none"/>
    </w:rPr>
  </w:style>
  <w:style w:type="character" w:customStyle="1" w:styleId="580">
    <w:name w:val="Char Char172"/>
    <w:autoRedefine/>
    <w:qFormat/>
    <w:uiPriority w:val="0"/>
    <w:rPr>
      <w:rFonts w:hint="default" w:ascii="Times New Roman" w:hAnsi="Times New Roman" w:eastAsia="黑体" w:cs="Times New Roman"/>
      <w:bCs/>
      <w:color w:val="000000"/>
      <w:sz w:val="28"/>
      <w:szCs w:val="28"/>
    </w:rPr>
  </w:style>
  <w:style w:type="character" w:customStyle="1" w:styleId="581">
    <w:name w:val="Char Char162"/>
    <w:autoRedefine/>
    <w:qFormat/>
    <w:uiPriority w:val="0"/>
    <w:rPr>
      <w:rFonts w:hint="default" w:ascii="Times New Roman" w:hAnsi="Times New Roman" w:eastAsia="宋体" w:cs="Times New Roman"/>
      <w:b/>
      <w:bCs/>
      <w:color w:val="000000"/>
      <w:sz w:val="28"/>
      <w:szCs w:val="28"/>
    </w:rPr>
  </w:style>
  <w:style w:type="character" w:customStyle="1" w:styleId="582">
    <w:name w:val="Char Char171"/>
    <w:autoRedefine/>
    <w:qFormat/>
    <w:uiPriority w:val="0"/>
    <w:rPr>
      <w:rFonts w:hint="default" w:ascii="Times New Roman" w:hAnsi="Times New Roman" w:eastAsia="黑体" w:cs="Times New Roman"/>
      <w:bCs/>
      <w:color w:val="000000"/>
      <w:sz w:val="28"/>
      <w:szCs w:val="28"/>
    </w:rPr>
  </w:style>
  <w:style w:type="character" w:customStyle="1" w:styleId="583">
    <w:name w:val="Char Char161"/>
    <w:autoRedefine/>
    <w:qFormat/>
    <w:uiPriority w:val="0"/>
    <w:rPr>
      <w:rFonts w:hint="default" w:ascii="Times New Roman" w:hAnsi="Times New Roman" w:eastAsia="宋体" w:cs="Times New Roman"/>
      <w:b/>
      <w:bCs/>
      <w:color w:val="000000"/>
      <w:sz w:val="28"/>
      <w:szCs w:val="28"/>
    </w:rPr>
  </w:style>
  <w:style w:type="character" w:customStyle="1" w:styleId="584">
    <w:name w:val="样式 黑体 四号"/>
    <w:basedOn w:val="51"/>
    <w:autoRedefine/>
    <w:qFormat/>
    <w:uiPriority w:val="0"/>
    <w:rPr>
      <w:rFonts w:hint="eastAsia" w:ascii="黑体" w:hAnsi="黑体" w:eastAsia="黑体"/>
      <w:sz w:val="28"/>
    </w:rPr>
  </w:style>
  <w:style w:type="character" w:customStyle="1" w:styleId="585">
    <w:name w:val="样式 黑体 小三"/>
    <w:basedOn w:val="51"/>
    <w:autoRedefine/>
    <w:qFormat/>
    <w:uiPriority w:val="0"/>
    <w:rPr>
      <w:rFonts w:hint="default" w:ascii="Times New Roman" w:hAnsi="Times New Roman" w:eastAsia="FangSong_GB2312" w:cs="Times New Roman"/>
    </w:rPr>
  </w:style>
  <w:style w:type="character" w:customStyle="1" w:styleId="586">
    <w:name w:val="Normal Char Char"/>
    <w:autoRedefine/>
    <w:qFormat/>
    <w:uiPriority w:val="0"/>
    <w:rPr>
      <w:rFonts w:hint="eastAsia" w:ascii="宋体" w:hAnsi="Times New Roman" w:eastAsia="宋体"/>
      <w:kern w:val="2"/>
      <w:sz w:val="24"/>
      <w:szCs w:val="22"/>
      <w:lang w:val="en-US" w:eastAsia="zh-CN" w:bidi="ar-SA"/>
    </w:rPr>
  </w:style>
  <w:style w:type="character" w:customStyle="1" w:styleId="587">
    <w:name w:val="Char Char4"/>
    <w:autoRedefine/>
    <w:qFormat/>
    <w:uiPriority w:val="0"/>
    <w:rPr>
      <w:rFonts w:hint="eastAsia" w:ascii="楷体_GB2312" w:eastAsia="楷体_GB2312"/>
      <w:color w:val="000000"/>
      <w:sz w:val="24"/>
      <w:szCs w:val="24"/>
      <w:shd w:val="clear" w:color="auto" w:fill="FFFFFF"/>
      <w:lang w:val="zh-CN" w:eastAsia="zh-CN" w:bidi="ar-SA"/>
    </w:rPr>
  </w:style>
  <w:style w:type="character" w:customStyle="1" w:styleId="588">
    <w:name w:val="表头 Char"/>
    <w:autoRedefine/>
    <w:qFormat/>
    <w:uiPriority w:val="0"/>
    <w:rPr>
      <w:rFonts w:hint="eastAsia" w:ascii="黑体" w:hAnsi="黑体" w:eastAsia="黑体"/>
      <w:shadow/>
      <w:kern w:val="2"/>
      <w:sz w:val="24"/>
      <w:szCs w:val="24"/>
      <w:lang w:val="en-US" w:eastAsia="zh-CN" w:bidi="ar-SA"/>
    </w:rPr>
  </w:style>
  <w:style w:type="character" w:customStyle="1" w:styleId="589">
    <w:name w:val="正文---------------- Char"/>
    <w:autoRedefine/>
    <w:qFormat/>
    <w:uiPriority w:val="0"/>
    <w:rPr>
      <w:rFonts w:hint="default" w:ascii="Times New Roman" w:hAnsi="Times New Roman" w:eastAsia="宋体" w:cs="Times New Roman"/>
      <w:spacing w:val="16"/>
      <w:sz w:val="24"/>
      <w:szCs w:val="20"/>
    </w:rPr>
  </w:style>
  <w:style w:type="character" w:customStyle="1" w:styleId="590">
    <w:name w:val="表格标题 Char Char"/>
    <w:autoRedefine/>
    <w:qFormat/>
    <w:uiPriority w:val="0"/>
    <w:rPr>
      <w:rFonts w:hint="eastAsia" w:ascii="宋体" w:hAnsi="宋体" w:eastAsia="宋体"/>
      <w:szCs w:val="21"/>
    </w:rPr>
  </w:style>
  <w:style w:type="character" w:customStyle="1" w:styleId="591">
    <w:name w:val="style151"/>
    <w:autoRedefine/>
    <w:qFormat/>
    <w:uiPriority w:val="0"/>
    <w:rPr>
      <w:spacing w:val="240"/>
      <w:sz w:val="18"/>
      <w:szCs w:val="18"/>
    </w:rPr>
  </w:style>
  <w:style w:type="character" w:customStyle="1" w:styleId="592">
    <w:name w:val="正 Char1"/>
    <w:autoRedefine/>
    <w:qFormat/>
    <w:uiPriority w:val="0"/>
    <w:rPr>
      <w:rFonts w:hint="eastAsia" w:ascii="宋体" w:hAnsi="宋体" w:eastAsia="宋体" w:cs="宋体"/>
      <w:sz w:val="24"/>
    </w:rPr>
  </w:style>
  <w:style w:type="character" w:customStyle="1" w:styleId="593">
    <w:name w:val="样式 样式 四号 蓝色 + 自动设置"/>
    <w:basedOn w:val="51"/>
    <w:autoRedefine/>
    <w:qFormat/>
    <w:uiPriority w:val="0"/>
    <w:rPr>
      <w:color w:val="auto"/>
      <w:sz w:val="24"/>
    </w:rPr>
  </w:style>
  <w:style w:type="character" w:customStyle="1" w:styleId="594">
    <w:name w:val="apple-converted-space"/>
    <w:basedOn w:val="51"/>
    <w:autoRedefine/>
    <w:qFormat/>
    <w:uiPriority w:val="0"/>
  </w:style>
  <w:style w:type="character" w:customStyle="1" w:styleId="595">
    <w:name w:val="正文111 Char Char"/>
    <w:autoRedefine/>
    <w:qFormat/>
    <w:uiPriority w:val="0"/>
    <w:rPr>
      <w:rFonts w:hint="default" w:ascii="Times New Roman" w:hAnsi="Times New Roman" w:eastAsia="FangSong_GB2312" w:cs="Times New Roman"/>
      <w:spacing w:val="6"/>
      <w:sz w:val="24"/>
      <w:szCs w:val="24"/>
    </w:rPr>
  </w:style>
  <w:style w:type="character" w:customStyle="1" w:styleId="596">
    <w:name w:val="已访问的超链接1"/>
    <w:basedOn w:val="51"/>
    <w:autoRedefine/>
    <w:qFormat/>
    <w:uiPriority w:val="0"/>
    <w:rPr>
      <w:color w:val="800080"/>
      <w:u w:val="single"/>
    </w:rPr>
  </w:style>
  <w:style w:type="character" w:customStyle="1" w:styleId="597">
    <w:name w:val="defaultfont"/>
    <w:basedOn w:val="51"/>
    <w:autoRedefine/>
    <w:qFormat/>
    <w:uiPriority w:val="0"/>
  </w:style>
  <w:style w:type="character" w:customStyle="1" w:styleId="598">
    <w:name w:val="正文文本 2 Char Char Char"/>
    <w:autoRedefine/>
    <w:qFormat/>
    <w:uiPriority w:val="0"/>
    <w:rPr>
      <w:kern w:val="2"/>
      <w:sz w:val="21"/>
      <w:szCs w:val="24"/>
    </w:rPr>
  </w:style>
  <w:style w:type="character" w:customStyle="1" w:styleId="599">
    <w:name w:val="题注 Char1 Char1"/>
    <w:autoRedefine/>
    <w:qFormat/>
    <w:uiPriority w:val="0"/>
    <w:rPr>
      <w:rFonts w:hint="default" w:ascii="Arial" w:hAnsi="Arial" w:eastAsia="黑体" w:cs="Arial"/>
      <w:color w:val="000000"/>
      <w:spacing w:val="4"/>
      <w:kern w:val="2"/>
      <w:sz w:val="21"/>
      <w:szCs w:val="21"/>
      <w:lang w:val="en-US" w:eastAsia="zh-CN" w:bidi="ar-SA"/>
    </w:rPr>
  </w:style>
  <w:style w:type="character" w:customStyle="1" w:styleId="600">
    <w:name w:val="default1"/>
    <w:autoRedefine/>
    <w:qFormat/>
    <w:uiPriority w:val="0"/>
    <w:rPr>
      <w:sz w:val="21"/>
      <w:szCs w:val="21"/>
    </w:rPr>
  </w:style>
  <w:style w:type="character" w:customStyle="1" w:styleId="601">
    <w:name w:val="正文（首行缩进两字） Char Char Char Char Char Char Char Char Char Char Char Char Char Char Char Char Char Char Char Char Char Char Char Char Char Char Char Char Char Char Char Char Char Char Char Char Char Char Char Char Char Char Char Char Char Char"/>
    <w:autoRedefine/>
    <w:qFormat/>
    <w:uiPriority w:val="0"/>
    <w:rPr>
      <w:rFonts w:hint="eastAsia" w:ascii="宋体" w:hAnsi="宋体" w:eastAsia="宋体"/>
      <w:sz w:val="21"/>
      <w:lang w:val="en-US" w:eastAsia="zh-CN" w:bidi="ar-SA"/>
    </w:rPr>
  </w:style>
  <w:style w:type="character" w:customStyle="1" w:styleId="602">
    <w:name w:val="style3"/>
    <w:basedOn w:val="51"/>
    <w:autoRedefine/>
    <w:qFormat/>
    <w:uiPriority w:val="0"/>
  </w:style>
  <w:style w:type="character" w:customStyle="1" w:styleId="603">
    <w:name w:val="textfont11"/>
    <w:autoRedefine/>
    <w:qFormat/>
    <w:uiPriority w:val="0"/>
    <w:rPr>
      <w:color w:val="000000"/>
      <w:sz w:val="21"/>
      <w:szCs w:val="21"/>
      <w:u w:val="none"/>
    </w:rPr>
  </w:style>
  <w:style w:type="character" w:customStyle="1" w:styleId="604">
    <w:name w:val="正文2 Char Char"/>
    <w:autoRedefine/>
    <w:qFormat/>
    <w:uiPriority w:val="0"/>
    <w:rPr>
      <w:sz w:val="21"/>
    </w:rPr>
  </w:style>
  <w:style w:type="character" w:customStyle="1" w:styleId="605">
    <w:name w:val="批注框文本 Char Char Char"/>
    <w:autoRedefine/>
    <w:qFormat/>
    <w:uiPriority w:val="0"/>
    <w:rPr>
      <w:kern w:val="2"/>
      <w:sz w:val="18"/>
      <w:szCs w:val="18"/>
    </w:rPr>
  </w:style>
  <w:style w:type="character" w:customStyle="1" w:styleId="606">
    <w:name w:val="apple-style-span"/>
    <w:basedOn w:val="51"/>
    <w:autoRedefine/>
    <w:qFormat/>
    <w:uiPriority w:val="0"/>
  </w:style>
  <w:style w:type="character" w:customStyle="1" w:styleId="607">
    <w:name w:val="zy"/>
    <w:basedOn w:val="51"/>
    <w:autoRedefine/>
    <w:qFormat/>
    <w:uiPriority w:val="0"/>
  </w:style>
  <w:style w:type="character" w:customStyle="1" w:styleId="608">
    <w:name w:val="unnamed11"/>
    <w:autoRedefine/>
    <w:qFormat/>
    <w:uiPriority w:val="0"/>
    <w:rPr>
      <w:spacing w:val="400"/>
      <w:sz w:val="18"/>
      <w:szCs w:val="18"/>
    </w:rPr>
  </w:style>
  <w:style w:type="character" w:customStyle="1" w:styleId="609">
    <w:name w:val="oblogtext"/>
    <w:basedOn w:val="51"/>
    <w:autoRedefine/>
    <w:qFormat/>
    <w:uiPriority w:val="0"/>
  </w:style>
  <w:style w:type="character" w:customStyle="1" w:styleId="610">
    <w:name w:val="题注 Char1"/>
    <w:autoRedefine/>
    <w:qFormat/>
    <w:uiPriority w:val="0"/>
    <w:rPr>
      <w:rFonts w:hint="default" w:ascii="Arial" w:hAnsi="Arial" w:eastAsia="黑体" w:cs="Arial"/>
    </w:rPr>
  </w:style>
  <w:style w:type="character" w:customStyle="1" w:styleId="611">
    <w:name w:val="txt31"/>
    <w:autoRedefine/>
    <w:qFormat/>
    <w:uiPriority w:val="0"/>
    <w:rPr>
      <w:dstrike/>
      <w:sz w:val="18"/>
    </w:rPr>
  </w:style>
  <w:style w:type="character" w:customStyle="1" w:styleId="612">
    <w:name w:val="中创国发题注 Char"/>
    <w:autoRedefine/>
    <w:qFormat/>
    <w:uiPriority w:val="0"/>
    <w:rPr>
      <w:rFonts w:hint="default" w:ascii="Cambria" w:hAnsi="Cambria" w:eastAsia="黑体" w:cs="Cambria"/>
      <w:lang w:val="en-US" w:eastAsia="zh-CN" w:bidi="ar-SA"/>
    </w:rPr>
  </w:style>
  <w:style w:type="character" w:customStyle="1" w:styleId="613">
    <w:name w:val="样式 标题 2 + Times New Roman Char"/>
    <w:autoRedefine/>
    <w:qFormat/>
    <w:uiPriority w:val="0"/>
    <w:rPr>
      <w:rFonts w:hint="default" w:ascii="Times New Roman" w:hAnsi="Times New Roman" w:eastAsia="黑体" w:cs="Times New Roman"/>
      <w:color w:val="000000"/>
      <w:kern w:val="2"/>
      <w:sz w:val="28"/>
      <w:szCs w:val="30"/>
      <w:lang w:val="en-US" w:eastAsia="zh-CN" w:bidi="ar-SA"/>
    </w:rPr>
  </w:style>
  <w:style w:type="character" w:customStyle="1" w:styleId="614">
    <w:name w:val="zw1"/>
    <w:autoRedefine/>
    <w:qFormat/>
    <w:uiPriority w:val="0"/>
    <w:rPr>
      <w:rFonts w:hint="eastAsia" w:ascii="宋体" w:hAnsi="宋体" w:eastAsia="宋体"/>
      <w:spacing w:val="400"/>
      <w:sz w:val="22"/>
      <w:szCs w:val="22"/>
    </w:rPr>
  </w:style>
  <w:style w:type="character" w:customStyle="1" w:styleId="615">
    <w:name w:val="样式1 Char"/>
    <w:autoRedefine/>
    <w:qFormat/>
    <w:uiPriority w:val="0"/>
    <w:rPr>
      <w:rFonts w:hint="default" w:ascii="Arial" w:hAnsi="Arial" w:eastAsia="宋体" w:cs="Arial"/>
      <w:kern w:val="2"/>
      <w:sz w:val="24"/>
      <w:szCs w:val="24"/>
      <w:lang w:val="en-US" w:eastAsia="zh-CN" w:bidi="ar-SA"/>
    </w:rPr>
  </w:style>
  <w:style w:type="character" w:customStyle="1" w:styleId="616">
    <w:name w:val="ddd"/>
    <w:basedOn w:val="51"/>
    <w:autoRedefine/>
    <w:qFormat/>
    <w:uiPriority w:val="0"/>
  </w:style>
  <w:style w:type="character" w:customStyle="1" w:styleId="617">
    <w:name w:val="样式2 Char"/>
    <w:autoRedefine/>
    <w:qFormat/>
    <w:uiPriority w:val="0"/>
    <w:rPr>
      <w:rFonts w:hint="eastAsia" w:ascii="宋体" w:hAnsi="黑体" w:eastAsia="黑体"/>
      <w:b/>
      <w:bCs/>
      <w:kern w:val="2"/>
      <w:sz w:val="32"/>
      <w:szCs w:val="32"/>
      <w:lang w:val="en-US" w:eastAsia="zh-CN" w:bidi="ar-SA"/>
    </w:rPr>
  </w:style>
  <w:style w:type="character" w:customStyle="1" w:styleId="618">
    <w:name w:val="f10wentitle"/>
    <w:basedOn w:val="51"/>
    <w:autoRedefine/>
    <w:qFormat/>
    <w:uiPriority w:val="0"/>
  </w:style>
  <w:style w:type="character" w:customStyle="1" w:styleId="619">
    <w:name w:val="cucd-0 Char"/>
    <w:autoRedefine/>
    <w:qFormat/>
    <w:uiPriority w:val="0"/>
    <w:rPr>
      <w:kern w:val="2"/>
      <w:sz w:val="24"/>
      <w:szCs w:val="24"/>
      <w:lang w:val="en-US" w:eastAsia="zh-CN" w:bidi="ar-SA"/>
    </w:rPr>
  </w:style>
  <w:style w:type="character" w:customStyle="1" w:styleId="620">
    <w:name w:val="6666661"/>
    <w:autoRedefine/>
    <w:qFormat/>
    <w:uiPriority w:val="0"/>
    <w:rPr>
      <w:color w:val="666666"/>
      <w:sz w:val="18"/>
      <w:szCs w:val="18"/>
      <w:u w:val="none"/>
    </w:rPr>
  </w:style>
  <w:style w:type="character" w:customStyle="1" w:styleId="621">
    <w:name w:val="正文001 Char Char"/>
    <w:autoRedefine/>
    <w:qFormat/>
    <w:uiPriority w:val="0"/>
    <w:rPr>
      <w:rFonts w:hint="default" w:ascii="Arial" w:hAnsi="Arial" w:eastAsia="宋体" w:cs="Arial"/>
      <w:kern w:val="2"/>
      <w:sz w:val="24"/>
      <w:lang w:val="en-US" w:eastAsia="zh-CN" w:bidi="ar-SA"/>
    </w:rPr>
  </w:style>
  <w:style w:type="character" w:customStyle="1" w:styleId="622">
    <w:name w:val="正文样式1 Char Char"/>
    <w:autoRedefine/>
    <w:qFormat/>
    <w:uiPriority w:val="0"/>
    <w:rPr>
      <w:rFonts w:hint="eastAsia" w:ascii="宋体" w:hAnsi="宋体" w:eastAsia="宋体"/>
      <w:sz w:val="24"/>
    </w:rPr>
  </w:style>
  <w:style w:type="character" w:customStyle="1" w:styleId="623">
    <w:name w:val="tpc_content1"/>
    <w:autoRedefine/>
    <w:qFormat/>
    <w:uiPriority w:val="0"/>
    <w:rPr>
      <w:sz w:val="17"/>
      <w:szCs w:val="17"/>
    </w:rPr>
  </w:style>
  <w:style w:type="character" w:customStyle="1" w:styleId="624">
    <w:name w:val="grame"/>
    <w:basedOn w:val="51"/>
    <w:autoRedefine/>
    <w:qFormat/>
    <w:uiPriority w:val="0"/>
  </w:style>
  <w:style w:type="character" w:customStyle="1" w:styleId="625">
    <w:name w:val="cucd-3 Char Char"/>
    <w:autoRedefine/>
    <w:qFormat/>
    <w:uiPriority w:val="0"/>
    <w:rPr>
      <w:b/>
      <w:sz w:val="28"/>
      <w:szCs w:val="24"/>
      <w:lang w:val="en-US" w:eastAsia="zh-CN" w:bidi="ar-SA"/>
    </w:rPr>
  </w:style>
  <w:style w:type="character" w:customStyle="1" w:styleId="626">
    <w:name w:val="正文样式 Char Char"/>
    <w:autoRedefine/>
    <w:qFormat/>
    <w:uiPriority w:val="0"/>
    <w:rPr>
      <w:rFonts w:hint="eastAsia" w:ascii="宋体" w:hAnsi="宋体" w:eastAsia="宋体"/>
      <w:color w:val="000000"/>
      <w:sz w:val="24"/>
      <w:szCs w:val="24"/>
    </w:rPr>
  </w:style>
  <w:style w:type="character" w:customStyle="1" w:styleId="627">
    <w:name w:val="f9wen1"/>
    <w:autoRedefine/>
    <w:qFormat/>
    <w:uiPriority w:val="0"/>
    <w:rPr>
      <w:dstrike/>
      <w:spacing w:val="12"/>
      <w:sz w:val="18"/>
    </w:rPr>
  </w:style>
  <w:style w:type="character" w:customStyle="1" w:styleId="628">
    <w:name w:val="正文文本缩进 3 Char Char Char"/>
    <w:autoRedefine/>
    <w:qFormat/>
    <w:uiPriority w:val="0"/>
    <w:rPr>
      <w:rFonts w:hint="eastAsia" w:ascii="宋体" w:hAnsi="宋体" w:eastAsia="宋体"/>
      <w:kern w:val="2"/>
      <w:sz w:val="24"/>
    </w:rPr>
  </w:style>
  <w:style w:type="character" w:customStyle="1" w:styleId="629">
    <w:name w:val="正文样式10 Char Char"/>
    <w:autoRedefine/>
    <w:qFormat/>
    <w:uiPriority w:val="0"/>
    <w:rPr>
      <w:rFonts w:hint="eastAsia" w:ascii="宋体" w:hAnsi="宋体" w:eastAsia="宋体" w:cs="Arial"/>
      <w:bCs/>
      <w:color w:val="FF00FF"/>
      <w:sz w:val="24"/>
      <w:lang w:val="zh-CN"/>
    </w:rPr>
  </w:style>
  <w:style w:type="character" w:customStyle="1" w:styleId="630">
    <w:name w:val="访问过的超链接1"/>
    <w:autoRedefine/>
    <w:qFormat/>
    <w:uiPriority w:val="0"/>
    <w:rPr>
      <w:color w:val="800080"/>
      <w:u w:val="single"/>
    </w:rPr>
  </w:style>
  <w:style w:type="character" w:customStyle="1" w:styleId="631">
    <w:name w:val="a11"/>
    <w:autoRedefine/>
    <w:qFormat/>
    <w:uiPriority w:val="0"/>
    <w:rPr>
      <w:color w:val="000000"/>
      <w:sz w:val="18"/>
      <w:szCs w:val="18"/>
    </w:rPr>
  </w:style>
  <w:style w:type="character" w:customStyle="1" w:styleId="632">
    <w:name w:val="表头 Char2"/>
    <w:autoRedefine/>
    <w:qFormat/>
    <w:uiPriority w:val="0"/>
    <w:rPr>
      <w:rFonts w:hint="eastAsia" w:ascii="宋体" w:hAnsi="宋体" w:eastAsia="FangSong_GB2312"/>
      <w:b/>
      <w:color w:val="000000"/>
      <w:sz w:val="18"/>
    </w:rPr>
  </w:style>
  <w:style w:type="character" w:customStyle="1" w:styleId="633">
    <w:name w:val="正文1 Char Char"/>
    <w:autoRedefine/>
    <w:qFormat/>
    <w:uiPriority w:val="0"/>
    <w:rPr>
      <w:rFonts w:hint="eastAsia" w:ascii="宋体" w:hAnsi="宋体" w:eastAsia="宋体"/>
      <w:sz w:val="28"/>
    </w:rPr>
  </w:style>
  <w:style w:type="character" w:customStyle="1" w:styleId="634">
    <w:name w:val="正文首行缩进 Char Char Char"/>
    <w:autoRedefine/>
    <w:qFormat/>
    <w:uiPriority w:val="0"/>
    <w:rPr>
      <w:kern w:val="2"/>
      <w:sz w:val="24"/>
    </w:rPr>
  </w:style>
  <w:style w:type="character" w:customStyle="1" w:styleId="635">
    <w:name w:val="正文文本 3 Char Char Char"/>
    <w:autoRedefine/>
    <w:qFormat/>
    <w:uiPriority w:val="0"/>
    <w:rPr>
      <w:kern w:val="2"/>
      <w:sz w:val="16"/>
      <w:szCs w:val="16"/>
    </w:rPr>
  </w:style>
  <w:style w:type="character" w:customStyle="1" w:styleId="636">
    <w:name w:val="日期 Char Char Char"/>
    <w:autoRedefine/>
    <w:qFormat/>
    <w:uiPriority w:val="0"/>
    <w:rPr>
      <w:rFonts w:hint="eastAsia" w:ascii="黑体" w:hAnsi="黑体" w:eastAsia="黑体"/>
      <w:sz w:val="28"/>
      <w:lang w:val="en-GB"/>
    </w:rPr>
  </w:style>
  <w:style w:type="character" w:customStyle="1" w:styleId="637">
    <w:name w:val="批注主题 Char Char Char"/>
    <w:autoRedefine/>
    <w:qFormat/>
    <w:uiPriority w:val="0"/>
    <w:rPr>
      <w:b/>
      <w:bCs/>
      <w:kern w:val="2"/>
      <w:sz w:val="21"/>
      <w:szCs w:val="24"/>
    </w:rPr>
  </w:style>
  <w:style w:type="character" w:customStyle="1" w:styleId="638">
    <w:name w:val="正文文本缩进 2 Char Char Char"/>
    <w:autoRedefine/>
    <w:qFormat/>
    <w:uiPriority w:val="0"/>
    <w:rPr>
      <w:kern w:val="2"/>
      <w:sz w:val="27"/>
    </w:rPr>
  </w:style>
  <w:style w:type="character" w:customStyle="1" w:styleId="639">
    <w:name w:val="正文首行缩进 2 Char Char Char"/>
    <w:autoRedefine/>
    <w:qFormat/>
    <w:uiPriority w:val="0"/>
    <w:rPr>
      <w:kern w:val="2"/>
      <w:sz w:val="28"/>
      <w:szCs w:val="24"/>
    </w:rPr>
  </w:style>
  <w:style w:type="character" w:customStyle="1" w:styleId="640">
    <w:name w:val="图表注 Char"/>
    <w:autoRedefine/>
    <w:qFormat/>
    <w:uiPriority w:val="0"/>
    <w:rPr>
      <w:rFonts w:hint="default" w:ascii="Arial" w:hAnsi="Arial" w:eastAsia="黑体" w:cs="Arial"/>
      <w:kern w:val="2"/>
      <w:lang w:val="en-US" w:eastAsia="zh-CN" w:bidi="ar-SA"/>
    </w:rPr>
  </w:style>
  <w:style w:type="character" w:customStyle="1" w:styleId="641">
    <w:name w:val="表头 Char Char"/>
    <w:autoRedefine/>
    <w:qFormat/>
    <w:uiPriority w:val="0"/>
    <w:rPr>
      <w:rFonts w:hint="eastAsia" w:ascii="宋体" w:hAnsi="宋体" w:eastAsia="宋体"/>
      <w:b/>
      <w:kern w:val="2"/>
      <w:sz w:val="24"/>
      <w:szCs w:val="24"/>
      <w:lang w:val="en-US" w:eastAsia="zh-CN" w:bidi="ar-SA"/>
    </w:rPr>
  </w:style>
  <w:style w:type="character" w:customStyle="1" w:styleId="642">
    <w:name w:val="javascript"/>
    <w:basedOn w:val="51"/>
    <w:autoRedefine/>
    <w:qFormat/>
    <w:uiPriority w:val="0"/>
  </w:style>
  <w:style w:type="character" w:customStyle="1" w:styleId="643">
    <w:name w:val="content"/>
    <w:basedOn w:val="51"/>
    <w:autoRedefine/>
    <w:qFormat/>
    <w:uiPriority w:val="0"/>
  </w:style>
  <w:style w:type="character" w:customStyle="1" w:styleId="644">
    <w:name w:val="文档结构图 Char Char Char"/>
    <w:autoRedefine/>
    <w:qFormat/>
    <w:uiPriority w:val="0"/>
    <w:rPr>
      <w:kern w:val="2"/>
      <w:sz w:val="21"/>
      <w:szCs w:val="24"/>
      <w:shd w:val="clear" w:color="auto" w:fill="000080"/>
    </w:rPr>
  </w:style>
  <w:style w:type="character" w:customStyle="1" w:styleId="645">
    <w:name w:val="text1"/>
    <w:autoRedefine/>
    <w:qFormat/>
    <w:uiPriority w:val="0"/>
    <w:rPr>
      <w:rFonts w:hint="eastAsia" w:ascii="宋体" w:hAnsi="宋体" w:eastAsia="宋体"/>
      <w:color w:val="999999"/>
      <w:sz w:val="18"/>
      <w:szCs w:val="18"/>
      <w:u w:val="none"/>
    </w:rPr>
  </w:style>
  <w:style w:type="character" w:customStyle="1" w:styleId="646">
    <w:name w:val="正文001 Char"/>
    <w:autoRedefine/>
    <w:qFormat/>
    <w:uiPriority w:val="0"/>
    <w:rPr>
      <w:rFonts w:hint="default" w:ascii="Arial" w:hAnsi="Arial" w:eastAsia="宋体" w:cs="Arial"/>
      <w:kern w:val="2"/>
      <w:sz w:val="24"/>
      <w:lang w:val="en-US" w:eastAsia="zh-CN" w:bidi="ar-SA"/>
    </w:rPr>
  </w:style>
  <w:style w:type="character" w:customStyle="1" w:styleId="647">
    <w:name w:val="141"/>
    <w:autoRedefine/>
    <w:qFormat/>
    <w:uiPriority w:val="0"/>
    <w:rPr>
      <w:color w:val="000000"/>
      <w:spacing w:val="330"/>
      <w:sz w:val="21"/>
      <w:szCs w:val="21"/>
    </w:rPr>
  </w:style>
  <w:style w:type="character" w:customStyle="1" w:styleId="648">
    <w:name w:val="red_font1"/>
    <w:autoRedefine/>
    <w:qFormat/>
    <w:uiPriority w:val="0"/>
    <w:rPr>
      <w:color w:val="FF0000"/>
      <w:sz w:val="18"/>
      <w:szCs w:val="18"/>
      <w:u w:val="none"/>
    </w:rPr>
  </w:style>
  <w:style w:type="character" w:customStyle="1" w:styleId="649">
    <w:name w:val="cucd-1 Char Char"/>
    <w:autoRedefine/>
    <w:qFormat/>
    <w:uiPriority w:val="0"/>
    <w:rPr>
      <w:rFonts w:hint="eastAsia" w:ascii="黑体" w:hAnsi="黑体" w:eastAsia="黑体"/>
      <w:b/>
      <w:sz w:val="36"/>
      <w:szCs w:val="24"/>
      <w:lang w:val="en-US" w:eastAsia="zh-CN" w:bidi="ar-SA"/>
    </w:rPr>
  </w:style>
  <w:style w:type="character" w:customStyle="1" w:styleId="650">
    <w:name w:val="题注 Char2"/>
    <w:autoRedefine/>
    <w:qFormat/>
    <w:uiPriority w:val="0"/>
    <w:rPr>
      <w:rFonts w:hint="default" w:ascii="Arial" w:hAnsi="Arial" w:eastAsia="黑体" w:cs="Arial"/>
      <w:kern w:val="2"/>
      <w:lang w:val="en-US" w:eastAsia="zh-CN" w:bidi="ar-SA"/>
    </w:rPr>
  </w:style>
  <w:style w:type="character" w:customStyle="1" w:styleId="651">
    <w:name w:val="mainfont21"/>
    <w:autoRedefine/>
    <w:qFormat/>
    <w:uiPriority w:val="0"/>
    <w:rPr>
      <w:color w:val="666666"/>
      <w:sz w:val="18"/>
      <w:szCs w:val="18"/>
      <w:u w:val="none"/>
    </w:rPr>
  </w:style>
  <w:style w:type="character" w:customStyle="1" w:styleId="652">
    <w:name w:val="标题 Char Char Char"/>
    <w:autoRedefine/>
    <w:qFormat/>
    <w:uiPriority w:val="0"/>
    <w:rPr>
      <w:rFonts w:hint="default" w:ascii="Helvetica" w:hAnsi="Helvetica" w:eastAsia="黑体"/>
      <w:snapToGrid w:val="0"/>
      <w:color w:val="000000"/>
      <w:spacing w:val="4"/>
      <w:kern w:val="2"/>
      <w:sz w:val="32"/>
      <w:szCs w:val="32"/>
    </w:rPr>
  </w:style>
  <w:style w:type="character" w:customStyle="1" w:styleId="653">
    <w:name w:val="正文（首行缩进两字） Char Char Char Char Char Char Char Char Char Char Char Char Char Char Char Char Char Char Char Char Char Char Char Char Char Char Char Char Char Char Char Char Char Char Char Char Char Char Char Char Char Char Char Char Char Char Char"/>
    <w:autoRedefine/>
    <w:qFormat/>
    <w:uiPriority w:val="0"/>
    <w:rPr>
      <w:rFonts w:hint="eastAsia" w:ascii="宋体" w:hAnsi="宋体" w:eastAsia="宋体"/>
      <w:kern w:val="2"/>
      <w:sz w:val="24"/>
      <w:lang w:val="en-US" w:eastAsia="zh-CN" w:bidi="ar-SA"/>
    </w:rPr>
  </w:style>
  <w:style w:type="character" w:customStyle="1" w:styleId="654">
    <w:name w:val="textcontents"/>
    <w:basedOn w:val="51"/>
    <w:autoRedefine/>
    <w:qFormat/>
    <w:uiPriority w:val="0"/>
  </w:style>
  <w:style w:type="character" w:customStyle="1" w:styleId="655">
    <w:name w:val="批注文字 Char Char Char"/>
    <w:autoRedefine/>
    <w:qFormat/>
    <w:uiPriority w:val="0"/>
    <w:rPr>
      <w:kern w:val="2"/>
      <w:sz w:val="21"/>
      <w:szCs w:val="24"/>
    </w:rPr>
  </w:style>
  <w:style w:type="character" w:customStyle="1" w:styleId="656">
    <w:name w:val="cucd-TB Char Char"/>
    <w:autoRedefine/>
    <w:qFormat/>
    <w:uiPriority w:val="0"/>
    <w:rPr>
      <w:szCs w:val="24"/>
      <w:lang w:val="en-US" w:eastAsia="zh-CN" w:bidi="ar-SA"/>
    </w:rPr>
  </w:style>
  <w:style w:type="character" w:customStyle="1" w:styleId="657">
    <w:name w:val="zzsy051"/>
    <w:autoRedefine/>
    <w:qFormat/>
    <w:uiPriority w:val="0"/>
    <w:rPr>
      <w:rFonts w:hint="eastAsia" w:ascii="宋体" w:hAnsi="宋体" w:eastAsia="宋体"/>
      <w:b/>
      <w:bCs/>
      <w:color w:val="FF0000"/>
      <w:sz w:val="24"/>
      <w:szCs w:val="24"/>
    </w:rPr>
  </w:style>
  <w:style w:type="character" w:customStyle="1" w:styleId="658">
    <w:name w:val="正文1 Char"/>
    <w:autoRedefine/>
    <w:qFormat/>
    <w:uiPriority w:val="0"/>
    <w:rPr>
      <w:rFonts w:hint="eastAsia" w:ascii="宋体" w:hAnsi="宋体" w:eastAsia="宋体"/>
      <w:sz w:val="28"/>
    </w:rPr>
  </w:style>
  <w:style w:type="character" w:customStyle="1" w:styleId="659">
    <w:name w:val="样式 日期 + 宋体 Char"/>
    <w:autoRedefine/>
    <w:qFormat/>
    <w:uiPriority w:val="0"/>
    <w:rPr>
      <w:rFonts w:hint="eastAsia" w:ascii="宋体" w:hAnsi="宋体" w:eastAsia="宋体"/>
      <w:kern w:val="2"/>
      <w:sz w:val="28"/>
      <w:lang w:val="en-GB" w:eastAsia="zh-CN" w:bidi="ar-SA"/>
    </w:rPr>
  </w:style>
  <w:style w:type="character" w:customStyle="1" w:styleId="660">
    <w:name w:val="HTML 预设格式 Char Char Char"/>
    <w:autoRedefine/>
    <w:qFormat/>
    <w:uiPriority w:val="0"/>
    <w:rPr>
      <w:rFonts w:hint="default" w:ascii="Arial" w:hAnsi="Arial" w:cs="Arial"/>
      <w:sz w:val="21"/>
      <w:szCs w:val="21"/>
    </w:rPr>
  </w:style>
  <w:style w:type="character" w:customStyle="1" w:styleId="661">
    <w:name w:val="l_text Char Char"/>
    <w:autoRedefine/>
    <w:qFormat/>
    <w:uiPriority w:val="0"/>
    <w:rPr>
      <w:rFonts w:hint="eastAsia" w:ascii="宋体" w:hAnsi="宋体" w:eastAsia="宋体"/>
      <w:sz w:val="28"/>
      <w:szCs w:val="28"/>
    </w:rPr>
  </w:style>
  <w:style w:type="character" w:customStyle="1" w:styleId="662">
    <w:name w:val="unnamed31"/>
    <w:autoRedefine/>
    <w:qFormat/>
    <w:uiPriority w:val="0"/>
    <w:rPr>
      <w:sz w:val="18"/>
    </w:rPr>
  </w:style>
  <w:style w:type="character" w:customStyle="1" w:styleId="663">
    <w:name w:val="样式 日期 + 宋体 Char Char"/>
    <w:autoRedefine/>
    <w:qFormat/>
    <w:uiPriority w:val="0"/>
    <w:rPr>
      <w:rFonts w:hint="eastAsia" w:ascii="宋体" w:hAnsi="宋体" w:eastAsia="宋体"/>
      <w:kern w:val="2"/>
      <w:sz w:val="28"/>
      <w:lang w:eastAsia="zh-CN" w:bidi="ar-SA"/>
    </w:rPr>
  </w:style>
  <w:style w:type="character" w:customStyle="1" w:styleId="664">
    <w:name w:val="正文1 Char1"/>
    <w:autoRedefine/>
    <w:qFormat/>
    <w:uiPriority w:val="0"/>
    <w:rPr>
      <w:rFonts w:hint="eastAsia" w:ascii="宋体" w:hAnsi="宋体" w:eastAsia="宋体"/>
      <w:snapToGrid w:val="0"/>
      <w:sz w:val="24"/>
      <w:szCs w:val="24"/>
      <w:lang w:val="en-US" w:eastAsia="zh-CN" w:bidi="ar-SA"/>
    </w:rPr>
  </w:style>
  <w:style w:type="character" w:customStyle="1" w:styleId="665">
    <w:name w:val="页脚 Char Char Char"/>
    <w:autoRedefine/>
    <w:qFormat/>
    <w:uiPriority w:val="0"/>
    <w:rPr>
      <w:kern w:val="2"/>
      <w:sz w:val="18"/>
      <w:szCs w:val="18"/>
    </w:rPr>
  </w:style>
  <w:style w:type="character" w:customStyle="1" w:styleId="666">
    <w:name w:val="cucd-TB-Head Char Char"/>
    <w:autoRedefine/>
    <w:qFormat/>
    <w:uiPriority w:val="0"/>
    <w:rPr>
      <w:rFonts w:hint="eastAsia" w:ascii="宋体" w:hAnsi="宋体" w:eastAsia="黑体"/>
      <w:sz w:val="24"/>
      <w:szCs w:val="21"/>
    </w:rPr>
  </w:style>
  <w:style w:type="character" w:customStyle="1" w:styleId="667">
    <w:name w:val="样式表 Char Char"/>
    <w:autoRedefine/>
    <w:qFormat/>
    <w:uiPriority w:val="0"/>
    <w:rPr>
      <w:rFonts w:hint="eastAsia" w:ascii="黑体" w:hAnsi="黑体" w:eastAsia="黑体" w:cs="宋体"/>
      <w:color w:val="000000"/>
      <w:spacing w:val="8"/>
    </w:rPr>
  </w:style>
  <w:style w:type="character" w:customStyle="1" w:styleId="668">
    <w:name w:val="px14"/>
    <w:basedOn w:val="51"/>
    <w:autoRedefine/>
    <w:qFormat/>
    <w:uiPriority w:val="0"/>
  </w:style>
  <w:style w:type="character" w:customStyle="1" w:styleId="669">
    <w:name w:val="正文1-1 Char Char"/>
    <w:autoRedefine/>
    <w:qFormat/>
    <w:uiPriority w:val="0"/>
    <w:rPr>
      <w:rFonts w:hint="eastAsia" w:ascii="宋体" w:hAnsi="宋体" w:eastAsia="FangSong_GB2312" w:cs="宋体"/>
      <w:sz w:val="28"/>
      <w:szCs w:val="24"/>
    </w:rPr>
  </w:style>
  <w:style w:type="character" w:customStyle="1" w:styleId="670">
    <w:name w:val="cucd-0 Char Char"/>
    <w:autoRedefine/>
    <w:qFormat/>
    <w:uiPriority w:val="0"/>
    <w:rPr>
      <w:kern w:val="2"/>
      <w:sz w:val="24"/>
      <w:szCs w:val="24"/>
      <w:lang w:val="en-US" w:eastAsia="zh-CN" w:bidi="ar-SA"/>
    </w:rPr>
  </w:style>
  <w:style w:type="character" w:customStyle="1" w:styleId="671">
    <w:name w:val="postbody1"/>
    <w:autoRedefine/>
    <w:qFormat/>
    <w:uiPriority w:val="0"/>
    <w:rPr>
      <w:sz w:val="21"/>
      <w:szCs w:val="21"/>
    </w:rPr>
  </w:style>
  <w:style w:type="character" w:customStyle="1" w:styleId="672">
    <w:name w:val="cucd-TB-Head Char1"/>
    <w:autoRedefine/>
    <w:qFormat/>
    <w:uiPriority w:val="0"/>
    <w:rPr>
      <w:rFonts w:hint="eastAsia" w:ascii="宋体" w:hAnsi="宋体" w:eastAsia="宋体"/>
      <w:b/>
      <w:kern w:val="2"/>
      <w:sz w:val="24"/>
      <w:szCs w:val="24"/>
      <w:lang w:val="en-US" w:eastAsia="zh-CN" w:bidi="ar-SA"/>
    </w:rPr>
  </w:style>
  <w:style w:type="character" w:customStyle="1" w:styleId="673">
    <w:name w:val="defaultfont1"/>
    <w:basedOn w:val="51"/>
    <w:autoRedefine/>
    <w:qFormat/>
    <w:uiPriority w:val="0"/>
  </w:style>
  <w:style w:type="character" w:customStyle="1" w:styleId="674">
    <w:name w:val="cucd-3 Char1"/>
    <w:autoRedefine/>
    <w:qFormat/>
    <w:uiPriority w:val="0"/>
    <w:rPr>
      <w:b/>
      <w:kern w:val="2"/>
      <w:sz w:val="28"/>
      <w:szCs w:val="24"/>
      <w:lang w:val="en-US" w:eastAsia="zh-CN" w:bidi="ar-SA"/>
    </w:rPr>
  </w:style>
  <w:style w:type="character" w:customStyle="1" w:styleId="675">
    <w:name w:val="unnamed3"/>
    <w:basedOn w:val="51"/>
    <w:autoRedefine/>
    <w:qFormat/>
    <w:uiPriority w:val="0"/>
  </w:style>
  <w:style w:type="character" w:customStyle="1" w:styleId="676">
    <w:name w:val="样式 方正宋三简体 四号"/>
    <w:autoRedefine/>
    <w:qFormat/>
    <w:uiPriority w:val="0"/>
    <w:rPr>
      <w:rFonts w:hint="eastAsia" w:ascii="宋体" w:hAnsi="宋体" w:eastAsia="宋体"/>
      <w:sz w:val="27"/>
      <w:szCs w:val="27"/>
    </w:rPr>
  </w:style>
  <w:style w:type="character" w:customStyle="1" w:styleId="677">
    <w:name w:val="jc zi14"/>
    <w:basedOn w:val="51"/>
    <w:autoRedefine/>
    <w:qFormat/>
    <w:uiPriority w:val="0"/>
  </w:style>
  <w:style w:type="character" w:customStyle="1" w:styleId="678">
    <w:name w:val="Default Char Char"/>
    <w:autoRedefine/>
    <w:qFormat/>
    <w:uiPriority w:val="0"/>
    <w:rPr>
      <w:color w:val="000000"/>
      <w:sz w:val="24"/>
      <w:szCs w:val="24"/>
      <w:lang w:val="en-US" w:eastAsia="zh-CN" w:bidi="ar-SA"/>
    </w:rPr>
  </w:style>
  <w:style w:type="character" w:customStyle="1" w:styleId="679">
    <w:name w:val="正文文本缩进 3 Char Char"/>
    <w:basedOn w:val="51"/>
    <w:autoRedefine/>
    <w:qFormat/>
    <w:uiPriority w:val="0"/>
    <w:rPr>
      <w:rFonts w:hint="eastAsia" w:ascii="宋体" w:hAnsi="宋体" w:eastAsia="宋体"/>
      <w:b/>
      <w:bCs/>
      <w:kern w:val="2"/>
      <w:sz w:val="24"/>
      <w:szCs w:val="24"/>
      <w:lang w:val="en-US" w:eastAsia="zh-CN" w:bidi="ar-SA"/>
    </w:rPr>
  </w:style>
  <w:style w:type="character" w:customStyle="1" w:styleId="680">
    <w:name w:val="fontstyle41"/>
    <w:basedOn w:val="51"/>
    <w:autoRedefine/>
    <w:qFormat/>
    <w:uiPriority w:val="0"/>
    <w:rPr>
      <w:rFonts w:hint="eastAsia" w:ascii="SymbolMT" w:hAnsi="SymbolMT" w:eastAsia="SymbolMT"/>
      <w:color w:val="000000"/>
      <w:sz w:val="24"/>
      <w:szCs w:val="24"/>
    </w:rPr>
  </w:style>
  <w:style w:type="character" w:customStyle="1" w:styleId="681">
    <w:name w:val="fontstyle51"/>
    <w:basedOn w:val="51"/>
    <w:autoRedefine/>
    <w:qFormat/>
    <w:uiPriority w:val="0"/>
    <w:rPr>
      <w:rFonts w:hint="default" w:ascii="TimesNewRomanPS-ItalicMT" w:hAnsi="TimesNewRomanPS-ItalicMT"/>
      <w:i/>
      <w:iCs/>
      <w:color w:val="000000"/>
      <w:sz w:val="24"/>
      <w:szCs w:val="24"/>
    </w:rPr>
  </w:style>
  <w:style w:type="character" w:customStyle="1" w:styleId="682">
    <w:name w:val="【表头】 Char Char"/>
    <w:autoRedefine/>
    <w:qFormat/>
    <w:uiPriority w:val="0"/>
    <w:rPr>
      <w:b/>
      <w:sz w:val="24"/>
    </w:rPr>
  </w:style>
  <w:style w:type="character" w:customStyle="1" w:styleId="683">
    <w:name w:val="普通(网站) Char"/>
    <w:autoRedefine/>
    <w:qFormat/>
    <w:uiPriority w:val="0"/>
    <w:rPr>
      <w:rFonts w:hint="default" w:ascii="Calibri" w:hAnsi="Calibri"/>
      <w:color w:val="000000"/>
      <w:sz w:val="24"/>
      <w:szCs w:val="24"/>
    </w:rPr>
  </w:style>
  <w:style w:type="character" w:customStyle="1" w:styleId="684">
    <w:name w:val="默认段落字体1"/>
    <w:autoRedefine/>
    <w:semiHidden/>
    <w:qFormat/>
    <w:uiPriority w:val="0"/>
    <w:rPr>
      <w:rFonts w:hint="default" w:ascii="Times New Roman" w:hAnsi="Times New Roman" w:cs="Times New Roman"/>
      <w:sz w:val="21"/>
    </w:rPr>
  </w:style>
  <w:style w:type="character" w:customStyle="1" w:styleId="685">
    <w:name w:val="正文首行缩进 Char2"/>
    <w:basedOn w:val="51"/>
    <w:autoRedefine/>
    <w:semiHidden/>
    <w:qFormat/>
    <w:uiPriority w:val="99"/>
    <w:rPr>
      <w:rFonts w:hint="default" w:ascii="Times New Roman" w:hAnsi="Times New Roman" w:eastAsia="宋体" w:cs="Times New Roman"/>
      <w:kern w:val="0"/>
      <w:sz w:val="24"/>
      <w:szCs w:val="24"/>
    </w:rPr>
  </w:style>
  <w:style w:type="table" w:customStyle="1" w:styleId="686">
    <w:name w:val="网格型（pxg）2"/>
    <w:basedOn w:val="46"/>
    <w:autoRedefine/>
    <w:qFormat/>
    <w:uiPriority w:val="0"/>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87">
    <w:name w:val="网格型4"/>
    <w:basedOn w:val="46"/>
    <w:autoRedefine/>
    <w:qFormat/>
    <w:uiPriority w:val="0"/>
    <w:pPr>
      <w:widowControl w:val="0"/>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688">
    <w:name w:val="网格型1"/>
    <w:basedOn w:val="46"/>
    <w:autoRedefine/>
    <w:qFormat/>
    <w:uiPriority w:val="0"/>
    <w:pPr>
      <w:spacing w:line="240" w:lineRule="auto"/>
      <w:jc w:val="left"/>
    </w:pPr>
    <w:rPr>
      <w:rFonts w:ascii="Times New Roman" w:hAnsi="Times New Roman" w:eastAsia="Times New Roman"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689">
    <w:name w:val="网格型刘1"/>
    <w:basedOn w:val="46"/>
    <w:autoRedefine/>
    <w:qFormat/>
    <w:uiPriority w:val="99"/>
    <w:rPr>
      <w:rFonts w:ascii="Times New Roman" w:hAnsi="Times New Roman" w:eastAsia="Times New Roman"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690">
    <w:name w:val="网格型001"/>
    <w:basedOn w:val="46"/>
    <w:autoRedefine/>
    <w:qFormat/>
    <w:uiPriority w:val="0"/>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91">
    <w:name w:val="网格型002"/>
    <w:basedOn w:val="46"/>
    <w:autoRedefine/>
    <w:qFormat/>
    <w:uiPriority w:val="0"/>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92">
    <w:name w:val="网格型003"/>
    <w:basedOn w:val="46"/>
    <w:autoRedefine/>
    <w:qFormat/>
    <w:uiPriority w:val="0"/>
    <w:pPr>
      <w:spacing w:line="240" w:lineRule="auto"/>
      <w:jc w:val="left"/>
    </w:pPr>
    <w:rPr>
      <w:rFonts w:ascii="Calibri" w:hAnsi="Calibri" w:eastAsia="宋体" w:cs="Times New Roman"/>
      <w:color w:val="000000"/>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93">
    <w:name w:val="网格型0031"/>
    <w:basedOn w:val="46"/>
    <w:autoRedefine/>
    <w:qFormat/>
    <w:uiPriority w:val="0"/>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94">
    <w:name w:val="网格型004"/>
    <w:basedOn w:val="46"/>
    <w:autoRedefine/>
    <w:qFormat/>
    <w:uiPriority w:val="0"/>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95">
    <w:name w:val="网格型005"/>
    <w:basedOn w:val="46"/>
    <w:autoRedefine/>
    <w:qFormat/>
    <w:uiPriority w:val="0"/>
    <w:pPr>
      <w:spacing w:line="240" w:lineRule="auto"/>
      <w:jc w:val="left"/>
    </w:pPr>
    <w:rPr>
      <w:rFonts w:ascii="Calibri" w:hAnsi="Calibri" w:eastAsia="宋体" w:cs="Times New Roman"/>
      <w:color w:val="000000"/>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96">
    <w:name w:val="网格型0032"/>
    <w:basedOn w:val="46"/>
    <w:autoRedefine/>
    <w:qFormat/>
    <w:uiPriority w:val="0"/>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97">
    <w:name w:val="网格型006"/>
    <w:basedOn w:val="46"/>
    <w:autoRedefine/>
    <w:qFormat/>
    <w:uiPriority w:val="0"/>
    <w:pPr>
      <w:spacing w:line="240" w:lineRule="auto"/>
      <w:jc w:val="left"/>
    </w:pPr>
    <w:rPr>
      <w:rFonts w:ascii="Calibri" w:hAnsi="Calibri" w:eastAsia="宋体" w:cs="Times New Roman"/>
      <w:color w:val="000000"/>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98">
    <w:name w:val="网格型0033"/>
    <w:basedOn w:val="46"/>
    <w:autoRedefine/>
    <w:qFormat/>
    <w:uiPriority w:val="0"/>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99">
    <w:name w:val="网格型0034"/>
    <w:basedOn w:val="46"/>
    <w:autoRedefine/>
    <w:qFormat/>
    <w:uiPriority w:val="0"/>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00">
    <w:name w:val="网格型007"/>
    <w:basedOn w:val="46"/>
    <w:autoRedefine/>
    <w:qFormat/>
    <w:uiPriority w:val="0"/>
    <w:pPr>
      <w:spacing w:line="240" w:lineRule="auto"/>
      <w:jc w:val="left"/>
    </w:pPr>
    <w:rPr>
      <w:rFonts w:ascii="Calibri" w:hAnsi="Calibri" w:eastAsia="宋体" w:cs="Times New Roman"/>
      <w:color w:val="000000"/>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01">
    <w:name w:val="网格型0035"/>
    <w:basedOn w:val="46"/>
    <w:autoRedefine/>
    <w:qFormat/>
    <w:uiPriority w:val="0"/>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02">
    <w:name w:val="网格型008"/>
    <w:basedOn w:val="46"/>
    <w:autoRedefine/>
    <w:qFormat/>
    <w:uiPriority w:val="59"/>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03">
    <w:name w:val="网格型11"/>
    <w:basedOn w:val="46"/>
    <w:autoRedefine/>
    <w:qFormat/>
    <w:uiPriority w:val="59"/>
    <w:pPr>
      <w:spacing w:line="240" w:lineRule="auto"/>
      <w:jc w:val="left"/>
    </w:pPr>
    <w:rPr>
      <w:rFonts w:ascii="Times New Roman" w:hAnsi="Times New Roman"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04">
    <w:name w:val="网格型2"/>
    <w:basedOn w:val="46"/>
    <w:autoRedefine/>
    <w:qFormat/>
    <w:uiPriority w:val="0"/>
    <w:pPr>
      <w:spacing w:line="240" w:lineRule="auto"/>
      <w:jc w:val="left"/>
    </w:pPr>
    <w:rPr>
      <w:rFonts w:ascii="Times New Roman" w:hAnsi="Times New Roman"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05">
    <w:name w:val="网格型3"/>
    <w:basedOn w:val="46"/>
    <w:autoRedefine/>
    <w:qFormat/>
    <w:uiPriority w:val="0"/>
    <w:pPr>
      <w:spacing w:line="240" w:lineRule="auto"/>
      <w:jc w:val="left"/>
    </w:pPr>
    <w:rPr>
      <w:rFonts w:ascii="Times New Roman" w:hAnsi="Times New Roman"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06">
    <w:name w:val="网格型（pxg）1"/>
    <w:basedOn w:val="46"/>
    <w:autoRedefine/>
    <w:qFormat/>
    <w:uiPriority w:val="0"/>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07">
    <w:name w:val="网格型（pxg）3"/>
    <w:basedOn w:val="46"/>
    <w:autoRedefine/>
    <w:qFormat/>
    <w:uiPriority w:val="0"/>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08">
    <w:name w:val="cucd-table"/>
    <w:basedOn w:val="46"/>
    <w:autoRedefine/>
    <w:qFormat/>
    <w:uiPriority w:val="0"/>
    <w:pPr>
      <w:spacing w:line="240" w:lineRule="auto"/>
      <w:jc w:val="center"/>
    </w:pPr>
    <w:rPr>
      <w:rFonts w:ascii="Times New Roman" w:hAnsi="Times New Roman" w:eastAsia="宋体" w:cs="Times New Roman"/>
      <w:kern w:val="0"/>
      <w:sz w:val="20"/>
      <w:szCs w:val="20"/>
    </w:rPr>
    <w:tblPr>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CellMar>
        <w:top w:w="0" w:type="dxa"/>
        <w:left w:w="108" w:type="dxa"/>
        <w:bottom w:w="0" w:type="dxa"/>
        <w:right w:w="108" w:type="dxa"/>
      </w:tblCellMar>
    </w:tblPr>
    <w:tcPr>
      <w:vAlign w:val="center"/>
    </w:tcPr>
    <w:tblStylePr w:type="firstRow">
      <w:rPr>
        <w:b/>
        <w:i w:val="0"/>
      </w:rPr>
      <w:tcPr>
        <w:tcBorders>
          <w:top w:val="thinThickSmallGap" w:color="auto" w:sz="12" w:space="0"/>
          <w:left w:val="thinThickSmallGap" w:color="auto" w:sz="12" w:space="0"/>
          <w:bottom w:val="single" w:color="auto" w:sz="4" w:space="0"/>
          <w:right w:val="thickThinSmallGap" w:color="auto" w:sz="12" w:space="0"/>
          <w:insideH w:val="single" w:sz="6" w:space="0"/>
          <w:insideV w:val="single" w:sz="6" w:space="0"/>
          <w:tl2br w:val="nil"/>
          <w:tr2bl w:val="nil"/>
        </w:tcBorders>
        <w:shd w:val="clear" w:color="auto" w:fill="D9D9D9"/>
      </w:tcPr>
    </w:tblStylePr>
  </w:style>
  <w:style w:type="table" w:customStyle="1" w:styleId="709">
    <w:name w:val="报告书格式"/>
    <w:basedOn w:val="46"/>
    <w:autoRedefine/>
    <w:qFormat/>
    <w:uiPriority w:val="0"/>
    <w:pPr>
      <w:adjustRightInd w:val="0"/>
      <w:snapToGrid w:val="0"/>
      <w:spacing w:line="240" w:lineRule="auto"/>
      <w:jc w:val="center"/>
    </w:pPr>
    <w:rPr>
      <w:rFonts w:ascii="Times New Roman" w:hAnsi="Times New Roman" w:eastAsia="宋体" w:cs="Times New Roman"/>
      <w:kern w:val="0"/>
      <w:sz w:val="18"/>
      <w:szCs w:val="18"/>
    </w:rPr>
    <w:tblPr>
      <w:tblBorders>
        <w:top w:val="single" w:color="auto" w:sz="4" w:space="0"/>
        <w:bottom w:val="single" w:color="auto" w:sz="4"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710">
    <w:name w:val="网格型刘11"/>
    <w:basedOn w:val="46"/>
    <w:autoRedefine/>
    <w:qFormat/>
    <w:uiPriority w:val="99"/>
    <w:pPr>
      <w:spacing w:line="240" w:lineRule="auto"/>
    </w:pPr>
    <w:rPr>
      <w:rFonts w:ascii="Times New Roman" w:hAnsi="Times New Roman" w:eastAsia="Times New Roman"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711">
    <w:name w:val="普通(网站) Char1"/>
    <w:autoRedefine/>
    <w:qFormat/>
    <w:uiPriority w:val="0"/>
    <w:rPr>
      <w:rFonts w:ascii="Calibri" w:hAnsi="Calibri"/>
      <w:color w:val="000000"/>
      <w:sz w:val="24"/>
      <w:szCs w:val="24"/>
    </w:rPr>
  </w:style>
  <w:style w:type="character" w:customStyle="1" w:styleId="712">
    <w:name w:val="尾注文本 Char"/>
    <w:basedOn w:val="51"/>
    <w:link w:val="30"/>
    <w:autoRedefine/>
    <w:semiHidden/>
    <w:qFormat/>
    <w:uiPriority w:val="99"/>
    <w:rPr>
      <w:rFonts w:ascii="Times New Roman" w:hAnsi="Times New Roman" w:eastAsia="宋体" w:cs="Times New Roman"/>
      <w:szCs w:val="24"/>
    </w:rPr>
  </w:style>
  <w:style w:type="table" w:customStyle="1" w:styleId="713">
    <w:name w:val="[表格样式]"/>
    <w:basedOn w:val="46"/>
    <w:autoRedefine/>
    <w:qFormat/>
    <w:uiPriority w:val="99"/>
    <w:pPr>
      <w:adjustRightInd w:val="0"/>
      <w:snapToGrid w:val="0"/>
      <w:spacing w:line="240" w:lineRule="auto"/>
      <w:jc w:val="center"/>
    </w:pPr>
    <w:rPr>
      <w:rFonts w:ascii="Times New Roman" w:hAnsi="Times New Roman" w:eastAsia="宋体"/>
      <w:snapToGrid w:val="0"/>
      <w:kern w:val="0"/>
      <w:sz w:val="20"/>
      <w:szCs w:val="2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character" w:customStyle="1" w:styleId="714">
    <w:name w:val="正文00 Char"/>
    <w:autoRedefine/>
    <w:qFormat/>
    <w:uiPriority w:val="0"/>
    <w:rPr>
      <w:rFonts w:ascii="Times New Roman" w:hAnsi="Times New Roman" w:eastAsia="宋体" w:cs="Times New Roman"/>
      <w:sz w:val="24"/>
      <w:szCs w:val="24"/>
    </w:rPr>
  </w:style>
  <w:style w:type="character" w:customStyle="1" w:styleId="715">
    <w:name w:val="正文文本最新 Char Char Char Char Char Char Char"/>
    <w:autoRedefine/>
    <w:qFormat/>
    <w:uiPriority w:val="0"/>
    <w:rPr>
      <w:rFonts w:eastAsia="宋体"/>
      <w:kern w:val="2"/>
      <w:sz w:val="28"/>
      <w:lang w:val="en-US" w:eastAsia="zh-CN"/>
    </w:rPr>
  </w:style>
  <w:style w:type="paragraph" w:styleId="716">
    <w:name w:val="List Paragraph"/>
    <w:basedOn w:val="1"/>
    <w:autoRedefine/>
    <w:qFormat/>
    <w:uiPriority w:val="34"/>
    <w:pPr>
      <w:ind w:firstLine="420" w:firstLineChars="200"/>
    </w:pPr>
  </w:style>
  <w:style w:type="character" w:customStyle="1" w:styleId="717">
    <w:name w:val="缩进2 Char"/>
    <w:link w:val="718"/>
    <w:autoRedefine/>
    <w:qFormat/>
    <w:uiPriority w:val="0"/>
    <w:rPr>
      <w:rFonts w:ascii="宋体" w:hAnsi="宋体"/>
      <w:sz w:val="24"/>
      <w:szCs w:val="21"/>
    </w:rPr>
  </w:style>
  <w:style w:type="paragraph" w:customStyle="1" w:styleId="718">
    <w:name w:val="缩进2"/>
    <w:basedOn w:val="1"/>
    <w:link w:val="717"/>
    <w:autoRedefine/>
    <w:qFormat/>
    <w:uiPriority w:val="0"/>
    <w:pPr>
      <w:spacing w:line="360" w:lineRule="auto"/>
      <w:ind w:firstLine="200" w:firstLineChars="200"/>
    </w:pPr>
    <w:rPr>
      <w:rFonts w:ascii="宋体" w:hAnsi="宋体" w:eastAsiaTheme="minorEastAsia" w:cstheme="minorBidi"/>
      <w:sz w:val="24"/>
      <w:szCs w:val="21"/>
    </w:rPr>
  </w:style>
  <w:style w:type="character" w:customStyle="1" w:styleId="719">
    <w:name w:val="表文 Char"/>
    <w:link w:val="305"/>
    <w:autoRedefine/>
    <w:qFormat/>
    <w:uiPriority w:val="0"/>
    <w:rPr>
      <w:rFonts w:ascii="Times New Roman" w:hAnsi="Times New Roman" w:eastAsia="宋体" w:cs="Times New Roman"/>
      <w:sz w:val="24"/>
      <w:szCs w:val="24"/>
    </w:rPr>
  </w:style>
  <w:style w:type="character" w:customStyle="1" w:styleId="720">
    <w:name w:val="表头 字符"/>
    <w:autoRedefine/>
    <w:qFormat/>
    <w:uiPriority w:val="0"/>
    <w:rPr>
      <w:rFonts w:ascii="Times New Roman" w:hAnsi="Times New Roman" w:eastAsia="黑体"/>
      <w:sz w:val="24"/>
    </w:rPr>
  </w:style>
  <w:style w:type="character" w:customStyle="1" w:styleId="721">
    <w:name w:val="标题 4 字符"/>
    <w:autoRedefine/>
    <w:qFormat/>
    <w:uiPriority w:val="0"/>
    <w:rPr>
      <w:rFonts w:ascii="Times New Roman" w:hAnsi="Times New Roman"/>
      <w:kern w:val="2"/>
      <w:sz w:val="24"/>
    </w:rPr>
  </w:style>
  <w:style w:type="character" w:customStyle="1" w:styleId="722">
    <w:name w:val="页眉 字符"/>
    <w:autoRedefine/>
    <w:qFormat/>
    <w:uiPriority w:val="99"/>
    <w:rPr>
      <w:rFonts w:ascii="Times New Roman" w:hAnsi="Times New Roman" w:eastAsia="宋体"/>
      <w:sz w:val="18"/>
      <w:szCs w:val="18"/>
    </w:rPr>
  </w:style>
  <w:style w:type="character" w:customStyle="1" w:styleId="723">
    <w:name w:val="页脚 字符"/>
    <w:autoRedefine/>
    <w:qFormat/>
    <w:uiPriority w:val="99"/>
    <w:rPr>
      <w:rFonts w:ascii="Times New Roman" w:hAnsi="Times New Roman" w:eastAsia="宋体"/>
      <w:sz w:val="18"/>
      <w:szCs w:val="18"/>
    </w:rPr>
  </w:style>
  <w:style w:type="character" w:customStyle="1" w:styleId="724">
    <w:name w:val="纯文本 字符"/>
    <w:autoRedefine/>
    <w:qFormat/>
    <w:uiPriority w:val="0"/>
    <w:rPr>
      <w:rFonts w:ascii="宋体" w:hAnsi="Courier New"/>
    </w:rPr>
  </w:style>
  <w:style w:type="paragraph" w:customStyle="1" w:styleId="725">
    <w:name w:val="Table Paragraph"/>
    <w:basedOn w:val="1"/>
    <w:autoRedefine/>
    <w:qFormat/>
    <w:uiPriority w:val="0"/>
    <w:pPr>
      <w:autoSpaceDE w:val="0"/>
      <w:autoSpaceDN w:val="0"/>
      <w:jc w:val="center"/>
    </w:pPr>
    <w:rPr>
      <w:rFonts w:hint="eastAsia" w:ascii="仿宋" w:hAnsi="仿宋" w:eastAsia="仿宋"/>
      <w:kern w:val="0"/>
      <w:sz w:val="22"/>
      <w:szCs w:val="22"/>
    </w:rPr>
  </w:style>
  <w:style w:type="paragraph" w:customStyle="1" w:styleId="726">
    <w:name w:val="表格题目"/>
    <w:basedOn w:val="1"/>
    <w:autoRedefine/>
    <w:qFormat/>
    <w:uiPriority w:val="0"/>
    <w:pPr>
      <w:spacing w:line="240" w:lineRule="atLeast"/>
      <w:jc w:val="center"/>
    </w:pPr>
    <w:rPr>
      <w:rFonts w:ascii="黑体" w:hAnsi="宋体" w:eastAsia="黑体"/>
      <w:sz w:val="24"/>
    </w:rPr>
  </w:style>
  <w:style w:type="paragraph" w:customStyle="1" w:styleId="727">
    <w:name w:val="表内文字"/>
    <w:basedOn w:val="1"/>
    <w:autoRedefine/>
    <w:qFormat/>
    <w:uiPriority w:val="0"/>
    <w:pPr>
      <w:widowControl/>
      <w:spacing w:after="200" w:line="276" w:lineRule="auto"/>
      <w:jc w:val="center"/>
    </w:pPr>
    <w:rPr>
      <w:color w:val="000000"/>
      <w:kern w:val="0"/>
      <w:sz w:val="22"/>
      <w:szCs w:val="18"/>
    </w:rPr>
  </w:style>
  <w:style w:type="table" w:customStyle="1" w:styleId="728">
    <w:name w:val="Table Normal"/>
    <w:autoRedefine/>
    <w:unhideWhenUsed/>
    <w:qFormat/>
    <w:uiPriority w:val="0"/>
    <w:pPr>
      <w:spacing w:line="240" w:lineRule="auto"/>
      <w:jc w:val="left"/>
    </w:pPr>
    <w:rPr>
      <w:rFonts w:ascii="Times New Roman" w:hAnsi="Times New Roman" w:eastAsia="宋体" w:cs="Times New Roman"/>
      <w:kern w:val="0"/>
      <w:sz w:val="20"/>
      <w:szCs w:val="20"/>
    </w:rPr>
    <w:tblPr>
      <w:tblCellMar>
        <w:top w:w="0" w:type="dxa"/>
        <w:left w:w="0" w:type="dxa"/>
        <w:bottom w:w="0" w:type="dxa"/>
        <w:right w:w="0" w:type="dxa"/>
      </w:tblCellMar>
    </w:tblPr>
  </w:style>
  <w:style w:type="paragraph" w:customStyle="1" w:styleId="729">
    <w:name w:val="表格内"/>
    <w:basedOn w:val="1"/>
    <w:autoRedefine/>
    <w:qFormat/>
    <w:uiPriority w:val="99"/>
    <w:pPr>
      <w:spacing w:line="360" w:lineRule="exact"/>
      <w:jc w:val="center"/>
    </w:pPr>
    <w:rPr>
      <w:rFonts w:eastAsia="Times New Roman"/>
      <w:szCs w:val="21"/>
    </w:rPr>
  </w:style>
  <w:style w:type="table" w:customStyle="1" w:styleId="730">
    <w:name w:val="网格型5"/>
    <w:basedOn w:val="46"/>
    <w:autoRedefine/>
    <w:qFormat/>
    <w:uiPriority w:val="0"/>
    <w:pPr>
      <w:spacing w:line="240" w:lineRule="auto"/>
      <w:jc w:val="left"/>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731">
    <w:name w:val="font41"/>
    <w:basedOn w:val="51"/>
    <w:autoRedefine/>
    <w:qFormat/>
    <w:uiPriority w:val="0"/>
    <w:rPr>
      <w:rFonts w:hint="eastAsia" w:ascii="宋体" w:hAnsi="宋体" w:eastAsia="宋体" w:cs="宋体"/>
      <w:color w:val="000000"/>
      <w:sz w:val="21"/>
      <w:szCs w:val="21"/>
      <w:u w:val="none"/>
    </w:rPr>
  </w:style>
  <w:style w:type="paragraph" w:customStyle="1" w:styleId="732">
    <w:name w:val="正"/>
    <w:basedOn w:val="1"/>
    <w:autoRedefine/>
    <w:qFormat/>
    <w:uiPriority w:val="0"/>
    <w:pPr>
      <w:spacing w:line="360" w:lineRule="auto"/>
      <w:ind w:firstLine="200" w:firstLineChars="200"/>
    </w:pPr>
    <w:rPr>
      <w:kern w:val="2"/>
      <w:sz w:val="24"/>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54.png"/><Relationship Id="rId98" Type="http://schemas.openxmlformats.org/officeDocument/2006/relationships/image" Target="media/image53.png"/><Relationship Id="rId97" Type="http://schemas.openxmlformats.org/officeDocument/2006/relationships/oleObject" Target="embeddings/oleObject17.bin"/><Relationship Id="rId96" Type="http://schemas.openxmlformats.org/officeDocument/2006/relationships/image" Target="media/image52.emf"/><Relationship Id="rId95" Type="http://schemas.openxmlformats.org/officeDocument/2006/relationships/oleObject" Target="embeddings/oleObject16.bin"/><Relationship Id="rId94" Type="http://schemas.openxmlformats.org/officeDocument/2006/relationships/image" Target="media/image51.png"/><Relationship Id="rId93" Type="http://schemas.openxmlformats.org/officeDocument/2006/relationships/image" Target="media/image50.emf"/><Relationship Id="rId92" Type="http://schemas.openxmlformats.org/officeDocument/2006/relationships/oleObject" Target="embeddings/oleObject15.bin"/><Relationship Id="rId91" Type="http://schemas.openxmlformats.org/officeDocument/2006/relationships/image" Target="media/image49.png"/><Relationship Id="rId90" Type="http://schemas.openxmlformats.org/officeDocument/2006/relationships/image" Target="media/image48.emf"/><Relationship Id="rId9" Type="http://schemas.openxmlformats.org/officeDocument/2006/relationships/footer" Target="footer3.xml"/><Relationship Id="rId89" Type="http://schemas.openxmlformats.org/officeDocument/2006/relationships/oleObject" Target="embeddings/oleObject14.bin"/><Relationship Id="rId88" Type="http://schemas.openxmlformats.org/officeDocument/2006/relationships/image" Target="media/image47.png"/><Relationship Id="rId87" Type="http://schemas.openxmlformats.org/officeDocument/2006/relationships/image" Target="media/image46.emf"/><Relationship Id="rId86" Type="http://schemas.openxmlformats.org/officeDocument/2006/relationships/image" Target="media/image45.emf"/><Relationship Id="rId85" Type="http://schemas.openxmlformats.org/officeDocument/2006/relationships/image" Target="media/image44.emf"/><Relationship Id="rId84" Type="http://schemas.openxmlformats.org/officeDocument/2006/relationships/image" Target="media/image43.png"/><Relationship Id="rId83" Type="http://schemas.openxmlformats.org/officeDocument/2006/relationships/image" Target="media/image42.png"/><Relationship Id="rId82" Type="http://schemas.openxmlformats.org/officeDocument/2006/relationships/image" Target="media/image41.emf"/><Relationship Id="rId81" Type="http://schemas.openxmlformats.org/officeDocument/2006/relationships/image" Target="media/image40.emf"/><Relationship Id="rId80" Type="http://schemas.openxmlformats.org/officeDocument/2006/relationships/image" Target="media/image39.wmf"/><Relationship Id="rId8" Type="http://schemas.openxmlformats.org/officeDocument/2006/relationships/footer" Target="footer2.xml"/><Relationship Id="rId79" Type="http://schemas.openxmlformats.org/officeDocument/2006/relationships/image" Target="media/image38.emf"/><Relationship Id="rId78" Type="http://schemas.openxmlformats.org/officeDocument/2006/relationships/oleObject" Target="embeddings/oleObject13.bin"/><Relationship Id="rId77" Type="http://schemas.openxmlformats.org/officeDocument/2006/relationships/image" Target="media/image37.png"/><Relationship Id="rId76" Type="http://schemas.openxmlformats.org/officeDocument/2006/relationships/image" Target="media/image36.png"/><Relationship Id="rId75" Type="http://schemas.openxmlformats.org/officeDocument/2006/relationships/image" Target="media/image35.wmf"/><Relationship Id="rId74" Type="http://schemas.openxmlformats.org/officeDocument/2006/relationships/oleObject" Target="embeddings/oleObject12.bin"/><Relationship Id="rId73" Type="http://schemas.openxmlformats.org/officeDocument/2006/relationships/image" Target="media/image34.wmf"/><Relationship Id="rId72" Type="http://schemas.openxmlformats.org/officeDocument/2006/relationships/oleObject" Target="embeddings/oleObject11.bin"/><Relationship Id="rId71" Type="http://schemas.openxmlformats.org/officeDocument/2006/relationships/chart" Target="charts/chart12.xml"/><Relationship Id="rId70" Type="http://schemas.openxmlformats.org/officeDocument/2006/relationships/chart" Target="charts/chart11.xml"/><Relationship Id="rId7" Type="http://schemas.openxmlformats.org/officeDocument/2006/relationships/header" Target="header2.xml"/><Relationship Id="rId69" Type="http://schemas.openxmlformats.org/officeDocument/2006/relationships/chart" Target="charts/chart10.xml"/><Relationship Id="rId68" Type="http://schemas.openxmlformats.org/officeDocument/2006/relationships/chart" Target="charts/chart9.xml"/><Relationship Id="rId67" Type="http://schemas.openxmlformats.org/officeDocument/2006/relationships/chart" Target="charts/chart8.xml"/><Relationship Id="rId66" Type="http://schemas.openxmlformats.org/officeDocument/2006/relationships/chart" Target="charts/chart7.xml"/><Relationship Id="rId65" Type="http://schemas.openxmlformats.org/officeDocument/2006/relationships/chart" Target="charts/chart6.xml"/><Relationship Id="rId64" Type="http://schemas.openxmlformats.org/officeDocument/2006/relationships/chart" Target="charts/chart5.xml"/><Relationship Id="rId63" Type="http://schemas.openxmlformats.org/officeDocument/2006/relationships/chart" Target="charts/chart4.xml"/><Relationship Id="rId62" Type="http://schemas.openxmlformats.org/officeDocument/2006/relationships/chart" Target="charts/chart3.xml"/><Relationship Id="rId61" Type="http://schemas.openxmlformats.org/officeDocument/2006/relationships/chart" Target="charts/chart2.xml"/><Relationship Id="rId60" Type="http://schemas.openxmlformats.org/officeDocument/2006/relationships/chart" Target="charts/chart1.xml"/><Relationship Id="rId6" Type="http://schemas.openxmlformats.org/officeDocument/2006/relationships/footer" Target="footer1.xml"/><Relationship Id="rId59" Type="http://schemas.openxmlformats.org/officeDocument/2006/relationships/image" Target="media/image33.jpeg"/><Relationship Id="rId58" Type="http://schemas.openxmlformats.org/officeDocument/2006/relationships/image" Target="media/image32.png"/><Relationship Id="rId57" Type="http://schemas.openxmlformats.org/officeDocument/2006/relationships/image" Target="media/image31.png"/><Relationship Id="rId56" Type="http://schemas.openxmlformats.org/officeDocument/2006/relationships/image" Target="media/image30.wmf"/><Relationship Id="rId55" Type="http://schemas.openxmlformats.org/officeDocument/2006/relationships/oleObject" Target="embeddings/oleObject10.bin"/><Relationship Id="rId54" Type="http://schemas.openxmlformats.org/officeDocument/2006/relationships/image" Target="media/image29.png"/><Relationship Id="rId53" Type="http://schemas.openxmlformats.org/officeDocument/2006/relationships/image" Target="media/image28.png"/><Relationship Id="rId52" Type="http://schemas.openxmlformats.org/officeDocument/2006/relationships/image" Target="media/image27.png"/><Relationship Id="rId51" Type="http://schemas.openxmlformats.org/officeDocument/2006/relationships/image" Target="media/image26.png"/><Relationship Id="rId50" Type="http://schemas.openxmlformats.org/officeDocument/2006/relationships/image" Target="media/image25.wmf"/><Relationship Id="rId5" Type="http://schemas.openxmlformats.org/officeDocument/2006/relationships/header" Target="header1.xml"/><Relationship Id="rId49" Type="http://schemas.openxmlformats.org/officeDocument/2006/relationships/oleObject" Target="embeddings/oleObject9.bin"/><Relationship Id="rId48" Type="http://schemas.openxmlformats.org/officeDocument/2006/relationships/image" Target="media/image24.wmf"/><Relationship Id="rId47" Type="http://schemas.openxmlformats.org/officeDocument/2006/relationships/oleObject" Target="embeddings/oleObject8.bin"/><Relationship Id="rId46" Type="http://schemas.openxmlformats.org/officeDocument/2006/relationships/image" Target="media/image23.png"/><Relationship Id="rId45" Type="http://schemas.openxmlformats.org/officeDocument/2006/relationships/image" Target="media/image22.png"/><Relationship Id="rId44" Type="http://schemas.openxmlformats.org/officeDocument/2006/relationships/image" Target="media/image21.png"/><Relationship Id="rId43" Type="http://schemas.openxmlformats.org/officeDocument/2006/relationships/image" Target="media/image20.png"/><Relationship Id="rId42" Type="http://schemas.openxmlformats.org/officeDocument/2006/relationships/image" Target="media/image19.emf"/><Relationship Id="rId41" Type="http://schemas.openxmlformats.org/officeDocument/2006/relationships/image" Target="media/image18.emf"/><Relationship Id="rId40" Type="http://schemas.openxmlformats.org/officeDocument/2006/relationships/image" Target="media/image17.png"/><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wmf"/><Relationship Id="rId35" Type="http://schemas.openxmlformats.org/officeDocument/2006/relationships/oleObject" Target="embeddings/oleObject7.bin"/><Relationship Id="rId34" Type="http://schemas.openxmlformats.org/officeDocument/2006/relationships/image" Target="media/image12.wmf"/><Relationship Id="rId33" Type="http://schemas.openxmlformats.org/officeDocument/2006/relationships/oleObject" Target="embeddings/oleObject6.bin"/><Relationship Id="rId32" Type="http://schemas.openxmlformats.org/officeDocument/2006/relationships/image" Target="media/image11.wmf"/><Relationship Id="rId31" Type="http://schemas.openxmlformats.org/officeDocument/2006/relationships/oleObject" Target="embeddings/oleObject5.bin"/><Relationship Id="rId30" Type="http://schemas.openxmlformats.org/officeDocument/2006/relationships/image" Target="media/image10.wmf"/><Relationship Id="rId3" Type="http://schemas.openxmlformats.org/officeDocument/2006/relationships/footnotes" Target="footnotes.xml"/><Relationship Id="rId29" Type="http://schemas.openxmlformats.org/officeDocument/2006/relationships/oleObject" Target="embeddings/oleObject4.bin"/><Relationship Id="rId28" Type="http://schemas.openxmlformats.org/officeDocument/2006/relationships/image" Target="media/image9.wmf"/><Relationship Id="rId27" Type="http://schemas.openxmlformats.org/officeDocument/2006/relationships/oleObject" Target="embeddings/oleObject3.bin"/><Relationship Id="rId26" Type="http://schemas.openxmlformats.org/officeDocument/2006/relationships/image" Target="media/image8.wmf"/><Relationship Id="rId25" Type="http://schemas.openxmlformats.org/officeDocument/2006/relationships/oleObject" Target="embeddings/oleObject2.bin"/><Relationship Id="rId24" Type="http://schemas.openxmlformats.org/officeDocument/2006/relationships/image" Target="media/image7.jpeg"/><Relationship Id="rId23" Type="http://schemas.openxmlformats.org/officeDocument/2006/relationships/image" Target="media/image6.jpeg"/><Relationship Id="rId22" Type="http://schemas.openxmlformats.org/officeDocument/2006/relationships/image" Target="media/image5.jpeg"/><Relationship Id="rId21" Type="http://schemas.openxmlformats.org/officeDocument/2006/relationships/image" Target="media/image4.png"/><Relationship Id="rId20" Type="http://schemas.openxmlformats.org/officeDocument/2006/relationships/image" Target="media/image3.e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2.png"/><Relationship Id="rId17" Type="http://schemas.openxmlformats.org/officeDocument/2006/relationships/image" Target="media/image1.png"/><Relationship Id="rId16" Type="http://schemas.openxmlformats.org/officeDocument/2006/relationships/theme" Target="theme/theme1.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footer" Target="footer4.xml"/><Relationship Id="rId124" Type="http://schemas.openxmlformats.org/officeDocument/2006/relationships/fontTable" Target="fontTable.xml"/><Relationship Id="rId123" Type="http://schemas.openxmlformats.org/officeDocument/2006/relationships/customXml" Target="../customXml/item2.xml"/><Relationship Id="rId122" Type="http://schemas.openxmlformats.org/officeDocument/2006/relationships/numbering" Target="numbering.xml"/><Relationship Id="rId121" Type="http://schemas.openxmlformats.org/officeDocument/2006/relationships/customXml" Target="../customXml/item1.xml"/><Relationship Id="rId120" Type="http://schemas.openxmlformats.org/officeDocument/2006/relationships/image" Target="media/image75.png"/><Relationship Id="rId12" Type="http://schemas.openxmlformats.org/officeDocument/2006/relationships/header" Target="header5.xml"/><Relationship Id="rId119" Type="http://schemas.openxmlformats.org/officeDocument/2006/relationships/image" Target="media/image74.png"/><Relationship Id="rId118" Type="http://schemas.openxmlformats.org/officeDocument/2006/relationships/image" Target="media/image73.png"/><Relationship Id="rId117" Type="http://schemas.openxmlformats.org/officeDocument/2006/relationships/image" Target="media/image72.png"/><Relationship Id="rId116" Type="http://schemas.openxmlformats.org/officeDocument/2006/relationships/image" Target="media/image71.png"/><Relationship Id="rId115" Type="http://schemas.openxmlformats.org/officeDocument/2006/relationships/image" Target="media/image70.png"/><Relationship Id="rId114" Type="http://schemas.openxmlformats.org/officeDocument/2006/relationships/image" Target="media/image69.png"/><Relationship Id="rId113" Type="http://schemas.openxmlformats.org/officeDocument/2006/relationships/image" Target="media/image68.png"/><Relationship Id="rId112" Type="http://schemas.openxmlformats.org/officeDocument/2006/relationships/image" Target="media/image67.png"/><Relationship Id="rId111" Type="http://schemas.openxmlformats.org/officeDocument/2006/relationships/image" Target="media/image66.png"/><Relationship Id="rId110" Type="http://schemas.openxmlformats.org/officeDocument/2006/relationships/image" Target="media/image65.jpeg"/><Relationship Id="rId11" Type="http://schemas.openxmlformats.org/officeDocument/2006/relationships/header" Target="header4.xml"/><Relationship Id="rId109" Type="http://schemas.openxmlformats.org/officeDocument/2006/relationships/image" Target="media/image64.jpeg"/><Relationship Id="rId108" Type="http://schemas.openxmlformats.org/officeDocument/2006/relationships/image" Target="media/image63.png"/><Relationship Id="rId107" Type="http://schemas.openxmlformats.org/officeDocument/2006/relationships/image" Target="media/image62.jpeg"/><Relationship Id="rId106" Type="http://schemas.openxmlformats.org/officeDocument/2006/relationships/image" Target="media/image61.jpeg"/><Relationship Id="rId105" Type="http://schemas.openxmlformats.org/officeDocument/2006/relationships/image" Target="media/image60.png"/><Relationship Id="rId104" Type="http://schemas.openxmlformats.org/officeDocument/2006/relationships/image" Target="media/image59.jpeg"/><Relationship Id="rId103" Type="http://schemas.openxmlformats.org/officeDocument/2006/relationships/image" Target="media/image58.jpeg"/><Relationship Id="rId102" Type="http://schemas.openxmlformats.org/officeDocument/2006/relationships/image" Target="media/image57.jpeg"/><Relationship Id="rId101" Type="http://schemas.openxmlformats.org/officeDocument/2006/relationships/image" Target="media/image56.jpeg"/><Relationship Id="rId100" Type="http://schemas.openxmlformats.org/officeDocument/2006/relationships/image" Target="media/image55.jpeg"/><Relationship Id="rId10" Type="http://schemas.openxmlformats.org/officeDocument/2006/relationships/header" Target="header3.xml"/><Relationship Id="rId1"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76.emf"/></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E:\&#36213;\&#23578;&#24535;&#23648;&#23472;&#39033;&#30446;\&#24037;&#20316;&#31807;1.xlsx" TargetMode="External"/></Relationships>
</file>

<file path=word/charts/_rels/chart10.xml.rels><?xml version="1.0" encoding="UTF-8" standalone="yes"?>
<Relationships xmlns="http://schemas.openxmlformats.org/package/2006/relationships"><Relationship Id="rId3" Type="http://schemas.microsoft.com/office/2011/relationships/chartColorStyle" Target="colors8.xml"/><Relationship Id="rId2" Type="http://schemas.microsoft.com/office/2011/relationships/chartStyle" Target="style8.xml"/><Relationship Id="rId1" Type="http://schemas.openxmlformats.org/officeDocument/2006/relationships/oleObject" Target="file:///E:\&#36213;\&#23578;&#24535;&#23648;&#23472;&#39033;&#30446;\&#24037;&#20316;&#31807;1.xlsx" TargetMode="External"/></Relationships>
</file>

<file path=word/charts/_rels/chart11.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file:///E:\&#36213;\&#23578;&#24535;&#23648;&#23472;&#39033;&#30446;\&#24037;&#20316;&#31807;1.xlsx" TargetMode="External"/></Relationships>
</file>

<file path=word/charts/_rels/chart12.xml.rels><?xml version="1.0" encoding="UTF-8" standalone="yes"?>
<Relationships xmlns="http://schemas.openxmlformats.org/package/2006/relationships"><Relationship Id="rId3" Type="http://schemas.microsoft.com/office/2011/relationships/chartColorStyle" Target="colors12.xml"/><Relationship Id="rId2" Type="http://schemas.microsoft.com/office/2011/relationships/chartStyle" Target="style12.xml"/><Relationship Id="rId1" Type="http://schemas.openxmlformats.org/officeDocument/2006/relationships/oleObject" Target="file:///E:\&#36213;\&#23578;&#24535;&#23648;&#23472;&#39033;&#30446;\&#24037;&#20316;&#31807;1.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9.xml"/><Relationship Id="rId2" Type="http://schemas.microsoft.com/office/2011/relationships/chartStyle" Target="style9.xml"/><Relationship Id="rId1" Type="http://schemas.openxmlformats.org/officeDocument/2006/relationships/oleObject" Target="file:///E:\&#36213;\&#23578;&#24535;&#23648;&#23472;&#39033;&#30446;\&#24037;&#20316;&#31807;1.xlsx"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10.xml"/><Relationship Id="rId2" Type="http://schemas.microsoft.com/office/2011/relationships/chartStyle" Target="style10.xml"/><Relationship Id="rId1" Type="http://schemas.openxmlformats.org/officeDocument/2006/relationships/oleObject" Target="file:///E:\&#36213;\&#23578;&#24535;&#23648;&#23472;&#39033;&#30446;\&#24037;&#20316;&#31807;1.xlsx" TargetMode="External"/></Relationships>
</file>

<file path=word/charts/_rels/chart4.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E:\&#36213;\&#23578;&#24535;&#23648;&#23472;&#39033;&#30446;\&#24037;&#20316;&#31807;1.xlsx" TargetMode="External"/></Relationships>
</file>

<file path=word/charts/_rels/chart5.xml.rels><?xml version="1.0" encoding="UTF-8" standalone="yes"?>
<Relationships xmlns="http://schemas.openxmlformats.org/package/2006/relationships"><Relationship Id="rId3" Type="http://schemas.microsoft.com/office/2011/relationships/chartColorStyle" Target="colors7.xml"/><Relationship Id="rId2" Type="http://schemas.microsoft.com/office/2011/relationships/chartStyle" Target="style7.xml"/><Relationship Id="rId1" Type="http://schemas.openxmlformats.org/officeDocument/2006/relationships/oleObject" Target="file:///E:\&#36213;\&#23578;&#24535;&#23648;&#23472;&#39033;&#30446;\&#24037;&#20316;&#31807;1.xlsx" TargetMode="External"/></Relationships>
</file>

<file path=word/charts/_rels/chart6.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E:\&#36213;\&#23578;&#24535;&#23648;&#23472;&#39033;&#30446;\&#24037;&#20316;&#31807;1.xlsx" TargetMode="External"/></Relationships>
</file>

<file path=word/charts/_rels/chart7.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oleObject" Target="file:///E:\&#36213;\&#23578;&#24535;&#23648;&#23472;&#39033;&#30446;\&#24037;&#20316;&#31807;1.xlsx" TargetMode="External"/></Relationships>
</file>

<file path=word/charts/_rels/chart8.xml.rels><?xml version="1.0" encoding="UTF-8" standalone="yes"?>
<Relationships xmlns="http://schemas.openxmlformats.org/package/2006/relationships"><Relationship Id="rId3" Type="http://schemas.microsoft.com/office/2011/relationships/chartColorStyle" Target="colors11.xml"/><Relationship Id="rId2" Type="http://schemas.microsoft.com/office/2011/relationships/chartStyle" Target="style11.xml"/><Relationship Id="rId1" Type="http://schemas.openxmlformats.org/officeDocument/2006/relationships/oleObject" Target="file:///E:\&#36213;\&#23578;&#24535;&#23648;&#23472;&#39033;&#30446;\&#24037;&#20316;&#31807;1.xlsx" TargetMode="External"/></Relationships>
</file>

<file path=word/charts/_rels/chart9.xml.rels><?xml version="1.0" encoding="UTF-8" standalone="yes"?>
<Relationships xmlns="http://schemas.openxmlformats.org/package/2006/relationships"><Relationship Id="rId3" Type="http://schemas.microsoft.com/office/2011/relationships/chartColorStyle" Target="colors6.xml"/><Relationship Id="rId2" Type="http://schemas.microsoft.com/office/2011/relationships/chartStyle" Target="style6.xml"/><Relationship Id="rId1" Type="http://schemas.openxmlformats.org/officeDocument/2006/relationships/oleObject" Target="file:///E:\&#36213;\&#23578;&#24535;&#23648;&#23472;&#39033;&#30446;\&#24037;&#20316;&#31807;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[工作簿1.xlsx]Sheet1!$A$23:$A$37</c:f>
              <c:numCache>
                <c:formatCode>General</c:formatCode>
                <c:ptCount val="15"/>
                <c:pt idx="0">
                  <c:v>0</c:v>
                </c:pt>
                <c:pt idx="1">
                  <c:v>10</c:v>
                </c:pt>
                <c:pt idx="2">
                  <c:v>20</c:v>
                </c:pt>
                <c:pt idx="3">
                  <c:v>30</c:v>
                </c:pt>
                <c:pt idx="4">
                  <c:v>40</c:v>
                </c:pt>
                <c:pt idx="5">
                  <c:v>50</c:v>
                </c:pt>
                <c:pt idx="6">
                  <c:v>55</c:v>
                </c:pt>
                <c:pt idx="7">
                  <c:v>60</c:v>
                </c:pt>
                <c:pt idx="8">
                  <c:v>65</c:v>
                </c:pt>
                <c:pt idx="9">
                  <c:v>70</c:v>
                </c:pt>
                <c:pt idx="10">
                  <c:v>75</c:v>
                </c:pt>
                <c:pt idx="11">
                  <c:v>80</c:v>
                </c:pt>
                <c:pt idx="12">
                  <c:v>90</c:v>
                </c:pt>
                <c:pt idx="13">
                  <c:v>100</c:v>
                </c:pt>
                <c:pt idx="14">
                  <c:v>110</c:v>
                </c:pt>
              </c:numCache>
            </c:numRef>
          </c:xVal>
          <c:yVal>
            <c:numRef>
              <c:f>[工作簿1.xlsx]Sheet1!$B$23:$B$37</c:f>
              <c:numCache>
                <c:formatCode>0.00E+00</c:formatCode>
                <c:ptCount val="15"/>
                <c:pt idx="0">
                  <c:v>1890</c:v>
                </c:pt>
                <c:pt idx="1">
                  <c:v>274</c:v>
                </c:pt>
                <c:pt idx="2">
                  <c:v>4.83</c:v>
                </c:pt>
                <c:pt idx="3">
                  <c:v>0.00833</c:v>
                </c:pt>
                <c:pt idx="4">
                  <c:v>1.3e-6</c:v>
                </c:pt>
                <c:pt idx="5">
                  <c:v>1.84e-11</c:v>
                </c:pt>
                <c:pt idx="6" c:formatCode="General">
                  <c:v>0</c:v>
                </c:pt>
                <c:pt idx="7" c:formatCode="General">
                  <c:v>0</c:v>
                </c:pt>
                <c:pt idx="8" c:formatCode="General">
                  <c:v>0</c:v>
                </c:pt>
                <c:pt idx="9" c:formatCode="General">
                  <c:v>0</c:v>
                </c:pt>
                <c:pt idx="10" c:formatCode="General">
                  <c:v>0</c:v>
                </c:pt>
                <c:pt idx="11" c:formatCode="General">
                  <c:v>0</c:v>
                </c:pt>
                <c:pt idx="12" c:formatCode="General">
                  <c:v>0</c:v>
                </c:pt>
                <c:pt idx="13" c:formatCode="General">
                  <c:v>0</c:v>
                </c:pt>
                <c:pt idx="14" c:formatCode="General">
                  <c:v>0</c:v>
                </c:pt>
              </c:numCache>
            </c:numRef>
          </c:yVal>
          <c:smooth val="1"/>
        </c:ser>
        <c:dLbls>
          <c:showLegendKey val="0"/>
          <c:showVal val="0"/>
          <c:showCatName val="0"/>
          <c:showSerName val="0"/>
          <c:showPercent val="0"/>
          <c:showBubbleSize val="0"/>
        </c:dLbls>
        <c:axId val="300405617"/>
        <c:axId val="809836805"/>
      </c:scatterChart>
      <c:valAx>
        <c:axId val="300405617"/>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距离（</a:t>
                </a:r>
                <a:r>
                  <a:rPr lang="en-US" altLang="zh-CN"/>
                  <a:t>m</a:t>
                </a:r>
                <a:r>
                  <a:rPr altLang="en-US"/>
                  <a:t>）</a:t>
                </a:r>
                <a:endParaRPr altLang="en-US"/>
              </a:p>
            </c:rich>
          </c:tx>
          <c:layout>
            <c:manualLayout>
              <c:xMode val="edge"/>
              <c:yMode val="edge"/>
              <c:x val="0.469151315789474"/>
              <c:y val="0.88402777777777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09836805"/>
        <c:crosses val="autoZero"/>
        <c:crossBetween val="midCat"/>
      </c:valAx>
      <c:valAx>
        <c:axId val="809836805"/>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a:t>
                </a:r>
                <a:r>
                  <a:rPr lang="en-US" altLang="zh-CN"/>
                  <a:t>mg/L</a:t>
                </a:r>
                <a:r>
                  <a:rPr altLang="en-US"/>
                  <a:t>）</a:t>
                </a:r>
                <a:endParaRPr altLang="en-US"/>
              </a:p>
            </c:rich>
          </c:tx>
          <c:layout/>
          <c:overlay val="0"/>
          <c:spPr>
            <a:noFill/>
            <a:ln>
              <a:noFill/>
            </a:ln>
            <a:effectLst/>
          </c:spPr>
        </c:title>
        <c:numFmt formatCode="0.00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00405617"/>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[工作簿1.xlsx]Sheet1!$G$79:$G$93</c:f>
              <c:numCache>
                <c:formatCode>General</c:formatCode>
                <c:ptCount val="15"/>
                <c:pt idx="0">
                  <c:v>0</c:v>
                </c:pt>
                <c:pt idx="1">
                  <c:v>10</c:v>
                </c:pt>
                <c:pt idx="2">
                  <c:v>20</c:v>
                </c:pt>
                <c:pt idx="3">
                  <c:v>30</c:v>
                </c:pt>
                <c:pt idx="4">
                  <c:v>40</c:v>
                </c:pt>
                <c:pt idx="5">
                  <c:v>50</c:v>
                </c:pt>
                <c:pt idx="6">
                  <c:v>55</c:v>
                </c:pt>
                <c:pt idx="7">
                  <c:v>60</c:v>
                </c:pt>
                <c:pt idx="8">
                  <c:v>65</c:v>
                </c:pt>
                <c:pt idx="9">
                  <c:v>70</c:v>
                </c:pt>
                <c:pt idx="10">
                  <c:v>75</c:v>
                </c:pt>
                <c:pt idx="11">
                  <c:v>80</c:v>
                </c:pt>
                <c:pt idx="12">
                  <c:v>90</c:v>
                </c:pt>
                <c:pt idx="13">
                  <c:v>100</c:v>
                </c:pt>
                <c:pt idx="14">
                  <c:v>110</c:v>
                </c:pt>
              </c:numCache>
            </c:numRef>
          </c:xVal>
          <c:yVal>
            <c:numRef>
              <c:f>[工作簿1.xlsx]Sheet1!$H$79:$H$93</c:f>
              <c:numCache>
                <c:formatCode>0.00E+00</c:formatCode>
                <c:ptCount val="15"/>
                <c:pt idx="0">
                  <c:v>31.3</c:v>
                </c:pt>
                <c:pt idx="1">
                  <c:v>4.53</c:v>
                </c:pt>
                <c:pt idx="2">
                  <c:v>0.0798</c:v>
                </c:pt>
                <c:pt idx="3">
                  <c:v>0.000138</c:v>
                </c:pt>
                <c:pt idx="4">
                  <c:v>2.14e-8</c:v>
                </c:pt>
                <c:pt idx="5">
                  <c:v>3.04e-13</c:v>
                </c:pt>
                <c:pt idx="6" c:formatCode="General">
                  <c:v>0</c:v>
                </c:pt>
                <c:pt idx="7" c:formatCode="General">
                  <c:v>0</c:v>
                </c:pt>
                <c:pt idx="8" c:formatCode="General">
                  <c:v>0</c:v>
                </c:pt>
                <c:pt idx="9" c:formatCode="General">
                  <c:v>0</c:v>
                </c:pt>
                <c:pt idx="10" c:formatCode="General">
                  <c:v>0</c:v>
                </c:pt>
                <c:pt idx="11" c:formatCode="General">
                  <c:v>0</c:v>
                </c:pt>
                <c:pt idx="12" c:formatCode="General">
                  <c:v>0</c:v>
                </c:pt>
                <c:pt idx="13" c:formatCode="General">
                  <c:v>0</c:v>
                </c:pt>
                <c:pt idx="14" c:formatCode="General">
                  <c:v>0</c:v>
                </c:pt>
              </c:numCache>
            </c:numRef>
          </c:yVal>
          <c:smooth val="1"/>
        </c:ser>
        <c:dLbls>
          <c:showLegendKey val="0"/>
          <c:showVal val="0"/>
          <c:showCatName val="0"/>
          <c:showSerName val="0"/>
          <c:showPercent val="0"/>
          <c:showBubbleSize val="0"/>
        </c:dLbls>
        <c:axId val="527712818"/>
        <c:axId val="375232520"/>
      </c:scatterChart>
      <c:valAx>
        <c:axId val="527712818"/>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距离（</a:t>
                </a:r>
                <a:r>
                  <a:rPr lang="en-US" altLang="zh-CN"/>
                  <a:t>m</a:t>
                </a:r>
                <a:r>
                  <a:rPr altLang="en-US"/>
                  <a:t>）</a:t>
                </a:r>
                <a:endParaRPr altLang="en-US"/>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75232520"/>
        <c:crosses val="autoZero"/>
        <c:crossBetween val="midCat"/>
      </c:valAx>
      <c:valAx>
        <c:axId val="375232520"/>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a:t>
                </a:r>
                <a:r>
                  <a:rPr lang="en-US" altLang="zh-CN"/>
                  <a:t>mg/L</a:t>
                </a:r>
                <a:r>
                  <a:rPr altLang="en-US"/>
                  <a:t>）</a:t>
                </a:r>
                <a:endParaRPr altLang="en-US"/>
              </a:p>
            </c:rich>
          </c:tx>
          <c:layout/>
          <c:overlay val="0"/>
          <c:spPr>
            <a:noFill/>
            <a:ln>
              <a:noFill/>
            </a:ln>
            <a:effectLst/>
          </c:spPr>
        </c:title>
        <c:numFmt formatCode="0.00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27712818"/>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[工作簿1.xlsx]Sheet1!$I$79:$I$93</c:f>
              <c:numCache>
                <c:formatCode>General</c:formatCode>
                <c:ptCount val="15"/>
                <c:pt idx="0">
                  <c:v>0</c:v>
                </c:pt>
                <c:pt idx="1">
                  <c:v>10</c:v>
                </c:pt>
                <c:pt idx="2">
                  <c:v>20</c:v>
                </c:pt>
                <c:pt idx="3">
                  <c:v>30</c:v>
                </c:pt>
                <c:pt idx="4">
                  <c:v>40</c:v>
                </c:pt>
                <c:pt idx="5">
                  <c:v>50</c:v>
                </c:pt>
                <c:pt idx="6">
                  <c:v>90</c:v>
                </c:pt>
                <c:pt idx="7">
                  <c:v>100</c:v>
                </c:pt>
                <c:pt idx="8">
                  <c:v>120</c:v>
                </c:pt>
                <c:pt idx="9">
                  <c:v>150</c:v>
                </c:pt>
                <c:pt idx="10">
                  <c:v>200</c:v>
                </c:pt>
                <c:pt idx="11">
                  <c:v>210</c:v>
                </c:pt>
                <c:pt idx="12">
                  <c:v>220</c:v>
                </c:pt>
                <c:pt idx="13">
                  <c:v>230</c:v>
                </c:pt>
                <c:pt idx="14">
                  <c:v>240</c:v>
                </c:pt>
              </c:numCache>
            </c:numRef>
          </c:xVal>
          <c:yVal>
            <c:numRef>
              <c:f>[工作簿1.xlsx]Sheet1!$J$79:$J$93</c:f>
              <c:numCache>
                <c:formatCode>0.00E+00</c:formatCode>
                <c:ptCount val="15"/>
                <c:pt idx="0">
                  <c:v>31.3</c:v>
                </c:pt>
                <c:pt idx="1">
                  <c:v>23.8</c:v>
                </c:pt>
                <c:pt idx="2">
                  <c:v>15.3</c:v>
                </c:pt>
                <c:pt idx="3">
                  <c:v>8.15</c:v>
                </c:pt>
                <c:pt idx="4">
                  <c:v>3.52</c:v>
                </c:pt>
                <c:pt idx="5">
                  <c:v>1.23</c:v>
                </c:pt>
                <c:pt idx="6">
                  <c:v>0.0018</c:v>
                </c:pt>
                <c:pt idx="7">
                  <c:v>0.000195</c:v>
                </c:pt>
                <c:pt idx="8">
                  <c:v>1.1e-6</c:v>
                </c:pt>
                <c:pt idx="9">
                  <c:v>7.79e-11</c:v>
                </c:pt>
                <c:pt idx="10" c:formatCode="General">
                  <c:v>0</c:v>
                </c:pt>
                <c:pt idx="11" c:formatCode="General">
                  <c:v>0</c:v>
                </c:pt>
                <c:pt idx="12" c:formatCode="General">
                  <c:v>0</c:v>
                </c:pt>
                <c:pt idx="13" c:formatCode="General">
                  <c:v>0</c:v>
                </c:pt>
                <c:pt idx="14" c:formatCode="General">
                  <c:v>0</c:v>
                </c:pt>
              </c:numCache>
            </c:numRef>
          </c:yVal>
          <c:smooth val="1"/>
        </c:ser>
        <c:dLbls>
          <c:showLegendKey val="0"/>
          <c:showVal val="0"/>
          <c:showCatName val="0"/>
          <c:showSerName val="0"/>
          <c:showPercent val="0"/>
          <c:showBubbleSize val="0"/>
        </c:dLbls>
        <c:axId val="210861577"/>
        <c:axId val="390758815"/>
      </c:scatterChart>
      <c:valAx>
        <c:axId val="210861577"/>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距离（</a:t>
                </a:r>
                <a:r>
                  <a:rPr lang="en-US" altLang="zh-CN"/>
                  <a:t>m</a:t>
                </a:r>
                <a:r>
                  <a:rPr altLang="en-US"/>
                  <a:t>）</a:t>
                </a:r>
                <a:endParaRPr altLang="en-US"/>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90758815"/>
        <c:crosses val="autoZero"/>
        <c:crossBetween val="midCat"/>
      </c:valAx>
      <c:valAx>
        <c:axId val="390758815"/>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浓度（mgL)</a:t>
                </a:r>
              </a:p>
            </c:rich>
          </c:tx>
          <c:layout/>
          <c:overlay val="0"/>
          <c:spPr>
            <a:noFill/>
            <a:ln>
              <a:noFill/>
            </a:ln>
            <a:effectLst/>
          </c:spPr>
        </c:title>
        <c:numFmt formatCode="0.00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10861577"/>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[工作簿1.xlsx]Sheet1!$K$79:$K$93</c:f>
              <c:numCache>
                <c:formatCode>General</c:formatCode>
                <c:ptCount val="15"/>
                <c:pt idx="0">
                  <c:v>0</c:v>
                </c:pt>
                <c:pt idx="1">
                  <c:v>10</c:v>
                </c:pt>
                <c:pt idx="2">
                  <c:v>50</c:v>
                </c:pt>
                <c:pt idx="3">
                  <c:v>100</c:v>
                </c:pt>
                <c:pt idx="4">
                  <c:v>200</c:v>
                </c:pt>
                <c:pt idx="5">
                  <c:v>300</c:v>
                </c:pt>
                <c:pt idx="6">
                  <c:v>400</c:v>
                </c:pt>
                <c:pt idx="7">
                  <c:v>500</c:v>
                </c:pt>
                <c:pt idx="8">
                  <c:v>600</c:v>
                </c:pt>
                <c:pt idx="9">
                  <c:v>700</c:v>
                </c:pt>
                <c:pt idx="10">
                  <c:v>800</c:v>
                </c:pt>
                <c:pt idx="11">
                  <c:v>850</c:v>
                </c:pt>
                <c:pt idx="12">
                  <c:v>900</c:v>
                </c:pt>
                <c:pt idx="13">
                  <c:v>950</c:v>
                </c:pt>
                <c:pt idx="14">
                  <c:v>1000</c:v>
                </c:pt>
              </c:numCache>
            </c:numRef>
          </c:xVal>
          <c:yVal>
            <c:numRef>
              <c:f>[工作簿1.xlsx]Sheet1!$L$79:$L$93</c:f>
              <c:numCache>
                <c:formatCode>0.00E+00</c:formatCode>
                <c:ptCount val="15"/>
                <c:pt idx="0">
                  <c:v>31.3</c:v>
                </c:pt>
                <c:pt idx="1">
                  <c:v>30.7</c:v>
                </c:pt>
                <c:pt idx="2">
                  <c:v>25.1</c:v>
                </c:pt>
                <c:pt idx="3">
                  <c:v>12.8</c:v>
                </c:pt>
                <c:pt idx="4">
                  <c:v>0.444</c:v>
                </c:pt>
                <c:pt idx="5">
                  <c:v>0.000679</c:v>
                </c:pt>
                <c:pt idx="6">
                  <c:v>2.25e-8</c:v>
                </c:pt>
                <c:pt idx="7">
                  <c:v>4.51e-14</c:v>
                </c:pt>
                <c:pt idx="8" c:formatCode="General">
                  <c:v>0</c:v>
                </c:pt>
                <c:pt idx="9" c:formatCode="General">
                  <c:v>0</c:v>
                </c:pt>
                <c:pt idx="10" c:formatCode="General">
                  <c:v>0</c:v>
                </c:pt>
                <c:pt idx="11" c:formatCode="General">
                  <c:v>0</c:v>
                </c:pt>
                <c:pt idx="12" c:formatCode="General">
                  <c:v>0</c:v>
                </c:pt>
                <c:pt idx="13" c:formatCode="General">
                  <c:v>0</c:v>
                </c:pt>
                <c:pt idx="14" c:formatCode="General">
                  <c:v>0</c:v>
                </c:pt>
              </c:numCache>
            </c:numRef>
          </c:yVal>
          <c:smooth val="1"/>
        </c:ser>
        <c:dLbls>
          <c:showLegendKey val="0"/>
          <c:showVal val="0"/>
          <c:showCatName val="0"/>
          <c:showSerName val="0"/>
          <c:showPercent val="0"/>
          <c:showBubbleSize val="0"/>
        </c:dLbls>
        <c:axId val="12521521"/>
        <c:axId val="452038294"/>
      </c:scatterChart>
      <c:valAx>
        <c:axId val="12521521"/>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距离（</a:t>
                </a:r>
                <a:r>
                  <a:rPr lang="en-US" altLang="zh-CN"/>
                  <a:t>m</a:t>
                </a:r>
                <a:r>
                  <a:rPr altLang="en-US"/>
                  <a:t>）</a:t>
                </a:r>
                <a:endParaRPr altLang="en-US"/>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452038294"/>
        <c:crosses val="autoZero"/>
        <c:crossBetween val="midCat"/>
      </c:valAx>
      <c:valAx>
        <c:axId val="452038294"/>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浓度（mgL)</a:t>
                </a:r>
              </a:p>
            </c:rich>
          </c:tx>
          <c:layout/>
          <c:overlay val="0"/>
          <c:spPr>
            <a:noFill/>
            <a:ln>
              <a:noFill/>
            </a:ln>
            <a:effectLst/>
          </c:spPr>
        </c:title>
        <c:numFmt formatCode="0.00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2521521"/>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[工作簿1.xlsx]Sheet1!$D$21:$D$22</c:f>
              <c:strCache>
                <c:ptCount val="1"/>
                <c:pt idx="0">
                  <c:v>1000天 浓度（mg/L）</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[工作簿1.xlsx]Sheet1!$C$23:$C$37</c:f>
              <c:numCache>
                <c:formatCode>General</c:formatCode>
                <c:ptCount val="15"/>
                <c:pt idx="0">
                  <c:v>0</c:v>
                </c:pt>
                <c:pt idx="1">
                  <c:v>10</c:v>
                </c:pt>
                <c:pt idx="2">
                  <c:v>20</c:v>
                </c:pt>
                <c:pt idx="3">
                  <c:v>30</c:v>
                </c:pt>
                <c:pt idx="4">
                  <c:v>40</c:v>
                </c:pt>
                <c:pt idx="5">
                  <c:v>50</c:v>
                </c:pt>
                <c:pt idx="6">
                  <c:v>90</c:v>
                </c:pt>
                <c:pt idx="7">
                  <c:v>100</c:v>
                </c:pt>
                <c:pt idx="8">
                  <c:v>120</c:v>
                </c:pt>
                <c:pt idx="9">
                  <c:v>150</c:v>
                </c:pt>
                <c:pt idx="10">
                  <c:v>200</c:v>
                </c:pt>
                <c:pt idx="11">
                  <c:v>210</c:v>
                </c:pt>
                <c:pt idx="12">
                  <c:v>220</c:v>
                </c:pt>
                <c:pt idx="13">
                  <c:v>230</c:v>
                </c:pt>
                <c:pt idx="14">
                  <c:v>240</c:v>
                </c:pt>
              </c:numCache>
            </c:numRef>
          </c:xVal>
          <c:yVal>
            <c:numRef>
              <c:f>[工作簿1.xlsx]Sheet1!$D$23:$D$37</c:f>
              <c:numCache>
                <c:formatCode>0.00E+00</c:formatCode>
                <c:ptCount val="15"/>
                <c:pt idx="0">
                  <c:v>1890</c:v>
                </c:pt>
                <c:pt idx="1">
                  <c:v>1440</c:v>
                </c:pt>
                <c:pt idx="2">
                  <c:v>927</c:v>
                </c:pt>
                <c:pt idx="3">
                  <c:v>493</c:v>
                </c:pt>
                <c:pt idx="4">
                  <c:v>213</c:v>
                </c:pt>
                <c:pt idx="5">
                  <c:v>74.1</c:v>
                </c:pt>
                <c:pt idx="6">
                  <c:v>0.109</c:v>
                </c:pt>
                <c:pt idx="7">
                  <c:v>0.0118</c:v>
                </c:pt>
                <c:pt idx="8">
                  <c:v>6.68e-5</c:v>
                </c:pt>
                <c:pt idx="9">
                  <c:v>4.71e-9</c:v>
                </c:pt>
                <c:pt idx="10" c:formatCode="General">
                  <c:v>0</c:v>
                </c:pt>
                <c:pt idx="11" c:formatCode="General">
                  <c:v>0</c:v>
                </c:pt>
                <c:pt idx="12" c:formatCode="General">
                  <c:v>0</c:v>
                </c:pt>
                <c:pt idx="13" c:formatCode="General">
                  <c:v>0</c:v>
                </c:pt>
                <c:pt idx="14" c:formatCode="General">
                  <c:v>0</c:v>
                </c:pt>
              </c:numCache>
            </c:numRef>
          </c:yVal>
          <c:smooth val="1"/>
        </c:ser>
        <c:dLbls>
          <c:showLegendKey val="0"/>
          <c:showVal val="0"/>
          <c:showCatName val="0"/>
          <c:showSerName val="0"/>
          <c:showPercent val="0"/>
          <c:showBubbleSize val="0"/>
        </c:dLbls>
        <c:axId val="839063486"/>
        <c:axId val="846943268"/>
      </c:scatterChart>
      <c:valAx>
        <c:axId val="839063486"/>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距离（</a:t>
                </a:r>
                <a:r>
                  <a:rPr lang="en-US" altLang="zh-CN"/>
                  <a:t>m</a:t>
                </a:r>
                <a:r>
                  <a:rPr altLang="en-US"/>
                  <a:t>）</a:t>
                </a:r>
                <a:endParaRPr altLang="en-US"/>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46943268"/>
        <c:crosses val="autoZero"/>
        <c:crossBetween val="midCat"/>
      </c:valAx>
      <c:valAx>
        <c:axId val="846943268"/>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a:t>
                </a:r>
                <a:r>
                  <a:rPr lang="en-US" altLang="zh-CN"/>
                  <a:t>mg/L)</a:t>
                </a:r>
                <a:endParaRPr lang="en-US" altLang="zh-CN"/>
              </a:p>
            </c:rich>
          </c:tx>
          <c:layout/>
          <c:overlay val="0"/>
          <c:spPr>
            <a:noFill/>
            <a:ln>
              <a:noFill/>
            </a:ln>
            <a:effectLst/>
          </c:spPr>
        </c:title>
        <c:numFmt formatCode="0.00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39063486"/>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[工作簿1.xlsx]Sheet1!$E$23:$E$37</c:f>
              <c:numCache>
                <c:formatCode>General</c:formatCode>
                <c:ptCount val="15"/>
                <c:pt idx="0">
                  <c:v>0</c:v>
                </c:pt>
                <c:pt idx="1">
                  <c:v>10</c:v>
                </c:pt>
                <c:pt idx="2">
                  <c:v>50</c:v>
                </c:pt>
                <c:pt idx="3">
                  <c:v>100</c:v>
                </c:pt>
                <c:pt idx="4">
                  <c:v>200</c:v>
                </c:pt>
                <c:pt idx="5">
                  <c:v>300</c:v>
                </c:pt>
                <c:pt idx="6">
                  <c:v>400</c:v>
                </c:pt>
                <c:pt idx="7">
                  <c:v>500</c:v>
                </c:pt>
                <c:pt idx="8">
                  <c:v>600</c:v>
                </c:pt>
                <c:pt idx="9">
                  <c:v>700</c:v>
                </c:pt>
                <c:pt idx="10">
                  <c:v>800</c:v>
                </c:pt>
                <c:pt idx="11">
                  <c:v>850</c:v>
                </c:pt>
                <c:pt idx="12">
                  <c:v>900</c:v>
                </c:pt>
                <c:pt idx="13">
                  <c:v>950</c:v>
                </c:pt>
                <c:pt idx="14">
                  <c:v>1000</c:v>
                </c:pt>
              </c:numCache>
            </c:numRef>
          </c:xVal>
          <c:yVal>
            <c:numRef>
              <c:f>[工作簿1.xlsx]Sheet1!$F$23:$F$37</c:f>
              <c:numCache>
                <c:formatCode>0.00E+00</c:formatCode>
                <c:ptCount val="15"/>
                <c:pt idx="0">
                  <c:v>1890</c:v>
                </c:pt>
                <c:pt idx="1">
                  <c:v>1850</c:v>
                </c:pt>
                <c:pt idx="2">
                  <c:v>1520</c:v>
                </c:pt>
                <c:pt idx="3">
                  <c:v>776</c:v>
                </c:pt>
                <c:pt idx="4">
                  <c:v>26.9</c:v>
                </c:pt>
                <c:pt idx="5">
                  <c:v>0.041</c:v>
                </c:pt>
                <c:pt idx="6">
                  <c:v>1.36e-6</c:v>
                </c:pt>
                <c:pt idx="7">
                  <c:v>2.73e-12</c:v>
                </c:pt>
                <c:pt idx="8" c:formatCode="General">
                  <c:v>0</c:v>
                </c:pt>
                <c:pt idx="9" c:formatCode="General">
                  <c:v>0</c:v>
                </c:pt>
                <c:pt idx="10" c:formatCode="General">
                  <c:v>0</c:v>
                </c:pt>
                <c:pt idx="11" c:formatCode="General">
                  <c:v>0</c:v>
                </c:pt>
                <c:pt idx="12" c:formatCode="General">
                  <c:v>0</c:v>
                </c:pt>
                <c:pt idx="13" c:formatCode="General">
                  <c:v>0</c:v>
                </c:pt>
                <c:pt idx="14" c:formatCode="General">
                  <c:v>0</c:v>
                </c:pt>
              </c:numCache>
            </c:numRef>
          </c:yVal>
          <c:smooth val="1"/>
        </c:ser>
        <c:dLbls>
          <c:showLegendKey val="0"/>
          <c:showVal val="0"/>
          <c:showCatName val="0"/>
          <c:showSerName val="0"/>
          <c:showPercent val="0"/>
          <c:showBubbleSize val="0"/>
        </c:dLbls>
        <c:axId val="549104818"/>
        <c:axId val="355654394"/>
      </c:scatterChart>
      <c:valAx>
        <c:axId val="549104818"/>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距离（m）</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55654394"/>
        <c:crosses val="autoZero"/>
        <c:crossBetween val="midCat"/>
      </c:valAx>
      <c:valAx>
        <c:axId val="355654394"/>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浓度（mg/L）</a:t>
                </a:r>
              </a:p>
            </c:rich>
          </c:tx>
          <c:layout/>
          <c:overlay val="0"/>
          <c:spPr>
            <a:noFill/>
            <a:ln>
              <a:noFill/>
            </a:ln>
            <a:effectLst/>
          </c:spPr>
        </c:title>
        <c:numFmt formatCode="0.00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49104818"/>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[工作簿1.xlsx]Sheet1!$G$23:$G$37</c:f>
              <c:numCache>
                <c:formatCode>General</c:formatCode>
                <c:ptCount val="15"/>
                <c:pt idx="0">
                  <c:v>0</c:v>
                </c:pt>
                <c:pt idx="1">
                  <c:v>10</c:v>
                </c:pt>
                <c:pt idx="2">
                  <c:v>20</c:v>
                </c:pt>
                <c:pt idx="3">
                  <c:v>30</c:v>
                </c:pt>
                <c:pt idx="4">
                  <c:v>40</c:v>
                </c:pt>
                <c:pt idx="5">
                  <c:v>50</c:v>
                </c:pt>
                <c:pt idx="6">
                  <c:v>55</c:v>
                </c:pt>
                <c:pt idx="7">
                  <c:v>60</c:v>
                </c:pt>
                <c:pt idx="8">
                  <c:v>65</c:v>
                </c:pt>
                <c:pt idx="9">
                  <c:v>70</c:v>
                </c:pt>
                <c:pt idx="10">
                  <c:v>75</c:v>
                </c:pt>
                <c:pt idx="11">
                  <c:v>80</c:v>
                </c:pt>
                <c:pt idx="12">
                  <c:v>90</c:v>
                </c:pt>
                <c:pt idx="13">
                  <c:v>100</c:v>
                </c:pt>
                <c:pt idx="14">
                  <c:v>110</c:v>
                </c:pt>
              </c:numCache>
            </c:numRef>
          </c:xVal>
          <c:yVal>
            <c:numRef>
              <c:f>[工作簿1.xlsx]Sheet1!$H$23:$H$37</c:f>
              <c:numCache>
                <c:formatCode>0.00E+00</c:formatCode>
                <c:ptCount val="15"/>
                <c:pt idx="0">
                  <c:v>142</c:v>
                </c:pt>
                <c:pt idx="1">
                  <c:v>20.6</c:v>
                </c:pt>
                <c:pt idx="2">
                  <c:v>0.363</c:v>
                </c:pt>
                <c:pt idx="3">
                  <c:v>0.000626</c:v>
                </c:pt>
                <c:pt idx="4">
                  <c:v>9.74e-8</c:v>
                </c:pt>
                <c:pt idx="5">
                  <c:v>1.38e-12</c:v>
                </c:pt>
                <c:pt idx="6" c:formatCode="General">
                  <c:v>0</c:v>
                </c:pt>
                <c:pt idx="7" c:formatCode="General">
                  <c:v>0</c:v>
                </c:pt>
                <c:pt idx="8" c:formatCode="General">
                  <c:v>0</c:v>
                </c:pt>
                <c:pt idx="9" c:formatCode="General">
                  <c:v>0</c:v>
                </c:pt>
                <c:pt idx="10" c:formatCode="General">
                  <c:v>0</c:v>
                </c:pt>
                <c:pt idx="11" c:formatCode="General">
                  <c:v>0</c:v>
                </c:pt>
                <c:pt idx="12" c:formatCode="General">
                  <c:v>0</c:v>
                </c:pt>
                <c:pt idx="13" c:formatCode="General">
                  <c:v>0</c:v>
                </c:pt>
                <c:pt idx="14" c:formatCode="General">
                  <c:v>0</c:v>
                </c:pt>
              </c:numCache>
            </c:numRef>
          </c:yVal>
          <c:smooth val="1"/>
        </c:ser>
        <c:dLbls>
          <c:showLegendKey val="0"/>
          <c:showVal val="0"/>
          <c:showCatName val="0"/>
          <c:showSerName val="0"/>
          <c:showPercent val="0"/>
          <c:showBubbleSize val="0"/>
        </c:dLbls>
        <c:axId val="296012915"/>
        <c:axId val="787920702"/>
      </c:scatterChart>
      <c:valAx>
        <c:axId val="296012915"/>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距离（m）</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87920702"/>
        <c:crosses val="autoZero"/>
        <c:crossBetween val="midCat"/>
      </c:valAx>
      <c:valAx>
        <c:axId val="787920702"/>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浓度（mg/L）</a:t>
                </a:r>
              </a:p>
            </c:rich>
          </c:tx>
          <c:layout/>
          <c:overlay val="0"/>
          <c:spPr>
            <a:noFill/>
            <a:ln>
              <a:noFill/>
            </a:ln>
            <a:effectLst/>
          </c:spPr>
        </c:title>
        <c:numFmt formatCode="0.00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96012915"/>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[工作簿1.xlsx]Sheet1!$I$23:$I$37</c:f>
              <c:numCache>
                <c:formatCode>General</c:formatCode>
                <c:ptCount val="15"/>
                <c:pt idx="0">
                  <c:v>0</c:v>
                </c:pt>
                <c:pt idx="1">
                  <c:v>10</c:v>
                </c:pt>
                <c:pt idx="2">
                  <c:v>20</c:v>
                </c:pt>
                <c:pt idx="3">
                  <c:v>30</c:v>
                </c:pt>
                <c:pt idx="4">
                  <c:v>40</c:v>
                </c:pt>
                <c:pt idx="5">
                  <c:v>50</c:v>
                </c:pt>
                <c:pt idx="6">
                  <c:v>90</c:v>
                </c:pt>
                <c:pt idx="7">
                  <c:v>100</c:v>
                </c:pt>
                <c:pt idx="8">
                  <c:v>120</c:v>
                </c:pt>
                <c:pt idx="9">
                  <c:v>150</c:v>
                </c:pt>
                <c:pt idx="10">
                  <c:v>200</c:v>
                </c:pt>
                <c:pt idx="11">
                  <c:v>210</c:v>
                </c:pt>
                <c:pt idx="12">
                  <c:v>220</c:v>
                </c:pt>
                <c:pt idx="13">
                  <c:v>230</c:v>
                </c:pt>
                <c:pt idx="14">
                  <c:v>240</c:v>
                </c:pt>
              </c:numCache>
            </c:numRef>
          </c:xVal>
          <c:yVal>
            <c:numRef>
              <c:f>[工作簿1.xlsx]Sheet1!$J$23:$J$37</c:f>
              <c:numCache>
                <c:formatCode>0.00E+00</c:formatCode>
                <c:ptCount val="15"/>
                <c:pt idx="0">
                  <c:v>142</c:v>
                </c:pt>
                <c:pt idx="1">
                  <c:v>108</c:v>
                </c:pt>
                <c:pt idx="2">
                  <c:v>69.7</c:v>
                </c:pt>
                <c:pt idx="3">
                  <c:v>37</c:v>
                </c:pt>
                <c:pt idx="4">
                  <c:v>16</c:v>
                </c:pt>
                <c:pt idx="5">
                  <c:v>5.57</c:v>
                </c:pt>
                <c:pt idx="6">
                  <c:v>0.00818</c:v>
                </c:pt>
                <c:pt idx="7">
                  <c:v>0.000885</c:v>
                </c:pt>
                <c:pt idx="8">
                  <c:v>5.02e-6</c:v>
                </c:pt>
                <c:pt idx="9">
                  <c:v>3.54e-10</c:v>
                </c:pt>
                <c:pt idx="10" c:formatCode="General">
                  <c:v>0</c:v>
                </c:pt>
                <c:pt idx="11" c:formatCode="General">
                  <c:v>0</c:v>
                </c:pt>
                <c:pt idx="12" c:formatCode="General">
                  <c:v>0</c:v>
                </c:pt>
                <c:pt idx="13" c:formatCode="General">
                  <c:v>0</c:v>
                </c:pt>
                <c:pt idx="14" c:formatCode="General">
                  <c:v>0</c:v>
                </c:pt>
              </c:numCache>
            </c:numRef>
          </c:yVal>
          <c:smooth val="1"/>
        </c:ser>
        <c:dLbls>
          <c:showLegendKey val="0"/>
          <c:showVal val="0"/>
          <c:showCatName val="0"/>
          <c:showSerName val="0"/>
          <c:showPercent val="0"/>
          <c:showBubbleSize val="0"/>
        </c:dLbls>
        <c:axId val="620223212"/>
        <c:axId val="601755278"/>
      </c:scatterChart>
      <c:valAx>
        <c:axId val="620223212"/>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距离（m）</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01755278"/>
        <c:crosses val="autoZero"/>
        <c:crossBetween val="midCat"/>
      </c:valAx>
      <c:valAx>
        <c:axId val="601755278"/>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浓度（mg/L）</a:t>
                </a:r>
              </a:p>
            </c:rich>
          </c:tx>
          <c:layout/>
          <c:overlay val="0"/>
          <c:spPr>
            <a:noFill/>
            <a:ln>
              <a:noFill/>
            </a:ln>
            <a:effectLst/>
          </c:spPr>
        </c:title>
        <c:numFmt formatCode="0.00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20223212"/>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[工作簿1.xlsx]Sheet1!$K$23:$K$37</c:f>
              <c:numCache>
                <c:formatCode>General</c:formatCode>
                <c:ptCount val="15"/>
                <c:pt idx="0">
                  <c:v>0</c:v>
                </c:pt>
                <c:pt idx="1">
                  <c:v>10</c:v>
                </c:pt>
                <c:pt idx="2">
                  <c:v>50</c:v>
                </c:pt>
                <c:pt idx="3">
                  <c:v>100</c:v>
                </c:pt>
                <c:pt idx="4">
                  <c:v>200</c:v>
                </c:pt>
                <c:pt idx="5">
                  <c:v>300</c:v>
                </c:pt>
                <c:pt idx="6">
                  <c:v>400</c:v>
                </c:pt>
                <c:pt idx="7">
                  <c:v>500</c:v>
                </c:pt>
                <c:pt idx="8">
                  <c:v>600</c:v>
                </c:pt>
                <c:pt idx="9">
                  <c:v>700</c:v>
                </c:pt>
                <c:pt idx="10">
                  <c:v>800</c:v>
                </c:pt>
                <c:pt idx="11">
                  <c:v>850</c:v>
                </c:pt>
                <c:pt idx="12">
                  <c:v>900</c:v>
                </c:pt>
                <c:pt idx="13">
                  <c:v>950</c:v>
                </c:pt>
                <c:pt idx="14">
                  <c:v>1000</c:v>
                </c:pt>
              </c:numCache>
            </c:numRef>
          </c:xVal>
          <c:yVal>
            <c:numRef>
              <c:f>[工作簿1.xlsx]Sheet1!$L$23:$L$37</c:f>
              <c:numCache>
                <c:formatCode>0.00E+00</c:formatCode>
                <c:ptCount val="15"/>
                <c:pt idx="0">
                  <c:v>142</c:v>
                </c:pt>
                <c:pt idx="1">
                  <c:v>139</c:v>
                </c:pt>
                <c:pt idx="2">
                  <c:v>114</c:v>
                </c:pt>
                <c:pt idx="3">
                  <c:v>58.3</c:v>
                </c:pt>
                <c:pt idx="4">
                  <c:v>2.02</c:v>
                </c:pt>
                <c:pt idx="5">
                  <c:v>0.00308</c:v>
                </c:pt>
                <c:pt idx="6">
                  <c:v>1.02e-7</c:v>
                </c:pt>
                <c:pt idx="7">
                  <c:v>2.05e-13</c:v>
                </c:pt>
                <c:pt idx="8" c:formatCode="General">
                  <c:v>0</c:v>
                </c:pt>
                <c:pt idx="9" c:formatCode="General">
                  <c:v>0</c:v>
                </c:pt>
                <c:pt idx="10" c:formatCode="General">
                  <c:v>0</c:v>
                </c:pt>
                <c:pt idx="11" c:formatCode="General">
                  <c:v>0</c:v>
                </c:pt>
                <c:pt idx="12" c:formatCode="General">
                  <c:v>0</c:v>
                </c:pt>
                <c:pt idx="13" c:formatCode="General">
                  <c:v>0</c:v>
                </c:pt>
                <c:pt idx="14" c:formatCode="General">
                  <c:v>0</c:v>
                </c:pt>
              </c:numCache>
            </c:numRef>
          </c:yVal>
          <c:smooth val="1"/>
        </c:ser>
        <c:dLbls>
          <c:showLegendKey val="0"/>
          <c:showVal val="0"/>
          <c:showCatName val="0"/>
          <c:showSerName val="0"/>
          <c:showPercent val="0"/>
          <c:showBubbleSize val="0"/>
        </c:dLbls>
        <c:axId val="972035561"/>
        <c:axId val="564183022"/>
      </c:scatterChart>
      <c:valAx>
        <c:axId val="972035561"/>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altLang="en-US"/>
                  <a:t>距离（</a:t>
                </a:r>
                <a:r>
                  <a:rPr lang="en-US" altLang="zh-CN"/>
                  <a:t>m</a:t>
                </a:r>
                <a:r>
                  <a:rPr altLang="en-US"/>
                  <a:t>）</a:t>
                </a:r>
                <a:endParaRPr lang="en-US" altLang="zh-CN"/>
              </a:p>
            </c:rich>
          </c:tx>
          <c:layout>
            <c:manualLayout>
              <c:xMode val="edge"/>
              <c:yMode val="edge"/>
              <c:x val="0.499842105263158"/>
              <c:y val="0.88055555555555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64183022"/>
        <c:crosses val="autoZero"/>
        <c:crossBetween val="midCat"/>
      </c:valAx>
      <c:valAx>
        <c:axId val="564183022"/>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浓度（mg/L）</a:t>
                </a:r>
              </a:p>
            </c:rich>
          </c:tx>
          <c:layout/>
          <c:overlay val="0"/>
          <c:spPr>
            <a:noFill/>
            <a:ln>
              <a:noFill/>
            </a:ln>
            <a:effectLst/>
          </c:spPr>
        </c:title>
        <c:numFmt formatCode="0.00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972035561"/>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[工作簿1.xlsx]Sheet1!$A$79:$A$93</c:f>
              <c:numCache>
                <c:formatCode>General</c:formatCode>
                <c:ptCount val="15"/>
                <c:pt idx="0">
                  <c:v>0</c:v>
                </c:pt>
                <c:pt idx="1">
                  <c:v>10</c:v>
                </c:pt>
                <c:pt idx="2">
                  <c:v>20</c:v>
                </c:pt>
                <c:pt idx="3">
                  <c:v>30</c:v>
                </c:pt>
                <c:pt idx="4">
                  <c:v>40</c:v>
                </c:pt>
                <c:pt idx="5">
                  <c:v>50</c:v>
                </c:pt>
                <c:pt idx="6">
                  <c:v>55</c:v>
                </c:pt>
                <c:pt idx="7">
                  <c:v>60</c:v>
                </c:pt>
                <c:pt idx="8">
                  <c:v>65</c:v>
                </c:pt>
                <c:pt idx="9">
                  <c:v>70</c:v>
                </c:pt>
                <c:pt idx="10">
                  <c:v>75</c:v>
                </c:pt>
                <c:pt idx="11">
                  <c:v>80</c:v>
                </c:pt>
                <c:pt idx="12">
                  <c:v>90</c:v>
                </c:pt>
                <c:pt idx="13">
                  <c:v>100</c:v>
                </c:pt>
                <c:pt idx="14">
                  <c:v>110</c:v>
                </c:pt>
              </c:numCache>
            </c:numRef>
          </c:xVal>
          <c:yVal>
            <c:numRef>
              <c:f>[工作簿1.xlsx]Sheet1!$B$79:$B$93</c:f>
              <c:numCache>
                <c:formatCode>0.00E+00</c:formatCode>
                <c:ptCount val="15"/>
                <c:pt idx="0">
                  <c:v>189</c:v>
                </c:pt>
                <c:pt idx="1">
                  <c:v>27.4</c:v>
                </c:pt>
                <c:pt idx="2">
                  <c:v>0.483</c:v>
                </c:pt>
                <c:pt idx="3">
                  <c:v>0.000833</c:v>
                </c:pt>
                <c:pt idx="4">
                  <c:v>1.3e-7</c:v>
                </c:pt>
                <c:pt idx="5">
                  <c:v>1.84e-12</c:v>
                </c:pt>
                <c:pt idx="6" c:formatCode="General">
                  <c:v>0</c:v>
                </c:pt>
                <c:pt idx="7" c:formatCode="General">
                  <c:v>0</c:v>
                </c:pt>
                <c:pt idx="8" c:formatCode="General">
                  <c:v>0</c:v>
                </c:pt>
                <c:pt idx="9" c:formatCode="General">
                  <c:v>0</c:v>
                </c:pt>
                <c:pt idx="10" c:formatCode="General">
                  <c:v>0</c:v>
                </c:pt>
                <c:pt idx="11" c:formatCode="General">
                  <c:v>0</c:v>
                </c:pt>
                <c:pt idx="12" c:formatCode="General">
                  <c:v>0</c:v>
                </c:pt>
                <c:pt idx="13" c:formatCode="General">
                  <c:v>0</c:v>
                </c:pt>
                <c:pt idx="14" c:formatCode="General">
                  <c:v>0</c:v>
                </c:pt>
              </c:numCache>
            </c:numRef>
          </c:yVal>
          <c:smooth val="1"/>
        </c:ser>
        <c:dLbls>
          <c:showLegendKey val="0"/>
          <c:showVal val="0"/>
          <c:showCatName val="0"/>
          <c:showSerName val="0"/>
          <c:showPercent val="0"/>
          <c:showBubbleSize val="0"/>
        </c:dLbls>
        <c:axId val="70139888"/>
        <c:axId val="230661028"/>
      </c:scatterChart>
      <c:valAx>
        <c:axId val="70139888"/>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距离（</a:t>
                </a:r>
                <a:r>
                  <a:rPr lang="en-US" altLang="zh-CN"/>
                  <a:t>m</a:t>
                </a:r>
                <a:r>
                  <a:rPr altLang="en-US"/>
                  <a:t>）</a:t>
                </a:r>
                <a:endParaRPr altLang="en-US"/>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30661028"/>
        <c:crosses val="autoZero"/>
        <c:crossBetween val="midCat"/>
      </c:valAx>
      <c:valAx>
        <c:axId val="230661028"/>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a:t>
                </a:r>
                <a:r>
                  <a:rPr lang="en-US" altLang="zh-CN"/>
                  <a:t>mg/L)</a:t>
                </a:r>
                <a:endParaRPr lang="en-US" altLang="zh-CN"/>
              </a:p>
            </c:rich>
          </c:tx>
          <c:layout/>
          <c:overlay val="0"/>
          <c:spPr>
            <a:noFill/>
            <a:ln>
              <a:noFill/>
            </a:ln>
            <a:effectLst/>
          </c:spPr>
        </c:title>
        <c:numFmt formatCode="0.00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0139888"/>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[工作簿1.xlsx]Sheet1!$C$79:$C$93</c:f>
              <c:numCache>
                <c:formatCode>General</c:formatCode>
                <c:ptCount val="15"/>
                <c:pt idx="0">
                  <c:v>0</c:v>
                </c:pt>
                <c:pt idx="1">
                  <c:v>10</c:v>
                </c:pt>
                <c:pt idx="2">
                  <c:v>20</c:v>
                </c:pt>
                <c:pt idx="3">
                  <c:v>30</c:v>
                </c:pt>
                <c:pt idx="4">
                  <c:v>40</c:v>
                </c:pt>
                <c:pt idx="5">
                  <c:v>50</c:v>
                </c:pt>
                <c:pt idx="6">
                  <c:v>90</c:v>
                </c:pt>
                <c:pt idx="7">
                  <c:v>100</c:v>
                </c:pt>
                <c:pt idx="8">
                  <c:v>120</c:v>
                </c:pt>
                <c:pt idx="9">
                  <c:v>150</c:v>
                </c:pt>
                <c:pt idx="10">
                  <c:v>200</c:v>
                </c:pt>
                <c:pt idx="11">
                  <c:v>210</c:v>
                </c:pt>
                <c:pt idx="12">
                  <c:v>220</c:v>
                </c:pt>
                <c:pt idx="13">
                  <c:v>230</c:v>
                </c:pt>
                <c:pt idx="14">
                  <c:v>240</c:v>
                </c:pt>
              </c:numCache>
            </c:numRef>
          </c:xVal>
          <c:yVal>
            <c:numRef>
              <c:f>[工作簿1.xlsx]Sheet1!$D$79:$D$93</c:f>
              <c:numCache>
                <c:formatCode>0.00E+00</c:formatCode>
                <c:ptCount val="15"/>
                <c:pt idx="0">
                  <c:v>189</c:v>
                </c:pt>
                <c:pt idx="1">
                  <c:v>144</c:v>
                </c:pt>
                <c:pt idx="2">
                  <c:v>92.7</c:v>
                </c:pt>
                <c:pt idx="3">
                  <c:v>49.3</c:v>
                </c:pt>
                <c:pt idx="4">
                  <c:v>21.3</c:v>
                </c:pt>
                <c:pt idx="5">
                  <c:v>7.41</c:v>
                </c:pt>
                <c:pt idx="6">
                  <c:v>0.0109</c:v>
                </c:pt>
                <c:pt idx="7">
                  <c:v>0.00118</c:v>
                </c:pt>
                <c:pt idx="8">
                  <c:v>6.68e-6</c:v>
                </c:pt>
                <c:pt idx="9">
                  <c:v>4.71e-10</c:v>
                </c:pt>
                <c:pt idx="10" c:formatCode="General">
                  <c:v>0</c:v>
                </c:pt>
                <c:pt idx="11" c:formatCode="General">
                  <c:v>0</c:v>
                </c:pt>
                <c:pt idx="12" c:formatCode="General">
                  <c:v>0</c:v>
                </c:pt>
                <c:pt idx="13" c:formatCode="General">
                  <c:v>0</c:v>
                </c:pt>
                <c:pt idx="14" c:formatCode="General">
                  <c:v>0</c:v>
                </c:pt>
              </c:numCache>
            </c:numRef>
          </c:yVal>
          <c:smooth val="1"/>
        </c:ser>
        <c:dLbls>
          <c:showLegendKey val="0"/>
          <c:showVal val="0"/>
          <c:showCatName val="0"/>
          <c:showSerName val="0"/>
          <c:showPercent val="0"/>
          <c:showBubbleSize val="0"/>
        </c:dLbls>
        <c:axId val="31020125"/>
        <c:axId val="94515138"/>
      </c:scatterChart>
      <c:valAx>
        <c:axId val="31020125"/>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altLang="en-US"/>
                  <a:t>距离（</a:t>
                </a:r>
                <a:r>
                  <a:rPr lang="en-US" altLang="zh-CN"/>
                  <a:t>m</a:t>
                </a:r>
                <a:r>
                  <a:rPr altLang="en-US"/>
                  <a:t>）</a:t>
                </a:r>
                <a:endParaRPr lang="en-US" altLang="zh-CN"/>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94515138"/>
        <c:crosses val="autoZero"/>
        <c:crossBetween val="midCat"/>
      </c:valAx>
      <c:valAx>
        <c:axId val="94515138"/>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a:t>
                </a:r>
                <a:r>
                  <a:rPr lang="en-US" altLang="zh-CN"/>
                  <a:t>mgL)</a:t>
                </a:r>
                <a:endParaRPr lang="en-US" altLang="zh-CN"/>
              </a:p>
            </c:rich>
          </c:tx>
          <c:layout/>
          <c:overlay val="0"/>
          <c:spPr>
            <a:noFill/>
            <a:ln>
              <a:noFill/>
            </a:ln>
            <a:effectLst/>
          </c:spPr>
        </c:title>
        <c:numFmt formatCode="0.00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1020125"/>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[工作簿1.xlsx]Sheet1!$E$79:$E$93</c:f>
              <c:numCache>
                <c:formatCode>General</c:formatCode>
                <c:ptCount val="15"/>
                <c:pt idx="0">
                  <c:v>0</c:v>
                </c:pt>
                <c:pt idx="1">
                  <c:v>10</c:v>
                </c:pt>
                <c:pt idx="2">
                  <c:v>50</c:v>
                </c:pt>
                <c:pt idx="3">
                  <c:v>100</c:v>
                </c:pt>
                <c:pt idx="4">
                  <c:v>200</c:v>
                </c:pt>
                <c:pt idx="5">
                  <c:v>300</c:v>
                </c:pt>
                <c:pt idx="6">
                  <c:v>400</c:v>
                </c:pt>
                <c:pt idx="7">
                  <c:v>500</c:v>
                </c:pt>
                <c:pt idx="8">
                  <c:v>600</c:v>
                </c:pt>
                <c:pt idx="9">
                  <c:v>700</c:v>
                </c:pt>
                <c:pt idx="10">
                  <c:v>800</c:v>
                </c:pt>
                <c:pt idx="11">
                  <c:v>850</c:v>
                </c:pt>
                <c:pt idx="12">
                  <c:v>900</c:v>
                </c:pt>
                <c:pt idx="13">
                  <c:v>950</c:v>
                </c:pt>
                <c:pt idx="14">
                  <c:v>1000</c:v>
                </c:pt>
              </c:numCache>
            </c:numRef>
          </c:xVal>
          <c:yVal>
            <c:numRef>
              <c:f>[工作簿1.xlsx]Sheet1!$F$79:$F$93</c:f>
              <c:numCache>
                <c:formatCode>0.00E+00</c:formatCode>
                <c:ptCount val="15"/>
                <c:pt idx="0">
                  <c:v>189</c:v>
                </c:pt>
                <c:pt idx="1">
                  <c:v>185</c:v>
                </c:pt>
                <c:pt idx="2">
                  <c:v>152</c:v>
                </c:pt>
                <c:pt idx="3">
                  <c:v>77.6</c:v>
                </c:pt>
                <c:pt idx="4">
                  <c:v>2.69</c:v>
                </c:pt>
                <c:pt idx="5">
                  <c:v>0.0041</c:v>
                </c:pt>
                <c:pt idx="6">
                  <c:v>1.36e-7</c:v>
                </c:pt>
                <c:pt idx="7">
                  <c:v>2.73e-13</c:v>
                </c:pt>
                <c:pt idx="8" c:formatCode="General">
                  <c:v>0</c:v>
                </c:pt>
                <c:pt idx="9" c:formatCode="General">
                  <c:v>0</c:v>
                </c:pt>
                <c:pt idx="10" c:formatCode="General">
                  <c:v>0</c:v>
                </c:pt>
                <c:pt idx="11" c:formatCode="General">
                  <c:v>0</c:v>
                </c:pt>
                <c:pt idx="12" c:formatCode="General">
                  <c:v>0</c:v>
                </c:pt>
                <c:pt idx="13" c:formatCode="General">
                  <c:v>0</c:v>
                </c:pt>
                <c:pt idx="14" c:formatCode="General">
                  <c:v>0</c:v>
                </c:pt>
              </c:numCache>
            </c:numRef>
          </c:yVal>
          <c:smooth val="1"/>
        </c:ser>
        <c:dLbls>
          <c:showLegendKey val="0"/>
          <c:showVal val="0"/>
          <c:showCatName val="0"/>
          <c:showSerName val="0"/>
          <c:showPercent val="0"/>
          <c:showBubbleSize val="0"/>
        </c:dLbls>
        <c:axId val="566586545"/>
        <c:axId val="638412450"/>
      </c:scatterChart>
      <c:valAx>
        <c:axId val="566586545"/>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altLang="en-US"/>
                  <a:t>距离（</a:t>
                </a:r>
                <a:r>
                  <a:rPr lang="en-US" altLang="zh-CN"/>
                  <a:t>m</a:t>
                </a:r>
                <a:r>
                  <a:rPr altLang="en-US"/>
                  <a:t>）</a:t>
                </a:r>
                <a:endParaRPr lang="en-US" altLang="zh-CN"/>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38412450"/>
        <c:crosses val="autoZero"/>
        <c:crossBetween val="midCat"/>
      </c:valAx>
      <c:valAx>
        <c:axId val="638412450"/>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浓度（mg/L)</a:t>
                </a:r>
              </a:p>
            </c:rich>
          </c:tx>
          <c:layout>
            <c:manualLayout>
              <c:xMode val="edge"/>
              <c:yMode val="edge"/>
              <c:x val="0.0269736842105263"/>
              <c:y val="0.292407407407407"/>
            </c:manualLayout>
          </c:layout>
          <c:overlay val="0"/>
          <c:spPr>
            <a:noFill/>
            <a:ln>
              <a:noFill/>
            </a:ln>
            <a:effectLst/>
          </c:spPr>
        </c:title>
        <c:numFmt formatCode="0.00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66586545"/>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72705" textRotate="1"/>
    <customShpInfo spid="_x0000_s72706" textRotate="1"/>
    <customShpInfo spid="_x0000_s2509"/>
    <customShpInfo spid="_x0000_s3979"/>
    <customShpInfo spid="_x0000_s3981"/>
    <customShpInfo spid="_x0000_s3982"/>
    <customShpInfo spid="_x0000_s3983"/>
    <customShpInfo spid="_x0000_s3984"/>
    <customShpInfo spid="_x0000_s3985"/>
    <customShpInfo spid="_x0000_s3986"/>
    <customShpInfo spid="_x0000_s3987"/>
    <customShpInfo spid="_x0000_s3988"/>
    <customShpInfo spid="_x0000_s3989"/>
    <customShpInfo spid="_x0000_s3990"/>
    <customShpInfo spid="_x0000_s3991"/>
    <customShpInfo spid="_x0000_s3992"/>
    <customShpInfo spid="_x0000_s3993"/>
    <customShpInfo spid="_x0000_s3994"/>
    <customShpInfo spid="_x0000_s3995"/>
    <customShpInfo spid="_x0000_s3996"/>
    <customShpInfo spid="_x0000_s3997"/>
    <customShpInfo spid="_x0000_s3998"/>
    <customShpInfo spid="_x0000_s3999"/>
    <customShpInfo spid="_x0000_s4000"/>
    <customShpInfo spid="_x0000_s4001"/>
    <customShpInfo spid="_x0000_s4002"/>
    <customShpInfo spid="_x0000_s4003"/>
    <customShpInfo spid="_x0000_s4004"/>
    <customShpInfo spid="_x0000_s4005"/>
    <customShpInfo spid="_x0000_s4006"/>
    <customShpInfo spid="_x0000_s4007"/>
    <customShpInfo spid="_x0000_s4008"/>
    <customShpInfo spid="_x0000_s4009"/>
    <customShpInfo spid="_x0000_s4010"/>
    <customShpInfo spid="_x0000_s4011"/>
    <customShpInfo spid="_x0000_s4012"/>
    <customShpInfo spid="_x0000_s4013"/>
    <customShpInfo spid="_x0000_s4014"/>
    <customShpInfo spid="_x0000_s3980"/>
    <customShpInfo spid="_x0000_s3785"/>
    <customShpInfo spid="_x0000_s3786"/>
    <customShpInfo spid="_x0000_s3787"/>
    <customShpInfo spid="_x0000_s3788"/>
    <customShpInfo spid="_x0000_s3789"/>
    <customShpInfo spid="_x0000_s3790"/>
    <customShpInfo spid="_x0000_s3791"/>
    <customShpInfo spid="_x0000_s3792"/>
    <customShpInfo spid="_x0000_s3793"/>
    <customShpInfo spid="_x0000_s3794"/>
    <customShpInfo spid="_x0000_s3795"/>
    <customShpInfo spid="_x0000_s3796"/>
    <customShpInfo spid="_x0000_s3798"/>
    <customShpInfo spid="_x0000_s3799"/>
    <customShpInfo spid="_x0000_s3800"/>
    <customShpInfo spid="_x0000_s3801"/>
    <customShpInfo spid="_x0000_s3802"/>
    <customShpInfo spid="_x0000_s3803"/>
    <customShpInfo spid="_x0000_s3804"/>
    <customShpInfo spid="_x0000_s3805"/>
    <customShpInfo spid="_x0000_s3806"/>
    <customShpInfo spid="_x0000_s3807"/>
    <customShpInfo spid="_x0000_s3808"/>
    <customShpInfo spid="_x0000_s3809"/>
    <customShpInfo spid="_x0000_s3811"/>
    <customShpInfo spid="_x0000_s3812"/>
    <customShpInfo spid="_x0000_s3813"/>
    <customShpInfo spid="_x0000_s3814"/>
    <customShpInfo spid="_x0000_s3815"/>
    <customShpInfo spid="_x0000_s3816"/>
    <customShpInfo spid="_x0000_s3817"/>
    <customShpInfo spid="_x0000_s3818"/>
    <customShpInfo spid="_x0000_s3819"/>
    <customShpInfo spid="_x0000_s3820"/>
    <customShpInfo spid="_x0000_s3821"/>
    <customShpInfo spid="_x0000_s3822"/>
    <customShpInfo spid="_x0000_s3823"/>
    <customShpInfo spid="_x0000_s3824"/>
    <customShpInfo spid="_x0000_s3825"/>
    <customShpInfo spid="_x0000_s3826"/>
    <customShpInfo spid="_x0000_s3827"/>
    <customShpInfo spid="_x0000_s3828"/>
    <customShpInfo spid="_x0000_s3829"/>
    <customShpInfo spid="_x0000_s3830"/>
    <customShpInfo spid="_x0000_s3831"/>
    <customShpInfo spid="_x0000_s3832"/>
    <customShpInfo spid="_x0000_s3833"/>
    <customShpInfo spid="_x0000_s3834"/>
    <customShpInfo spid="_x0000_s3835"/>
    <customShpInfo spid="_x0000_s3836"/>
    <customShpInfo spid="_x0000_s3837"/>
    <customShpInfo spid="_x0000_s3838"/>
    <customShpInfo spid="_x0000_s3839"/>
    <customShpInfo spid="_x0000_s3840"/>
    <customShpInfo spid="_x0000_s3841"/>
    <customShpInfo spid="_x0000_s3842"/>
    <customShpInfo spid="_x0000_s3843"/>
    <customShpInfo spid="_x0000_s3844"/>
    <customShpInfo spid="_x0000_s3845"/>
    <customShpInfo spid="_x0000_s3846"/>
    <customShpInfo spid="_x0000_s3847"/>
    <customShpInfo spid="_x0000_s3848"/>
    <customShpInfo spid="_x0000_s3849"/>
    <customShpInfo spid="_x0000_s3850"/>
    <customShpInfo spid="_x0000_s3851"/>
    <customShpInfo spid="_x0000_s3852"/>
    <customShpInfo spid="_x0000_s3854"/>
    <customShpInfo spid="_x0000_s3855"/>
    <customShpInfo spid="_x0000_s3856"/>
    <customShpInfo spid="_x0000_s4019"/>
    <customShpInfo spid="_x0000_s4020"/>
    <customShpInfo spid="_x0000_s4021"/>
    <customShpInfo spid="_x0000_s4022"/>
    <customShpInfo spid="_x0000_s4023"/>
    <customShpInfo spid="_x0000_s4024"/>
    <customShpInfo spid="_x0000_s4025"/>
    <customShpInfo spid="_x0000_s4026"/>
    <customShpInfo spid="_x0000_s4027"/>
    <customShpInfo spid="_x0000_s4028"/>
    <customShpInfo spid="_x0000_s4029"/>
    <customShpInfo spid="_x0000_s71684"/>
    <customShpInfo spid="_x0000_s71685"/>
    <customShpInfo spid="_x0000_s71686"/>
    <customShpInfo spid="_x0000_s3784"/>
    <customShpInfo spid="_x0000_s71688"/>
    <customShpInfo spid="_x0000_s71687"/>
    <customShpInfo spid="_x0000_s71689"/>
    <customShpInfo spid="_x0000_s3868"/>
    <customShpInfo spid="_x0000_s3867"/>
    <customShpInfo spid="_x0000_s3870"/>
    <customShpInfo spid="_x0000_s3869"/>
    <customShpInfo spid="_x0000_s4037"/>
    <customShpInfo spid="_x0000_s4036"/>
    <customShpInfo spid="_x0000_s71717"/>
    <customShpInfo spid="_x0000_s71722"/>
    <customShpInfo spid="_x0000_s71721"/>
    <customShpInfo spid="_x0000_s71711"/>
    <customShpInfo spid="_x0000_s3906"/>
    <customShpInfo spid="_x0000_s3907"/>
    <customShpInfo spid="_x0000_s3908"/>
    <customShpInfo spid="_x0000_s3909"/>
    <customShpInfo spid="_x0000_s3910"/>
    <customShpInfo spid="_x0000_s3911"/>
    <customShpInfo spid="_x0000_s3912"/>
    <customShpInfo spid="_x0000_s3913"/>
    <customShpInfo spid="_x0000_s3914"/>
    <customShpInfo spid="_x0000_s3915"/>
    <customShpInfo spid="_x0000_s3917"/>
    <customShpInfo spid="_x0000_s3918"/>
    <customShpInfo spid="_x0000_s3919"/>
    <customShpInfo spid="_x0000_s3920"/>
    <customShpInfo spid="_x0000_s3921"/>
    <customShpInfo spid="_x0000_s3922"/>
    <customShpInfo spid="_x0000_s3923"/>
    <customShpInfo spid="_x0000_s3924"/>
    <customShpInfo spid="_x0000_s3925"/>
    <customShpInfo spid="_x0000_s3926"/>
    <customShpInfo spid="_x0000_s3928"/>
    <customShpInfo spid="_x0000_s3929"/>
    <customShpInfo spid="_x0000_s3930"/>
    <customShpInfo spid="_x0000_s3931"/>
    <customShpInfo spid="_x0000_s3933"/>
    <customShpInfo spid="_x0000_s3934"/>
    <customShpInfo spid="_x0000_s3916"/>
    <customShpInfo spid="_x0000_s4043"/>
    <customShpInfo spid="_x0000_s4044"/>
    <customShpInfo spid="_x0000_s4045"/>
    <customShpInfo spid="_x0000_s4046"/>
    <customShpInfo spid="_x0000_s4047"/>
    <customShpInfo spid="_x0000_s4048"/>
    <customShpInfo spid="_x0000_s4049"/>
    <customShpInfo spid="_x0000_s3905"/>
    <customShpInfo spid="_x0000_s71697"/>
    <customShpInfo spid="_x0000_s71696"/>
    <customShpInfo spid="_x0000_s71695"/>
    <customShpInfo spid="_x0000_s71694"/>
    <customShpInfo spid="_x0000_s71690"/>
    <customShpInfo spid="_x0000_s71691"/>
    <customShpInfo spid="_x0000_s71702"/>
    <customShpInfo spid="_x0000_s71701"/>
    <customShpInfo spid="_x0000_s71700"/>
    <customShpInfo spid="_x0000_s71699"/>
    <customShpInfo spid="_x0000_s71698"/>
    <customShpInfo spid="_x0000_s71703"/>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7479DCC-94F2-4CF8-9CD2-F587902778A4}">
  <ds:schemaRefs/>
</ds:datastoreItem>
</file>

<file path=docProps/app.xml><?xml version="1.0" encoding="utf-8"?>
<Properties xmlns="http://schemas.openxmlformats.org/officeDocument/2006/extended-properties" xmlns:vt="http://schemas.openxmlformats.org/officeDocument/2006/docPropsVTypes">
  <Template>Normal</Template>
  <Pages>235</Pages>
  <Words>109042</Words>
  <Characters>134776</Characters>
  <Lines>1005</Lines>
  <Paragraphs>283</Paragraphs>
  <TotalTime>11</TotalTime>
  <ScaleCrop>false</ScaleCrop>
  <LinksUpToDate>false</LinksUpToDate>
  <CharactersWithSpaces>138021</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2023-04-17T02:47:00Z</dcterms:created>
  <dc:creator>user</dc:creator>
  <cp:lastModifiedBy>Sheena Zhao^</cp:lastModifiedBy>
  <cp:lastPrinted>2020-03-19T08:55:00Z</cp:lastPrinted>
  <dcterms:modified xsi:type="dcterms:W3CDTF">2024-01-16T00:49:09Z</dcterms:modified>
  <cp:revision>12709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BE4DE944B31148CEBFE7B31E7B1D2775_12</vt:lpwstr>
  </property>
</Properties>
</file>